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Duties Act 2008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Act 2008</w:t>
            </w:r>
          </w:p>
        </w:tc>
        <w:tc>
          <w:p>
            <w:pPr>
              <w:pStyle w:val="Table01Row"/>
            </w:pPr>
            <w:r>
              <w:t>2008/011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s. 1 &amp; 2: 14 Apr 2008 (see s. 2(a));</w:t>
            </w:r>
          </w:p>
          <w:p>
            <w:pPr>
              <w:pStyle w:val="Table01Row"/>
            </w:pPr>
            <w:r>
              <w:rPr/>
              <w:t xml:space="preserve">Act other than s. 1, 2 &amp; Sch. 3 Div. 2: 1 Jul 2008 (see s. 2(b));</w:t>
            </w:r>
          </w:p>
          <w:p>
            <w:pPr>
              <w:pStyle w:val="Table01Row"/>
            </w:pPr>
            <w:r>
              <w:rPr/>
              <w:t xml:space="preserve">Sch. 3 Div. 2 repealed by 2008/030 s.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2008/012 (as amended by 2008/030 s. 3; 2010/009 s. 5; 2013/005 s. 5)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Pt. 2 Div. 2 Subdiv. 1: 1 Jul 2008 (see s. 2d));</w:t>
            </w:r>
          </w:p>
          <w:p>
            <w:pPr>
              <w:pStyle w:val="Table01Row"/>
            </w:pPr>
            <w:r>
              <w:rPr/>
              <w:t xml:space="preserve">Pt. 2 Div. 2 Subdiv. 2: 1 Jul 2008 (see s. 2(b) and 2008/030 s. 3(2));</w:t>
            </w:r>
          </w:p>
          <w:p>
            <w:pPr>
              <w:pStyle w:val="Table01Row"/>
            </w:pPr>
            <w:r>
              <w:rPr/>
              <w:t xml:space="preserve">Pt. 2 Div. 2 Subdiv. 3 deleted by 2013/005 s. 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</w:t>
              <w:t>s. 4 &amp; Pt. 7</w:t>
            </w:r>
          </w:p>
        </w:tc>
        <w:tc>
          <w:p>
            <w:pPr>
              <w:pStyle w:val="Table01Row"/>
            </w:pPr>
            <w:r>
              <w:t>2008/030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s. 4: 27 Jun 2008 (see s. 2(2)(a));</w:t>
            </w:r>
          </w:p>
          <w:p>
            <w:pPr>
              <w:pStyle w:val="Table01Row"/>
            </w:pPr>
            <w:r>
              <w:rPr/>
              <w:t xml:space="preserve">Pt. 7: 1 Jul 2008 (see s. 2(1)(c)(i))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2008/031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28 Jun 2008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2010</w:t>
            </w:r>
            <w:r>
              <w:t xml:space="preserve"> </w:t>
              <w:t>Pt. 2 (s. 3‑6) &amp; Pt. 3 Div. 2</w:t>
            </w:r>
          </w:p>
        </w:tc>
        <w:tc>
          <w:p>
            <w:pPr>
              <w:pStyle w:val="Table01Row"/>
            </w:pPr>
            <w:r>
              <w:t>2010/009</w:t>
            </w:r>
          </w:p>
        </w:tc>
        <w:tc>
          <w:p>
            <w:pPr>
              <w:pStyle w:val="Table01Row"/>
            </w:pPr>
            <w:r>
              <w:t>10 Jun 2010</w:t>
            </w:r>
          </w:p>
        </w:tc>
        <w:tc>
          <w:p>
            <w:pPr>
              <w:pStyle w:val="Table01Row"/>
            </w:pPr>
            <w:r>
              <w:rPr/>
              <w:t xml:space="preserve">s. 5 &amp; 6: 10 Mar 2010 (see s. 2(d));</w:t>
            </w:r>
          </w:p>
          <w:p>
            <w:pPr>
              <w:pStyle w:val="Table01Row"/>
            </w:pPr>
            <w:r>
              <w:rPr/>
              <w:t xml:space="preserve">s. 3: 10 Jun 2010 (see s. 2(a));</w:t>
            </w:r>
          </w:p>
          <w:p>
            <w:pPr>
              <w:pStyle w:val="Table01Row"/>
            </w:pPr>
            <w:r>
              <w:rPr/>
              <w:t xml:space="preserve">Pt. 3 Div. 2: 10 Jun 2010 (see s. 2(b)(i));</w:t>
            </w:r>
          </w:p>
          <w:p>
            <w:pPr>
              <w:pStyle w:val="Table01Row"/>
            </w:pPr>
            <w:r>
              <w:rPr/>
              <w:t xml:space="preserve">s. 4: 11 Jun 2010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and Repeal Act 2010</w:t>
            </w:r>
            <w:r>
              <w:t xml:space="preserve"> </w:t>
              <w:t>Pt. 2 (s. 3‑16)</w:t>
            </w:r>
          </w:p>
        </w:tc>
        <w:tc>
          <w:p>
            <w:pPr>
              <w:pStyle w:val="Table01Row"/>
            </w:pPr>
            <w:r>
              <w:t>2010/017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s. 12: 1 Jul 2008 (see s. 2(c));</w:t>
            </w:r>
          </w:p>
          <w:p>
            <w:pPr>
              <w:pStyle w:val="Table01Row"/>
            </w:pPr>
            <w:r>
              <w:rPr/>
              <w:t xml:space="preserve">s. 3, 13 &amp; 16: 25 Jun 2010 (see s. 2(a));</w:t>
            </w:r>
          </w:p>
          <w:p>
            <w:pPr>
              <w:pStyle w:val="Table01Row"/>
            </w:pPr>
            <w:r>
              <w:rPr/>
              <w:t xml:space="preserve">s. 4‑11, 14 &amp; 15: 1 Mar 2011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15 Feb 2011 p. 535)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Amendment Act 2011</w:t>
            </w:r>
          </w:p>
        </w:tc>
        <w:tc>
          <w:p>
            <w:pPr>
              <w:pStyle w:val="Table01Row"/>
            </w:pPr>
            <w:r>
              <w:t>2011/027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s. 1 &amp; 2: 11 Jul 2011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2011 (see s. 2(b)(ii))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Jul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Amendment Act (No. 2) 2011</w:t>
            </w:r>
          </w:p>
        </w:tc>
        <w:tc>
          <w:p>
            <w:pPr>
              <w:pStyle w:val="Table01Row"/>
            </w:pPr>
            <w:r>
              <w:t>2011/033</w:t>
            </w:r>
          </w:p>
        </w:tc>
        <w:tc>
          <w:p>
            <w:pPr>
              <w:pStyle w:val="Table01Row"/>
            </w:pPr>
            <w:r>
              <w:t>12 Sep 2011</w:t>
            </w:r>
          </w:p>
        </w:tc>
        <w:tc>
          <w:p>
            <w:pPr>
              <w:pStyle w:val="Table01Row"/>
            </w:pPr>
            <w:r>
              <w:rPr/>
              <w:t xml:space="preserve">Pt. 2: 24 Dec 2010 (see s. 2(b));</w:t>
            </w:r>
          </w:p>
          <w:p>
            <w:pPr>
              <w:pStyle w:val="Table01Row"/>
            </w:pPr>
            <w:r>
              <w:rPr/>
              <w:t xml:space="preserve">Pt. 1: 12 Sep 2011 (see s. 2(a));</w:t>
            </w:r>
          </w:p>
          <w:p>
            <w:pPr>
              <w:pStyle w:val="Table01Row"/>
            </w:pPr>
            <w:r>
              <w:rPr/>
              <w:t xml:space="preserve">Pt. 3: 13 Sep 2011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2011/048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16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2013 p. 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18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2012/029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Heading to Pt. 2 &amp; Pt. 2 Div. 1 &amp; 2: 1 Dec 2011 (see s. 2(b));</w:t>
            </w:r>
          </w:p>
          <w:p>
            <w:pPr>
              <w:pStyle w:val="Table01Row"/>
            </w:pPr>
            <w:r>
              <w:rPr/>
              <w:t xml:space="preserve">Pt. 2 Div. 3: 4 Sep 2012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2012/032</w:t>
            </w:r>
          </w:p>
        </w:tc>
        <w:tc>
          <w:p>
            <w:pPr>
              <w:pStyle w:val="Table01Row"/>
            </w:pPr>
            <w:r>
              <w:t>8 Oct 2012</w:t>
            </w:r>
          </w:p>
        </w:tc>
        <w:tc>
          <w:p>
            <w:pPr>
              <w:pStyle w:val="Table01Row"/>
            </w:pPr>
            <w:r>
              <w:rPr/>
              <w:t xml:space="preserve">Pt. 2 other than s. 5, 6, 7, 12, 15, 18, 22 &amp; 25: 1 Jul 2008 (see s. 2(b));</w:t>
            </w:r>
          </w:p>
          <w:p>
            <w:pPr>
              <w:pStyle w:val="Table01Row"/>
            </w:pPr>
            <w:r>
              <w:rPr/>
              <w:t xml:space="preserve">s. 5, 6, 7, 12, 15, 18, 22 &amp; 25: 9 Oct 2012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2013</w:t>
            </w:r>
            <w:r>
              <w:t xml:space="preserve"> </w:t>
              <w:t>Pt. 2 Div. 2 &amp; Pt. 3</w:t>
            </w:r>
          </w:p>
        </w:tc>
        <w:tc>
          <w:p>
            <w:pPr>
              <w:pStyle w:val="Table01Row"/>
            </w:pPr>
            <w:r>
              <w:t>2013/005</w:t>
            </w:r>
          </w:p>
        </w:tc>
        <w:tc>
          <w:p>
            <w:pPr>
              <w:pStyle w:val="Table01Row"/>
            </w:pPr>
            <w:r>
              <w:t>29 Jun 2013</w:t>
            </w:r>
          </w:p>
        </w:tc>
        <w:tc>
          <w:p>
            <w:pPr>
              <w:pStyle w:val="Table01Row"/>
            </w:pPr>
            <w:r>
              <w:rPr/>
              <w:t xml:space="preserve">Pt. 2 Div. 2: 29 Jun 2013 (see s. 2(1)(b) &amp; (2));</w:t>
            </w:r>
          </w:p>
          <w:p>
            <w:pPr>
              <w:pStyle w:val="Table01Row"/>
            </w:pPr>
            <w:r>
              <w:rPr/>
              <w:t xml:space="preserve">Pt. 3: will not come into operation (see s. 2(1)(c) &amp; 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Aug 2013 (other than 2012/008)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2013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2013/010</w:t>
            </w:r>
          </w:p>
        </w:tc>
        <w:tc>
          <w:p>
            <w:pPr>
              <w:pStyle w:val="Table01Row"/>
            </w:pPr>
            <w:r>
              <w:t>24 Sep 2013</w:t>
            </w:r>
          </w:p>
        </w:tc>
        <w:tc>
          <w:p>
            <w:pPr>
              <w:pStyle w:val="Table01Row"/>
            </w:pPr>
            <w:r>
              <w:rPr/>
              <w:t xml:space="preserve">25 Sep 2013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2014/002</w:t>
            </w:r>
          </w:p>
        </w:tc>
        <w:tc>
          <w:p>
            <w:pPr>
              <w:pStyle w:val="Table01Row"/>
            </w:pPr>
            <w:r>
              <w:t>24 Mar 2014</w:t>
            </w:r>
          </w:p>
        </w:tc>
        <w:tc>
          <w:p>
            <w:pPr>
              <w:pStyle w:val="Table01Row"/>
            </w:pPr>
            <w:r>
              <w:rPr/>
              <w:t xml:space="preserve">3 Jun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2014 p. 1679)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2014/015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 Jul 2014 (see s. 2(c)(i))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Legislation Amendment Act 2015</w:t>
            </w:r>
            <w:r>
              <w:t xml:space="preserve"> </w:t>
              <w:t>Pt. 2 Div. 2 &amp; Pt. 4</w:t>
            </w:r>
          </w:p>
        </w:tc>
        <w:tc>
          <w:p>
            <w:pPr>
              <w:pStyle w:val="Table01Row"/>
            </w:pPr>
            <w:r>
              <w:t>2015/001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26 Feb 2015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2015/008</w:t>
            </w:r>
          </w:p>
        </w:tc>
        <w:tc>
          <w:p>
            <w:pPr>
              <w:pStyle w:val="Table01Row"/>
            </w:pPr>
            <w:r>
              <w:t>9 Mar 2015</w:t>
            </w:r>
          </w:p>
        </w:tc>
        <w:tc>
          <w:p>
            <w:pPr>
              <w:pStyle w:val="Table01Row"/>
            </w:pPr>
            <w:r>
              <w:rPr/>
              <w:t xml:space="preserve">10 Mar 2015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Legislation Amendment Act (No. 3)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2015/015</w:t>
            </w:r>
          </w:p>
        </w:tc>
        <w:tc>
          <w:p>
            <w:pPr>
              <w:pStyle w:val="Table01Row"/>
            </w:pPr>
            <w:r>
              <w:t>26 May 2015</w:t>
            </w:r>
          </w:p>
        </w:tc>
        <w:tc>
          <w:p>
            <w:pPr>
              <w:pStyle w:val="Table01Row"/>
            </w:pPr>
            <w:r>
              <w:rPr/>
              <w:t xml:space="preserve">27 May 2015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2015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2015/027</w:t>
            </w:r>
          </w:p>
        </w:tc>
        <w:tc>
          <w:p>
            <w:pPr>
              <w:pStyle w:val="Table01Row"/>
            </w:pPr>
            <w:r>
              <w:t>2 Oct 2015</w:t>
            </w:r>
          </w:p>
        </w:tc>
        <w:tc>
          <w:p>
            <w:pPr>
              <w:pStyle w:val="Table01Row"/>
            </w:pPr>
            <w:r>
              <w:rPr/>
              <w:t xml:space="preserve">3 Oct 2015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13 Nov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12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377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Amendment (Additional Duty for Foreign Persons) Act 2018</w:t>
            </w:r>
          </w:p>
        </w:tc>
        <w:tc>
          <w:p>
            <w:pPr>
              <w:pStyle w:val="Table01Row"/>
            </w:pPr>
            <w:r>
              <w:t>2018/024</w:t>
            </w:r>
          </w:p>
        </w:tc>
        <w:tc>
          <w:p>
            <w:pPr>
              <w:pStyle w:val="Table01Row"/>
            </w:pPr>
            <w:r>
              <w:t>17 Oct 2018</w:t>
            </w:r>
          </w:p>
        </w:tc>
        <w:tc>
          <w:p>
            <w:pPr>
              <w:pStyle w:val="Table01Row"/>
            </w:pPr>
            <w:r>
              <w:rPr/>
              <w:t xml:space="preserve">s. 1 &amp; 2: 17 Oct 2018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6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2019/012</w:t>
            </w:r>
          </w:p>
        </w:tc>
        <w:tc>
          <w:p>
            <w:pPr>
              <w:pStyle w:val="Table01Row"/>
            </w:pPr>
            <w:r>
              <w:t>12 Jun 2019</w:t>
            </w:r>
          </w:p>
        </w:tc>
        <w:tc>
          <w:p>
            <w:pPr>
              <w:pStyle w:val="Table01Row"/>
            </w:pPr>
            <w:r>
              <w:rPr/>
              <w:t xml:space="preserve">13 Jun 2019 (see s. 2(b)(i))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Amendment Act 2022</w:t>
            </w:r>
          </w:p>
        </w:tc>
        <w:tc>
          <w:p>
            <w:pPr>
              <w:pStyle w:val="Table01Row"/>
            </w:pPr>
            <w:r>
              <w:t>2022/016</w:t>
            </w:r>
          </w:p>
        </w:tc>
        <w:tc>
          <w:p>
            <w:pPr>
              <w:pStyle w:val="Table01Row"/>
            </w:pPr>
            <w:r>
              <w:t>27 May 2022</w:t>
            </w:r>
          </w:p>
        </w:tc>
        <w:tc>
          <w:p>
            <w:pPr>
              <w:pStyle w:val="Table01Row"/>
            </w:pPr>
            <w:r>
              <w:rPr/>
              <w:t xml:space="preserve">Pt. 4: 13 Jun 2019 (see s. 2(c));</w:t>
            </w:r>
          </w:p>
          <w:p>
            <w:pPr>
              <w:pStyle w:val="Table01Row"/>
            </w:pPr>
            <w:r>
              <w:rPr/>
              <w:t xml:space="preserve">Pt. 1: 27 May 2022 (see s. 2(a));</w:t>
            </w:r>
          </w:p>
          <w:p>
            <w:pPr>
              <w:pStyle w:val="Table01Row"/>
            </w:pPr>
            <w:r>
              <w:rPr/>
              <w:t xml:space="preserve">Act other than Pt. 1, 3 &amp; 4: 28 May 2022 (see s. 2(d));</w:t>
            </w:r>
          </w:p>
          <w:p>
            <w:pPr>
              <w:pStyle w:val="Table01Row"/>
            </w:pPr>
            <w:r>
              <w:rPr/>
              <w:t xml:space="preserve">Pt. 3: 1 Jul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Court Amendment Act 2022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2022/028</w:t>
            </w:r>
          </w:p>
        </w:tc>
        <w:tc>
          <w:p>
            <w:pPr>
              <w:pStyle w:val="Table01Row"/>
            </w:pPr>
            <w:r>
              <w:t>31 Aug 2022</w:t>
            </w:r>
          </w:p>
        </w:tc>
        <w:tc>
          <w:p>
            <w:pPr>
              <w:pStyle w:val="Table01Row"/>
            </w:pPr>
            <w:r>
              <w:rPr/>
              <w:t xml:space="preserve">Pt. 4 (other than Div. 3): 1 Sep 2022 (see s. 2(b));</w:t>
            </w:r>
          </w:p>
          <w:p>
            <w:pPr>
              <w:pStyle w:val="Table01Row"/>
            </w:pPr>
            <w:r>
              <w:rPr/>
              <w:t xml:space="preserve">Pt. 4 Div. 3: 28 Sep 2022 (see s. 2(c) and SL 2022/159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Amendment (Farm‑in Agreements) Act 2022</w:t>
            </w:r>
          </w:p>
        </w:tc>
        <w:tc>
          <w:p>
            <w:pPr>
              <w:pStyle w:val="Table01Row"/>
            </w:pPr>
            <w:r>
              <w:t>2022/037</w:t>
            </w:r>
          </w:p>
        </w:tc>
        <w:tc>
          <w:p>
            <w:pPr>
              <w:pStyle w:val="Table01Row"/>
            </w:pPr>
            <w:r>
              <w:t>1 Nov 2022</w:t>
            </w:r>
          </w:p>
        </w:tc>
        <w:tc>
          <w:p>
            <w:pPr>
              <w:pStyle w:val="Table01Row"/>
            </w:pPr>
            <w:r>
              <w:rPr/>
              <w:t xml:space="preserve">s. 1 &amp; 2: 1 Nov 2022 (see s. 2(a));</w:t>
            </w:r>
          </w:p>
          <w:p>
            <w:pPr>
              <w:pStyle w:val="Table01Row"/>
            </w:pPr>
            <w:r>
              <w:rPr/>
              <w:t xml:space="preserve">Act other than s. 1 &amp; 2: 2 Nov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3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Amendment (Off‑the‑Plan Concession and Foreign Persons Exemptions) Act 2023</w:t>
            </w:r>
          </w:p>
        </w:tc>
        <w:tc>
          <w:p>
            <w:pPr>
              <w:pStyle w:val="Table01Row"/>
            </w:pPr>
            <w:r>
              <w:t>2023/029</w:t>
            </w:r>
          </w:p>
        </w:tc>
        <w:tc>
          <w:p>
            <w:pPr>
              <w:pStyle w:val="Table01Row"/>
            </w:pPr>
            <w:r>
              <w:t>28 Nov 2023</w:t>
            </w:r>
          </w:p>
        </w:tc>
        <w:tc>
          <w:p>
            <w:pPr>
              <w:pStyle w:val="Table01Row"/>
            </w:pPr>
            <w:r>
              <w:rPr/>
              <w:t xml:space="preserve">s. 1 &amp; 2: 28 Nov 2023 (see s. 2(a));</w:t>
            </w:r>
          </w:p>
          <w:p>
            <w:pPr>
              <w:pStyle w:val="Table01Row"/>
            </w:pPr>
            <w:r>
              <w:rPr/>
              <w:t xml:space="preserve">Act other than s. 1 &amp; 2: 29 Nov 2023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Duties Act 2008</vt:lpwstr>
  </property>
  <property pid="3" name="IDAct" fmtid="{D5CDD505-2E9C-101B-9397-08002B2CF9AE}">
    <vt:lpwstr>146657</vt:lpwstr>
  </property>
  <property pid="4" name="ChangedDate" fmtid="{D5CDD505-2E9C-101B-9397-08002B2CF9AE}">
    <vt:lpwstr>20230127172005</vt:lpwstr>
  </property>
</Properties>
</file>