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Cat Act 2011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Local Government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Cat Act 2011</w:t>
            </w:r>
          </w:p>
        </w:tc>
        <w:tc>
          <w:p>
            <w:pPr>
              <w:pStyle w:val="Table01Row"/>
            </w:pPr>
            <w:r>
              <w:t>2011/055</w:t>
            </w:r>
          </w:p>
        </w:tc>
        <w:tc>
          <w:p>
            <w:pPr>
              <w:pStyle w:val="Table01Row"/>
            </w:pPr>
            <w:r>
              <w:t>9 Nov 2011</w:t>
            </w:r>
          </w:p>
        </w:tc>
        <w:tc>
          <w:p>
            <w:pPr>
              <w:pStyle w:val="Table01Row"/>
            </w:pPr>
            <w:r>
              <w:rPr/>
              <w:t xml:space="preserve">s. 1 &amp; 2: 9 Nov 2011 (see s. 2(a));</w:t>
            </w:r>
          </w:p>
          <w:p>
            <w:pPr>
              <w:pStyle w:val="Table01Row"/>
            </w:pPr>
            <w:r>
              <w:rPr/>
              <w:t xml:space="preserve">Act other than s. 1, 2, 5, 6, 14(1), 18(1), 22‑24, 26‑35, 41, 49, 55‑60 &amp; 86: 1 Nov 2012 (see s. 2(b));</w:t>
            </w:r>
          </w:p>
          <w:p>
            <w:pPr>
              <w:pStyle w:val="Table01Row"/>
            </w:pPr>
            <w:r>
              <w:rPr/>
              <w:t xml:space="preserve">s. 5, 6, 14(1), 18(1), 22‑24, 26‑35, 41, 49, 55‑60 &amp; 86: 1 Nov 2013 (see s.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Pt. 3 Div. 7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24 Jan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Legislation Amendment Act 2019</w:t>
            </w:r>
            <w:r>
              <w:t xml:space="preserve"> </w:t>
              <w:t>Pt. 4 Div. 2</w:t>
            </w:r>
          </w:p>
        </w:tc>
        <w:tc>
          <w:p>
            <w:pPr>
              <w:pStyle w:val="Table01Row"/>
            </w:pPr>
            <w:r>
              <w:t>2019/016</w:t>
            </w:r>
          </w:p>
        </w:tc>
        <w:tc>
          <w:p>
            <w:pPr>
              <w:pStyle w:val="Table01Row"/>
            </w:pPr>
            <w:r>
              <w:t>5 Jul 2019</w:t>
            </w:r>
          </w:p>
        </w:tc>
        <w:tc>
          <w:p>
            <w:pPr>
              <w:pStyle w:val="Table01Row"/>
            </w:pPr>
            <w:r>
              <w:rPr/>
              <w:t xml:space="preserve">7 Nov 2020 (see s. 2(b) and SL 2020/212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Veterinary Practice Act 2021</w:t>
            </w:r>
            <w:r>
              <w:t xml:space="preserve"> </w:t>
              <w:t>s. 228</w:t>
            </w:r>
          </w:p>
        </w:tc>
        <w:tc>
          <w:p>
            <w:pPr>
              <w:pStyle w:val="Table01Row"/>
            </w:pPr>
            <w:r>
              <w:t>2021/019</w:t>
            </w:r>
          </w:p>
        </w:tc>
        <w:tc>
          <w:p>
            <w:pPr>
              <w:pStyle w:val="Table01Row"/>
            </w:pPr>
            <w:r>
              <w:t>27 Oct 2021</w:t>
            </w:r>
          </w:p>
        </w:tc>
        <w:tc>
          <w:p>
            <w:pPr>
              <w:pStyle w:val="Table01Row"/>
            </w:pPr>
            <w:r>
              <w:rPr/>
              <w:t xml:space="preserve">18 Jun 2022 (see s. 2(b) and SL 2022/81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Dog Amendment (Stop Puppy Farming) Act 2021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2021/029</w:t>
            </w:r>
          </w:p>
        </w:tc>
        <w:tc>
          <w:p>
            <w:pPr>
              <w:pStyle w:val="Table01Row"/>
            </w:pPr>
            <w:r>
              <w:t>22 Dec 2021</w:t>
            </w:r>
          </w:p>
        </w:tc>
        <w:tc>
          <w:p>
            <w:pPr>
              <w:pStyle w:val="Table01Row"/>
            </w:pPr>
            <w:r>
              <w:rPr/>
              <w:t xml:space="preserve">Pt. 3 (but only s. 49 &amp; 62): 27 Aug 2022 (see s. 2(e) and SL 2022/150 cl. 2);</w:t>
            </w:r>
          </w:p>
          <w:p>
            <w:pPr>
              <w:pStyle w:val="Table01Row"/>
            </w:pPr>
            <w:r>
              <w:rPr/>
              <w:t xml:space="preserve">s. 50‑61: to be proclaimed (see s. 2(e))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Cat Act 2011</vt:lpwstr>
  </property>
  <property pid="3" name="IDAct" fmtid="{D5CDD505-2E9C-101B-9397-08002B2CF9AE}">
    <vt:lpwstr>146861</vt:lpwstr>
  </property>
  <property pid="4" name="ChangedDate" fmtid="{D5CDD505-2E9C-101B-9397-08002B2CF9AE}">
    <vt:lpwstr>20240105111758</vt:lpwstr>
  </property>
</Properties>
</file>