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(Vehicles)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(Vehicles) Act 2012</w:t>
            </w:r>
          </w:p>
        </w:tc>
        <w:tc>
          <w:p>
            <w:pPr>
              <w:pStyle w:val="Table01Row"/>
            </w:pPr>
            <w:r>
              <w:t>2012/007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s. 1 &amp; 2: 21 May 2012 (see s. 2(a));</w:t>
            </w:r>
          </w:p>
          <w:p>
            <w:pPr>
              <w:pStyle w:val="Table01Row"/>
            </w:pPr>
            <w:r>
              <w:rPr/>
              <w:t xml:space="preserve">Act other than s. 1 &amp; 2: 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7A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(Alcohol Interlocks and Other Matters) Act 2015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2015/002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2(1)(b)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2015/010</w:t>
            </w:r>
          </w:p>
        </w:tc>
        <w:tc>
          <w:p>
            <w:pPr>
              <w:pStyle w:val="Table01Row"/>
            </w:pPr>
            <w:r>
              <w:t>1 Apr 2015</w:t>
            </w:r>
          </w:p>
        </w:tc>
        <w:tc>
          <w:p>
            <w:pPr>
              <w:pStyle w:val="Table01Row"/>
            </w:pPr>
            <w:r>
              <w:rPr/>
              <w:t xml:space="preserve">2 Apr 2015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Jun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</w:t>
              <w:t>Pt. 14 Div. 2 Subdiv. 6</w:t>
            </w:r>
          </w:p>
        </w:tc>
        <w:tc>
          <w:p>
            <w:pPr>
              <w:pStyle w:val="Table01Row"/>
            </w:pPr>
            <w:r>
              <w:t>2018/026</w:t>
            </w:r>
          </w:p>
        </w:tc>
        <w:tc>
          <w:p>
            <w:pPr>
              <w:pStyle w:val="Table01Row"/>
            </w:pPr>
            <w:r>
              <w:t>30 Oct 2018</w:t>
            </w:r>
          </w:p>
        </w:tc>
        <w:tc>
          <w:p>
            <w:pPr>
              <w:pStyle w:val="Table01Row"/>
            </w:pPr>
            <w:r>
              <w:rPr/>
              <w:t xml:space="preserve">28 Feb 2019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Feb 2019 p. 449‑50)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(Vehicles) Amendment (Offensive Advertising) Act 2023</w:t>
            </w:r>
          </w:p>
        </w:tc>
        <w:tc>
          <w:p>
            <w:pPr>
              <w:pStyle w:val="Table01Row"/>
            </w:pPr>
            <w:r>
              <w:t>2023/006</w:t>
            </w:r>
          </w:p>
        </w:tc>
        <w:tc>
          <w:p>
            <w:pPr>
              <w:pStyle w:val="Table01Row"/>
            </w:pPr>
            <w:r>
              <w:t>29 Mar 2023</w:t>
            </w:r>
          </w:p>
        </w:tc>
        <w:tc>
          <w:p>
            <w:pPr>
              <w:pStyle w:val="Table01Row"/>
            </w:pPr>
            <w:r>
              <w:rPr/>
              <w:t xml:space="preserve">s. 1 &amp; 2: 29 Mar 2023 (see s. 2(a));</w:t>
            </w:r>
          </w:p>
          <w:p>
            <w:pPr>
              <w:pStyle w:val="Table01Row"/>
            </w:pPr>
            <w:r>
              <w:rPr/>
              <w:t xml:space="preserve">Act other than s. 1 &amp; 2: 1 Nov 2023 (see s. 2(b) and SL 2023/154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55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(Vehicles) Act 2012</vt:lpwstr>
  </property>
  <property pid="3" name="IDAct" fmtid="{D5CDD505-2E9C-101B-9397-08002B2CF9AE}">
    <vt:lpwstr>146881</vt:lpwstr>
  </property>
  <property pid="4" name="ChangedDate" fmtid="{D5CDD505-2E9C-101B-9397-08002B2CF9AE}">
    <vt:lpwstr>20230613134304</vt:lpwstr>
  </property>
</Properties>
</file>