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Education and Care Services National Law (WA)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Early Childhood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s. 1 &amp; 2: 20 Jun 2012 (see s. 2(a));</w:t>
            </w:r>
          </w:p>
          <w:p>
            <w:pPr>
              <w:pStyle w:val="Table01Row"/>
            </w:pPr>
            <w:r>
              <w:rPr/>
              <w:t xml:space="preserve">Act other than s. 1, 2, Pt. 4 Div. 3 &amp; Schedule (s. 70(1)(d), 152, 153(2)‑(4), 154‑159, Pt. 5 Div. 6 (s. 160), 172(d), 266‑268 &amp; 270(1)(d) &amp; (2)‑(4)): 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3411);</w:t>
            </w:r>
          </w:p>
          <w:p>
            <w:pPr>
              <w:pStyle w:val="Table01Row"/>
            </w:pPr>
            <w:r>
              <w:rPr/>
              <w:t xml:space="preserve">Pt. 4 Div. 3: 1 Jan 2013 (see s. 2(b)(ii)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6195);</w:t>
            </w:r>
          </w:p>
          <w:p>
            <w:pPr>
              <w:pStyle w:val="Table01Row"/>
            </w:pPr>
            <w:r>
              <w:rPr/>
              <w:t xml:space="preserve">Schedule (s. 70(1)(d), 152, 153(2)‑(4), 154‑159, Pt. 5 Div. 6 (s. 160), 172(d), 266‑268 &amp; 270(1)(d) &amp; (2)‑(4)): 1 May 2013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2013 p. 1697)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Amendment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2018/018</w:t>
            </w:r>
          </w:p>
        </w:tc>
        <w:tc>
          <w:p>
            <w:pPr>
              <w:pStyle w:val="Table01Row"/>
            </w:pPr>
            <w:r>
              <w:t>7 Sep 2018</w:t>
            </w:r>
          </w:p>
        </w:tc>
        <w:tc>
          <w:p>
            <w:pPr>
              <w:pStyle w:val="Table01Row"/>
            </w:pPr>
            <w:r>
              <w:rPr/>
              <w:t xml:space="preserve">1 Oct 2018 (see s. 2(b)(i))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Jan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2022/047</w:t>
            </w:r>
          </w:p>
        </w:tc>
        <w:tc>
          <w:p>
            <w:pPr>
              <w:pStyle w:val="Table01Row"/>
            </w:pPr>
            <w:r>
              <w:t>7 Dec 2022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2023/90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—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Education and Care Services National Law (Transitional) Regulations 2012 operative 1 Aug 2012 made under the Education and Care Services National Law (WA) Act 2012 s. 19 (see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3413‑15)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Education and Care Services National Law (WA) Act 2012</vt:lpwstr>
  </property>
  <property pid="3" name="IDAct" fmtid="{D5CDD505-2E9C-101B-9397-08002B2CF9AE}">
    <vt:lpwstr>146885</vt:lpwstr>
  </property>
  <property pid="4" name="ChangedDate" fmtid="{D5CDD505-2E9C-101B-9397-08002B2CF9AE}">
    <vt:lpwstr>20230227094350</vt:lpwstr>
  </property>
</Properties>
</file>