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 Safety National Law (WA) Act 2015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</w:p>
        </w:tc>
        <w:tc>
          <w:p>
            <w:pPr>
              <w:pStyle w:val="Table01Row"/>
            </w:pPr>
            <w:r>
              <w:t>2015/021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s. 1 &amp; 2: 17 Sep 2015 (see s. 2(a));</w:t>
            </w:r>
          </w:p>
          <w:p>
            <w:pPr>
              <w:pStyle w:val="Table01Row"/>
            </w:pPr>
            <w:r>
              <w:rPr/>
              <w:t xml:space="preserve">Act other than s. 1 &amp; 2: 2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2015 p. 4149)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302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119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</w:t>
              <w:t>s. 48(1)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	2024/007 s. 48(1), Rail Safety National Law Application Act 2024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 Safety National Law (WA) Act 2015</vt:lpwstr>
  </property>
  <property pid="3" name="IDAct" fmtid="{D5CDD505-2E9C-101B-9397-08002B2CF9AE}">
    <vt:lpwstr>147060</vt:lpwstr>
  </property>
  <property pid="4" name="ChangedDate" fmtid="{D5CDD505-2E9C-101B-9397-08002B2CF9AE}">
    <vt:lpwstr>20230613134304</vt:lpwstr>
  </property>
</Properties>
</file>