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rPr>
          <w:color w:val="FF0000"/>
        </w:rPr>
        <w:t>Public Health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Public Health Act 2016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2016/018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25 Jul 2016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 (other than s. 3‑5): 25 Jul 2016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3‑5: 26 Jul 2016 (see s. 2(b)(i));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17: 26 Jul 2016 (see s. 2(b)(ii));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19 (other than Div. 1, 3 &amp; 4): 26 Jul 2016 (see s. 2(b)(iii));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20 (s. 310 &amp; 322): 26 Jul 2016 (see s. 2(b)(iv));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 Div. 1 (except s. 7 &amp; 8), Div. 2‑4, Pt. 18 Div. 1 &amp; 2 &amp; Pt. 20 (s. 307‑309 &amp; 311‑312): 24 Jan 2017 (see s. 2(c) and </w:t>
            </w:r>
            <w:r>
              <w:rPr>
                <w:color w:val="FF0000"/>
                <w:i/>
              </w:rPr>
              <w:t xml:space="preserve">Gazette</w:t>
            </w:r>
            <w:r>
              <w:rPr>
                <w:color w:val="FF0000"/>
              </w:rPr>
              <w:t xml:space="preserve"> 10 Jan 2017 p. 163); 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 Div 5, Pt. 3, 4, 9, 11 to 13, 15 &amp; 16, Pt. 19 Div. 3 &amp; 4 and Pt. 20 (s. 321): 20 Sep 2017 (see s. 2(c) and </w:t>
            </w:r>
            <w:r>
              <w:rPr>
                <w:color w:val="FF0000"/>
                <w:i/>
              </w:rPr>
              <w:t xml:space="preserve">Gazette</w:t>
            </w:r>
            <w:r>
              <w:rPr>
                <w:color w:val="FF0000"/>
              </w:rPr>
              <w:t xml:space="preserve"> 19 Sep 2017 p.4879);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5, 8 &amp; 14, Pt. 18 Div. 3 &amp; Pt. 19 Div. 1 (but only s. 294): 4 Jun 2024 (see s. 2(c) and SL 2024/65 cl. 2);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7 &amp; 8, Pt. 6, 7, 10 &amp; Pt. 20 (s. 313‑320):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5 Div. 18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28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(Immunisation Requirements for Enrolment)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2019/014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s. 3: 5 Jul 2019 (see s. 2 (a));</w:t>
            </w:r>
          </w:p>
          <w:p>
            <w:pPr>
              <w:pStyle w:val="Table01Row"/>
            </w:pPr>
            <w:r>
              <w:rPr/>
              <w:t xml:space="preserve">s. 4‑12: 22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Jul 2019 p. 2841)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(COVID‑19 Response) Act 2020</w:t>
            </w:r>
          </w:p>
        </w:tc>
        <w:tc>
          <w:p>
            <w:pPr>
              <w:pStyle w:val="Table01Row"/>
            </w:pPr>
            <w:r>
              <w:t>2020/033</w:t>
            </w:r>
          </w:p>
        </w:tc>
        <w:tc>
          <w:p>
            <w:pPr>
              <w:pStyle w:val="Table01Row"/>
            </w:pPr>
            <w:r>
              <w:t>21 Aug 2020</w:t>
            </w:r>
          </w:p>
        </w:tc>
        <w:tc>
          <w:p>
            <w:pPr>
              <w:pStyle w:val="Table01Row"/>
            </w:pPr>
            <w:r>
              <w:rPr/>
              <w:t xml:space="preserve">s. 1 &amp; 2: 21 Aug 2020 (see s. 2(1)(a));</w:t>
            </w:r>
          </w:p>
          <w:p>
            <w:pPr>
              <w:pStyle w:val="Table01Row"/>
            </w:pPr>
            <w:r>
              <w:rPr/>
              <w:t xml:space="preserve">Act other than s. 1 &amp; 2: 12 Sep 2020 (see s. 2(1)(b) and SL 2020/153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(Safe Access Zones) Act 2021</w:t>
            </w:r>
          </w:p>
        </w:tc>
        <w:tc>
          <w:p>
            <w:pPr>
              <w:pStyle w:val="Table01Row"/>
            </w:pPr>
            <w:r>
              <w:t>2021/009</w:t>
            </w:r>
          </w:p>
        </w:tc>
        <w:tc>
          <w:p>
            <w:pPr>
              <w:pStyle w:val="Table01Row"/>
            </w:pPr>
            <w:r>
              <w:t>17 Aug 2021</w:t>
            </w:r>
          </w:p>
        </w:tc>
        <w:tc>
          <w:p>
            <w:pPr>
              <w:pStyle w:val="Table01Row"/>
            </w:pPr>
            <w:r>
              <w:rPr/>
              <w:t xml:space="preserve">s. 1 &amp; 2: 17 Aug 2021 (see s. 2(a));</w:t>
            </w:r>
          </w:p>
          <w:p>
            <w:pPr>
              <w:pStyle w:val="Table01Row"/>
            </w:pPr>
            <w:r>
              <w:rPr/>
              <w:t xml:space="preserve">Act other than s. 1 &amp; 2: 18 Aug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2 Subdiv. 5 &amp; Pt. 3 Div. 3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Pt. 2 Div. 2 Subdiv. 5: 3 Nov 2022 (see s. 2(b) and SL 2022/175 cl. 2);</w:t>
            </w:r>
          </w:p>
          <w:p>
            <w:pPr>
              <w:pStyle w:val="Table01Row"/>
            </w:pPr>
            <w:r>
              <w:rPr/>
              <w:t xml:space="preserve">Pt. 3 Div. 3: 3 Nov 2024 (see s. 2(c) and SL 2022/175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Health Act 2016</vt:lpwstr>
  </property>
  <property pid="3" name="IDAct" fmtid="{D5CDD505-2E9C-101B-9397-08002B2CF9AE}">
    <vt:lpwstr>147114</vt:lpwstr>
  </property>
  <property pid="4" name="ChangedDate" fmtid="{D5CDD505-2E9C-101B-9397-08002B2CF9AE}">
    <vt:lpwstr>20240430172734</vt:lpwstr>
  </property>
</Properties>
</file>