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Family Court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Act 1997</w:t>
            </w:r>
          </w:p>
        </w:tc>
        <w:tc>
          <w:p>
            <w:pPr>
              <w:pStyle w:val="Table01Row"/>
            </w:pPr>
            <w:r>
              <w:t>1997/040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1997;</w:t>
            </w:r>
          </w:p>
          <w:p>
            <w:pPr>
              <w:pStyle w:val="Table01Row"/>
            </w:pPr>
            <w:r>
              <w:rPr/>
              <w:t xml:space="preserve">Act other than s. 1 &amp; 2: 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43(1):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43(2): 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2002</w:t>
            </w:r>
          </w:p>
        </w:tc>
        <w:tc>
          <w:p>
            <w:pPr>
              <w:pStyle w:val="Table01Row"/>
            </w:pPr>
            <w:r>
              <w:t>2002/025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s. 1 &amp; 2: 25 Sep 2002;</w:t>
            </w:r>
          </w:p>
          <w:p>
            <w:pPr>
              <w:pStyle w:val="Table01Row"/>
            </w:pPr>
            <w:r>
              <w:rPr/>
              <w:t xml:space="preserve">Act other than s. 1 &amp; 2: 1 Dec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Aug 2003 (not including 2000/043 s. 43(2) &amp; 2003/050)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10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12 (s. 90‑95)</w:t>
            </w:r>
          </w:p>
        </w:tc>
        <w:tc>
          <w:p>
            <w:pPr>
              <w:pStyle w:val="Table01Row"/>
            </w:pPr>
            <w:r>
              <w:t>2004/059 (as amended by 2008/002 s. 77(2))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s. 95 (amendment to s. 243(6)) deleted by 2008/059 s. 77(2)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Apr 2006 (not including 2000/043 s. 43(2))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</w:t>
              <w:t>Pt. 2‑4</w:t>
            </w:r>
          </w:p>
        </w:tc>
        <w:tc>
          <w:p>
            <w:pPr>
              <w:pStyle w:val="Table01Row"/>
            </w:pPr>
            <w:r>
              <w:t>2006/035 (as amended by 2022/028 Pt. 3)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s. 3 &amp; Pt. 2: 14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2006 p. 2559);</w:t>
            </w:r>
          </w:p>
          <w:p>
            <w:pPr>
              <w:pStyle w:val="Table01Row"/>
            </w:pPr>
            <w:r>
              <w:rPr/>
              <w:t xml:space="preserve">Pt. 3: 15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2006 p. 2559);</w:t>
            </w:r>
          </w:p>
          <w:p>
            <w:pPr>
              <w:pStyle w:val="Table01Row"/>
            </w:pPr>
            <w:r>
              <w:rPr/>
              <w:t xml:space="preserve">Pt. 4: deleted by 2022/028 s. 34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Oct 2006 (not including 2000/043 s. 43(2) &amp; 2006/035 Pt.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663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(Family Violence and Other Measures) Act 2013</w:t>
            </w:r>
          </w:p>
        </w:tc>
        <w:tc>
          <w:p>
            <w:pPr>
              <w:pStyle w:val="Table01Row"/>
            </w:pPr>
            <w:r>
              <w:t>2013/013</w:t>
            </w:r>
          </w:p>
        </w:tc>
        <w:tc>
          <w:p>
            <w:pPr>
              <w:pStyle w:val="Table01Row"/>
            </w:pPr>
            <w:r>
              <w:t>4 Oct 2013</w:t>
            </w:r>
          </w:p>
        </w:tc>
        <w:tc>
          <w:p>
            <w:pPr>
              <w:pStyle w:val="Table01Row"/>
            </w:pPr>
            <w:r>
              <w:rPr/>
              <w:t xml:space="preserve">Pt. 1: 4 Oct 2013 (see s. 2(a));</w:t>
            </w:r>
          </w:p>
          <w:p>
            <w:pPr>
              <w:pStyle w:val="Table01Row"/>
            </w:pPr>
            <w:r>
              <w:rPr/>
              <w:t xml:space="preserve">Act other than Pt. 1: 5 Oct 2013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14 Mar 2014 (not including 2000/043 s. 43(2) &amp; 2006/035 Pt.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Support (Commonwealth Powers)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2019/007</w:t>
            </w:r>
          </w:p>
        </w:tc>
        <w:tc>
          <w:p>
            <w:pPr>
              <w:pStyle w:val="Table01Row"/>
            </w:pPr>
            <w:r>
              <w:t>15 May 2019</w:t>
            </w:r>
          </w:p>
        </w:tc>
        <w:tc>
          <w:p>
            <w:pPr>
              <w:pStyle w:val="Table01Row"/>
            </w:pPr>
            <w:r>
              <w:rPr/>
              <w:t xml:space="preserve">15 May 2019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2021</w:t>
            </w:r>
          </w:p>
        </w:tc>
        <w:tc>
          <w:p>
            <w:pPr>
              <w:pStyle w:val="Table01Row"/>
            </w:pPr>
            <w:r>
              <w:t>2021/016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s. 1 &amp; 2: 9 Sep 2021 (see s. 2(a));</w:t>
            </w:r>
          </w:p>
          <w:p>
            <w:pPr>
              <w:pStyle w:val="Table01Row"/>
            </w:pPr>
            <w:r>
              <w:rPr/>
              <w:t xml:space="preserve">Act other than s. 1 &amp; 2: 10 Sep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2022/028</w:t>
            </w:r>
          </w:p>
        </w:tc>
        <w:tc>
          <w:p>
            <w:pPr>
              <w:pStyle w:val="Table01Row"/>
            </w:pPr>
            <w:r>
              <w:t>31 Aug 2022</w:t>
            </w:r>
          </w:p>
        </w:tc>
        <w:tc>
          <w:p>
            <w:pPr>
              <w:pStyle w:val="Table01Row"/>
            </w:pPr>
            <w:r>
              <w:rPr/>
              <w:t xml:space="preserve">28 Sep 2022 (see s. 2(c) and SL 2022/159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Family Court Act 1997</vt:lpwstr>
  </property>
  <property pid="3" name="IDAct" fmtid="{D5CDD505-2E9C-101B-9397-08002B2CF9AE}">
    <vt:lpwstr>1839</vt:lpwstr>
  </property>
  <property pid="4" name="ChangedDate" fmtid="{D5CDD505-2E9C-101B-9397-08002B2CF9AE}">
    <vt:lpwstr>20220923163308</vt:lpwstr>
  </property>
</Properties>
</file>