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Property Confiscation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Property Confiscation Act 2000</w:t>
            </w:r>
          </w:p>
        </w:tc>
        <w:tc>
          <w:p>
            <w:pPr>
              <w:pStyle w:val="Table01Row"/>
            </w:pPr>
            <w:r>
              <w:t>2000/068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s. 1 &amp; 2: 6 Dec 2000;</w:t>
            </w:r>
          </w:p>
          <w:p>
            <w:pPr>
              <w:pStyle w:val="Table01Row"/>
            </w:pPr>
            <w:r>
              <w:rPr/>
              <w:t xml:space="preserve">Act other than s. 1 &amp; 2: 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Dec 2005 (not including 2005/017)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40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2007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2007/004</w:t>
            </w:r>
          </w:p>
        </w:tc>
        <w:tc>
          <w:p>
            <w:pPr>
              <w:pStyle w:val="Table01Row"/>
            </w:pPr>
            <w:r>
              <w:t>11 Apr 2007</w:t>
            </w:r>
          </w:p>
        </w:tc>
        <w:tc>
          <w:p>
            <w:pPr>
              <w:pStyle w:val="Table01Row"/>
            </w:pPr>
            <w:r>
              <w:rPr/>
              <w:t xml:space="preserve">1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Apr 2007 p. 1831)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17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20 Mar 2009 (not including 2005/017)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Co‑operatives Act 2009</w:t>
            </w:r>
            <w:r>
              <w:t xml:space="preserve"> </w:t>
              <w:t>s. 508 &amp; 513</w:t>
            </w:r>
          </w:p>
        </w:tc>
        <w:tc>
          <w:p>
            <w:pPr>
              <w:pStyle w:val="Table01Row"/>
            </w:pPr>
            <w:r>
              <w:t>2009/024</w:t>
            </w:r>
          </w:p>
        </w:tc>
        <w:tc>
          <w:p>
            <w:pPr>
              <w:pStyle w:val="Table01Row"/>
            </w:pPr>
            <w:r>
              <w:t>22 Oct 2009</w:t>
            </w:r>
          </w:p>
        </w:tc>
        <w:tc>
          <w:p>
            <w:pPr>
              <w:pStyle w:val="Table01Row"/>
            </w:pPr>
            <w:r>
              <w:rPr/>
              <w:t xml:space="preserve">s. 508: 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</w:t>
            </w:r>
          </w:p>
          <w:p>
            <w:pPr>
              <w:pStyle w:val="Table01Row"/>
            </w:pPr>
            <w:r>
              <w:rPr/>
              <w:t xml:space="preserve">s. 513: 1 Sep 2012 (see s. 2(c))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18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May 2012 (not including 2009/024 s. 513)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176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s. 176 (1)‑(4): 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4891);</w:t>
            </w:r>
          </w:p>
          <w:p>
            <w:pPr>
              <w:pStyle w:val="Table01Row"/>
            </w:pPr>
            <w:r>
              <w:rPr/>
              <w:t xml:space="preserve">s. 176(5) deleted by 2017/006 s. 6(3)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Corruption, Crime and Misconduct and Criminal Property Confiscation Amendment Act 2018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2018/010</w:t>
            </w:r>
          </w:p>
        </w:tc>
        <w:tc>
          <w:p>
            <w:pPr>
              <w:pStyle w:val="Table01Row"/>
            </w:pPr>
            <w:r>
              <w:t>13 Jul 2018</w:t>
            </w:r>
          </w:p>
        </w:tc>
        <w:tc>
          <w:p>
            <w:pPr>
              <w:pStyle w:val="Table01Row"/>
            </w:pPr>
            <w:r>
              <w:rPr/>
              <w:t xml:space="preserve">1 Sep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Aug 2018 p. 2894)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21 Jun 2019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2022/021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7 Aug 2023 (see s. 2(b) and SL 2023/111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Property Confiscation Act 2000</vt:lpwstr>
  </property>
  <property pid="3" name="IDAct" fmtid="{D5CDD505-2E9C-101B-9397-08002B2CF9AE}">
    <vt:lpwstr>2058</vt:lpwstr>
  </property>
  <property pid="4" name="ChangedDate" fmtid="{D5CDD505-2E9C-101B-9397-08002B2CF9AE}">
    <vt:lpwstr>20210727131910</vt:lpwstr>
  </property>
</Properties>
</file>