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Racing and Wagering Western Australia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Wagering Western Australia Act 2003</w:t>
            </w:r>
          </w:p>
        </w:tc>
        <w:tc>
          <w:p>
            <w:pPr>
              <w:pStyle w:val="Table01Row"/>
            </w:pPr>
            <w:r>
              <w:t>2003/036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1 &amp; 2: 26 Jun 2003;</w:t>
            </w:r>
          </w:p>
          <w:p>
            <w:pPr>
              <w:pStyle w:val="Table01Row"/>
            </w:pPr>
            <w:r>
              <w:rPr/>
              <w:t xml:space="preserve">Act other than s. 1 &amp; 2: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16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2006/070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9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5(1), 13 &amp; Sch. 1 cl. 142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2007/002</w:t>
            </w:r>
          </w:p>
        </w:tc>
        <w:tc>
          <w:p>
            <w:pPr>
              <w:pStyle w:val="Table01Row"/>
            </w:pPr>
            <w:r>
              <w:t>28 Mar 2007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2007/008</w:t>
            </w:r>
          </w:p>
        </w:tc>
        <w:tc>
          <w:p>
            <w:pPr>
              <w:pStyle w:val="Table01Row"/>
            </w:pPr>
            <w:r>
              <w:t>13 Jun 2007</w:t>
            </w:r>
          </w:p>
        </w:tc>
        <w:tc>
          <w:p>
            <w:pPr>
              <w:pStyle w:val="Table01Row"/>
            </w:pPr>
            <w:r>
              <w:rPr/>
              <w:t xml:space="preserve">14 Jun 2007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2008 (not including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2009/029</w:t>
            </w:r>
          </w:p>
        </w:tc>
        <w:tc>
          <w:p>
            <w:pPr>
              <w:pStyle w:val="Table01Row"/>
            </w:pPr>
            <w:r>
              <w:t>23 Nov 2009</w:t>
            </w:r>
          </w:p>
        </w:tc>
        <w:tc>
          <w:p>
            <w:pPr>
              <w:pStyle w:val="Table01Row"/>
            </w:pPr>
            <w:r>
              <w:rPr/>
              <w:t xml:space="preserve">11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2010 p. 9‑10)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227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</w:t>
              <w:t>Pt. 8 Div. 1 Subdiv. 2 &amp; Div. 2 Subdiv 3</w:t>
            </w:r>
          </w:p>
        </w:tc>
        <w:tc>
          <w:p>
            <w:pPr>
              <w:pStyle w:val="Table01Row"/>
            </w:pPr>
            <w:r>
              <w:t>2018/037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Pt. 8 Div. 1 Subdiv. 2: 1 Jan 2019 (see s. 2(c));</w:t>
            </w:r>
          </w:p>
          <w:p>
            <w:pPr>
              <w:pStyle w:val="Table01Row"/>
            </w:pPr>
            <w:r>
              <w:rPr/>
              <w:t xml:space="preserve">Pt. 8 Div. 2 Subdiv. 3: 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May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Div. 1 &amp; 2: 19 Sep 2019 (see s. 2(1)(c));</w:t>
            </w:r>
          </w:p>
          <w:p>
            <w:pPr>
              <w:pStyle w:val="Table01Row"/>
            </w:pPr>
            <w:r>
              <w:rPr/>
              <w:t xml:space="preserve">Div. 3 &amp; 4: 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6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Racing and Wagering Western Australia Act 2003</vt:lpwstr>
  </property>
  <property pid="3" name="IDAct" fmtid="{D5CDD505-2E9C-101B-9397-08002B2CF9AE}">
    <vt:lpwstr>6491</vt:lpwstr>
  </property>
  <property pid="4" name="ChangedDate" fmtid="{D5CDD505-2E9C-101B-9397-08002B2CF9AE}">
    <vt:lpwstr>20240105111456</vt:lpwstr>
  </property>
</Properties>
</file>