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Residential Tenancies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Act 1987</w:t>
            </w:r>
          </w:p>
        </w:tc>
        <w:tc>
          <w:p>
            <w:pPr>
              <w:pStyle w:val="Table01Row"/>
            </w:pPr>
            <w:r>
              <w:t>1987/128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s. 1 &amp; 2: 21 Jan 1988;</w:t>
            </w:r>
          </w:p>
          <w:p>
            <w:pPr>
              <w:pStyle w:val="Table01Row"/>
            </w:pPr>
            <w:r>
              <w:rPr/>
              <w:t xml:space="preserve">Act other than s. 1 &amp; 2: 1 Oct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Aug 1989 p. 2748)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1988</w:t>
            </w:r>
          </w:p>
        </w:tc>
        <w:tc>
          <w:p>
            <w:pPr>
              <w:pStyle w:val="Table01Row"/>
            </w:pPr>
            <w:r>
              <w:t>1988/050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8 Dec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1 Jul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1997 p. 2805)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1995/059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Pt. 3, other than s. 46 &amp; 52: 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1996 p. 2902);</w:t>
            </w:r>
          </w:p>
          <w:p>
            <w:pPr>
              <w:pStyle w:val="Table01Row"/>
            </w:pPr>
            <w:r>
              <w:rPr/>
              <w:t xml:space="preserve">Proclamation published 25 Jun 1996 p. 2902 in relation to s. 46 &amp; 52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6 Sep 1996 p. 4405);</w:t>
            </w:r>
          </w:p>
          <w:p>
            <w:pPr>
              <w:pStyle w:val="Table01Row"/>
            </w:pPr>
            <w:r>
              <w:rPr/>
              <w:t xml:space="preserve">s. 46 &amp; 52: 5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1995/059) (correction in Gazette 6 Dec 1996 p. 6725)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 (not including 1995/059 s. 46 &amp; 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16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May 2005 (not including 1995/059 s. 46 &amp; 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20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2006/032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3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Aug 2007 p. 3835)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14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149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Jul 2007 (not including 2006/032)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698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189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</w:p>
        </w:tc>
        <w:tc>
          <w:p>
            <w:pPr>
              <w:pStyle w:val="Table01Row"/>
            </w:pPr>
            <w:r>
              <w:t>2011/060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s. 1 &amp; 2: 14 Dec 2011 (see s. 2(a));</w:t>
            </w:r>
          </w:p>
          <w:p>
            <w:pPr>
              <w:pStyle w:val="Table01Row"/>
            </w:pPr>
            <w:r>
              <w:rPr/>
              <w:t xml:space="preserve">s. 5(2) (to the extent that it inserts the definition of lessor), 42(1) &amp; (2), 45(1), 57, 58, 60, 69, 88, 89 (to the extent that it amends s. 71), &amp; 90‑95: 30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3663);</w:t>
            </w:r>
          </w:p>
          <w:p>
            <w:pPr>
              <w:pStyle w:val="Table01Row"/>
            </w:pPr>
            <w:r>
              <w:rPr/>
              <w:t xml:space="preserve">s. 3, 4, 5 (except to the extent that it inserts the definition of lessor), 6‑41, 42(3), 43‑44, 45(2), 46‑56, 59, 61‑68, 70‑87, 89 (except to the extent that it amends s. 71) &amp; Pt. 4 (s. 96): 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2013 p. 1735)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Jul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2013/018</w:t>
            </w:r>
          </w:p>
        </w:tc>
        <w:tc>
          <w:p>
            <w:pPr>
              <w:pStyle w:val="Table01Row"/>
            </w:pPr>
            <w:r>
              <w:t>29 Oct 2013</w:t>
            </w:r>
          </w:p>
        </w:tc>
        <w:tc>
          <w:p>
            <w:pPr>
              <w:pStyle w:val="Table01Row"/>
            </w:pPr>
            <w:r>
              <w:rPr/>
              <w:t xml:space="preserve">1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2013 p. 4829)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Feb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2016</w:t>
            </w:r>
          </w:p>
        </w:tc>
        <w:tc>
          <w:p>
            <w:pPr>
              <w:pStyle w:val="Table01Row"/>
            </w:pPr>
            <w:r>
              <w:t>2016/042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2016 (see s. 2(a));</w:t>
            </w:r>
          </w:p>
          <w:p>
            <w:pPr>
              <w:pStyle w:val="Table01Row"/>
            </w:pPr>
            <w:r>
              <w:rPr/>
              <w:t xml:space="preserve">Act other than s. 1 &amp; 2: 3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2017 p. 3551‑2)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18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18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2019/003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15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2019 p. 1041‑2)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s. 67: 30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2019 p. 4101);</w:t>
            </w:r>
          </w:p>
          <w:p>
            <w:pPr>
              <w:pStyle w:val="Table01Row"/>
            </w:pPr>
            <w:r>
              <w:rPr/>
              <w:t xml:space="preserve">Pt. 9 other than s. 67: 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(COVID‑19 Response) Act 2020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2020/018</w:t>
            </w:r>
          </w:p>
        </w:tc>
        <w:tc>
          <w:p>
            <w:pPr>
              <w:pStyle w:val="Table01Row"/>
            </w:pPr>
            <w:r>
              <w:t>23 Apr 2020</w:t>
            </w:r>
          </w:p>
        </w:tc>
        <w:tc>
          <w:p>
            <w:pPr>
              <w:pStyle w:val="Table01Row"/>
            </w:pPr>
            <w:r>
              <w:rPr/>
              <w:t xml:space="preserve">30 Mar 2020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2020/028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88: 10 Jul 2020 (see s. 2(1)(b));</w:t>
            </w:r>
          </w:p>
          <w:p>
            <w:pPr>
              <w:pStyle w:val="Table01Row"/>
            </w:pPr>
            <w:r>
              <w:rPr/>
              <w:t xml:space="preserve">Pt. 3 other than s. 88: 31 Jan 2022 (see s. 2(1)(c) and SL 2021/195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Residential Tenancies Act 1987</vt:lpwstr>
  </property>
  <property pid="3" name="IDAct" fmtid="{D5CDD505-2E9C-101B-9397-08002B2CF9AE}">
    <vt:lpwstr>693</vt:lpwstr>
  </property>
  <property pid="4" name="ChangedDate" fmtid="{D5CDD505-2E9C-101B-9397-08002B2CF9AE}">
    <vt:lpwstr>20230129081742</vt:lpwstr>
  </property>
</Properties>
</file>