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The Western Australian Turf Club Act 1892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Western Australian Turf Club Act 1892</w:t>
            </w:r>
          </w:p>
        </w:tc>
        <w:tc>
          <w:p>
            <w:pPr>
              <w:pStyle w:val="Table01Row"/>
            </w:pPr>
            <w:r>
              <w:t>1892 (55 Vict. Prvt Act)</w:t>
            </w:r>
          </w:p>
        </w:tc>
        <w:tc>
          <w:p>
            <w:pPr>
              <w:pStyle w:val="Table01Row"/>
            </w:pPr>
            <w:r>
              <w:t>18 Mar 1892</w:t>
            </w:r>
          </w:p>
        </w:tc>
        <w:tc>
          <w:p>
            <w:pPr>
              <w:pStyle w:val="Table01Row"/>
            </w:pPr>
            <w:r>
              <w:rPr/>
              <w:t xml:space="preserve">18 Mar 1892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Aug 1986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Western Australian Turf Club Amendment Act 1990</w:t>
            </w:r>
          </w:p>
        </w:tc>
        <w:tc>
          <w:p>
            <w:pPr>
              <w:pStyle w:val="Table01Row"/>
            </w:pPr>
            <w:r>
              <w:t>1990/077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s. 1 &amp; 2: 20 Dec 1990;</w:t>
            </w:r>
          </w:p>
          <w:p>
            <w:pPr>
              <w:pStyle w:val="Table01Row"/>
            </w:pPr>
            <w:r>
              <w:rPr/>
              <w:t xml:space="preserve">Act other than s. 1 &amp; 2: 1 Feb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Jan 1991 p. 268)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Turf Club Legislation Amendment Act 1997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1997/024</w:t>
            </w:r>
          </w:p>
        </w:tc>
        <w:tc>
          <w:p>
            <w:pPr>
              <w:pStyle w:val="Table01Row"/>
            </w:pPr>
            <w:r>
              <w:t>24 Sep 1997</w:t>
            </w:r>
          </w:p>
        </w:tc>
        <w:tc>
          <w:p>
            <w:pPr>
              <w:pStyle w:val="Table01Row"/>
            </w:pPr>
            <w:r>
              <w:rPr/>
              <w:t xml:space="preserve">24 Sep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Mar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Pt. 14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2003 p. 3259)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Jul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11 Div. 2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s. 158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2(1)(b) &amp; 2(2))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The Western Australian Turf Club Act 1892</vt:lpwstr>
  </property>
  <property pid="3" name="IDAct" fmtid="{D5CDD505-2E9C-101B-9397-08002B2CF9AE}">
    <vt:lpwstr>898</vt:lpwstr>
  </property>
  <property pid="4" name="ChangedDate" fmtid="{D5CDD505-2E9C-101B-9397-08002B2CF9AE}">
    <vt:lpwstr>20240105111456</vt:lpwstr>
  </property>
</Properties>
</file>