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390070909"/>
      <w:bookmarkStart w:id="2" w:name="_Toc39007073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390070910"/>
      <w:bookmarkStart w:id="4" w:name="_Toc39007073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5" w:name="_Toc390070911"/>
      <w:bookmarkStart w:id="6" w:name="_Toc390070733"/>
      <w:r>
        <w:rPr>
          <w:rStyle w:val="CharSectno"/>
        </w:rPr>
        <w:t>2</w:t>
      </w:r>
      <w:r>
        <w:rPr>
          <w:snapToGrid w:val="0"/>
        </w:rPr>
        <w:t>.</w:t>
      </w:r>
      <w:r>
        <w:rPr>
          <w:snapToGrid w:val="0"/>
        </w:rPr>
        <w:tab/>
        <w:t>Commencement</w:t>
      </w:r>
      <w:bookmarkEnd w:id="5"/>
      <w:bookmarkEnd w:id="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390070912"/>
      <w:bookmarkStart w:id="8" w:name="_Toc390070734"/>
      <w:r>
        <w:rPr>
          <w:rStyle w:val="CharSectno"/>
        </w:rPr>
        <w:t>3</w:t>
      </w:r>
      <w:r>
        <w:t>.</w:t>
      </w:r>
      <w:r>
        <w:tab/>
        <w:t>The taxation Acts</w:t>
      </w:r>
      <w:bookmarkEnd w:id="7"/>
      <w:bookmarkEnd w:id="8"/>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lastRenderedPageBreak/>
        <w:tab/>
        <w:t>(2)</w:t>
      </w:r>
      <w:r>
        <w:tab/>
        <w:t>Each other taxation Act is to be read with this Act as if they formed a single Act.</w:t>
      </w:r>
    </w:p>
    <w:p>
      <w:pPr>
        <w:pStyle w:val="Footnotesection"/>
      </w:pPr>
      <w:r>
        <w:tab/>
        <w:t>[Section 3 amended by No. 38 of 2005 s. 15.]</w:t>
      </w:r>
    </w:p>
    <w:p>
      <w:pPr>
        <w:pStyle w:val="Heading5"/>
      </w:pPr>
      <w:bookmarkStart w:id="9" w:name="_Toc390070913"/>
      <w:bookmarkStart w:id="10" w:name="_Toc390070735"/>
      <w:r>
        <w:rPr>
          <w:rStyle w:val="CharSectno"/>
        </w:rPr>
        <w:t>4</w:t>
      </w:r>
      <w:r>
        <w:rPr>
          <w:b w:val="0"/>
        </w:rPr>
        <w:t>.</w:t>
      </w:r>
      <w:r>
        <w:rPr>
          <w:snapToGrid w:val="0"/>
        </w:rPr>
        <w:tab/>
      </w:r>
      <w:r>
        <w:t>Meaning of terms used in this Act</w:t>
      </w:r>
      <w:bookmarkEnd w:id="9"/>
      <w:bookmarkEnd w:id="10"/>
    </w:p>
    <w:p>
      <w:pPr>
        <w:pStyle w:val="Subsection"/>
      </w:pPr>
      <w:r>
        <w:tab/>
      </w:r>
      <w:r>
        <w:tab/>
        <w:t>The Glossary at the end of this Act defines or affects the meaning of some of the words and expressions used in this Act.</w:t>
      </w:r>
    </w:p>
    <w:p>
      <w:pPr>
        <w:pStyle w:val="Heading5"/>
      </w:pPr>
      <w:bookmarkStart w:id="11" w:name="_Toc390070914"/>
      <w:bookmarkStart w:id="12" w:name="_Toc390070736"/>
      <w:r>
        <w:rPr>
          <w:rStyle w:val="CharSectno"/>
        </w:rPr>
        <w:t>5</w:t>
      </w:r>
      <w:r>
        <w:t>.</w:t>
      </w:r>
      <w:r>
        <w:tab/>
        <w:t>Crown bound</w:t>
      </w:r>
      <w:bookmarkEnd w:id="11"/>
      <w:bookmarkEnd w:id="12"/>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13" w:name="_Toc390070915"/>
      <w:bookmarkStart w:id="14" w:name="_Toc390070737"/>
      <w:r>
        <w:rPr>
          <w:rStyle w:val="CharPartNo"/>
        </w:rPr>
        <w:t>Part 2</w:t>
      </w:r>
      <w:r>
        <w:rPr>
          <w:rStyle w:val="CharDivNo"/>
        </w:rPr>
        <w:t xml:space="preserve"> </w:t>
      </w:r>
      <w:r>
        <w:t>—</w:t>
      </w:r>
      <w:r>
        <w:rPr>
          <w:rStyle w:val="CharDivText"/>
        </w:rPr>
        <w:t xml:space="preserve"> </w:t>
      </w:r>
      <w:r>
        <w:rPr>
          <w:rStyle w:val="CharPartText"/>
        </w:rPr>
        <w:t>Tax administration generally</w:t>
      </w:r>
      <w:bookmarkEnd w:id="13"/>
      <w:bookmarkEnd w:id="14"/>
    </w:p>
    <w:p>
      <w:pPr>
        <w:pStyle w:val="Heading5"/>
      </w:pPr>
      <w:bookmarkStart w:id="15" w:name="_Toc390070916"/>
      <w:bookmarkStart w:id="16" w:name="_Toc390070738"/>
      <w:r>
        <w:rPr>
          <w:rStyle w:val="CharSectno"/>
        </w:rPr>
        <w:t>6</w:t>
      </w:r>
      <w:r>
        <w:t>.</w:t>
      </w:r>
      <w:r>
        <w:tab/>
        <w:t>Commissioner of State Revenue</w:t>
      </w:r>
      <w:bookmarkEnd w:id="15"/>
      <w:bookmarkEnd w:id="16"/>
    </w:p>
    <w:p>
      <w:pPr>
        <w:pStyle w:val="Subsection"/>
      </w:pPr>
      <w:r>
        <w:tab/>
      </w:r>
      <w:r>
        <w:tab/>
        <w:t xml:space="preserve">A Commissioner of State Revenue is to be appointed under Part 3 of the </w:t>
      </w:r>
      <w:r>
        <w:rPr>
          <w:i/>
        </w:rPr>
        <w:t>Public Sector Management Act 1994</w:t>
      </w:r>
      <w:r>
        <w:t>.</w:t>
      </w:r>
    </w:p>
    <w:p>
      <w:pPr>
        <w:pStyle w:val="Heading5"/>
      </w:pPr>
      <w:bookmarkStart w:id="17" w:name="_Toc390070917"/>
      <w:bookmarkStart w:id="18" w:name="_Toc390070739"/>
      <w:r>
        <w:rPr>
          <w:rStyle w:val="CharSectno"/>
        </w:rPr>
        <w:t>7</w:t>
      </w:r>
      <w:r>
        <w:t>.</w:t>
      </w:r>
      <w:r>
        <w:tab/>
        <w:t>Administration of taxation Acts</w:t>
      </w:r>
      <w:bookmarkEnd w:id="17"/>
      <w:bookmarkEnd w:id="18"/>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19" w:name="_Toc390070918"/>
      <w:bookmarkStart w:id="20" w:name="_Toc390070740"/>
      <w:r>
        <w:rPr>
          <w:rStyle w:val="CharSectno"/>
        </w:rPr>
        <w:t>8</w:t>
      </w:r>
      <w:r>
        <w:t>.</w:t>
      </w:r>
      <w:r>
        <w:tab/>
        <w:t>Commissioner’s functions</w:t>
      </w:r>
      <w:bookmarkEnd w:id="19"/>
      <w:bookmarkEnd w:id="2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21" w:name="_Toc390070919"/>
      <w:bookmarkStart w:id="22" w:name="_Toc390070741"/>
      <w:r>
        <w:rPr>
          <w:rStyle w:val="CharSectno"/>
        </w:rPr>
        <w:t>9</w:t>
      </w:r>
      <w:r>
        <w:t>.</w:t>
      </w:r>
      <w:r>
        <w:tab/>
        <w:t>Judicial notice of appointment and signature</w:t>
      </w:r>
      <w:bookmarkEnd w:id="21"/>
      <w:bookmarkEnd w:id="22"/>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3" w:name="_Toc390070920"/>
      <w:bookmarkStart w:id="24" w:name="_Toc390070742"/>
      <w:r>
        <w:rPr>
          <w:rStyle w:val="CharSectno"/>
        </w:rPr>
        <w:t>10</w:t>
      </w:r>
      <w:r>
        <w:t>.</w:t>
      </w:r>
      <w:r>
        <w:tab/>
        <w:t>Delegation</w:t>
      </w:r>
      <w:bookmarkEnd w:id="23"/>
      <w:bookmarkEnd w:id="24"/>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spacing w:before="140"/>
      </w:pPr>
      <w:r>
        <w:tab/>
        <w:t>(2)</w:t>
      </w:r>
      <w:r>
        <w:tab/>
        <w:t>The delegation must be in writing signed by the Commissioner.</w:t>
      </w:r>
    </w:p>
    <w:p>
      <w:pPr>
        <w:pStyle w:val="Subsection"/>
        <w:spacing w:before="14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40"/>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25" w:name="_Toc390070921"/>
      <w:bookmarkStart w:id="26" w:name="_Toc390070743"/>
      <w:r>
        <w:rPr>
          <w:rStyle w:val="CharSectno"/>
        </w:rPr>
        <w:t>11</w:t>
      </w:r>
      <w:r>
        <w:t>.</w:t>
      </w:r>
      <w:r>
        <w:tab/>
        <w:t>Tax investigators</w:t>
      </w:r>
      <w:bookmarkEnd w:id="25"/>
      <w:bookmarkEnd w:id="26"/>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27" w:name="_Toc390070922"/>
      <w:bookmarkStart w:id="28" w:name="_Toc390070744"/>
      <w:r>
        <w:rPr>
          <w:rStyle w:val="CharSectno"/>
        </w:rPr>
        <w:t>12</w:t>
      </w:r>
      <w:r>
        <w:t>.</w:t>
      </w:r>
      <w:r>
        <w:tab/>
        <w:t>Appointed representatives for court proceedings</w:t>
      </w:r>
      <w:bookmarkEnd w:id="27"/>
      <w:bookmarkEnd w:id="28"/>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9" w:name="_Toc390070923"/>
      <w:bookmarkStart w:id="30" w:name="_Toc390070745"/>
      <w:r>
        <w:rPr>
          <w:rStyle w:val="CharPartNo"/>
        </w:rPr>
        <w:t>Part 3</w:t>
      </w:r>
      <w:r>
        <w:t xml:space="preserve"> — </w:t>
      </w:r>
      <w:r>
        <w:rPr>
          <w:rStyle w:val="CharPartText"/>
        </w:rPr>
        <w:t>Assessments of tax</w:t>
      </w:r>
      <w:bookmarkEnd w:id="29"/>
      <w:bookmarkEnd w:id="30"/>
    </w:p>
    <w:p>
      <w:pPr>
        <w:pStyle w:val="Heading3"/>
      </w:pPr>
      <w:bookmarkStart w:id="31" w:name="_Toc390070924"/>
      <w:bookmarkStart w:id="32" w:name="_Toc390070746"/>
      <w:r>
        <w:rPr>
          <w:rStyle w:val="CharDivNo"/>
        </w:rPr>
        <w:t>Division 1</w:t>
      </w:r>
      <w:r>
        <w:t xml:space="preserve"> — </w:t>
      </w:r>
      <w:r>
        <w:rPr>
          <w:rStyle w:val="CharDivText"/>
        </w:rPr>
        <w:t>Assessments</w:t>
      </w:r>
      <w:bookmarkEnd w:id="31"/>
      <w:bookmarkEnd w:id="32"/>
    </w:p>
    <w:p>
      <w:pPr>
        <w:pStyle w:val="Heading5"/>
      </w:pPr>
      <w:bookmarkStart w:id="33" w:name="_Toc390070925"/>
      <w:bookmarkStart w:id="34" w:name="_Toc390070747"/>
      <w:r>
        <w:rPr>
          <w:rStyle w:val="CharSectno"/>
        </w:rPr>
        <w:t>13</w:t>
      </w:r>
      <w:r>
        <w:t>.</w:t>
      </w:r>
      <w:r>
        <w:tab/>
        <w:t>Assessments</w:t>
      </w:r>
      <w:bookmarkEnd w:id="33"/>
      <w:bookmarkEnd w:id="34"/>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35" w:name="_Toc390070926"/>
      <w:bookmarkStart w:id="36" w:name="_Toc390070748"/>
      <w:r>
        <w:rPr>
          <w:rStyle w:val="CharSectno"/>
        </w:rPr>
        <w:t>14</w:t>
      </w:r>
      <w:r>
        <w:t>.</w:t>
      </w:r>
      <w:r>
        <w:tab/>
        <w:t>Self</w:t>
      </w:r>
      <w:r>
        <w:noBreakHyphen/>
        <w:t>assessments</w:t>
      </w:r>
      <w:bookmarkEnd w:id="35"/>
      <w:bookmarkEnd w:id="36"/>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37" w:name="_Toc390070927"/>
      <w:bookmarkStart w:id="38" w:name="_Toc390070749"/>
      <w:r>
        <w:rPr>
          <w:rStyle w:val="CharSectno"/>
        </w:rPr>
        <w:t>15</w:t>
      </w:r>
      <w:r>
        <w:t>.</w:t>
      </w:r>
      <w:r>
        <w:tab/>
        <w:t>Official assessments</w:t>
      </w:r>
      <w:bookmarkEnd w:id="37"/>
      <w:bookmarkEnd w:id="38"/>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20"/>
      </w:pPr>
      <w:r>
        <w:tab/>
        <w:t>(3)</w:t>
      </w:r>
      <w:r>
        <w:tab/>
        <w:t>The Commissioner may make an official assessment on his or her own initiative, and may do so even if the taxpayer is required to make, or has made, a self</w:t>
      </w:r>
      <w:r>
        <w:noBreakHyphen/>
        <w:t>assessment.</w:t>
      </w:r>
    </w:p>
    <w:p>
      <w:pPr>
        <w:pStyle w:val="Subsection"/>
        <w:spacing w:before="120"/>
      </w:pPr>
      <w:r>
        <w:tab/>
        <w:t>(4)</w:t>
      </w:r>
      <w:r>
        <w:tab/>
        <w:t>The Commissioner may make an official assessment in any other circumstances at the taxpayer’s request.</w:t>
      </w:r>
    </w:p>
    <w:p>
      <w:pPr>
        <w:pStyle w:val="Heading5"/>
        <w:spacing w:before="180"/>
      </w:pPr>
      <w:bookmarkStart w:id="39" w:name="_Toc390070928"/>
      <w:bookmarkStart w:id="40" w:name="_Toc390070750"/>
      <w:r>
        <w:rPr>
          <w:rStyle w:val="CharSectno"/>
        </w:rPr>
        <w:t>16</w:t>
      </w:r>
      <w:r>
        <w:t>.</w:t>
      </w:r>
      <w:r>
        <w:tab/>
        <w:t>Reassessments</w:t>
      </w:r>
      <w:bookmarkEnd w:id="39"/>
      <w:bookmarkEnd w:id="40"/>
    </w:p>
    <w:p>
      <w:pPr>
        <w:pStyle w:val="Subsection"/>
        <w:spacing w:before="14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4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40"/>
      </w:pPr>
      <w:r>
        <w:tab/>
        <w:t>(3)</w:t>
      </w:r>
      <w:r>
        <w:tab/>
        <w:t xml:space="preserve">A reassessment may be made whether or not any amount of tax has been paid on the previous assessment. </w:t>
      </w:r>
    </w:p>
    <w:p>
      <w:pPr>
        <w:pStyle w:val="Subsection"/>
        <w:spacing w:before="120"/>
      </w:pPr>
      <w:r>
        <w:tab/>
        <w:t>(4)</w:t>
      </w:r>
      <w:r>
        <w:tab/>
        <w:t>A reassessment may consolidate 2 or more separate assessments into a single assessment.</w:t>
      </w:r>
    </w:p>
    <w:p>
      <w:pPr>
        <w:pStyle w:val="Subsection"/>
        <w:spacing w:before="120"/>
      </w:pPr>
      <w:r>
        <w:tab/>
        <w:t>(5)</w:t>
      </w:r>
      <w:r>
        <w:tab/>
        <w:t xml:space="preserve"> 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100"/>
        <w:ind w:left="890" w:hanging="890"/>
      </w:pPr>
      <w:r>
        <w:tab/>
        <w:t>[Section 16 amended by No. 55 of 2004 s. 1165.]</w:t>
      </w:r>
    </w:p>
    <w:p>
      <w:pPr>
        <w:pStyle w:val="Heading5"/>
      </w:pPr>
      <w:bookmarkStart w:id="41" w:name="_Toc390070929"/>
      <w:bookmarkStart w:id="42" w:name="_Toc390070751"/>
      <w:r>
        <w:rPr>
          <w:rStyle w:val="CharSectno"/>
        </w:rPr>
        <w:t>17</w:t>
      </w:r>
      <w:r>
        <w:t>.</w:t>
      </w:r>
      <w:r>
        <w:tab/>
        <w:t>Time limits on reassessments</w:t>
      </w:r>
      <w:bookmarkEnd w:id="41"/>
      <w:bookmarkEnd w:id="42"/>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43" w:name="_Toc390070930"/>
      <w:bookmarkStart w:id="44" w:name="_Toc390070752"/>
      <w:r>
        <w:rPr>
          <w:rStyle w:val="CharSectno"/>
        </w:rPr>
        <w:t>18</w:t>
      </w:r>
      <w:r>
        <w:t>.</w:t>
      </w:r>
      <w:r>
        <w:tab/>
        <w:t>Effect of reassessment</w:t>
      </w:r>
      <w:bookmarkEnd w:id="43"/>
      <w:bookmarkEnd w:id="44"/>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45" w:name="_Toc390070931"/>
      <w:bookmarkStart w:id="46" w:name="_Toc390070753"/>
      <w:r>
        <w:rPr>
          <w:rStyle w:val="CharSectno"/>
        </w:rPr>
        <w:t>18A</w:t>
      </w:r>
      <w:r>
        <w:rPr>
          <w:color w:val="000000"/>
        </w:rPr>
        <w:t>.</w:t>
      </w:r>
      <w:r>
        <w:rPr>
          <w:color w:val="000000"/>
        </w:rPr>
        <w:tab/>
        <w:t>Withdrawal of assessment</w:t>
      </w:r>
      <w:bookmarkEnd w:id="45"/>
      <w:bookmarkEnd w:id="46"/>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47" w:name="_Toc390070932"/>
      <w:bookmarkStart w:id="48" w:name="_Toc390070754"/>
      <w:r>
        <w:rPr>
          <w:rStyle w:val="CharSectno"/>
        </w:rPr>
        <w:t>19</w:t>
      </w:r>
      <w:r>
        <w:t>.</w:t>
      </w:r>
      <w:r>
        <w:tab/>
        <w:t>Assessments based on estimated or suspected liability</w:t>
      </w:r>
      <w:bookmarkEnd w:id="47"/>
      <w:bookmarkEnd w:id="48"/>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49" w:name="_Toc390070933"/>
      <w:bookmarkStart w:id="50" w:name="_Toc390070755"/>
      <w:r>
        <w:rPr>
          <w:rStyle w:val="CharSectno"/>
        </w:rPr>
        <w:t>20</w:t>
      </w:r>
      <w:r>
        <w:t>.</w:t>
      </w:r>
      <w:r>
        <w:tab/>
        <w:t>Assessments when instrument misleading or unavailable</w:t>
      </w:r>
      <w:bookmarkEnd w:id="49"/>
      <w:bookmarkEnd w:id="50"/>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spacing w:before="140"/>
      </w:pPr>
      <w:r>
        <w:tab/>
        <w:t>(7)</w:t>
      </w:r>
      <w:r>
        <w:tab/>
        <w:t>This section does not limit the powers of the Commissioner under section 19.</w:t>
      </w:r>
    </w:p>
    <w:p>
      <w:pPr>
        <w:pStyle w:val="Footnotesection"/>
        <w:spacing w:before="80"/>
        <w:ind w:left="890" w:hanging="890"/>
      </w:pPr>
      <w:r>
        <w:tab/>
        <w:t>[Section 20 amended by No. 66 of 2003 s. 95(3).]</w:t>
      </w:r>
    </w:p>
    <w:p>
      <w:pPr>
        <w:pStyle w:val="Heading5"/>
        <w:spacing w:before="200"/>
      </w:pPr>
      <w:bookmarkStart w:id="51" w:name="_Toc390070934"/>
      <w:bookmarkStart w:id="52" w:name="_Toc390070756"/>
      <w:r>
        <w:rPr>
          <w:rStyle w:val="CharSectno"/>
        </w:rPr>
        <w:t>21</w:t>
      </w:r>
      <w:r>
        <w:t>.</w:t>
      </w:r>
      <w:r>
        <w:tab/>
        <w:t>Ascertaining value of property, consideration or benefit</w:t>
      </w:r>
      <w:bookmarkEnd w:id="51"/>
      <w:bookmarkEnd w:id="52"/>
    </w:p>
    <w:p>
      <w:pPr>
        <w:pStyle w:val="Subsection"/>
        <w:spacing w:before="140"/>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spacing w:before="120"/>
      </w:pPr>
      <w:r>
        <w:tab/>
        <w:t>(2)</w:t>
      </w:r>
      <w:r>
        <w:tab/>
        <w:t>A requirement must specify the date on or before which the taxpayer is required to comply with it.</w:t>
      </w:r>
    </w:p>
    <w:p>
      <w:pPr>
        <w:pStyle w:val="Subsection"/>
        <w:spacing w:before="120"/>
      </w:pPr>
      <w:r>
        <w:tab/>
        <w:t>(3)</w:t>
      </w:r>
      <w:r>
        <w:tab/>
        <w:t>A person who does not comply with a requirement commits an offence.</w:t>
      </w:r>
    </w:p>
    <w:p>
      <w:pPr>
        <w:pStyle w:val="Penstart"/>
      </w:pPr>
      <w:r>
        <w:tab/>
        <w:t>Penalty: $20 000.</w:t>
      </w:r>
    </w:p>
    <w:p>
      <w:pPr>
        <w:pStyle w:val="Heading5"/>
        <w:spacing w:before="180"/>
      </w:pPr>
      <w:bookmarkStart w:id="53" w:name="_Toc390070935"/>
      <w:bookmarkStart w:id="54" w:name="_Toc390070757"/>
      <w:r>
        <w:rPr>
          <w:rStyle w:val="CharSectno"/>
        </w:rPr>
        <w:t>22</w:t>
      </w:r>
      <w:r>
        <w:t>.</w:t>
      </w:r>
      <w:r>
        <w:tab/>
        <w:t>Commissioner’s power to have valuation made</w:t>
      </w:r>
      <w:bookmarkEnd w:id="53"/>
      <w:bookmarkEnd w:id="54"/>
    </w:p>
    <w:p>
      <w:pPr>
        <w:pStyle w:val="Subsection"/>
        <w:spacing w:before="120"/>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55" w:name="_Toc390070936"/>
      <w:bookmarkStart w:id="56" w:name="_Toc390070758"/>
      <w:r>
        <w:rPr>
          <w:rStyle w:val="CharDivNo"/>
        </w:rPr>
        <w:t>Division 2</w:t>
      </w:r>
      <w:r>
        <w:t xml:space="preserve"> — </w:t>
      </w:r>
      <w:r>
        <w:rPr>
          <w:rStyle w:val="CharDivText"/>
        </w:rPr>
        <w:t>Assessment notices and returns</w:t>
      </w:r>
      <w:bookmarkEnd w:id="55"/>
      <w:bookmarkEnd w:id="56"/>
    </w:p>
    <w:p>
      <w:pPr>
        <w:pStyle w:val="Heading5"/>
      </w:pPr>
      <w:bookmarkStart w:id="57" w:name="_Toc390070937"/>
      <w:bookmarkStart w:id="58" w:name="_Toc390070759"/>
      <w:r>
        <w:rPr>
          <w:rStyle w:val="CharSectno"/>
        </w:rPr>
        <w:t>23</w:t>
      </w:r>
      <w:r>
        <w:t>.</w:t>
      </w:r>
      <w:r>
        <w:tab/>
        <w:t>Assessment notices</w:t>
      </w:r>
      <w:bookmarkEnd w:id="57"/>
      <w:bookmarkEnd w:id="58"/>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xml:space="preserve"> or land tax imposed under the </w:t>
      </w:r>
      <w:r>
        <w:rPr>
          <w:i/>
        </w:rPr>
        <w:t>Land Tax Act 2002</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pPr>
      <w:r>
        <w:tab/>
        <w:t>[Section 23 amended by No. 66 of 2003 s. 108(2); No. 82 of 2004 s. 19.]</w:t>
      </w:r>
    </w:p>
    <w:p>
      <w:pPr>
        <w:pStyle w:val="Heading5"/>
      </w:pPr>
      <w:bookmarkStart w:id="59" w:name="_Toc390070938"/>
      <w:bookmarkStart w:id="60" w:name="_Toc390070760"/>
      <w:r>
        <w:rPr>
          <w:rStyle w:val="CharSectno"/>
        </w:rPr>
        <w:t>24</w:t>
      </w:r>
      <w:r>
        <w:t>.</w:t>
      </w:r>
      <w:r>
        <w:tab/>
        <w:t>Form of assessment notice</w:t>
      </w:r>
      <w:bookmarkEnd w:id="59"/>
      <w:bookmarkEnd w:id="6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61" w:name="_Toc390070939"/>
      <w:bookmarkStart w:id="62" w:name="_Toc390070761"/>
      <w:r>
        <w:rPr>
          <w:rStyle w:val="CharSectno"/>
        </w:rPr>
        <w:t>25</w:t>
      </w:r>
      <w:r>
        <w:t>.</w:t>
      </w:r>
      <w:r>
        <w:tab/>
        <w:t>Statement of grounds of assessment</w:t>
      </w:r>
      <w:bookmarkEnd w:id="61"/>
      <w:bookmarkEnd w:id="62"/>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63" w:name="_Toc390070940"/>
      <w:bookmarkStart w:id="64" w:name="_Toc390070762"/>
      <w:r>
        <w:rPr>
          <w:rStyle w:val="CharDivNo"/>
        </w:rPr>
        <w:t>Division 3</w:t>
      </w:r>
      <w:r>
        <w:t xml:space="preserve"> — </w:t>
      </w:r>
      <w:r>
        <w:rPr>
          <w:rStyle w:val="CharDivText"/>
        </w:rPr>
        <w:t>Penalty tax</w:t>
      </w:r>
      <w:bookmarkEnd w:id="63"/>
      <w:bookmarkEnd w:id="64"/>
    </w:p>
    <w:p>
      <w:pPr>
        <w:pStyle w:val="Heading5"/>
      </w:pPr>
      <w:bookmarkStart w:id="65" w:name="_Toc390070941"/>
      <w:bookmarkStart w:id="66" w:name="_Toc390070763"/>
      <w:r>
        <w:rPr>
          <w:rStyle w:val="CharSectno"/>
        </w:rPr>
        <w:t>26</w:t>
      </w:r>
      <w:r>
        <w:t>.</w:t>
      </w:r>
      <w:r>
        <w:tab/>
        <w:t>Penalty tax for contravention of taxation Act</w:t>
      </w:r>
      <w:bookmarkEnd w:id="65"/>
      <w:bookmarkEnd w:id="66"/>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67" w:name="_Toc390070942"/>
      <w:bookmarkStart w:id="68" w:name="_Toc390070764"/>
      <w:r>
        <w:rPr>
          <w:rStyle w:val="CharSectno"/>
        </w:rPr>
        <w:t>27</w:t>
      </w:r>
      <w:r>
        <w:t>.</w:t>
      </w:r>
      <w:r>
        <w:tab/>
        <w:t>Penalty tax for late payment</w:t>
      </w:r>
      <w:bookmarkEnd w:id="67"/>
      <w:bookmarkEnd w:id="68"/>
    </w:p>
    <w:p>
      <w:pPr>
        <w:pStyle w:val="Subsection"/>
      </w:pPr>
      <w:r>
        <w:tab/>
        <w:t>(1)</w:t>
      </w:r>
      <w:r>
        <w:tab/>
        <w:t>If tax is not paid by the due date, the taxpayer is liable to pay an amount of penalty tax for late payment equal to 20% of the amount outstanding on the due date.</w:t>
      </w:r>
    </w:p>
    <w:p>
      <w:pPr>
        <w:pStyle w:val="Subsection"/>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69" w:name="_Toc390070943"/>
      <w:bookmarkStart w:id="70" w:name="_Toc390070765"/>
      <w:r>
        <w:rPr>
          <w:rStyle w:val="CharSectno"/>
        </w:rPr>
        <w:t>28</w:t>
      </w:r>
      <w:r>
        <w:t>.</w:t>
      </w:r>
      <w:r>
        <w:tab/>
        <w:t>Limitation on amount of penalty tax</w:t>
      </w:r>
      <w:bookmarkEnd w:id="69"/>
      <w:bookmarkEnd w:id="70"/>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71" w:name="_Toc390070944"/>
      <w:bookmarkStart w:id="72" w:name="_Toc390070766"/>
      <w:r>
        <w:rPr>
          <w:rStyle w:val="CharSectno"/>
        </w:rPr>
        <w:t>29</w:t>
      </w:r>
      <w:r>
        <w:t>.</w:t>
      </w:r>
      <w:r>
        <w:tab/>
        <w:t>Remission of penalty tax</w:t>
      </w:r>
      <w:bookmarkEnd w:id="71"/>
      <w:bookmarkEnd w:id="72"/>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73" w:name="_Toc390070945"/>
      <w:bookmarkStart w:id="74" w:name="_Toc390070767"/>
      <w:r>
        <w:rPr>
          <w:rStyle w:val="CharSectno"/>
        </w:rPr>
        <w:t>30</w:t>
      </w:r>
      <w:r>
        <w:t>.</w:t>
      </w:r>
      <w:r>
        <w:tab/>
        <w:t>Guidelines for imposing penalty tax</w:t>
      </w:r>
      <w:bookmarkEnd w:id="73"/>
      <w:bookmarkEnd w:id="74"/>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75" w:name="_Toc390070946"/>
      <w:bookmarkStart w:id="76" w:name="_Toc390070768"/>
      <w:r>
        <w:rPr>
          <w:rStyle w:val="CharPartNo"/>
        </w:rPr>
        <w:t>Part 4</w:t>
      </w:r>
      <w:r>
        <w:t xml:space="preserve"> — </w:t>
      </w:r>
      <w:r>
        <w:rPr>
          <w:rStyle w:val="CharPartText"/>
        </w:rPr>
        <w:t>Objections and review proceedings</w:t>
      </w:r>
      <w:bookmarkEnd w:id="75"/>
      <w:bookmarkEnd w:id="76"/>
    </w:p>
    <w:p>
      <w:pPr>
        <w:pStyle w:val="Footnoteheading"/>
        <w:tabs>
          <w:tab w:val="left" w:pos="851"/>
        </w:tabs>
      </w:pPr>
      <w:r>
        <w:tab/>
        <w:t>[Heading amended by No. 55 of 2004 s. 1167.]</w:t>
      </w:r>
    </w:p>
    <w:p>
      <w:pPr>
        <w:pStyle w:val="Heading3"/>
      </w:pPr>
      <w:bookmarkStart w:id="77" w:name="_Toc390070947"/>
      <w:bookmarkStart w:id="78" w:name="_Toc390070769"/>
      <w:r>
        <w:rPr>
          <w:rStyle w:val="CharDivNo"/>
        </w:rPr>
        <w:t>Division 1</w:t>
      </w:r>
      <w:r>
        <w:t xml:space="preserve"> — </w:t>
      </w:r>
      <w:r>
        <w:rPr>
          <w:rStyle w:val="CharDivText"/>
        </w:rPr>
        <w:t>Procedures and restrictions</w:t>
      </w:r>
      <w:bookmarkEnd w:id="77"/>
      <w:bookmarkEnd w:id="78"/>
    </w:p>
    <w:p>
      <w:pPr>
        <w:pStyle w:val="Heading5"/>
      </w:pPr>
      <w:bookmarkStart w:id="79" w:name="_Toc390070948"/>
      <w:bookmarkStart w:id="80" w:name="_Toc390070770"/>
      <w:r>
        <w:rPr>
          <w:rStyle w:val="CharSectno"/>
        </w:rPr>
        <w:t>31</w:t>
      </w:r>
      <w:r>
        <w:t>.</w:t>
      </w:r>
      <w:r>
        <w:tab/>
        <w:t>Procedure for challenging assessments</w:t>
      </w:r>
      <w:bookmarkEnd w:id="79"/>
      <w:bookmarkEnd w:id="8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81" w:name="_Toc390070949"/>
      <w:bookmarkStart w:id="82" w:name="_Toc390070771"/>
      <w:r>
        <w:rPr>
          <w:rStyle w:val="CharSectno"/>
        </w:rPr>
        <w:t>32</w:t>
      </w:r>
      <w:r>
        <w:t>.</w:t>
      </w:r>
      <w:r>
        <w:tab/>
        <w:t>Objections to land valuations</w:t>
      </w:r>
      <w:bookmarkEnd w:id="81"/>
      <w:bookmarkEnd w:id="82"/>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83" w:name="_Toc390070950"/>
      <w:bookmarkStart w:id="84" w:name="_Toc390070772"/>
      <w:r>
        <w:t>33.</w:t>
      </w:r>
      <w:r>
        <w:tab/>
        <w:t>Continuing obligation to pay assessed tax</w:t>
      </w:r>
      <w:bookmarkEnd w:id="83"/>
      <w:bookmarkEnd w:id="84"/>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85" w:name="_Toc390070951"/>
      <w:bookmarkStart w:id="86" w:name="_Toc390070773"/>
      <w:r>
        <w:rPr>
          <w:rStyle w:val="CharDivNo"/>
        </w:rPr>
        <w:t>Division 2</w:t>
      </w:r>
      <w:r>
        <w:t xml:space="preserve"> — </w:t>
      </w:r>
      <w:r>
        <w:rPr>
          <w:rStyle w:val="CharDivText"/>
        </w:rPr>
        <w:t>Objections</w:t>
      </w:r>
      <w:bookmarkEnd w:id="85"/>
      <w:bookmarkEnd w:id="86"/>
    </w:p>
    <w:p>
      <w:pPr>
        <w:pStyle w:val="Heading5"/>
        <w:spacing w:before="200"/>
      </w:pPr>
      <w:bookmarkStart w:id="87" w:name="_Toc390070952"/>
      <w:bookmarkStart w:id="88" w:name="_Toc390070774"/>
      <w:r>
        <w:rPr>
          <w:rStyle w:val="CharSectno"/>
        </w:rPr>
        <w:t>34</w:t>
      </w:r>
      <w:r>
        <w:t>.</w:t>
      </w:r>
      <w:r>
        <w:tab/>
        <w:t>Right to object</w:t>
      </w:r>
      <w:bookmarkEnd w:id="87"/>
      <w:bookmarkEnd w:id="88"/>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2</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2</w:t>
      </w:r>
      <w:r>
        <w:rPr>
          <w:i w:val="0"/>
        </w:rPr>
        <w:t>.</w:t>
      </w:r>
      <w:r>
        <w:t>]</w:t>
      </w:r>
    </w:p>
    <w:p>
      <w:pPr>
        <w:pStyle w:val="Heading5"/>
      </w:pPr>
      <w:bookmarkStart w:id="89" w:name="_Toc390070953"/>
      <w:bookmarkStart w:id="90" w:name="_Toc390070775"/>
      <w:r>
        <w:rPr>
          <w:rStyle w:val="CharSectno"/>
        </w:rPr>
        <w:t>35</w:t>
      </w:r>
      <w:r>
        <w:t>.</w:t>
      </w:r>
      <w:r>
        <w:tab/>
        <w:t>Form of objection</w:t>
      </w:r>
      <w:bookmarkEnd w:id="89"/>
      <w:bookmarkEnd w:id="90"/>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91" w:name="_Toc390070954"/>
      <w:bookmarkStart w:id="92" w:name="_Toc390070776"/>
      <w:r>
        <w:rPr>
          <w:rStyle w:val="CharSectno"/>
        </w:rPr>
        <w:t>36</w:t>
      </w:r>
      <w:r>
        <w:t>.</w:t>
      </w:r>
      <w:r>
        <w:tab/>
        <w:t>Time for lodging objection</w:t>
      </w:r>
      <w:bookmarkEnd w:id="91"/>
      <w:bookmarkEnd w:id="92"/>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93" w:name="_Toc390070955"/>
      <w:bookmarkStart w:id="94" w:name="_Toc390070777"/>
      <w:r>
        <w:rPr>
          <w:rStyle w:val="CharSectno"/>
        </w:rPr>
        <w:t>37</w:t>
      </w:r>
      <w:r>
        <w:t>.</w:t>
      </w:r>
      <w:r>
        <w:tab/>
        <w:t>Consideration of objections</w:t>
      </w:r>
      <w:bookmarkEnd w:id="93"/>
      <w:bookmarkEnd w:id="94"/>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95" w:name="_Toc390070956"/>
      <w:bookmarkStart w:id="96" w:name="_Toc390070778"/>
      <w:r>
        <w:rPr>
          <w:rStyle w:val="CharSectno"/>
        </w:rPr>
        <w:t>38</w:t>
      </w:r>
      <w:r>
        <w:t>.</w:t>
      </w:r>
      <w:r>
        <w:tab/>
        <w:t>Time limit for determining objections</w:t>
      </w:r>
      <w:bookmarkEnd w:id="95"/>
      <w:bookmarkEnd w:id="96"/>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97" w:name="_Toc390070957"/>
      <w:bookmarkStart w:id="98" w:name="_Toc390070779"/>
      <w:r>
        <w:rPr>
          <w:rStyle w:val="CharSectno"/>
        </w:rPr>
        <w:t>39</w:t>
      </w:r>
      <w:r>
        <w:t>.</w:t>
      </w:r>
      <w:r>
        <w:tab/>
        <w:t>Reassessment on determination of objection</w:t>
      </w:r>
      <w:bookmarkEnd w:id="97"/>
      <w:bookmarkEnd w:id="98"/>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99" w:name="_Toc390070958"/>
      <w:bookmarkStart w:id="100" w:name="_Toc390070780"/>
      <w:r>
        <w:rPr>
          <w:rStyle w:val="CharDivNo"/>
        </w:rPr>
        <w:t>Division 3</w:t>
      </w:r>
      <w:r>
        <w:t> — </w:t>
      </w:r>
      <w:r>
        <w:rPr>
          <w:rStyle w:val="CharDivText"/>
        </w:rPr>
        <w:t>Reviews and stated cases</w:t>
      </w:r>
      <w:bookmarkEnd w:id="99"/>
      <w:bookmarkEnd w:id="100"/>
    </w:p>
    <w:p>
      <w:pPr>
        <w:pStyle w:val="Footnoteheading"/>
        <w:tabs>
          <w:tab w:val="left" w:pos="851"/>
        </w:tabs>
      </w:pPr>
      <w:r>
        <w:rPr>
          <w:i w:val="0"/>
        </w:rPr>
        <w:tab/>
      </w:r>
      <w:r>
        <w:t>[Heading amended by No. 55 of 2004 s. 1173.]</w:t>
      </w:r>
    </w:p>
    <w:p>
      <w:pPr>
        <w:pStyle w:val="Heading5"/>
      </w:pPr>
      <w:bookmarkStart w:id="101" w:name="_Toc390070959"/>
      <w:bookmarkStart w:id="102" w:name="_Toc390070781"/>
      <w:r>
        <w:rPr>
          <w:rStyle w:val="CharSectno"/>
        </w:rPr>
        <w:t>40</w:t>
      </w:r>
      <w:r>
        <w:t>.</w:t>
      </w:r>
      <w:r>
        <w:tab/>
        <w:t>Right of review</w:t>
      </w:r>
      <w:bookmarkEnd w:id="101"/>
      <w:bookmarkEnd w:id="102"/>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103" w:name="_Toc390070960"/>
      <w:bookmarkStart w:id="104" w:name="_Toc390070782"/>
      <w:r>
        <w:rPr>
          <w:rStyle w:val="CharSectno"/>
        </w:rPr>
        <w:t>42</w:t>
      </w:r>
      <w:r>
        <w:t>.</w:t>
      </w:r>
      <w:r>
        <w:tab/>
        <w:t>Time for review</w:t>
      </w:r>
      <w:bookmarkEnd w:id="103"/>
      <w:bookmarkEnd w:id="104"/>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105" w:name="_Toc390070961"/>
      <w:bookmarkStart w:id="106" w:name="_Toc390070783"/>
      <w:r>
        <w:rPr>
          <w:rStyle w:val="CharSectno"/>
        </w:rPr>
        <w:t>43</w:t>
      </w:r>
      <w:r>
        <w:t>.</w:t>
      </w:r>
      <w:r>
        <w:tab/>
        <w:t>Proceedings before State Administrative Tribunal</w:t>
      </w:r>
      <w:bookmarkEnd w:id="105"/>
      <w:bookmarkEnd w:id="106"/>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107" w:name="_Toc390070962"/>
      <w:bookmarkStart w:id="108" w:name="_Toc390070784"/>
      <w:r>
        <w:rPr>
          <w:rStyle w:val="CharSectno"/>
        </w:rPr>
        <w:t>43A</w:t>
      </w:r>
      <w:r>
        <w:t>.</w:t>
      </w:r>
      <w:r>
        <w:tab/>
        <w:t>Appeal from decision of State Administrative Tribunal</w:t>
      </w:r>
      <w:bookmarkEnd w:id="107"/>
      <w:bookmarkEnd w:id="108"/>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09" w:name="_Toc390070963"/>
      <w:bookmarkStart w:id="110" w:name="_Toc390070785"/>
      <w:r>
        <w:rPr>
          <w:rStyle w:val="CharSectno"/>
        </w:rPr>
        <w:t>44</w:t>
      </w:r>
      <w:r>
        <w:t>.</w:t>
      </w:r>
      <w:r>
        <w:tab/>
        <w:t>Cases stated by Commissioner</w:t>
      </w:r>
      <w:bookmarkEnd w:id="109"/>
      <w:bookmarkEnd w:id="110"/>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11" w:name="_Toc390070964"/>
      <w:bookmarkStart w:id="112" w:name="_Toc390070786"/>
      <w:r>
        <w:rPr>
          <w:rStyle w:val="CharPartNo"/>
        </w:rPr>
        <w:t>Part 5</w:t>
      </w:r>
      <w:r>
        <w:t xml:space="preserve"> — </w:t>
      </w:r>
      <w:r>
        <w:rPr>
          <w:rStyle w:val="CharPartText"/>
        </w:rPr>
        <w:t>Payment and refund of tax</w:t>
      </w:r>
      <w:bookmarkEnd w:id="111"/>
      <w:bookmarkEnd w:id="112"/>
    </w:p>
    <w:p>
      <w:pPr>
        <w:pStyle w:val="Heading3"/>
      </w:pPr>
      <w:bookmarkStart w:id="113" w:name="_Toc390070965"/>
      <w:bookmarkStart w:id="114" w:name="_Toc390070787"/>
      <w:r>
        <w:rPr>
          <w:rStyle w:val="CharDivNo"/>
        </w:rPr>
        <w:t>Division 1</w:t>
      </w:r>
      <w:r>
        <w:t xml:space="preserve"> — </w:t>
      </w:r>
      <w:r>
        <w:rPr>
          <w:rStyle w:val="CharDivText"/>
        </w:rPr>
        <w:t>Payment</w:t>
      </w:r>
      <w:bookmarkEnd w:id="113"/>
      <w:bookmarkEnd w:id="114"/>
    </w:p>
    <w:p>
      <w:pPr>
        <w:pStyle w:val="Heading5"/>
      </w:pPr>
      <w:bookmarkStart w:id="115" w:name="_Toc390070966"/>
      <w:bookmarkStart w:id="116" w:name="_Toc390070788"/>
      <w:r>
        <w:rPr>
          <w:rStyle w:val="CharSectno"/>
        </w:rPr>
        <w:t>45</w:t>
      </w:r>
      <w:r>
        <w:t>.</w:t>
      </w:r>
      <w:r>
        <w:tab/>
        <w:t>When tax is due for payment</w:t>
      </w:r>
      <w:bookmarkEnd w:id="115"/>
      <w:bookmarkEnd w:id="116"/>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17" w:name="_Toc390070967"/>
      <w:bookmarkStart w:id="118" w:name="_Toc390070789"/>
      <w:r>
        <w:rPr>
          <w:rStyle w:val="CharSectno"/>
        </w:rPr>
        <w:t>46</w:t>
      </w:r>
      <w:r>
        <w:t>.</w:t>
      </w:r>
      <w:r>
        <w:tab/>
        <w:t>Allocation of payment</w:t>
      </w:r>
      <w:bookmarkEnd w:id="117"/>
      <w:bookmarkEnd w:id="118"/>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19" w:name="_Toc390070968"/>
      <w:bookmarkStart w:id="120" w:name="_Toc390070790"/>
      <w:r>
        <w:rPr>
          <w:rStyle w:val="CharSectno"/>
        </w:rPr>
        <w:t>47</w:t>
      </w:r>
      <w:r>
        <w:t>.</w:t>
      </w:r>
      <w:r>
        <w:tab/>
        <w:t>Arrangements for instalments and extensions of time</w:t>
      </w:r>
      <w:bookmarkEnd w:id="119"/>
      <w:bookmarkEnd w:id="12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2</w:t>
      </w:r>
      <w:r>
        <w:t>.]</w:t>
      </w:r>
    </w:p>
    <w:p>
      <w:pPr>
        <w:pStyle w:val="Ednotesection"/>
      </w:pPr>
      <w:r>
        <w:t>[</w:t>
      </w:r>
      <w:r>
        <w:rPr>
          <w:b/>
        </w:rPr>
        <w:t>48.</w:t>
      </w:r>
      <w:r>
        <w:tab/>
        <w:t>has not come into operation</w:t>
      </w:r>
      <w:r>
        <w:rPr>
          <w:i w:val="0"/>
        </w:rPr>
        <w:t> </w:t>
      </w:r>
      <w:r>
        <w:rPr>
          <w:i w:val="0"/>
          <w:vertAlign w:val="superscript"/>
        </w:rPr>
        <w:t>2</w:t>
      </w:r>
      <w:r>
        <w:t>.]</w:t>
      </w:r>
    </w:p>
    <w:p>
      <w:pPr>
        <w:pStyle w:val="Heading3"/>
      </w:pPr>
      <w:bookmarkStart w:id="121" w:name="_Toc390070969"/>
      <w:bookmarkStart w:id="122" w:name="_Toc390070791"/>
      <w:r>
        <w:rPr>
          <w:rStyle w:val="CharDivNo"/>
        </w:rPr>
        <w:t>Division 2</w:t>
      </w:r>
      <w:r>
        <w:t xml:space="preserve"> — </w:t>
      </w:r>
      <w:r>
        <w:rPr>
          <w:rStyle w:val="CharDivText"/>
        </w:rPr>
        <w:t>Special tax return arrangements</w:t>
      </w:r>
      <w:bookmarkEnd w:id="121"/>
      <w:bookmarkEnd w:id="122"/>
    </w:p>
    <w:p>
      <w:pPr>
        <w:pStyle w:val="Heading5"/>
      </w:pPr>
      <w:bookmarkStart w:id="123" w:name="_Toc390070970"/>
      <w:bookmarkStart w:id="124" w:name="_Toc390070792"/>
      <w:r>
        <w:rPr>
          <w:rStyle w:val="CharSectno"/>
        </w:rPr>
        <w:t>49</w:t>
      </w:r>
      <w:r>
        <w:t>.</w:t>
      </w:r>
      <w:r>
        <w:tab/>
        <w:t>Approval of special tax return arrangements</w:t>
      </w:r>
      <w:bookmarkEnd w:id="123"/>
      <w:bookmarkEnd w:id="124"/>
    </w:p>
    <w:p>
      <w:pPr>
        <w:pStyle w:val="Subsection"/>
        <w:spacing w:before="140"/>
      </w:pPr>
      <w:r>
        <w:tab/>
        <w:t>(1)</w:t>
      </w:r>
      <w:r>
        <w:tab/>
        <w:t>The Commissioner may make a special tax return arrangement with a taxpayer or another person in relation to a taxpayer’s obligations under a taxation Act.</w:t>
      </w:r>
    </w:p>
    <w:p>
      <w:pPr>
        <w:pStyle w:val="Subsection"/>
        <w:spacing w:before="140"/>
      </w:pPr>
      <w:r>
        <w:tab/>
        <w:t>(2)</w:t>
      </w:r>
      <w:r>
        <w:tab/>
        <w:t>Without limiting subsection (1), a special tax return arrangement may be made with — </w:t>
      </w:r>
    </w:p>
    <w:p>
      <w:pPr>
        <w:pStyle w:val="Indenta"/>
        <w:spacing w:before="60"/>
      </w:pPr>
      <w:r>
        <w:tab/>
        <w:t>(a)</w:t>
      </w:r>
      <w:r>
        <w:tab/>
        <w:t>a particular taxpayer in relation to the taxpayer’s obligations under a taxation Act;</w:t>
      </w:r>
    </w:p>
    <w:p>
      <w:pPr>
        <w:pStyle w:val="Indenta"/>
        <w:spacing w:before="60"/>
      </w:pPr>
      <w:r>
        <w:tab/>
        <w:t>(b)</w:t>
      </w:r>
      <w:r>
        <w:tab/>
        <w:t>a particular taxpayer in relation to obligations the taxpayer has jointly with other taxpayers under a taxation Act; or</w:t>
      </w:r>
    </w:p>
    <w:p>
      <w:pPr>
        <w:pStyle w:val="Indenta"/>
        <w:spacing w:before="60"/>
      </w:pPr>
      <w:r>
        <w:tab/>
        <w:t>(c)</w:t>
      </w:r>
      <w:r>
        <w:tab/>
        <w:t>an agent in relation to obligations of taxpayers for whom the agent is authorised to act.</w:t>
      </w:r>
    </w:p>
    <w:p>
      <w:pPr>
        <w:pStyle w:val="Subsection"/>
        <w:spacing w:before="140"/>
      </w:pPr>
      <w:r>
        <w:tab/>
        <w:t>(3)</w:t>
      </w:r>
      <w:r>
        <w:tab/>
        <w:t>A special tax return arrangement is to be made — </w:t>
      </w:r>
    </w:p>
    <w:p>
      <w:pPr>
        <w:pStyle w:val="Indenta"/>
        <w:spacing w:before="60"/>
      </w:pPr>
      <w:r>
        <w:tab/>
        <w:t>(a)</w:t>
      </w:r>
      <w:r>
        <w:tab/>
        <w:t>in writing; and</w:t>
      </w:r>
    </w:p>
    <w:p>
      <w:pPr>
        <w:pStyle w:val="Indenta"/>
        <w:spacing w:before="60"/>
      </w:pPr>
      <w:r>
        <w:tab/>
        <w:t>(b)</w:t>
      </w:r>
      <w:r>
        <w:tab/>
        <w:t>on terms agreed between the Commissioner and the responsible party.</w:t>
      </w:r>
    </w:p>
    <w:p>
      <w:pPr>
        <w:pStyle w:val="Heading5"/>
      </w:pPr>
      <w:bookmarkStart w:id="125" w:name="_Toc390070971"/>
      <w:bookmarkStart w:id="126" w:name="_Toc390070793"/>
      <w:r>
        <w:rPr>
          <w:rStyle w:val="CharSectno"/>
        </w:rPr>
        <w:t>50</w:t>
      </w:r>
      <w:r>
        <w:t>.</w:t>
      </w:r>
      <w:r>
        <w:tab/>
        <w:t>Content of special tax return arrangement</w:t>
      </w:r>
      <w:bookmarkEnd w:id="125"/>
      <w:bookmarkEnd w:id="126"/>
    </w:p>
    <w:p>
      <w:pPr>
        <w:pStyle w:val="Subsection"/>
        <w:spacing w:before="140"/>
      </w:pPr>
      <w:r>
        <w:tab/>
        <w:t>(1)</w:t>
      </w:r>
      <w:r>
        <w:tab/>
        <w:t>A special tax return arrangement — </w:t>
      </w:r>
    </w:p>
    <w:p>
      <w:pPr>
        <w:pStyle w:val="Indenta"/>
        <w:spacing w:before="60"/>
      </w:pPr>
      <w:r>
        <w:tab/>
        <w:t>(a)</w:t>
      </w:r>
      <w:r>
        <w:tab/>
        <w:t>may require the lodging of returns, and the self</w:t>
      </w:r>
      <w:r>
        <w:noBreakHyphen/>
        <w:t>assessment and payment of tax, in accordance with the arrangement;</w:t>
      </w:r>
    </w:p>
    <w:p>
      <w:pPr>
        <w:pStyle w:val="Indenta"/>
        <w:spacing w:before="60"/>
      </w:pPr>
      <w:r>
        <w:tab/>
        <w:t>(b)</w:t>
      </w:r>
      <w:r>
        <w:tab/>
        <w:t>may require compliance with any other obligations imposed under the conditions of the arrangement;</w:t>
      </w:r>
    </w:p>
    <w:p>
      <w:pPr>
        <w:pStyle w:val="Indenta"/>
        <w:spacing w:before="60"/>
      </w:pPr>
      <w:r>
        <w:tab/>
        <w:t>(c)</w:t>
      </w:r>
      <w:r>
        <w:tab/>
        <w:t>may exempt the taxpayer or taxpayers covered by the arrangement from compliance with specified administrative requirements of a taxation Act;</w:t>
      </w:r>
    </w:p>
    <w:p>
      <w:pPr>
        <w:pStyle w:val="Indenta"/>
        <w:spacing w:before="60"/>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127" w:name="_Toc390070972"/>
      <w:bookmarkStart w:id="128" w:name="_Toc390070794"/>
      <w:r>
        <w:rPr>
          <w:rStyle w:val="CharSectno"/>
        </w:rPr>
        <w:t>51</w:t>
      </w:r>
      <w:r>
        <w:t>.</w:t>
      </w:r>
      <w:r>
        <w:tab/>
        <w:t>Instruments stamped or endorsed under a special tax return arrangement</w:t>
      </w:r>
      <w:bookmarkEnd w:id="127"/>
      <w:bookmarkEnd w:id="128"/>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129" w:name="_Toc390070973"/>
      <w:bookmarkStart w:id="130" w:name="_Toc390070795"/>
      <w:r>
        <w:rPr>
          <w:rStyle w:val="CharSectno"/>
        </w:rPr>
        <w:t>52</w:t>
      </w:r>
      <w:r>
        <w:t>.</w:t>
      </w:r>
      <w:r>
        <w:tab/>
        <w:t>Lodging returns under special tax return arrangement</w:t>
      </w:r>
      <w:bookmarkEnd w:id="129"/>
      <w:bookmarkEnd w:id="130"/>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31" w:name="_Toc390070974"/>
      <w:bookmarkStart w:id="132" w:name="_Toc390070796"/>
      <w:r>
        <w:rPr>
          <w:rStyle w:val="CharSectno"/>
        </w:rPr>
        <w:t>53</w:t>
      </w:r>
      <w:r>
        <w:t>.</w:t>
      </w:r>
      <w:r>
        <w:tab/>
        <w:t>Amendment or cancellation of arrangement</w:t>
      </w:r>
      <w:bookmarkEnd w:id="131"/>
      <w:bookmarkEnd w:id="132"/>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33" w:name="_Toc390070975"/>
      <w:bookmarkStart w:id="134" w:name="_Toc390070797"/>
      <w:r>
        <w:rPr>
          <w:rStyle w:val="CharDivNo"/>
        </w:rPr>
        <w:t>Division 3</w:t>
      </w:r>
      <w:r>
        <w:t xml:space="preserve"> — </w:t>
      </w:r>
      <w:r>
        <w:rPr>
          <w:rStyle w:val="CharDivText"/>
        </w:rPr>
        <w:t>Refunds of tax</w:t>
      </w:r>
      <w:bookmarkEnd w:id="133"/>
      <w:bookmarkEnd w:id="134"/>
    </w:p>
    <w:p>
      <w:pPr>
        <w:pStyle w:val="Heading5"/>
      </w:pPr>
      <w:bookmarkStart w:id="135" w:name="_Toc390070976"/>
      <w:bookmarkStart w:id="136" w:name="_Toc390070798"/>
      <w:r>
        <w:rPr>
          <w:rStyle w:val="CharSectno"/>
        </w:rPr>
        <w:t>54</w:t>
      </w:r>
      <w:r>
        <w:t>.</w:t>
      </w:r>
      <w:r>
        <w:tab/>
        <w:t>Power to make refund</w:t>
      </w:r>
      <w:bookmarkEnd w:id="135"/>
      <w:bookmarkEnd w:id="136"/>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spacing w:before="60"/>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spacing w:before="60"/>
      </w:pPr>
      <w:r>
        <w:tab/>
        <w:t>(a)</w:t>
      </w:r>
      <w:r>
        <w:tab/>
        <w:t>on a ground on which refunds are authorised or required by a taxation Act; or</w:t>
      </w:r>
    </w:p>
    <w:p>
      <w:pPr>
        <w:pStyle w:val="Indenta"/>
        <w:spacing w:before="60"/>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spacing w:before="60"/>
      </w:pPr>
      <w:r>
        <w:tab/>
        <w:t>(a)</w:t>
      </w:r>
      <w:r>
        <w:tab/>
        <w:t>within a period fixed by a taxation Act for making the application; or</w:t>
      </w:r>
    </w:p>
    <w:p>
      <w:pPr>
        <w:pStyle w:val="Indenta"/>
        <w:spacing w:before="60"/>
      </w:pPr>
      <w:r>
        <w:tab/>
        <w:t>(b)</w:t>
      </w:r>
      <w:r>
        <w:tab/>
        <w:t>if no period is fixed by a taxation Act — within 5 years of the date when the overpayment was made.</w:t>
      </w:r>
    </w:p>
    <w:p>
      <w:pPr>
        <w:pStyle w:val="Heading5"/>
      </w:pPr>
      <w:bookmarkStart w:id="137" w:name="_Toc390070977"/>
      <w:bookmarkStart w:id="138" w:name="_Toc390070799"/>
      <w:r>
        <w:rPr>
          <w:rStyle w:val="CharSectno"/>
        </w:rPr>
        <w:t>55</w:t>
      </w:r>
      <w:r>
        <w:t>.</w:t>
      </w:r>
      <w:r>
        <w:tab/>
        <w:t>Refund to be passed on in certain cases</w:t>
      </w:r>
      <w:bookmarkEnd w:id="137"/>
      <w:bookmarkEnd w:id="138"/>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spacing w:before="60"/>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Heading3"/>
      </w:pPr>
      <w:bookmarkStart w:id="139" w:name="_Toc390070978"/>
      <w:bookmarkStart w:id="140" w:name="_Toc390070800"/>
      <w:r>
        <w:rPr>
          <w:rStyle w:val="CharDivNo"/>
        </w:rPr>
        <w:t>Division 4</w:t>
      </w:r>
      <w:r>
        <w:t xml:space="preserve"> — </w:t>
      </w:r>
      <w:r>
        <w:rPr>
          <w:rStyle w:val="CharDivText"/>
        </w:rPr>
        <w:t>Power to waive or write off liability</w:t>
      </w:r>
      <w:bookmarkEnd w:id="139"/>
      <w:bookmarkEnd w:id="140"/>
    </w:p>
    <w:p>
      <w:pPr>
        <w:pStyle w:val="Heading5"/>
      </w:pPr>
      <w:bookmarkStart w:id="141" w:name="_Toc390070979"/>
      <w:bookmarkStart w:id="142" w:name="_Toc390070801"/>
      <w:r>
        <w:rPr>
          <w:rStyle w:val="CharSectno"/>
        </w:rPr>
        <w:t>56</w:t>
      </w:r>
      <w:r>
        <w:t>.</w:t>
      </w:r>
      <w:r>
        <w:tab/>
        <w:t>Waiver of tax</w:t>
      </w:r>
      <w:bookmarkEnd w:id="141"/>
      <w:bookmarkEnd w:id="142"/>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143" w:name="_Toc390070980"/>
      <w:bookmarkStart w:id="144" w:name="_Toc390070802"/>
      <w:r>
        <w:rPr>
          <w:rStyle w:val="CharSectno"/>
        </w:rPr>
        <w:t>57</w:t>
      </w:r>
      <w:r>
        <w:t>.</w:t>
      </w:r>
      <w:r>
        <w:tab/>
        <w:t>Writing off tax liability</w:t>
      </w:r>
      <w:bookmarkEnd w:id="143"/>
      <w:bookmarkEnd w:id="144"/>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145" w:name="_Toc390070803"/>
      <w:bookmarkStart w:id="146" w:name="_Toc390070981"/>
      <w:r>
        <w:rPr>
          <w:rStyle w:val="CharSectno"/>
        </w:rPr>
        <w:t>58</w:t>
      </w:r>
      <w:r>
        <w:t>.</w:t>
      </w:r>
      <w:r>
        <w:tab/>
        <w:t>Powers subject to</w:t>
      </w:r>
      <w:r>
        <w:rPr>
          <w:i/>
        </w:rPr>
        <w:t xml:space="preserve"> Financial </w:t>
      </w:r>
      <w:del w:id="147" w:author="svcMRProcess" w:date="2018-09-09T10:07:00Z">
        <w:r>
          <w:rPr>
            <w:i/>
          </w:rPr>
          <w:delText>Administration and Audit</w:delText>
        </w:r>
      </w:del>
      <w:ins w:id="148" w:author="svcMRProcess" w:date="2018-09-09T10:07:00Z">
        <w:r>
          <w:rPr>
            <w:i/>
          </w:rPr>
          <w:t>Management</w:t>
        </w:r>
      </w:ins>
      <w:r>
        <w:rPr>
          <w:i/>
        </w:rPr>
        <w:t xml:space="preserve"> Act </w:t>
      </w:r>
      <w:del w:id="149" w:author="svcMRProcess" w:date="2018-09-09T10:07:00Z">
        <w:r>
          <w:rPr>
            <w:i/>
          </w:rPr>
          <w:delText>1985</w:delText>
        </w:r>
      </w:del>
      <w:bookmarkEnd w:id="145"/>
      <w:ins w:id="150" w:author="svcMRProcess" w:date="2018-09-09T10:07:00Z">
        <w:r>
          <w:rPr>
            <w:i/>
          </w:rPr>
          <w:t>2006</w:t>
        </w:r>
        <w:r>
          <w:t>.</w:t>
        </w:r>
      </w:ins>
      <w:bookmarkEnd w:id="146"/>
    </w:p>
    <w:p>
      <w:pPr>
        <w:pStyle w:val="Subsection"/>
      </w:pPr>
      <w:r>
        <w:rPr>
          <w:b/>
        </w:rPr>
        <w:tab/>
      </w:r>
      <w:r>
        <w:rPr>
          <w:b/>
        </w:rPr>
        <w:tab/>
      </w:r>
      <w:r>
        <w:t>This Division is to be read subject to the</w:t>
      </w:r>
      <w:r>
        <w:rPr>
          <w:i/>
        </w:rPr>
        <w:t xml:space="preserve"> Financial </w:t>
      </w:r>
      <w:del w:id="151" w:author="svcMRProcess" w:date="2018-09-09T10:07:00Z">
        <w:r>
          <w:rPr>
            <w:i/>
          </w:rPr>
          <w:delText>Administration and Audit</w:delText>
        </w:r>
      </w:del>
      <w:ins w:id="152" w:author="svcMRProcess" w:date="2018-09-09T10:07:00Z">
        <w:r>
          <w:rPr>
            <w:i/>
          </w:rPr>
          <w:t>Management</w:t>
        </w:r>
      </w:ins>
      <w:r>
        <w:rPr>
          <w:i/>
        </w:rPr>
        <w:t xml:space="preserve"> Act </w:t>
      </w:r>
      <w:del w:id="153" w:author="svcMRProcess" w:date="2018-09-09T10:07:00Z">
        <w:r>
          <w:rPr>
            <w:i/>
          </w:rPr>
          <w:delText>1985</w:delText>
        </w:r>
      </w:del>
      <w:ins w:id="154" w:author="svcMRProcess" w:date="2018-09-09T10:07:00Z">
        <w:r>
          <w:rPr>
            <w:i/>
          </w:rPr>
          <w:t>2006</w:t>
        </w:r>
      </w:ins>
      <w:r>
        <w:t>.</w:t>
      </w:r>
    </w:p>
    <w:p>
      <w:pPr>
        <w:pStyle w:val="Footnotesection"/>
        <w:rPr>
          <w:ins w:id="155" w:author="svcMRProcess" w:date="2018-09-09T10:07:00Z"/>
        </w:rPr>
      </w:pPr>
      <w:ins w:id="156" w:author="svcMRProcess" w:date="2018-09-09T10:07:00Z">
        <w:r>
          <w:tab/>
          <w:t>[Section 58 amended by No. 77 of 2006 s. 17.]</w:t>
        </w:r>
      </w:ins>
    </w:p>
    <w:p>
      <w:pPr>
        <w:pStyle w:val="Ednotesection"/>
      </w:pPr>
      <w:r>
        <w:t>[</w:t>
      </w:r>
      <w:r>
        <w:rPr>
          <w:b/>
        </w:rPr>
        <w:t>59.</w:t>
      </w:r>
      <w:r>
        <w:tab/>
        <w:t>has not come into operation</w:t>
      </w:r>
      <w:r>
        <w:rPr>
          <w:i w:val="0"/>
        </w:rPr>
        <w:t> </w:t>
      </w:r>
      <w:r>
        <w:rPr>
          <w:i w:val="0"/>
          <w:vertAlign w:val="superscript"/>
        </w:rPr>
        <w:t>2</w:t>
      </w:r>
      <w:r>
        <w:t>.]</w:t>
      </w:r>
    </w:p>
    <w:p>
      <w:pPr>
        <w:pStyle w:val="Heading2"/>
      </w:pPr>
      <w:bookmarkStart w:id="157" w:name="_Toc390070982"/>
      <w:bookmarkStart w:id="158" w:name="_Toc390070804"/>
      <w:r>
        <w:rPr>
          <w:rStyle w:val="CharPartNo"/>
        </w:rPr>
        <w:t>Part 6</w:t>
      </w:r>
      <w:r>
        <w:t xml:space="preserve"> — </w:t>
      </w:r>
      <w:r>
        <w:rPr>
          <w:rStyle w:val="CharPartText"/>
        </w:rPr>
        <w:t>Recovery of tax</w:t>
      </w:r>
      <w:bookmarkEnd w:id="157"/>
      <w:bookmarkEnd w:id="158"/>
    </w:p>
    <w:p>
      <w:pPr>
        <w:pStyle w:val="Heading3"/>
      </w:pPr>
      <w:bookmarkStart w:id="159" w:name="_Toc390070983"/>
      <w:bookmarkStart w:id="160" w:name="_Toc390070805"/>
      <w:r>
        <w:rPr>
          <w:rStyle w:val="CharDivNo"/>
        </w:rPr>
        <w:t>Division 1</w:t>
      </w:r>
      <w:r>
        <w:t xml:space="preserve"> — </w:t>
      </w:r>
      <w:r>
        <w:rPr>
          <w:rStyle w:val="CharDivText"/>
        </w:rPr>
        <w:t>Recovery generally</w:t>
      </w:r>
      <w:bookmarkEnd w:id="159"/>
      <w:bookmarkEnd w:id="160"/>
    </w:p>
    <w:p>
      <w:pPr>
        <w:pStyle w:val="Heading5"/>
      </w:pPr>
      <w:bookmarkStart w:id="161" w:name="_Toc390070984"/>
      <w:bookmarkStart w:id="162" w:name="_Toc390070806"/>
      <w:r>
        <w:rPr>
          <w:rStyle w:val="CharSectno"/>
        </w:rPr>
        <w:t>60</w:t>
      </w:r>
      <w:r>
        <w:t>.</w:t>
      </w:r>
      <w:r>
        <w:tab/>
        <w:t>Recovery of unpaid tax</w:t>
      </w:r>
      <w:bookmarkEnd w:id="161"/>
      <w:bookmarkEnd w:id="162"/>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63" w:name="_Toc390070985"/>
      <w:bookmarkStart w:id="164" w:name="_Toc390070807"/>
      <w:r>
        <w:rPr>
          <w:rStyle w:val="CharSectno"/>
        </w:rPr>
        <w:t>61</w:t>
      </w:r>
      <w:r>
        <w:t>.</w:t>
      </w:r>
      <w:r>
        <w:tab/>
        <w:t>Power of court to order payment of tax</w:t>
      </w:r>
      <w:bookmarkEnd w:id="163"/>
      <w:bookmarkEnd w:id="164"/>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65" w:name="_Toc390070986"/>
      <w:bookmarkStart w:id="166" w:name="_Toc390070808"/>
      <w:r>
        <w:rPr>
          <w:rStyle w:val="CharSectno"/>
        </w:rPr>
        <w:t>62</w:t>
      </w:r>
      <w:r>
        <w:t>.</w:t>
      </w:r>
      <w:r>
        <w:tab/>
        <w:t>Recovery of costs and interest</w:t>
      </w:r>
      <w:bookmarkEnd w:id="165"/>
      <w:bookmarkEnd w:id="166"/>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167" w:name="_Toc390070987"/>
      <w:bookmarkStart w:id="168" w:name="_Toc390070809"/>
      <w:r>
        <w:rPr>
          <w:rStyle w:val="CharSectno"/>
        </w:rPr>
        <w:t>63</w:t>
      </w:r>
      <w:r>
        <w:t>.</w:t>
      </w:r>
      <w:r>
        <w:tab/>
        <w:t>Recovery of tax in cases of joint liability</w:t>
      </w:r>
      <w:bookmarkEnd w:id="167"/>
      <w:bookmarkEnd w:id="168"/>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69" w:name="_Toc390070988"/>
      <w:bookmarkStart w:id="170" w:name="_Toc390070810"/>
      <w:r>
        <w:rPr>
          <w:rStyle w:val="CharSectno"/>
        </w:rPr>
        <w:t>64</w:t>
      </w:r>
      <w:r>
        <w:t>.</w:t>
      </w:r>
      <w:r>
        <w:tab/>
        <w:t>Notice of administrator’s appointment</w:t>
      </w:r>
      <w:bookmarkEnd w:id="169"/>
      <w:bookmarkEnd w:id="17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71" w:name="_Toc390070989"/>
      <w:bookmarkStart w:id="172" w:name="_Toc390070811"/>
      <w:r>
        <w:rPr>
          <w:rStyle w:val="CharSectno"/>
        </w:rPr>
        <w:t>65</w:t>
      </w:r>
      <w:r>
        <w:t>.</w:t>
      </w:r>
      <w:r>
        <w:tab/>
        <w:t>Power to garnishee</w:t>
      </w:r>
      <w:bookmarkEnd w:id="171"/>
      <w:bookmarkEnd w:id="172"/>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73" w:name="_Toc390070990"/>
      <w:bookmarkStart w:id="174" w:name="_Toc390070812"/>
      <w:r>
        <w:rPr>
          <w:rStyle w:val="CharSectno"/>
        </w:rPr>
        <w:t>66</w:t>
      </w:r>
      <w:r>
        <w:t>.</w:t>
      </w:r>
      <w:r>
        <w:tab/>
        <w:t>Recovery from partnerships</w:t>
      </w:r>
      <w:bookmarkEnd w:id="173"/>
      <w:bookmarkEnd w:id="174"/>
    </w:p>
    <w:p>
      <w:pPr>
        <w:pStyle w:val="Subsection"/>
      </w:pPr>
      <w:r>
        <w:tab/>
      </w:r>
      <w:r>
        <w:tab/>
        <w:t>If a tax liability is incurred by or on behalf of a partnership, the tax is recoverable jointly and severally from any one or more of the partners.</w:t>
      </w:r>
    </w:p>
    <w:p>
      <w:pPr>
        <w:pStyle w:val="Heading5"/>
      </w:pPr>
      <w:bookmarkStart w:id="175" w:name="_Toc390070991"/>
      <w:bookmarkStart w:id="176" w:name="_Toc390070813"/>
      <w:r>
        <w:rPr>
          <w:rStyle w:val="CharSectno"/>
        </w:rPr>
        <w:t>67</w:t>
      </w:r>
      <w:r>
        <w:t>.</w:t>
      </w:r>
      <w:r>
        <w:tab/>
        <w:t>Recovery from directors of body corporate</w:t>
      </w:r>
      <w:bookmarkEnd w:id="175"/>
      <w:bookmarkEnd w:id="176"/>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77" w:name="_Toc390070992"/>
      <w:bookmarkStart w:id="178" w:name="_Toc390070814"/>
      <w:r>
        <w:rPr>
          <w:rStyle w:val="CharSectno"/>
        </w:rPr>
        <w:t>68</w:t>
      </w:r>
      <w:r>
        <w:t>.</w:t>
      </w:r>
      <w:r>
        <w:tab/>
        <w:t>Director of body corporate may apply</w:t>
      </w:r>
      <w:bookmarkEnd w:id="177"/>
      <w:bookmarkEnd w:id="178"/>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79" w:name="_Toc390070993"/>
      <w:bookmarkStart w:id="180" w:name="_Toc390070815"/>
      <w:r>
        <w:rPr>
          <w:rStyle w:val="CharSectno"/>
        </w:rPr>
        <w:t>69</w:t>
      </w:r>
      <w:r>
        <w:t>.</w:t>
      </w:r>
      <w:r>
        <w:tab/>
        <w:t>Determination of application where there is a dispute</w:t>
      </w:r>
      <w:bookmarkEnd w:id="179"/>
      <w:bookmarkEnd w:id="180"/>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81" w:name="_Toc390070994"/>
      <w:bookmarkStart w:id="182" w:name="_Toc390070816"/>
      <w:r>
        <w:rPr>
          <w:rStyle w:val="CharSectno"/>
        </w:rPr>
        <w:t>70</w:t>
      </w:r>
      <w:r>
        <w:t>.</w:t>
      </w:r>
      <w:r>
        <w:tab/>
        <w:t>Setting aside demand on other grounds</w:t>
      </w:r>
      <w:bookmarkEnd w:id="181"/>
      <w:bookmarkEnd w:id="182"/>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83" w:name="_Toc390070995"/>
      <w:bookmarkStart w:id="184" w:name="_Toc390070817"/>
      <w:r>
        <w:rPr>
          <w:rStyle w:val="CharSectno"/>
        </w:rPr>
        <w:t>71</w:t>
      </w:r>
      <w:r>
        <w:t>.</w:t>
      </w:r>
      <w:r>
        <w:tab/>
        <w:t>Effect of order setting aside notice</w:t>
      </w:r>
      <w:bookmarkEnd w:id="183"/>
      <w:bookmarkEnd w:id="184"/>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85" w:name="_Toc390070996"/>
      <w:bookmarkStart w:id="186" w:name="_Toc390070818"/>
      <w:r>
        <w:rPr>
          <w:rStyle w:val="CharSectno"/>
        </w:rPr>
        <w:t>72</w:t>
      </w:r>
      <w:r>
        <w:t>.</w:t>
      </w:r>
      <w:r>
        <w:tab/>
        <w:t>Dismissal of application</w:t>
      </w:r>
      <w:bookmarkEnd w:id="185"/>
      <w:bookmarkEnd w:id="186"/>
    </w:p>
    <w:p>
      <w:pPr>
        <w:pStyle w:val="Subsection"/>
      </w:pPr>
      <w:r>
        <w:tab/>
      </w:r>
      <w:r>
        <w:tab/>
        <w:t>Unless the court makes, on an application under section 68, an order under section 69 or 70, the court is to dismiss the application.</w:t>
      </w:r>
    </w:p>
    <w:p>
      <w:pPr>
        <w:pStyle w:val="Heading5"/>
      </w:pPr>
      <w:bookmarkStart w:id="187" w:name="_Toc390070997"/>
      <w:bookmarkStart w:id="188" w:name="_Toc390070819"/>
      <w:r>
        <w:rPr>
          <w:rStyle w:val="CharSectno"/>
        </w:rPr>
        <w:t>73</w:t>
      </w:r>
      <w:r>
        <w:t>.</w:t>
      </w:r>
      <w:r>
        <w:tab/>
        <w:t>Order subject to conditions</w:t>
      </w:r>
      <w:bookmarkEnd w:id="187"/>
      <w:bookmarkEnd w:id="188"/>
    </w:p>
    <w:p>
      <w:pPr>
        <w:pStyle w:val="Subsection"/>
      </w:pPr>
      <w:r>
        <w:tab/>
      </w:r>
      <w:r>
        <w:tab/>
        <w:t>An order under section 69 or 70 may be made subject to conditions.</w:t>
      </w:r>
    </w:p>
    <w:p>
      <w:pPr>
        <w:pStyle w:val="Heading5"/>
      </w:pPr>
      <w:bookmarkStart w:id="189" w:name="_Toc390070998"/>
      <w:bookmarkStart w:id="190" w:name="_Toc390070820"/>
      <w:r>
        <w:rPr>
          <w:rStyle w:val="CharSectno"/>
        </w:rPr>
        <w:t>74</w:t>
      </w:r>
      <w:r>
        <w:t>.</w:t>
      </w:r>
      <w:r>
        <w:tab/>
        <w:t>Costs where applicant successful</w:t>
      </w:r>
      <w:bookmarkEnd w:id="189"/>
      <w:bookmarkEnd w:id="19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91" w:name="_Toc390070999"/>
      <w:bookmarkStart w:id="192" w:name="_Toc390070821"/>
      <w:r>
        <w:rPr>
          <w:rStyle w:val="CharSectno"/>
        </w:rPr>
        <w:t>75</w:t>
      </w:r>
      <w:r>
        <w:t>.</w:t>
      </w:r>
      <w:r>
        <w:tab/>
        <w:t>Period of remedying default</w:t>
      </w:r>
      <w:bookmarkEnd w:id="191"/>
      <w:bookmarkEnd w:id="192"/>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93" w:name="_Toc390071000"/>
      <w:bookmarkStart w:id="194" w:name="_Toc390070822"/>
      <w:r>
        <w:rPr>
          <w:rStyle w:val="CharDivNo"/>
        </w:rPr>
        <w:t>Division 2</w:t>
      </w:r>
      <w:r>
        <w:t xml:space="preserve"> — </w:t>
      </w:r>
      <w:r>
        <w:rPr>
          <w:rStyle w:val="CharDivText"/>
        </w:rPr>
        <w:t>Charges on land</w:t>
      </w:r>
      <w:bookmarkEnd w:id="193"/>
      <w:bookmarkEnd w:id="194"/>
    </w:p>
    <w:p>
      <w:pPr>
        <w:pStyle w:val="Heading5"/>
      </w:pPr>
      <w:bookmarkStart w:id="195" w:name="_Toc390071001"/>
      <w:bookmarkStart w:id="196" w:name="_Toc390070823"/>
      <w:r>
        <w:rPr>
          <w:rStyle w:val="CharSectno"/>
        </w:rPr>
        <w:t>76</w:t>
      </w:r>
      <w:r>
        <w:t>.</w:t>
      </w:r>
      <w:r>
        <w:tab/>
        <w:t>Charge on land to secure land tax</w:t>
      </w:r>
      <w:bookmarkEnd w:id="195"/>
      <w:bookmarkEnd w:id="196"/>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pPr>
      <w:bookmarkStart w:id="197" w:name="_Toc390071002"/>
      <w:bookmarkStart w:id="198" w:name="_Toc390070824"/>
      <w:r>
        <w:rPr>
          <w:rStyle w:val="CharSectno"/>
        </w:rPr>
        <w:t>77</w:t>
      </w:r>
      <w:r>
        <w:t>.</w:t>
      </w:r>
      <w:r>
        <w:tab/>
        <w:t>Charge on land to secure stamp duty</w:t>
      </w:r>
      <w:bookmarkEnd w:id="197"/>
      <w:bookmarkEnd w:id="198"/>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(4)</w:t>
      </w:r>
      <w:r>
        <w:tab/>
        <w:t xml:space="preserve">The charge arises on the land referred to in subsection (1), (2) or (3) when the memorial is registered under section 83.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60"/>
      </w:pPr>
      <w:r>
        <w:tab/>
        <w:t>(a)</w:t>
      </w:r>
      <w:r>
        <w:tab/>
        <w:t xml:space="preserve">both the person and the taxpayer are bodies corporate and one is a subsidiary of the other within the meaning of section 76AI(4) of the </w:t>
      </w:r>
      <w:r>
        <w:rPr>
          <w:i/>
        </w:rPr>
        <w:t>Stamp Act 1921</w:t>
      </w:r>
      <w:r>
        <w:t>; or</w:t>
      </w:r>
    </w:p>
    <w:p>
      <w:pPr>
        <w:pStyle w:val="Indenta"/>
        <w:spacing w:before="60"/>
      </w:pPr>
      <w:r>
        <w:tab/>
        <w:t>(b)</w:t>
      </w:r>
      <w:r>
        <w:tab/>
        <w:t>the person is a body corporate and a beneficiary under a trust, or a potential beneficiary under a discretionary trust, of which the taxpayer is a trustee.</w:t>
      </w:r>
    </w:p>
    <w:p>
      <w:pPr>
        <w:pStyle w:val="Footnotesection"/>
      </w:pPr>
      <w:r>
        <w:tab/>
        <w:t>[Section 77 amended by No. 12 of 2004 s. 11.]</w:t>
      </w:r>
    </w:p>
    <w:p>
      <w:pPr>
        <w:pStyle w:val="Heading5"/>
      </w:pPr>
      <w:bookmarkStart w:id="199" w:name="_Toc390071003"/>
      <w:bookmarkStart w:id="200" w:name="_Toc390070825"/>
      <w:r>
        <w:rPr>
          <w:rStyle w:val="CharSectno"/>
        </w:rPr>
        <w:t>78</w:t>
      </w:r>
      <w:r>
        <w:t>.</w:t>
      </w:r>
      <w:r>
        <w:tab/>
        <w:t>Prohibition on dealing with certain charged land</w:t>
      </w:r>
      <w:bookmarkEnd w:id="199"/>
      <w:bookmarkEnd w:id="200"/>
    </w:p>
    <w:p>
      <w:pPr>
        <w:pStyle w:val="Subsection"/>
        <w:spacing w:before="130"/>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spacing w:before="130"/>
      </w:pPr>
      <w:r>
        <w:tab/>
        <w:t>(2)</w:t>
      </w:r>
      <w:r>
        <w:tab/>
        <w:t xml:space="preserve">The registration of a memorial that prohibits dealing with land does not — </w:t>
      </w:r>
    </w:p>
    <w:p>
      <w:pPr>
        <w:pStyle w:val="Indenta"/>
        <w:spacing w:before="60"/>
      </w:pPr>
      <w:r>
        <w:tab/>
        <w:t>(a)</w:t>
      </w:r>
      <w:r>
        <w:tab/>
        <w:t>prevent a person from lodging with the Registrar of Titles an instrument relating to a dealing with the land; or</w:t>
      </w:r>
    </w:p>
    <w:p>
      <w:pPr>
        <w:pStyle w:val="Indenta"/>
        <w:spacing w:before="60"/>
      </w:pPr>
      <w:r>
        <w:tab/>
        <w:t>(b)</w:t>
      </w:r>
      <w:r>
        <w:tab/>
        <w:t>prevent the Registrar of Titles from accepting an instrument relating to a dealing with the land.</w:t>
      </w:r>
    </w:p>
    <w:p>
      <w:pPr>
        <w:pStyle w:val="Subsection"/>
        <w:spacing w:before="120"/>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180"/>
      </w:pPr>
      <w:bookmarkStart w:id="201" w:name="_Toc390071004"/>
      <w:bookmarkStart w:id="202" w:name="_Toc390070826"/>
      <w:r>
        <w:rPr>
          <w:rStyle w:val="CharSectno"/>
        </w:rPr>
        <w:t>79</w:t>
      </w:r>
      <w:r>
        <w:t>.</w:t>
      </w:r>
      <w:r>
        <w:tab/>
        <w:t>Priority of charge</w:t>
      </w:r>
      <w:bookmarkEnd w:id="201"/>
      <w:bookmarkEnd w:id="202"/>
    </w:p>
    <w:p>
      <w:pPr>
        <w:pStyle w:val="Subsection"/>
        <w:spacing w:before="120"/>
      </w:pPr>
      <w:r>
        <w:tab/>
        <w:t>(1)</w:t>
      </w:r>
      <w:r>
        <w:tab/>
        <w:t>When a memorial of a charge on land is registered under this Act, the charge is the first charge on the land and has priority over all other mortgages, charges and encumbrances over the land.</w:t>
      </w:r>
    </w:p>
    <w:p>
      <w:pPr>
        <w:pStyle w:val="Subsection"/>
        <w:spacing w:before="12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180"/>
      </w:pPr>
      <w:bookmarkStart w:id="203" w:name="_Toc390071005"/>
      <w:bookmarkStart w:id="204" w:name="_Toc390070827"/>
      <w:r>
        <w:rPr>
          <w:rStyle w:val="CharSectno"/>
        </w:rPr>
        <w:t>80</w:t>
      </w:r>
      <w:r>
        <w:t>.</w:t>
      </w:r>
      <w:r>
        <w:tab/>
        <w:t>Certificate of land tax secured by charge</w:t>
      </w:r>
      <w:bookmarkEnd w:id="203"/>
      <w:bookmarkEnd w:id="204"/>
    </w:p>
    <w:p>
      <w:pPr>
        <w:pStyle w:val="Subsection"/>
        <w:spacing w:before="130"/>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205" w:name="_Toc390071006"/>
      <w:bookmarkStart w:id="206" w:name="_Toc390070828"/>
      <w:r>
        <w:rPr>
          <w:rStyle w:val="CharSectno"/>
        </w:rPr>
        <w:t>81</w:t>
      </w:r>
      <w:r>
        <w:t>.</w:t>
      </w:r>
      <w:r>
        <w:tab/>
        <w:t>Release of land from charge</w:t>
      </w:r>
      <w:bookmarkEnd w:id="205"/>
      <w:bookmarkEnd w:id="206"/>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207" w:name="_Toc390071007"/>
      <w:bookmarkStart w:id="208" w:name="_Toc390070829"/>
      <w:r>
        <w:rPr>
          <w:rStyle w:val="CharSectno"/>
        </w:rPr>
        <w:t>82</w:t>
      </w:r>
      <w:r>
        <w:t>.</w:t>
      </w:r>
      <w:r>
        <w:tab/>
        <w:t>Form of memorial</w:t>
      </w:r>
      <w:bookmarkEnd w:id="207"/>
      <w:bookmarkEnd w:id="208"/>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209" w:name="_Toc390071008"/>
      <w:bookmarkStart w:id="210" w:name="_Toc390070830"/>
      <w:r>
        <w:rPr>
          <w:rStyle w:val="CharSectno"/>
        </w:rPr>
        <w:t>83</w:t>
      </w:r>
      <w:r>
        <w:t>.</w:t>
      </w:r>
      <w:r>
        <w:tab/>
        <w:t>Registration of memorials and releases</w:t>
      </w:r>
      <w:bookmarkEnd w:id="209"/>
      <w:bookmarkEnd w:id="210"/>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211" w:name="_Toc390071009"/>
      <w:bookmarkStart w:id="212" w:name="_Toc390070831"/>
      <w:r>
        <w:rPr>
          <w:rStyle w:val="CharSectno"/>
        </w:rPr>
        <w:t>84</w:t>
      </w:r>
      <w:r>
        <w:t>.</w:t>
      </w:r>
      <w:r>
        <w:tab/>
        <w:t>Notification of mortgagees</w:t>
      </w:r>
      <w:bookmarkEnd w:id="211"/>
      <w:bookmarkEnd w:id="212"/>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213" w:name="_Toc390071010"/>
      <w:bookmarkStart w:id="214" w:name="_Toc390070832"/>
      <w:r>
        <w:rPr>
          <w:rStyle w:val="CharSectno"/>
        </w:rPr>
        <w:t>85</w:t>
      </w:r>
      <w:r>
        <w:t>.</w:t>
      </w:r>
      <w:r>
        <w:tab/>
        <w:t>Orders for sale of land</w:t>
      </w:r>
      <w:bookmarkEnd w:id="213"/>
      <w:bookmarkEnd w:id="214"/>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215" w:name="_Toc390071011"/>
      <w:bookmarkStart w:id="216" w:name="_Toc390070833"/>
      <w:r>
        <w:rPr>
          <w:rStyle w:val="CharSectno"/>
        </w:rPr>
        <w:t>86</w:t>
      </w:r>
      <w:r>
        <w:t>.</w:t>
      </w:r>
      <w:r>
        <w:tab/>
        <w:t>Means of enforcement not limited to charge</w:t>
      </w:r>
      <w:bookmarkEnd w:id="215"/>
      <w:bookmarkEnd w:id="216"/>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217" w:name="_Toc390071012"/>
      <w:bookmarkStart w:id="218" w:name="_Toc390070834"/>
      <w:r>
        <w:rPr>
          <w:rStyle w:val="CharPartNo"/>
        </w:rPr>
        <w:t>Part 7</w:t>
      </w:r>
      <w:r>
        <w:rPr>
          <w:rStyle w:val="CharDivNo"/>
        </w:rPr>
        <w:t xml:space="preserve"> </w:t>
      </w:r>
      <w:r>
        <w:t>—</w:t>
      </w:r>
      <w:r>
        <w:rPr>
          <w:rStyle w:val="CharDivText"/>
        </w:rPr>
        <w:t xml:space="preserve"> </w:t>
      </w:r>
      <w:r>
        <w:rPr>
          <w:rStyle w:val="CharPartText"/>
        </w:rPr>
        <w:t>Tax records</w:t>
      </w:r>
      <w:bookmarkEnd w:id="217"/>
      <w:bookmarkEnd w:id="218"/>
    </w:p>
    <w:p>
      <w:pPr>
        <w:pStyle w:val="Heading5"/>
      </w:pPr>
      <w:bookmarkStart w:id="219" w:name="_Toc390071013"/>
      <w:bookmarkStart w:id="220" w:name="_Toc390070835"/>
      <w:r>
        <w:rPr>
          <w:rStyle w:val="CharSectno"/>
        </w:rPr>
        <w:t>87</w:t>
      </w:r>
      <w:r>
        <w:t>.</w:t>
      </w:r>
      <w:r>
        <w:tab/>
        <w:t>How long tax records are to be kept</w:t>
      </w:r>
      <w:bookmarkEnd w:id="219"/>
      <w:bookmarkEnd w:id="220"/>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21" w:name="_Toc390071014"/>
      <w:bookmarkStart w:id="222" w:name="_Toc390070836"/>
      <w:r>
        <w:rPr>
          <w:rStyle w:val="CharSectno"/>
        </w:rPr>
        <w:t>88</w:t>
      </w:r>
      <w:r>
        <w:t>.</w:t>
      </w:r>
      <w:r>
        <w:tab/>
        <w:t>Form of tax records</w:t>
      </w:r>
      <w:bookmarkEnd w:id="221"/>
      <w:bookmarkEnd w:id="222"/>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23" w:name="_Toc390071015"/>
      <w:bookmarkStart w:id="224" w:name="_Toc390070837"/>
      <w:r>
        <w:rPr>
          <w:rStyle w:val="CharSectno"/>
        </w:rPr>
        <w:t>89</w:t>
      </w:r>
      <w:r>
        <w:t>.</w:t>
      </w:r>
      <w:r>
        <w:tab/>
        <w:t>Where tax records are to be kept</w:t>
      </w:r>
      <w:bookmarkEnd w:id="223"/>
      <w:bookmarkEnd w:id="224"/>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225" w:name="_Toc390071016"/>
      <w:bookmarkStart w:id="226" w:name="_Toc390070838"/>
      <w:r>
        <w:rPr>
          <w:rStyle w:val="CharSectno"/>
        </w:rPr>
        <w:t>90</w:t>
      </w:r>
      <w:r>
        <w:t>.</w:t>
      </w:r>
      <w:r>
        <w:tab/>
        <w:t>Failure to keep proper tax records</w:t>
      </w:r>
      <w:bookmarkEnd w:id="225"/>
      <w:bookmarkEnd w:id="226"/>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27" w:name="_Toc390071017"/>
      <w:bookmarkStart w:id="228" w:name="_Toc390070839"/>
      <w:r>
        <w:rPr>
          <w:rStyle w:val="CharSectno"/>
        </w:rPr>
        <w:t>91</w:t>
      </w:r>
      <w:r>
        <w:t>.</w:t>
      </w:r>
      <w:r>
        <w:tab/>
        <w:t>General and specific exemptions</w:t>
      </w:r>
      <w:bookmarkEnd w:id="227"/>
      <w:bookmarkEnd w:id="228"/>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29" w:name="_Toc390071018"/>
      <w:bookmarkStart w:id="230" w:name="_Toc390070840"/>
      <w:r>
        <w:rPr>
          <w:rStyle w:val="CharPartNo"/>
        </w:rPr>
        <w:t>Part 8</w:t>
      </w:r>
      <w:r>
        <w:t xml:space="preserve"> — </w:t>
      </w:r>
      <w:r>
        <w:rPr>
          <w:rStyle w:val="CharPartText"/>
        </w:rPr>
        <w:t>Investigations</w:t>
      </w:r>
      <w:bookmarkEnd w:id="229"/>
      <w:bookmarkEnd w:id="230"/>
    </w:p>
    <w:p>
      <w:pPr>
        <w:pStyle w:val="Heading3"/>
      </w:pPr>
      <w:bookmarkStart w:id="231" w:name="_Toc390071019"/>
      <w:bookmarkStart w:id="232" w:name="_Toc390070841"/>
      <w:r>
        <w:rPr>
          <w:rStyle w:val="CharDivNo"/>
        </w:rPr>
        <w:t>Division 1</w:t>
      </w:r>
      <w:r>
        <w:t xml:space="preserve"> — </w:t>
      </w:r>
      <w:r>
        <w:rPr>
          <w:rStyle w:val="CharDivText"/>
        </w:rPr>
        <w:t>Investigations</w:t>
      </w:r>
      <w:bookmarkEnd w:id="231"/>
      <w:bookmarkEnd w:id="232"/>
    </w:p>
    <w:p>
      <w:pPr>
        <w:pStyle w:val="Heading5"/>
      </w:pPr>
      <w:bookmarkStart w:id="233" w:name="_Toc390071020"/>
      <w:bookmarkStart w:id="234" w:name="_Toc390070842"/>
      <w:r>
        <w:rPr>
          <w:rStyle w:val="CharSectno"/>
        </w:rPr>
        <w:t>92</w:t>
      </w:r>
      <w:r>
        <w:t>.</w:t>
      </w:r>
      <w:r>
        <w:tab/>
        <w:t>Investigations</w:t>
      </w:r>
      <w:bookmarkEnd w:id="233"/>
      <w:bookmarkEnd w:id="234"/>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235" w:name="_Toc390071021"/>
      <w:bookmarkStart w:id="236" w:name="_Toc390070843"/>
      <w:r>
        <w:rPr>
          <w:rStyle w:val="CharSectno"/>
        </w:rPr>
        <w:t>93</w:t>
      </w:r>
      <w:r>
        <w:t>.</w:t>
      </w:r>
      <w:r>
        <w:tab/>
        <w:t>Investigations for the purposes of recognised revenue laws</w:t>
      </w:r>
      <w:bookmarkEnd w:id="235"/>
      <w:bookmarkEnd w:id="236"/>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237" w:name="_Toc390071022"/>
      <w:bookmarkStart w:id="238" w:name="_Toc390070844"/>
      <w:r>
        <w:rPr>
          <w:rStyle w:val="CharDivNo"/>
        </w:rPr>
        <w:t>Division 2</w:t>
      </w:r>
      <w:r>
        <w:t xml:space="preserve"> — </w:t>
      </w:r>
      <w:r>
        <w:rPr>
          <w:rStyle w:val="CharDivText"/>
        </w:rPr>
        <w:t>Obtaining tax records and other information</w:t>
      </w:r>
      <w:bookmarkEnd w:id="237"/>
      <w:bookmarkEnd w:id="238"/>
    </w:p>
    <w:p>
      <w:pPr>
        <w:pStyle w:val="Heading5"/>
      </w:pPr>
      <w:bookmarkStart w:id="239" w:name="_Toc390071023"/>
      <w:bookmarkStart w:id="240" w:name="_Toc390070845"/>
      <w:r>
        <w:rPr>
          <w:rStyle w:val="CharSectno"/>
        </w:rPr>
        <w:t>94</w:t>
      </w:r>
      <w:r>
        <w:t>.</w:t>
      </w:r>
      <w:r>
        <w:tab/>
        <w:t>Requirements to provide information and tax records</w:t>
      </w:r>
      <w:bookmarkEnd w:id="239"/>
      <w:bookmarkEnd w:id="240"/>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241" w:name="_Toc390071024"/>
      <w:bookmarkStart w:id="242" w:name="_Toc390070846"/>
      <w:r>
        <w:rPr>
          <w:rStyle w:val="CharSectno"/>
        </w:rPr>
        <w:t>95</w:t>
      </w:r>
      <w:r>
        <w:t>.</w:t>
      </w:r>
      <w:r>
        <w:tab/>
        <w:t>Power to require person to attend for examination</w:t>
      </w:r>
      <w:bookmarkEnd w:id="241"/>
      <w:bookmarkEnd w:id="242"/>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243" w:name="_Toc390071025"/>
      <w:bookmarkStart w:id="244" w:name="_Toc390070847"/>
      <w:r>
        <w:rPr>
          <w:rStyle w:val="CharSectno"/>
        </w:rPr>
        <w:t>96</w:t>
      </w:r>
      <w:r>
        <w:t>.</w:t>
      </w:r>
      <w:r>
        <w:tab/>
        <w:t>Power to retain documents</w:t>
      </w:r>
      <w:bookmarkEnd w:id="243"/>
      <w:bookmarkEnd w:id="244"/>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245" w:name="_Toc390071026"/>
      <w:bookmarkStart w:id="246" w:name="_Toc390070848"/>
      <w:r>
        <w:rPr>
          <w:rStyle w:val="CharSectno"/>
        </w:rPr>
        <w:t>97</w:t>
      </w:r>
      <w:r>
        <w:t>.</w:t>
      </w:r>
      <w:r>
        <w:tab/>
        <w:t>Recording examination proceedings</w:t>
      </w:r>
      <w:bookmarkEnd w:id="245"/>
      <w:bookmarkEnd w:id="246"/>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247" w:name="_Toc390071027"/>
      <w:bookmarkStart w:id="248" w:name="_Toc390070849"/>
      <w:r>
        <w:rPr>
          <w:rStyle w:val="CharDivNo"/>
        </w:rPr>
        <w:t>Division 3</w:t>
      </w:r>
      <w:r>
        <w:t xml:space="preserve"> — </w:t>
      </w:r>
      <w:r>
        <w:rPr>
          <w:rStyle w:val="CharDivText"/>
        </w:rPr>
        <w:t>Access to premises</w:t>
      </w:r>
      <w:bookmarkEnd w:id="247"/>
      <w:bookmarkEnd w:id="248"/>
    </w:p>
    <w:p>
      <w:pPr>
        <w:pStyle w:val="Heading5"/>
      </w:pPr>
      <w:bookmarkStart w:id="249" w:name="_Toc390071028"/>
      <w:bookmarkStart w:id="250" w:name="_Toc390070850"/>
      <w:r>
        <w:rPr>
          <w:rStyle w:val="CharSectno"/>
        </w:rPr>
        <w:t>98</w:t>
      </w:r>
      <w:r>
        <w:t>.</w:t>
      </w:r>
      <w:r>
        <w:tab/>
        <w:t>Entry of premises</w:t>
      </w:r>
      <w:bookmarkEnd w:id="249"/>
      <w:bookmarkEnd w:id="250"/>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51" w:name="_Toc390071029"/>
      <w:bookmarkStart w:id="252" w:name="_Toc390070851"/>
      <w:r>
        <w:rPr>
          <w:rStyle w:val="CharSectno"/>
        </w:rPr>
        <w:t>99</w:t>
      </w:r>
      <w:r>
        <w:t>.</w:t>
      </w:r>
      <w:r>
        <w:tab/>
        <w:t>Powers of investigator while on premises</w:t>
      </w:r>
      <w:bookmarkEnd w:id="251"/>
      <w:bookmarkEnd w:id="252"/>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253" w:name="_Toc390071030"/>
      <w:bookmarkStart w:id="254" w:name="_Toc390070852"/>
      <w:r>
        <w:rPr>
          <w:rStyle w:val="CharSectno"/>
        </w:rPr>
        <w:t>100</w:t>
      </w:r>
      <w:r>
        <w:t>.</w:t>
      </w:r>
      <w:r>
        <w:tab/>
        <w:t>Warrants to enter premises</w:t>
      </w:r>
      <w:bookmarkEnd w:id="253"/>
      <w:bookmarkEnd w:id="254"/>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255" w:name="_Toc390071031"/>
      <w:bookmarkStart w:id="256" w:name="_Toc390070853"/>
      <w:r>
        <w:rPr>
          <w:rStyle w:val="CharSectno"/>
        </w:rPr>
        <w:t>101</w:t>
      </w:r>
      <w:r>
        <w:t>.</w:t>
      </w:r>
      <w:r>
        <w:tab/>
        <w:t>Use of force</w:t>
      </w:r>
      <w:bookmarkEnd w:id="255"/>
      <w:bookmarkEnd w:id="256"/>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257" w:name="_Toc390071032"/>
      <w:bookmarkStart w:id="258" w:name="_Toc390070854"/>
      <w:r>
        <w:rPr>
          <w:rStyle w:val="CharDivNo"/>
        </w:rPr>
        <w:t>Division 4</w:t>
      </w:r>
      <w:r>
        <w:t xml:space="preserve"> — </w:t>
      </w:r>
      <w:r>
        <w:rPr>
          <w:rStyle w:val="CharDivText"/>
        </w:rPr>
        <w:t>General provisions</w:t>
      </w:r>
      <w:bookmarkEnd w:id="257"/>
      <w:bookmarkEnd w:id="258"/>
    </w:p>
    <w:p>
      <w:pPr>
        <w:pStyle w:val="Heading5"/>
      </w:pPr>
      <w:bookmarkStart w:id="259" w:name="_Toc390071033"/>
      <w:bookmarkStart w:id="260" w:name="_Toc390070855"/>
      <w:r>
        <w:rPr>
          <w:rStyle w:val="CharSectno"/>
        </w:rPr>
        <w:t>102</w:t>
      </w:r>
      <w:r>
        <w:t>.</w:t>
      </w:r>
      <w:r>
        <w:tab/>
        <w:t>Complying with information requirements</w:t>
      </w:r>
      <w:bookmarkEnd w:id="259"/>
      <w:bookmarkEnd w:id="260"/>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261" w:name="_Toc390071034"/>
      <w:bookmarkStart w:id="262" w:name="_Toc390070856"/>
      <w:r>
        <w:rPr>
          <w:rStyle w:val="CharSectno"/>
        </w:rPr>
        <w:t>103</w:t>
      </w:r>
      <w:r>
        <w:t>.</w:t>
      </w:r>
      <w:r>
        <w:tab/>
        <w:t>Legal professional privilege</w:t>
      </w:r>
      <w:bookmarkEnd w:id="261"/>
      <w:bookmarkEnd w:id="262"/>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263" w:name="_Toc390071035"/>
      <w:bookmarkStart w:id="264" w:name="_Toc390070857"/>
      <w:r>
        <w:rPr>
          <w:rStyle w:val="CharSectno"/>
        </w:rPr>
        <w:t>104</w:t>
      </w:r>
      <w:r>
        <w:t>.</w:t>
      </w:r>
      <w:r>
        <w:tab/>
        <w:t>Interaction with other Acts</w:t>
      </w:r>
      <w:bookmarkEnd w:id="263"/>
      <w:bookmarkEnd w:id="264"/>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265" w:name="_Toc390071036"/>
      <w:bookmarkStart w:id="266" w:name="_Toc390070858"/>
      <w:r>
        <w:rPr>
          <w:rStyle w:val="CharPartNo"/>
        </w:rPr>
        <w:t>Part 9</w:t>
      </w:r>
      <w:r>
        <w:rPr>
          <w:rStyle w:val="CharDivNo"/>
        </w:rPr>
        <w:t xml:space="preserve"> </w:t>
      </w:r>
      <w:r>
        <w:t>—</w:t>
      </w:r>
      <w:r>
        <w:rPr>
          <w:rStyle w:val="CharDivText"/>
        </w:rPr>
        <w:t xml:space="preserve"> </w:t>
      </w:r>
      <w:r>
        <w:rPr>
          <w:rStyle w:val="CharPartText"/>
        </w:rPr>
        <w:t>Offences</w:t>
      </w:r>
      <w:bookmarkEnd w:id="265"/>
      <w:bookmarkEnd w:id="266"/>
    </w:p>
    <w:p>
      <w:pPr>
        <w:pStyle w:val="Heading5"/>
      </w:pPr>
      <w:bookmarkStart w:id="267" w:name="_Toc390071037"/>
      <w:bookmarkStart w:id="268" w:name="_Toc390070859"/>
      <w:r>
        <w:rPr>
          <w:rStyle w:val="CharSectno"/>
        </w:rPr>
        <w:t>105</w:t>
      </w:r>
      <w:r>
        <w:t>.</w:t>
      </w:r>
      <w:r>
        <w:tab/>
        <w:t>General penalty provision</w:t>
      </w:r>
      <w:bookmarkEnd w:id="267"/>
      <w:bookmarkEnd w:id="268"/>
    </w:p>
    <w:p>
      <w:pPr>
        <w:pStyle w:val="Subsection"/>
        <w:spacing w:before="140"/>
      </w:pPr>
      <w:r>
        <w:tab/>
        <w:t>(1)</w:t>
      </w:r>
      <w:r>
        <w:tab/>
        <w:t xml:space="preserve">A person who commits an offence against a taxation Act for which no penalty is specifically provided is liable on conviction to a penalty not exceeding $20 000. </w:t>
      </w:r>
    </w:p>
    <w:p>
      <w:pPr>
        <w:pStyle w:val="Subsection"/>
        <w:spacing w:before="14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pPr>
      <w:bookmarkStart w:id="269" w:name="_Toc390071038"/>
      <w:bookmarkStart w:id="270" w:name="_Toc390070860"/>
      <w:r>
        <w:rPr>
          <w:rStyle w:val="CharSectno"/>
        </w:rPr>
        <w:t>106</w:t>
      </w:r>
      <w:r>
        <w:t>.</w:t>
      </w:r>
      <w:r>
        <w:tab/>
        <w:t>Evasion of tax</w:t>
      </w:r>
      <w:bookmarkEnd w:id="269"/>
      <w:bookmarkEnd w:id="270"/>
    </w:p>
    <w:p>
      <w:pPr>
        <w:pStyle w:val="Subsection"/>
        <w:spacing w:before="140"/>
      </w:pPr>
      <w:r>
        <w:tab/>
        <w:t>(1)</w:t>
      </w:r>
      <w:r>
        <w:tab/>
        <w:t>A person who, by an intentional act or omission, evades or attempts to evade paying tax that the person is liable to pay, commits an offence.</w:t>
      </w:r>
    </w:p>
    <w:p>
      <w:pPr>
        <w:pStyle w:val="Subsection"/>
        <w:spacing w:before="14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pPr>
      <w:bookmarkStart w:id="271" w:name="_Toc390071039"/>
      <w:bookmarkStart w:id="272" w:name="_Toc390070861"/>
      <w:r>
        <w:rPr>
          <w:rStyle w:val="CharSectno"/>
        </w:rPr>
        <w:t>107</w:t>
      </w:r>
      <w:r>
        <w:t>.</w:t>
      </w:r>
      <w:r>
        <w:tab/>
        <w:t>False or misleading information</w:t>
      </w:r>
      <w:bookmarkEnd w:id="271"/>
      <w:bookmarkEnd w:id="272"/>
    </w:p>
    <w:p>
      <w:pPr>
        <w:pStyle w:val="Subsection"/>
      </w:pPr>
      <w:r>
        <w:tab/>
        <w:t>(1)</w:t>
      </w:r>
      <w:r>
        <w:tab/>
        <w:t>A person must not — </w:t>
      </w:r>
    </w:p>
    <w:p>
      <w:pPr>
        <w:pStyle w:val="Indenta"/>
        <w:spacing w:before="60"/>
      </w:pPr>
      <w:r>
        <w:tab/>
        <w:t>(a)</w:t>
      </w:r>
      <w:r>
        <w:tab/>
        <w:t>provide information to the Commissioner or an investigator knowing it to be false or misleading in a material particular; or</w:t>
      </w:r>
    </w:p>
    <w:p>
      <w:pPr>
        <w:pStyle w:val="Indenta"/>
        <w:spacing w:before="60"/>
      </w:pPr>
      <w:r>
        <w:tab/>
        <w:t>(b)</w:t>
      </w:r>
      <w:r>
        <w:tab/>
        <w:t>provide a tax record to the Commissioner or an investigator knowing it to be false or misleading in a material particular.</w:t>
      </w:r>
    </w:p>
    <w:p>
      <w:pPr>
        <w:pStyle w:val="Penstart"/>
      </w:pPr>
      <w:r>
        <w:rPr>
          <w:spacing w:val="-4"/>
        </w:rP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273" w:name="_Toc390071040"/>
      <w:bookmarkStart w:id="274" w:name="_Toc390070862"/>
      <w:r>
        <w:rPr>
          <w:rStyle w:val="CharSectno"/>
        </w:rPr>
        <w:t>108</w:t>
      </w:r>
      <w:r>
        <w:t>.</w:t>
      </w:r>
      <w:r>
        <w:tab/>
        <w:t>Obstructing or misleading an investigator</w:t>
      </w:r>
      <w:bookmarkEnd w:id="273"/>
      <w:bookmarkEnd w:id="274"/>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275" w:name="_Toc390071041"/>
      <w:bookmarkStart w:id="276" w:name="_Toc390070863"/>
      <w:r>
        <w:rPr>
          <w:rStyle w:val="CharSectno"/>
        </w:rPr>
        <w:t>109</w:t>
      </w:r>
      <w:r>
        <w:t>.</w:t>
      </w:r>
      <w:r>
        <w:tab/>
        <w:t>Offence by body corporate</w:t>
      </w:r>
      <w:bookmarkEnd w:id="275"/>
      <w:bookmarkEnd w:id="276"/>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277" w:name="_Toc390071042"/>
      <w:bookmarkStart w:id="278" w:name="_Toc390070864"/>
      <w:r>
        <w:rPr>
          <w:rStyle w:val="CharSectno"/>
        </w:rPr>
        <w:t>110</w:t>
      </w:r>
      <w:r>
        <w:t>.</w:t>
      </w:r>
      <w:r>
        <w:tab/>
        <w:t>Criminal penalties not to affect civil liabilities</w:t>
      </w:r>
      <w:bookmarkEnd w:id="277"/>
      <w:bookmarkEnd w:id="278"/>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79" w:name="_Toc390071043"/>
      <w:bookmarkStart w:id="280" w:name="_Toc390070865"/>
      <w:r>
        <w:rPr>
          <w:rStyle w:val="CharSectno"/>
        </w:rPr>
        <w:t>111</w:t>
      </w:r>
      <w:r>
        <w:t>.</w:t>
      </w:r>
      <w:r>
        <w:tab/>
        <w:t>Time for commencing prosecutions</w:t>
      </w:r>
      <w:bookmarkEnd w:id="279"/>
      <w:bookmarkEnd w:id="280"/>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281" w:name="_Toc390071044"/>
      <w:bookmarkStart w:id="282" w:name="_Toc390070866"/>
      <w:r>
        <w:rPr>
          <w:rStyle w:val="CharSectno"/>
        </w:rPr>
        <w:t>112</w:t>
      </w:r>
      <w:r>
        <w:t>.</w:t>
      </w:r>
      <w:r>
        <w:tab/>
        <w:t>Authority required for prosecution</w:t>
      </w:r>
      <w:bookmarkEnd w:id="281"/>
      <w:bookmarkEnd w:id="282"/>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283" w:name="_Toc390071045"/>
      <w:bookmarkStart w:id="284" w:name="_Toc390070867"/>
      <w:r>
        <w:rPr>
          <w:rStyle w:val="CharSectno"/>
        </w:rPr>
        <w:t>113</w:t>
      </w:r>
      <w:r>
        <w:t>.</w:t>
      </w:r>
      <w:r>
        <w:tab/>
        <w:t>General defence</w:t>
      </w:r>
      <w:bookmarkEnd w:id="283"/>
      <w:bookmarkEnd w:id="284"/>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285" w:name="_Toc390071046"/>
      <w:bookmarkStart w:id="286" w:name="_Toc390070868"/>
      <w:r>
        <w:rPr>
          <w:rStyle w:val="CharPartNo"/>
        </w:rPr>
        <w:t>Part 10</w:t>
      </w:r>
      <w:r>
        <w:t xml:space="preserve"> — </w:t>
      </w:r>
      <w:r>
        <w:rPr>
          <w:rStyle w:val="CharPartText"/>
        </w:rPr>
        <w:t>Miscellaneous</w:t>
      </w:r>
      <w:bookmarkEnd w:id="285"/>
      <w:bookmarkEnd w:id="286"/>
    </w:p>
    <w:p>
      <w:pPr>
        <w:pStyle w:val="Heading3"/>
      </w:pPr>
      <w:bookmarkStart w:id="287" w:name="_Toc390071047"/>
      <w:bookmarkStart w:id="288" w:name="_Toc390070869"/>
      <w:r>
        <w:rPr>
          <w:rStyle w:val="CharDivNo"/>
        </w:rPr>
        <w:t>Division 1</w:t>
      </w:r>
      <w:r>
        <w:t xml:space="preserve"> — </w:t>
      </w:r>
      <w:r>
        <w:rPr>
          <w:rStyle w:val="CharDivText"/>
        </w:rPr>
        <w:t>Confidentiality</w:t>
      </w:r>
      <w:bookmarkEnd w:id="287"/>
      <w:bookmarkEnd w:id="288"/>
    </w:p>
    <w:p>
      <w:pPr>
        <w:pStyle w:val="Heading5"/>
      </w:pPr>
      <w:bookmarkStart w:id="289" w:name="_Toc390071048"/>
      <w:bookmarkStart w:id="290" w:name="_Toc390070870"/>
      <w:r>
        <w:rPr>
          <w:rStyle w:val="CharSectno"/>
        </w:rPr>
        <w:t>114</w:t>
      </w:r>
      <w:r>
        <w:t>.</w:t>
      </w:r>
      <w:r>
        <w:tab/>
        <w:t>Confidentiality</w:t>
      </w:r>
      <w:bookmarkEnd w:id="289"/>
      <w:bookmarkEnd w:id="29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291" w:name="_Toc390071049"/>
      <w:bookmarkStart w:id="292" w:name="_Toc390070871"/>
      <w:r>
        <w:rPr>
          <w:rStyle w:val="CharDivNo"/>
        </w:rPr>
        <w:t>Division 2</w:t>
      </w:r>
      <w:r>
        <w:t xml:space="preserve"> — </w:t>
      </w:r>
      <w:r>
        <w:rPr>
          <w:rStyle w:val="CharDivText"/>
        </w:rPr>
        <w:t>Service of documents</w:t>
      </w:r>
      <w:bookmarkEnd w:id="291"/>
      <w:bookmarkEnd w:id="292"/>
    </w:p>
    <w:p>
      <w:pPr>
        <w:pStyle w:val="Heading5"/>
      </w:pPr>
      <w:bookmarkStart w:id="293" w:name="_Toc390071050"/>
      <w:bookmarkStart w:id="294" w:name="_Toc390070872"/>
      <w:r>
        <w:rPr>
          <w:rStyle w:val="CharSectno"/>
        </w:rPr>
        <w:t>115</w:t>
      </w:r>
      <w:r>
        <w:t>.</w:t>
      </w:r>
      <w:r>
        <w:tab/>
        <w:t>Service on the Commissioner</w:t>
      </w:r>
      <w:bookmarkEnd w:id="293"/>
      <w:bookmarkEnd w:id="294"/>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295" w:name="_Toc390071051"/>
      <w:bookmarkStart w:id="296" w:name="_Toc390070873"/>
      <w:r>
        <w:rPr>
          <w:rStyle w:val="CharSectno"/>
        </w:rPr>
        <w:t>116</w:t>
      </w:r>
      <w:r>
        <w:t>.</w:t>
      </w:r>
      <w:r>
        <w:tab/>
        <w:t>Service on agent or representative of taxpayer</w:t>
      </w:r>
      <w:bookmarkEnd w:id="295"/>
      <w:bookmarkEnd w:id="296"/>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297" w:name="_Toc390071052"/>
      <w:bookmarkStart w:id="298" w:name="_Toc390070874"/>
      <w:r>
        <w:rPr>
          <w:rStyle w:val="CharSectno"/>
        </w:rPr>
        <w:t>117</w:t>
      </w:r>
      <w:r>
        <w:t>.</w:t>
      </w:r>
      <w:r>
        <w:tab/>
        <w:t>Method of service by Commissioner</w:t>
      </w:r>
      <w:bookmarkEnd w:id="297"/>
      <w:bookmarkEnd w:id="298"/>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299" w:name="_Toc390071053"/>
      <w:bookmarkStart w:id="300" w:name="_Toc390070875"/>
      <w:r>
        <w:rPr>
          <w:rStyle w:val="CharSectno"/>
        </w:rPr>
        <w:t>118</w:t>
      </w:r>
      <w:r>
        <w:t>.</w:t>
      </w:r>
      <w:r>
        <w:tab/>
        <w:t>Non</w:t>
      </w:r>
      <w:r>
        <w:noBreakHyphen/>
        <w:t>exclusivity of this Division</w:t>
      </w:r>
      <w:bookmarkEnd w:id="299"/>
      <w:bookmarkEnd w:id="300"/>
    </w:p>
    <w:p>
      <w:pPr>
        <w:pStyle w:val="Subsection"/>
      </w:pPr>
      <w:r>
        <w:tab/>
      </w:r>
      <w:r>
        <w:tab/>
        <w:t>The provisions of this Division are in addition to, and do not derogate from, other provisions of an enactment for facilitating service.</w:t>
      </w:r>
    </w:p>
    <w:p>
      <w:pPr>
        <w:pStyle w:val="Heading3"/>
      </w:pPr>
      <w:bookmarkStart w:id="301" w:name="_Toc390071054"/>
      <w:bookmarkStart w:id="302" w:name="_Toc390070876"/>
      <w:r>
        <w:rPr>
          <w:rStyle w:val="CharDivNo"/>
        </w:rPr>
        <w:t>Division 3</w:t>
      </w:r>
      <w:r>
        <w:t xml:space="preserve"> — </w:t>
      </w:r>
      <w:r>
        <w:rPr>
          <w:rStyle w:val="CharDivText"/>
        </w:rPr>
        <w:t>Evidentiary provisions</w:t>
      </w:r>
      <w:bookmarkEnd w:id="301"/>
      <w:bookmarkEnd w:id="302"/>
    </w:p>
    <w:p>
      <w:pPr>
        <w:pStyle w:val="Heading5"/>
      </w:pPr>
      <w:bookmarkStart w:id="303" w:name="_Toc390071055"/>
      <w:bookmarkStart w:id="304" w:name="_Toc390070877"/>
      <w:r>
        <w:rPr>
          <w:rStyle w:val="CharSectno"/>
        </w:rPr>
        <w:t>119</w:t>
      </w:r>
      <w:r>
        <w:t>.</w:t>
      </w:r>
      <w:r>
        <w:tab/>
        <w:t>Evidentiary value of assessment notice</w:t>
      </w:r>
      <w:bookmarkEnd w:id="303"/>
      <w:bookmarkEnd w:id="304"/>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305" w:name="_Toc390071056"/>
      <w:bookmarkStart w:id="306" w:name="_Toc390070878"/>
      <w:r>
        <w:rPr>
          <w:rStyle w:val="CharSectno"/>
        </w:rPr>
        <w:t>120</w:t>
      </w:r>
      <w:r>
        <w:t>.</w:t>
      </w:r>
      <w:r>
        <w:tab/>
        <w:t>Evidentiary status of copies and reproductions of documents</w:t>
      </w:r>
      <w:bookmarkEnd w:id="305"/>
      <w:bookmarkEnd w:id="306"/>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307" w:name="_Toc390071057"/>
      <w:bookmarkStart w:id="308" w:name="_Toc390070879"/>
      <w:r>
        <w:rPr>
          <w:rStyle w:val="CharSectno"/>
        </w:rPr>
        <w:t>121</w:t>
      </w:r>
      <w:r>
        <w:t>.</w:t>
      </w:r>
      <w:r>
        <w:tab/>
        <w:t>Evidentiary certificates</w:t>
      </w:r>
      <w:bookmarkEnd w:id="307"/>
      <w:bookmarkEnd w:id="308"/>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309" w:name="_Toc390071058"/>
      <w:bookmarkStart w:id="310" w:name="_Toc390070880"/>
      <w:r>
        <w:rPr>
          <w:rStyle w:val="CharSectno"/>
        </w:rPr>
        <w:t>122</w:t>
      </w:r>
      <w:r>
        <w:t>.</w:t>
      </w:r>
      <w:r>
        <w:tab/>
        <w:t>Extracts from register of delegates</w:t>
      </w:r>
      <w:bookmarkEnd w:id="309"/>
      <w:bookmarkEnd w:id="31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311" w:name="_Toc390071059"/>
      <w:bookmarkStart w:id="312" w:name="_Toc390070881"/>
      <w:r>
        <w:rPr>
          <w:rStyle w:val="CharSectno"/>
        </w:rPr>
        <w:t>123</w:t>
      </w:r>
      <w:r>
        <w:t>.</w:t>
      </w:r>
      <w:r>
        <w:tab/>
        <w:t>Averments in charges</w:t>
      </w:r>
      <w:bookmarkEnd w:id="311"/>
      <w:bookmarkEnd w:id="312"/>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313" w:name="_Toc390071060"/>
      <w:bookmarkStart w:id="314" w:name="_Toc390070882"/>
      <w:r>
        <w:rPr>
          <w:rStyle w:val="CharSectno"/>
        </w:rPr>
        <w:t>124</w:t>
      </w:r>
      <w:r>
        <w:t>.</w:t>
      </w:r>
      <w:r>
        <w:tab/>
        <w:t>Presumption of regularity</w:t>
      </w:r>
      <w:bookmarkEnd w:id="313"/>
      <w:bookmarkEnd w:id="314"/>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315" w:name="_Toc390071061"/>
      <w:bookmarkStart w:id="316" w:name="_Toc390070883"/>
      <w:r>
        <w:rPr>
          <w:rStyle w:val="CharDivNo"/>
        </w:rPr>
        <w:t>Division 4</w:t>
      </w:r>
      <w:r>
        <w:t xml:space="preserve"> — </w:t>
      </w:r>
      <w:r>
        <w:rPr>
          <w:rStyle w:val="CharDivText"/>
        </w:rPr>
        <w:t>Exemption from personal liability</w:t>
      </w:r>
      <w:bookmarkEnd w:id="315"/>
      <w:bookmarkEnd w:id="316"/>
    </w:p>
    <w:p>
      <w:pPr>
        <w:pStyle w:val="Heading5"/>
      </w:pPr>
      <w:bookmarkStart w:id="317" w:name="_Toc390071062"/>
      <w:bookmarkStart w:id="318" w:name="_Toc390070884"/>
      <w:r>
        <w:rPr>
          <w:rStyle w:val="CharSectno"/>
        </w:rPr>
        <w:t>125</w:t>
      </w:r>
      <w:r>
        <w:t>.</w:t>
      </w:r>
      <w:r>
        <w:tab/>
        <w:t>Exemption from personal liability</w:t>
      </w:r>
      <w:bookmarkEnd w:id="317"/>
      <w:bookmarkEnd w:id="318"/>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319" w:name="_Toc390071063"/>
      <w:bookmarkStart w:id="320" w:name="_Toc390070885"/>
      <w:r>
        <w:rPr>
          <w:rStyle w:val="CharDivNo"/>
        </w:rPr>
        <w:t>Division 5</w:t>
      </w:r>
      <w:r>
        <w:t xml:space="preserve"> — </w:t>
      </w:r>
      <w:r>
        <w:rPr>
          <w:rStyle w:val="CharDivText"/>
        </w:rPr>
        <w:t>Regulations</w:t>
      </w:r>
      <w:bookmarkEnd w:id="319"/>
      <w:bookmarkEnd w:id="320"/>
    </w:p>
    <w:p>
      <w:pPr>
        <w:pStyle w:val="Heading5"/>
      </w:pPr>
      <w:bookmarkStart w:id="321" w:name="_Toc390071064"/>
      <w:bookmarkStart w:id="322" w:name="_Toc390070886"/>
      <w:r>
        <w:rPr>
          <w:rStyle w:val="CharSectno"/>
        </w:rPr>
        <w:t>126</w:t>
      </w:r>
      <w:r>
        <w:t>.</w:t>
      </w:r>
      <w:r>
        <w:tab/>
        <w:t>Regulations</w:t>
      </w:r>
      <w:bookmarkEnd w:id="321"/>
      <w:bookmarkEnd w:id="32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323" w:name="_Toc390071065"/>
      <w:bookmarkStart w:id="324" w:name="_Toc390070887"/>
      <w:r>
        <w:rPr>
          <w:rStyle w:val="CharSectno"/>
        </w:rPr>
        <w:t>127</w:t>
      </w:r>
      <w:r>
        <w:t>.</w:t>
      </w:r>
      <w:r>
        <w:tab/>
        <w:t>Practices</w:t>
      </w:r>
      <w:bookmarkEnd w:id="323"/>
      <w:bookmarkEnd w:id="324"/>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5" w:name="_Toc390071066"/>
      <w:bookmarkStart w:id="326" w:name="_Toc390070888"/>
      <w:r>
        <w:rPr>
          <w:rStyle w:val="CharSchNo"/>
        </w:rPr>
        <w:t>Glossary</w:t>
      </w:r>
      <w:bookmarkEnd w:id="325"/>
      <w:bookmarkEnd w:id="326"/>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27" w:name="_Toc390071067"/>
      <w:bookmarkStart w:id="328" w:name="_Toc390070889"/>
      <w:r>
        <w:t>Notes</w:t>
      </w:r>
      <w:bookmarkEnd w:id="327"/>
      <w:bookmarkEnd w:id="328"/>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pPr>
      <w:bookmarkStart w:id="329" w:name="_Toc390071068"/>
      <w:bookmarkStart w:id="330" w:name="_Toc390070890"/>
      <w:r>
        <w:t>Compilation table</w:t>
      </w:r>
      <w:bookmarkEnd w:id="329"/>
      <w:bookmarkEnd w:id="3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Act other than s. 34(2)(c), (4) and (5)</w:t>
            </w:r>
            <w:r>
              <w:rPr>
                <w:sz w:val="19"/>
                <w:vertAlign w:val="superscript"/>
              </w:rPr>
              <w:t> 4</w:t>
            </w:r>
            <w:r>
              <w:rPr>
                <w:sz w:val="19"/>
              </w:rPr>
              <w:t>, 41(2) and (4), 47(8), 48, 56(3), 57(3), 59 and 127 and the definition of “non-reviewable” in the Glossary </w:t>
            </w:r>
            <w:r>
              <w:rPr>
                <w:sz w:val="19"/>
                <w:vertAlign w:val="superscript"/>
              </w:rPr>
              <w:t>2</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5</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7</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60"/>
              <w:rPr>
                <w:snapToGrid w:val="0"/>
                <w:sz w:val="19"/>
              </w:rPr>
            </w:pPr>
            <w:r>
              <w:rPr>
                <w:snapToGrid w:val="0"/>
                <w:sz w:val="19"/>
              </w:rPr>
              <w:t>60 of 2006</w:t>
            </w:r>
          </w:p>
        </w:tc>
        <w:tc>
          <w:tcPr>
            <w:tcW w:w="1134" w:type="dxa"/>
          </w:tcPr>
          <w:p>
            <w:pPr>
              <w:pStyle w:val="nTable"/>
              <w:rPr>
                <w:sz w:val="19"/>
              </w:rPr>
            </w:pPr>
            <w:r>
              <w:rPr>
                <w:snapToGrid w:val="0"/>
                <w:sz w:val="19"/>
              </w:rPr>
              <w:t>16 Nov 2006</w:t>
            </w:r>
          </w:p>
        </w:tc>
        <w:tc>
          <w:tcPr>
            <w:tcW w:w="2552" w:type="dxa"/>
          </w:tcPr>
          <w:p>
            <w:pPr>
              <w:pStyle w:val="nTable"/>
              <w:rPr>
                <w:sz w:val="19"/>
              </w:rPr>
            </w:pPr>
            <w:r>
              <w:rPr>
                <w:sz w:val="19"/>
              </w:rPr>
              <w:t xml:space="preserve">1 Jan 2007 (see s. 2(1) and </w:t>
            </w:r>
            <w:r>
              <w:rPr>
                <w:i/>
                <w:sz w:val="19"/>
              </w:rPr>
              <w:t xml:space="preserve">Gazette </w:t>
            </w:r>
            <w:r>
              <w:rPr>
                <w:sz w:val="19"/>
              </w:rPr>
              <w:t>8 Dec 2006 p. 5369)</w:t>
            </w:r>
          </w:p>
        </w:tc>
      </w:tr>
      <w:tr>
        <w:trPr>
          <w:ins w:id="331" w:author="svcMRProcess" w:date="2018-09-09T10:07:00Z"/>
        </w:trPr>
        <w:tc>
          <w:tcPr>
            <w:tcW w:w="2268" w:type="dxa"/>
            <w:tcBorders>
              <w:bottom w:val="single" w:sz="4" w:space="0" w:color="auto"/>
            </w:tcBorders>
          </w:tcPr>
          <w:p>
            <w:pPr>
              <w:pStyle w:val="nTable"/>
              <w:rPr>
                <w:ins w:id="332" w:author="svcMRProcess" w:date="2018-09-09T10:07:00Z"/>
                <w:i/>
                <w:snapToGrid w:val="0"/>
                <w:sz w:val="19"/>
              </w:rPr>
            </w:pPr>
            <w:ins w:id="333" w:author="svcMRProcess" w:date="2018-09-09T10:07:00Z">
              <w:r>
                <w:rPr>
                  <w:i/>
                  <w:snapToGrid w:val="0"/>
                  <w:sz w:val="19"/>
                </w:rPr>
                <w:t>Financial Legislation Amendment and Repeal Act 2006</w:t>
              </w:r>
              <w:r>
                <w:rPr>
                  <w:snapToGrid w:val="0"/>
                  <w:sz w:val="19"/>
                </w:rPr>
                <w:t xml:space="preserve"> s. 17</w:t>
              </w:r>
            </w:ins>
          </w:p>
        </w:tc>
        <w:tc>
          <w:tcPr>
            <w:tcW w:w="1134" w:type="dxa"/>
            <w:tcBorders>
              <w:bottom w:val="single" w:sz="4" w:space="0" w:color="auto"/>
            </w:tcBorders>
          </w:tcPr>
          <w:p>
            <w:pPr>
              <w:pStyle w:val="nTable"/>
              <w:spacing w:after="60"/>
              <w:rPr>
                <w:ins w:id="334" w:author="svcMRProcess" w:date="2018-09-09T10:07:00Z"/>
                <w:snapToGrid w:val="0"/>
                <w:sz w:val="19"/>
              </w:rPr>
            </w:pPr>
            <w:ins w:id="335" w:author="svcMRProcess" w:date="2018-09-09T10:07:00Z">
              <w:r>
                <w:rPr>
                  <w:snapToGrid w:val="0"/>
                  <w:sz w:val="19"/>
                </w:rPr>
                <w:t>77 of 2006</w:t>
              </w:r>
            </w:ins>
          </w:p>
        </w:tc>
        <w:tc>
          <w:tcPr>
            <w:tcW w:w="1134" w:type="dxa"/>
            <w:tcBorders>
              <w:bottom w:val="single" w:sz="4" w:space="0" w:color="auto"/>
            </w:tcBorders>
          </w:tcPr>
          <w:p>
            <w:pPr>
              <w:pStyle w:val="nTable"/>
              <w:rPr>
                <w:ins w:id="336" w:author="svcMRProcess" w:date="2018-09-09T10:07:00Z"/>
                <w:snapToGrid w:val="0"/>
                <w:sz w:val="19"/>
              </w:rPr>
            </w:pPr>
            <w:ins w:id="337" w:author="svcMRProcess" w:date="2018-09-09T10:07:00Z">
              <w:r>
                <w:rPr>
                  <w:snapToGrid w:val="0"/>
                  <w:sz w:val="19"/>
                </w:rPr>
                <w:t>21 Dec 2006</w:t>
              </w:r>
            </w:ins>
          </w:p>
        </w:tc>
        <w:tc>
          <w:tcPr>
            <w:tcW w:w="2552" w:type="dxa"/>
            <w:tcBorders>
              <w:bottom w:val="single" w:sz="4" w:space="0" w:color="auto"/>
            </w:tcBorders>
          </w:tcPr>
          <w:p>
            <w:pPr>
              <w:pStyle w:val="nTable"/>
              <w:rPr>
                <w:ins w:id="338" w:author="svcMRProcess" w:date="2018-09-09T10:07:00Z"/>
                <w:sz w:val="19"/>
              </w:rPr>
            </w:pPr>
            <w:ins w:id="339" w:author="svcMRProcess" w:date="2018-09-09T10:07:00Z">
              <w:r>
                <w:rPr>
                  <w:sz w:val="19"/>
                </w:rPr>
                <w:t xml:space="preserve">1 Feb 2007 (see s. 2(1) and </w:t>
              </w:r>
              <w:r>
                <w:rPr>
                  <w:i/>
                  <w:sz w:val="19"/>
                </w:rPr>
                <w:t>Gazette</w:t>
              </w:r>
              <w:r>
                <w:rPr>
                  <w:sz w:val="19"/>
                </w:rPr>
                <w:t xml:space="preserve"> 19 Jan 2007 p. 137)</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40" w:name="_Toc390071069"/>
      <w:bookmarkStart w:id="341" w:name="_Toc390070891"/>
      <w:r>
        <w:t>Provisions that have not come into operation</w:t>
      </w:r>
      <w:bookmarkEnd w:id="340"/>
      <w:bookmarkEnd w:id="3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1 of 2003 (as amended by No. 55 of 2004)</w:t>
            </w:r>
          </w:p>
        </w:tc>
        <w:tc>
          <w:tcPr>
            <w:tcW w:w="1134" w:type="dxa"/>
            <w:tcBorders>
              <w:top w:val="single" w:sz="4" w:space="0" w:color="auto"/>
              <w:bottom w:val="single" w:sz="4" w:space="0" w:color="auto"/>
            </w:tcBorders>
          </w:tcPr>
          <w:p>
            <w:pPr>
              <w:pStyle w:val="nTable"/>
              <w:spacing w:after="40"/>
              <w:rPr>
                <w:sz w:val="19"/>
              </w:rPr>
            </w:pPr>
            <w:r>
              <w:rPr>
                <w:sz w:val="19"/>
              </w:rPr>
              <w:t>20 Mar 2003</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snapToGrid w:val="0"/>
          <w:vertAlign w:val="superscript"/>
        </w:rPr>
        <w:t>4</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vertAlign w:val="superscript"/>
        </w:rPr>
        <w:t>5</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7</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456"/>
    <w:docVar w:name="WAFER_20140609094507" w:val="RemoveTocBookmarks,RemoveUnusedBookmarks,RemoveLanguageTags,UsedStyles,ResetPageSize"/>
    <w:docVar w:name="WAFER_20140609094507_GUID" w:val="a4eb9627-2e43-4ea6-be2b-fb59620056c0"/>
    <w:docVar w:name="WAFER_20151210154456" w:val="RemoveTrackChanges"/>
    <w:docVar w:name="WAFER_20151210154456_GUID" w:val="d08870fd-d59d-49c9-a54e-4f41d2b30a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20709</Words>
  <Characters>99614</Characters>
  <Application>Microsoft Office Word</Application>
  <DocSecurity>0</DocSecurity>
  <Lines>2621</Lines>
  <Paragraphs>1415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118908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01-e0-04 - 01-f0-04</dc:title>
  <dc:subject/>
  <dc:creator/>
  <cp:keywords/>
  <dc:description/>
  <cp:lastModifiedBy>svcMRProcess</cp:lastModifiedBy>
  <cp:revision>2</cp:revision>
  <cp:lastPrinted>2005-11-01T09:05:00Z</cp:lastPrinted>
  <dcterms:created xsi:type="dcterms:W3CDTF">2018-09-09T02:07:00Z</dcterms:created>
  <dcterms:modified xsi:type="dcterms:W3CDTF">2018-09-09T02:07:00Z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6343</vt:i4>
  </property>
  <property fmtid="{D5CDD505-2E9C-101B-9397-08002B2CF9AE}" pid="6" name="FromSuffix">
    <vt:lpwstr>01-e0-04</vt:lpwstr>
  </property>
  <property fmtid="{D5CDD505-2E9C-101B-9397-08002B2CF9AE}" pid="7" name="FromAsAtDate">
    <vt:lpwstr>01 Jan 2007</vt:lpwstr>
  </property>
  <property fmtid="{D5CDD505-2E9C-101B-9397-08002B2CF9AE}" pid="8" name="ToSuffix">
    <vt:lpwstr>01-f0-04</vt:lpwstr>
  </property>
  <property fmtid="{D5CDD505-2E9C-101B-9397-08002B2CF9AE}" pid="9" name="ToAsAtDate">
    <vt:lpwstr>01 Feb 2007</vt:lpwstr>
  </property>
</Properties>
</file>