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2006</w:t>
      </w:r>
      <w:r>
        <w:fldChar w:fldCharType="end"/>
      </w:r>
      <w:r>
        <w:t xml:space="preserve">, </w:t>
      </w:r>
      <w:r>
        <w:fldChar w:fldCharType="begin"/>
      </w:r>
      <w:r>
        <w:instrText xml:space="preserve"> DocProperty FromSuffix </w:instrText>
      </w:r>
      <w:r>
        <w:fldChar w:fldCharType="separate"/>
      </w:r>
      <w:r>
        <w:t>00-f0-04</w:t>
      </w:r>
      <w:r>
        <w:fldChar w:fldCharType="end"/>
      </w:r>
      <w:r>
        <w:t>] and [</w:t>
      </w:r>
      <w:r>
        <w:fldChar w:fldCharType="begin"/>
      </w:r>
      <w:r>
        <w:instrText xml:space="preserve"> DocProperty ToAsAtDate</w:instrText>
      </w:r>
      <w:r>
        <w:fldChar w:fldCharType="separate"/>
      </w:r>
      <w:r>
        <w:t>15 Jul 2006</w:t>
      </w:r>
      <w:r>
        <w:fldChar w:fldCharType="end"/>
      </w:r>
      <w:r>
        <w:t xml:space="preserve">, </w:t>
      </w:r>
      <w:r>
        <w:fldChar w:fldCharType="begin"/>
      </w:r>
      <w:r>
        <w:instrText xml:space="preserve"> DocProperty ToSuffix</w:instrText>
      </w:r>
      <w:r>
        <w:fldChar w:fldCharType="separate"/>
      </w:r>
      <w:r>
        <w:t>00-g0-04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after="360"/>
        <w:ind w:left="794" w:right="794"/>
      </w:pPr>
      <w:r>
        <w:t>Children and Community Services Act 2004</w:t>
      </w:r>
    </w:p>
    <w:p>
      <w:pPr>
        <w:pStyle w:val="LongTitle"/>
        <w:suppressLineNumbers/>
        <w:rPr>
          <w:snapToGrid w:val="0"/>
        </w:rPr>
      </w:pPr>
      <w:r>
        <w:rPr>
          <w:snapToGrid w:val="0"/>
        </w:rPr>
        <w:t>A</w:t>
      </w:r>
      <w:bookmarkStart w:id="0" w:name="_GoBack"/>
      <w:bookmarkEnd w:id="0"/>
      <w:r>
        <w:rPr>
          <w:snapToGrid w:val="0"/>
        </w:rPr>
        <w:t>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rPr>
          <w:snapToGrid w:val="0"/>
        </w:rPr>
      </w:pPr>
      <w:r>
        <w:rPr>
          <w:snapToGrid w:val="0"/>
        </w:rPr>
        <w:t>to make provisions about the protection and care of children, the employment of children, and child care services;</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p>
    <w:p>
      <w:pPr>
        <w:pStyle w:val="LongTitle"/>
        <w:suppressLineNumbers/>
        <w:rPr>
          <w:snapToGrid w:val="0"/>
        </w:rPr>
      </w:pPr>
      <w:r>
        <w:rPr>
          <w:snapToGrid w:val="0"/>
        </w:rPr>
        <w:t>and to provide for related matters.</w:t>
      </w:r>
    </w:p>
    <w:p>
      <w:pPr>
        <w:pStyle w:val="Heading2"/>
      </w:pPr>
      <w:bookmarkStart w:id="1" w:name="_Toc86208104"/>
      <w:bookmarkStart w:id="2" w:name="_Toc86211304"/>
      <w:bookmarkStart w:id="3" w:name="_Toc86212310"/>
      <w:bookmarkStart w:id="4" w:name="_Toc90460884"/>
      <w:bookmarkStart w:id="5" w:name="_Toc94071229"/>
      <w:bookmarkStart w:id="6" w:name="_Toc97098379"/>
      <w:bookmarkStart w:id="7" w:name="_Toc103054873"/>
      <w:bookmarkStart w:id="8" w:name="_Toc103055760"/>
      <w:bookmarkStart w:id="9" w:name="_Toc124042439"/>
      <w:bookmarkStart w:id="10" w:name="_Toc124043274"/>
      <w:bookmarkStart w:id="11" w:name="_Toc124045413"/>
      <w:bookmarkStart w:id="12" w:name="_Toc128300727"/>
      <w:bookmarkStart w:id="13" w:name="_Toc128302755"/>
      <w:bookmarkStart w:id="14" w:name="_Toc128366687"/>
      <w:bookmarkStart w:id="15" w:name="_Toc128368601"/>
      <w:bookmarkStart w:id="16" w:name="_Toc128368981"/>
      <w:bookmarkStart w:id="17" w:name="_Toc128969318"/>
      <w:bookmarkStart w:id="18" w:name="_Toc132620229"/>
      <w:bookmarkStart w:id="19" w:name="_Toc140377857"/>
      <w:bookmarkStart w:id="20" w:name="_Toc140393799"/>
      <w:bookmarkStart w:id="21" w:name="_Toc14089326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438114694"/>
      <w:bookmarkStart w:id="23" w:name="_Toc85881214"/>
      <w:bookmarkStart w:id="24" w:name="_Toc128368602"/>
      <w:bookmarkStart w:id="25" w:name="_Toc140893268"/>
      <w:bookmarkStart w:id="26" w:name="_Toc140393800"/>
      <w:r>
        <w:rPr>
          <w:rStyle w:val="CharSectno"/>
        </w:rPr>
        <w:t>1</w:t>
      </w:r>
      <w:r>
        <w:rPr>
          <w:snapToGrid w:val="0"/>
        </w:rPr>
        <w:t>.</w:t>
      </w:r>
      <w:r>
        <w:rPr>
          <w:snapToGrid w:val="0"/>
        </w:rPr>
        <w:tab/>
        <w:t>Short title</w:t>
      </w:r>
      <w:bookmarkEnd w:id="22"/>
      <w:bookmarkEnd w:id="23"/>
      <w:bookmarkEnd w:id="24"/>
      <w:bookmarkEnd w:id="25"/>
      <w:bookmarkEnd w:id="26"/>
    </w:p>
    <w:p>
      <w:pPr>
        <w:pStyle w:val="Subsection"/>
        <w:ind w:right="283"/>
        <w:rPr>
          <w:snapToGrid w:val="0"/>
        </w:rPr>
      </w:pPr>
      <w:r>
        <w:rPr>
          <w:snapToGrid w:val="0"/>
        </w:rPr>
        <w:tab/>
      </w:r>
      <w:r>
        <w:rPr>
          <w:snapToGrid w:val="0"/>
        </w:rPr>
        <w:tab/>
        <w:t>This Act may be cited as the</w:t>
      </w:r>
      <w:r>
        <w:rPr>
          <w:i/>
          <w:snapToGrid w:val="0"/>
        </w:rPr>
        <w:t xml:space="preserve"> Children and Community Services Act 2004</w:t>
      </w:r>
      <w:r>
        <w:rPr>
          <w:snapToGrid w:val="0"/>
        </w:rPr>
        <w:t>.</w:t>
      </w:r>
    </w:p>
    <w:p>
      <w:pPr>
        <w:pStyle w:val="Heading5"/>
        <w:rPr>
          <w:snapToGrid w:val="0"/>
        </w:rPr>
      </w:pPr>
      <w:bookmarkStart w:id="27" w:name="_Toc438114695"/>
      <w:bookmarkStart w:id="28" w:name="_Toc85881215"/>
      <w:bookmarkStart w:id="29" w:name="_Toc128368603"/>
      <w:bookmarkStart w:id="30" w:name="_Toc140893269"/>
      <w:bookmarkStart w:id="31" w:name="_Toc140393801"/>
      <w:r>
        <w:rPr>
          <w:rStyle w:val="CharSectno"/>
        </w:rPr>
        <w:t>2</w:t>
      </w:r>
      <w:r>
        <w:rPr>
          <w:snapToGrid w:val="0"/>
        </w:rPr>
        <w:t>.</w:t>
      </w:r>
      <w:r>
        <w:rPr>
          <w:snapToGrid w:val="0"/>
        </w:rPr>
        <w:tab/>
        <w:t>Commencement</w:t>
      </w:r>
      <w:bookmarkEnd w:id="27"/>
      <w:bookmarkEnd w:id="28"/>
      <w:bookmarkEnd w:id="29"/>
      <w:bookmarkEnd w:id="30"/>
      <w:bookmarkEnd w:id="31"/>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32" w:name="_Toc438114697"/>
      <w:bookmarkStart w:id="33" w:name="_Toc85881216"/>
      <w:bookmarkStart w:id="34" w:name="_Toc128368604"/>
      <w:bookmarkStart w:id="35" w:name="_Toc140893270"/>
      <w:bookmarkStart w:id="36" w:name="_Toc140393802"/>
      <w:r>
        <w:rPr>
          <w:rStyle w:val="CharSectno"/>
        </w:rPr>
        <w:t>3</w:t>
      </w:r>
      <w:r>
        <w:t>.</w:t>
      </w:r>
      <w:r>
        <w:tab/>
      </w:r>
      <w:bookmarkEnd w:id="32"/>
      <w:r>
        <w:t>Terms used in this Act</w:t>
      </w:r>
      <w:bookmarkEnd w:id="33"/>
      <w:bookmarkEnd w:id="34"/>
      <w:bookmarkEnd w:id="35"/>
      <w:bookmarkEnd w:id="36"/>
    </w:p>
    <w:p>
      <w:pPr>
        <w:pStyle w:val="Subsection"/>
      </w:pPr>
      <w:r>
        <w:tab/>
      </w:r>
      <w:r>
        <w:tab/>
        <w:t>In this Act, unless the contrary intention appears —</w:t>
      </w:r>
    </w:p>
    <w:p>
      <w:pPr>
        <w:pStyle w:val="Defstart"/>
      </w:pPr>
      <w:r>
        <w:tab/>
      </w:r>
      <w:r>
        <w:rPr>
          <w:b/>
        </w:rPr>
        <w:t>“</w:t>
      </w:r>
      <w:r>
        <w:rPr>
          <w:rStyle w:val="CharDefText"/>
        </w:rPr>
        <w:t>Aboriginal person</w:t>
      </w:r>
      <w:r>
        <w:rPr>
          <w:b/>
        </w:rPr>
        <w:t>”</w:t>
      </w:r>
      <w:r>
        <w:t xml:space="preserve"> means a person who is a descendant of Aboriginal people of Australia, and </w:t>
      </w:r>
      <w:r>
        <w:rPr>
          <w:b/>
        </w:rPr>
        <w:t>“</w:t>
      </w:r>
      <w:r>
        <w:rPr>
          <w:rStyle w:val="CharDefText"/>
        </w:rPr>
        <w:t>Aboriginal child</w:t>
      </w:r>
      <w:r>
        <w:rPr>
          <w:b/>
        </w:rPr>
        <w:t>”</w:t>
      </w:r>
      <w:r>
        <w:t xml:space="preserve"> has a corresponding meaning;</w:t>
      </w:r>
    </w:p>
    <w:p>
      <w:pPr>
        <w:pStyle w:val="Defstart"/>
      </w:pPr>
      <w:r>
        <w:rPr>
          <w:b/>
        </w:rPr>
        <w:tab/>
        <w:t>“</w:t>
      </w:r>
      <w:r>
        <w:rPr>
          <w:rStyle w:val="CharDefText"/>
        </w:rPr>
        <w:t>adult</w:t>
      </w:r>
      <w:r>
        <w:rPr>
          <w:b/>
        </w:rPr>
        <w:t>”</w:t>
      </w:r>
      <w:r>
        <w:t xml:space="preserve"> means a person who has reached 18 years of age;</w:t>
      </w:r>
    </w:p>
    <w:p>
      <w:pPr>
        <w:pStyle w:val="Defstart"/>
      </w:pPr>
      <w:r>
        <w:rPr>
          <w:b/>
        </w:rPr>
        <w:tab/>
        <w:t>“</w:t>
      </w:r>
      <w:r>
        <w:rPr>
          <w:rStyle w:val="CharDefText"/>
        </w:rPr>
        <w:t>authorised officer</w:t>
      </w:r>
      <w:r>
        <w:rPr>
          <w:b/>
        </w:rPr>
        <w:t>”</w:t>
      </w:r>
      <w:r>
        <w:t xml:space="preserve"> means an officer appointed under section</w:t>
      </w:r>
      <w:bookmarkStart w:id="37" w:name="_Hlt417360170"/>
      <w:r>
        <w:t> </w:t>
      </w:r>
      <w:bookmarkStart w:id="38" w:name="_Hlt438298095"/>
      <w:bookmarkEnd w:id="37"/>
      <w:r>
        <w:t>25</w:t>
      </w:r>
      <w:bookmarkEnd w:id="38"/>
      <w:r>
        <w:t xml:space="preserve"> for the purposes of this Act or for the purposes of the provision in which the term is used;</w:t>
      </w:r>
    </w:p>
    <w:p>
      <w:pPr>
        <w:pStyle w:val="Defstart"/>
      </w:pPr>
      <w:r>
        <w:tab/>
      </w:r>
      <w:r>
        <w:rPr>
          <w:b/>
        </w:rPr>
        <w:t>“</w:t>
      </w:r>
      <w:r>
        <w:rPr>
          <w:rStyle w:val="CharDefText"/>
        </w:rPr>
        <w:t>carer</w:t>
      </w:r>
      <w:r>
        <w:rPr>
          <w:b/>
        </w:rPr>
        <w:t xml:space="preserve">” </w:t>
      </w:r>
      <w:r>
        <w:t>means a person who provides care for a child under a placement arrangement;</w:t>
      </w:r>
    </w:p>
    <w:p>
      <w:pPr>
        <w:pStyle w:val="Defstart"/>
      </w:pPr>
      <w:r>
        <w:rPr>
          <w:b/>
        </w:rPr>
        <w:tab/>
        <w:t>“</w:t>
      </w:r>
      <w:r>
        <w:rPr>
          <w:rStyle w:val="CharDefText"/>
        </w:rPr>
        <w:t>CEO</w:t>
      </w:r>
      <w:r>
        <w:rPr>
          <w:b/>
        </w:rPr>
        <w:t>”</w:t>
      </w:r>
      <w:r>
        <w:t xml:space="preserve"> means the chief executive officer of the Department;</w:t>
      </w:r>
    </w:p>
    <w:p>
      <w:pPr>
        <w:pStyle w:val="Defstart"/>
      </w:pPr>
      <w:r>
        <w:tab/>
      </w:r>
      <w:r>
        <w:rPr>
          <w:b/>
        </w:rPr>
        <w:t>“</w:t>
      </w:r>
      <w:r>
        <w:rPr>
          <w:rStyle w:val="CharDefText"/>
        </w:rPr>
        <w:t>child</w:t>
      </w:r>
      <w:r>
        <w:rPr>
          <w:b/>
        </w:rPr>
        <w:t>”</w:t>
      </w:r>
      <w:r>
        <w:t xml:space="preserve"> means a person who is under 18 years of age, and in the absence of positive evidence as to age, means a person who is apparently under 18 years of age;</w:t>
      </w:r>
    </w:p>
    <w:p>
      <w:pPr>
        <w:pStyle w:val="Defstart"/>
      </w:pPr>
      <w:r>
        <w:tab/>
      </w:r>
      <w:r>
        <w:rPr>
          <w:b/>
        </w:rPr>
        <w:t>“</w:t>
      </w:r>
      <w:r>
        <w:rPr>
          <w:rStyle w:val="CharDefText"/>
        </w:rPr>
        <w:t>Court</w:t>
      </w:r>
      <w:r>
        <w:rPr>
          <w:b/>
        </w:rPr>
        <w:t>”</w:t>
      </w:r>
      <w:r>
        <w:t xml:space="preserve"> means the Children’s Court;</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keepNext/>
      </w:pPr>
      <w:r>
        <w:rPr>
          <w:b/>
        </w:rPr>
        <w:tab/>
        <w:t>“</w:t>
      </w:r>
      <w:r>
        <w:rPr>
          <w:rStyle w:val="CharDefText"/>
        </w:rPr>
        <w:t>disability</w:t>
      </w:r>
      <w:r>
        <w:rPr>
          <w:b/>
        </w:rPr>
        <w:t>”</w:t>
      </w:r>
      <w:r>
        <w:t xml:space="preserve"> means a disability — </w:t>
      </w:r>
    </w:p>
    <w:p>
      <w:pPr>
        <w:pStyle w:val="Defpara"/>
      </w:pPr>
      <w:r>
        <w:tab/>
        <w:t>(a)</w:t>
      </w:r>
      <w:r>
        <w:tab/>
        <w:t>that is attributable to an intellectual, psychiatric, cognitive, neurological, sensory, or physical impairment or a combination of those impairments;</w:t>
      </w:r>
    </w:p>
    <w:p>
      <w:pPr>
        <w:pStyle w:val="Defpara"/>
      </w:pPr>
      <w:r>
        <w:tab/>
        <w:t>(b)</w:t>
      </w:r>
      <w:r>
        <w:tab/>
        <w:t>that is permanent or likely to be permanent;</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b/>
        </w:rPr>
        <w:t>“</w:t>
      </w:r>
      <w:r>
        <w:rPr>
          <w:rStyle w:val="CharDefText"/>
        </w:rPr>
        <w:t>first listing date</w:t>
      </w:r>
      <w:r>
        <w:rPr>
          <w:b/>
        </w:rPr>
        <w:t>”</w:t>
      </w:r>
      <w:r>
        <w:t>, in relation to a protection application, means the day fixed under section 44(4) in respect of the application;</w:t>
      </w:r>
    </w:p>
    <w:p>
      <w:pPr>
        <w:pStyle w:val="Defstart"/>
      </w:pPr>
      <w:r>
        <w:rPr>
          <w:b/>
        </w:rPr>
        <w:tab/>
        <w:t>“</w:t>
      </w:r>
      <w:r>
        <w:rPr>
          <w:rStyle w:val="CharDefText"/>
        </w:rPr>
        <w:t>harm</w:t>
      </w:r>
      <w:r>
        <w:rPr>
          <w:b/>
        </w:rPr>
        <w:t>”</w:t>
      </w:r>
      <w:r>
        <w:t>, in relation to a child, includes harm to the child’s physical, emotional or psychological development;</w:t>
      </w:r>
    </w:p>
    <w:p>
      <w:pPr>
        <w:pStyle w:val="Defstart"/>
      </w:pPr>
      <w:r>
        <w:tab/>
      </w:r>
      <w:r>
        <w:rPr>
          <w:b/>
        </w:rPr>
        <w:t>“</w:t>
      </w:r>
      <w:r>
        <w:rPr>
          <w:rStyle w:val="CharDefText"/>
        </w:rPr>
        <w:t>in need of protection</w:t>
      </w:r>
      <w:r>
        <w:rPr>
          <w:b/>
        </w:rPr>
        <w:t>”</w:t>
      </w:r>
      <w:r>
        <w:t xml:space="preserve"> has the meaning given to that term in section 28(2);</w:t>
      </w:r>
    </w:p>
    <w:p>
      <w:pPr>
        <w:pStyle w:val="Defstart"/>
      </w:pPr>
      <w:r>
        <w:rPr>
          <w:b/>
        </w:rPr>
        <w:tab/>
        <w:t>“</w:t>
      </w:r>
      <w:r>
        <w:rPr>
          <w:rStyle w:val="CharDefText"/>
        </w:rPr>
        <w:t>in the CEO’s care</w:t>
      </w:r>
      <w:r>
        <w:rPr>
          <w:b/>
        </w:rPr>
        <w:t>”</w:t>
      </w:r>
      <w:r>
        <w:t xml:space="preserve"> has the meaning given to that term in section </w:t>
      </w:r>
      <w:bookmarkStart w:id="39" w:name="_Hlt46207641"/>
      <w:r>
        <w:t>30</w:t>
      </w:r>
      <w:bookmarkEnd w:id="39"/>
      <w:r>
        <w:t>;</w:t>
      </w:r>
    </w:p>
    <w:p>
      <w:pPr>
        <w:pStyle w:val="Defstart"/>
      </w:pPr>
      <w:r>
        <w:tab/>
      </w:r>
      <w:r>
        <w:rPr>
          <w:b/>
        </w:rPr>
        <w:t>“</w:t>
      </w:r>
      <w:r>
        <w:rPr>
          <w:rStyle w:val="CharDefText"/>
        </w:rPr>
        <w:t>interim order</w:t>
      </w:r>
      <w:r>
        <w:rPr>
          <w:b/>
        </w:rPr>
        <w:t>”</w:t>
      </w:r>
      <w:r>
        <w:t>, except in Part </w:t>
      </w:r>
      <w:bookmarkStart w:id="40" w:name="_Hlt39889059"/>
      <w:r>
        <w:t>6</w:t>
      </w:r>
      <w:bookmarkEnd w:id="40"/>
      <w:r>
        <w:t>, means an order made under section </w:t>
      </w:r>
      <w:bookmarkStart w:id="41" w:name="_Hlt517081634"/>
      <w:r>
        <w:t>133</w:t>
      </w:r>
      <w:bookmarkEnd w:id="41"/>
      <w:r>
        <w:t>;</w:t>
      </w:r>
    </w:p>
    <w:p>
      <w:pPr>
        <w:pStyle w:val="Defstart"/>
      </w:pPr>
      <w:r>
        <w:tab/>
      </w:r>
      <w:r>
        <w:rPr>
          <w:b/>
        </w:rPr>
        <w:t>“</w:t>
      </w:r>
      <w:r>
        <w:rPr>
          <w:rStyle w:val="CharDefText"/>
        </w:rPr>
        <w:t>magistrate</w:t>
      </w:r>
      <w:r>
        <w:rPr>
          <w:b/>
        </w:rPr>
        <w:t>”</w:t>
      </w:r>
      <w:r>
        <w:t xml:space="preserve"> means a magistrate of the Court;</w:t>
      </w:r>
    </w:p>
    <w:p>
      <w:pPr>
        <w:pStyle w:val="Defstart"/>
      </w:pPr>
      <w:r>
        <w:tab/>
      </w:r>
      <w:r>
        <w:rPr>
          <w:b/>
        </w:rPr>
        <w:t>“</w:t>
      </w:r>
      <w:r>
        <w:rPr>
          <w:rStyle w:val="CharDefText"/>
        </w:rPr>
        <w:t>negotiated placement agreement</w:t>
      </w:r>
      <w:r>
        <w:rPr>
          <w:b/>
        </w:rPr>
        <w:t>”</w:t>
      </w:r>
      <w:r>
        <w:t xml:space="preserve"> means an agreement under section 75(1);</w:t>
      </w:r>
    </w:p>
    <w:p>
      <w:pPr>
        <w:pStyle w:val="Defstart"/>
      </w:pPr>
      <w:r>
        <w:tab/>
      </w:r>
      <w:r>
        <w:rPr>
          <w:b/>
        </w:rPr>
        <w:t>“</w:t>
      </w:r>
      <w:r>
        <w:rPr>
          <w:rStyle w:val="CharDefText"/>
        </w:rPr>
        <w:t>officer</w:t>
      </w:r>
      <w:r>
        <w:rPr>
          <w:b/>
        </w:rPr>
        <w: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b/>
        </w:rPr>
        <w:t>“</w:t>
      </w:r>
      <w:r>
        <w:rPr>
          <w:rStyle w:val="CharDefText"/>
        </w:rPr>
        <w:t>parent</w:t>
      </w:r>
      <w:r>
        <w:rPr>
          <w:b/>
        </w:rPr>
        <w: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b/>
        </w:rPr>
        <w:t>“</w:t>
      </w:r>
      <w:r>
        <w:rPr>
          <w:rStyle w:val="CharDefText"/>
        </w:rPr>
        <w:t>parental responsibility</w:t>
      </w:r>
      <w:r>
        <w:rPr>
          <w:b/>
        </w:rPr>
        <w:t>”</w:t>
      </w:r>
      <w:r>
        <w:t>,</w:t>
      </w:r>
      <w:r>
        <w:rPr>
          <w:b/>
        </w:rPr>
        <w:t xml:space="preserve"> </w:t>
      </w:r>
      <w:r>
        <w:t>in relation to a child, means all the duties, powers, responsibilities and authority which, by law, parents have in relation to children;</w:t>
      </w:r>
    </w:p>
    <w:p>
      <w:pPr>
        <w:pStyle w:val="Defstart"/>
      </w:pPr>
      <w:r>
        <w:rPr>
          <w:b/>
        </w:rPr>
        <w:tab/>
        <w:t>“</w:t>
      </w:r>
      <w:r>
        <w:rPr>
          <w:rStyle w:val="CharDefText"/>
        </w:rPr>
        <w:t>party</w:t>
      </w:r>
      <w:r>
        <w:rPr>
          <w:b/>
        </w:rPr>
        <w:t>”</w:t>
      </w:r>
      <w:r>
        <w:t>, in relation to protection proceedings, means a person who is a party to the proceedings under section </w:t>
      </w:r>
      <w:bookmarkStart w:id="42" w:name="_Hlt490459394"/>
      <w:r>
        <w:t>147</w:t>
      </w:r>
      <w:bookmarkEnd w:id="42"/>
      <w:r>
        <w:t>;</w:t>
      </w:r>
    </w:p>
    <w:p>
      <w:pPr>
        <w:pStyle w:val="Defstart"/>
      </w:pPr>
      <w:r>
        <w:tab/>
      </w:r>
      <w:r>
        <w:rPr>
          <w:b/>
        </w:rPr>
        <w:t>“</w:t>
      </w:r>
      <w:r>
        <w:rPr>
          <w:rStyle w:val="CharDefText"/>
        </w:rPr>
        <w:t>place</w:t>
      </w:r>
      <w:r>
        <w:rPr>
          <w:b/>
        </w:rPr>
        <w:t>”</w:t>
      </w:r>
      <w:r>
        <w:t xml:space="preserve"> means anywhere at all, and includes anywhere in or on something that is moving or can move;</w:t>
      </w:r>
    </w:p>
    <w:p>
      <w:pPr>
        <w:pStyle w:val="Defstart"/>
      </w:pPr>
      <w:r>
        <w:rPr>
          <w:b/>
        </w:rPr>
        <w:tab/>
        <w:t>“</w:t>
      </w:r>
      <w:r>
        <w:rPr>
          <w:rStyle w:val="CharDefText"/>
        </w:rPr>
        <w:t>placed</w:t>
      </w:r>
      <w:r>
        <w:rPr>
          <w:b/>
        </w:rPr>
        <w:t>”</w:t>
      </w:r>
      <w:r>
        <w:t xml:space="preserve"> means placed under a placement arrangement;</w:t>
      </w:r>
    </w:p>
    <w:p>
      <w:pPr>
        <w:pStyle w:val="Defstart"/>
      </w:pPr>
      <w:r>
        <w:rPr>
          <w:b/>
        </w:rPr>
        <w:tab/>
        <w:t>“</w:t>
      </w:r>
      <w:r>
        <w:rPr>
          <w:rStyle w:val="CharDefText"/>
        </w:rPr>
        <w:t>placement</w:t>
      </w:r>
      <w:r>
        <w:rPr>
          <w:b/>
        </w:rPr>
        <w:t>”</w:t>
      </w:r>
      <w:r>
        <w:t xml:space="preserve"> means placement under a placement arrangement;</w:t>
      </w:r>
    </w:p>
    <w:p>
      <w:pPr>
        <w:pStyle w:val="Defstart"/>
      </w:pPr>
      <w:r>
        <w:tab/>
      </w:r>
      <w:r>
        <w:rPr>
          <w:b/>
        </w:rPr>
        <w:t>“</w:t>
      </w:r>
      <w:r>
        <w:rPr>
          <w:rStyle w:val="CharDefText"/>
        </w:rPr>
        <w:t>placement arrangement</w:t>
      </w:r>
      <w:r>
        <w:rPr>
          <w:b/>
        </w:rPr>
        <w:t>”</w:t>
      </w:r>
      <w:r>
        <w:t xml:space="preserve"> means an arrangement under section 79(2) for the placement of a child;</w:t>
      </w:r>
    </w:p>
    <w:p>
      <w:pPr>
        <w:pStyle w:val="Defstart"/>
      </w:pPr>
      <w:r>
        <w:rPr>
          <w:b/>
        </w:rPr>
        <w:tab/>
        <w:t>“</w:t>
      </w:r>
      <w:r>
        <w:rPr>
          <w:rStyle w:val="CharDefText"/>
        </w:rPr>
        <w:t>police officer</w:t>
      </w:r>
      <w:r>
        <w:rPr>
          <w:b/>
        </w:rPr>
        <w:t>”</w:t>
      </w:r>
      <w:r>
        <w:t xml:space="preserve"> has the meaning given to that term in the </w:t>
      </w:r>
      <w:r>
        <w:rPr>
          <w:i/>
        </w:rPr>
        <w:t>Protective Custody Act 2000</w:t>
      </w:r>
      <w:r>
        <w:t xml:space="preserve"> section 3;</w:t>
      </w:r>
    </w:p>
    <w:p>
      <w:pPr>
        <w:pStyle w:val="Defstart"/>
      </w:pPr>
      <w:r>
        <w:tab/>
      </w:r>
      <w:r>
        <w:rPr>
          <w:b/>
        </w:rPr>
        <w:t>“</w:t>
      </w:r>
      <w:r>
        <w:rPr>
          <w:rStyle w:val="CharDefText"/>
        </w:rPr>
        <w:t>pre</w:t>
      </w:r>
      <w:r>
        <w:rPr>
          <w:rStyle w:val="CharDefText"/>
        </w:rPr>
        <w:noBreakHyphen/>
        <w:t>hearing conference</w:t>
      </w:r>
      <w:r>
        <w:rPr>
          <w:b/>
        </w:rPr>
        <w:t>”</w:t>
      </w:r>
      <w:r>
        <w:t xml:space="preserve"> means a conference referred to in section 136(1);</w:t>
      </w:r>
    </w:p>
    <w:p>
      <w:pPr>
        <w:pStyle w:val="Defstart"/>
      </w:pPr>
      <w:r>
        <w:tab/>
      </w:r>
      <w:r>
        <w:rPr>
          <w:b/>
        </w:rPr>
        <w:t>“</w:t>
      </w:r>
      <w:r>
        <w:rPr>
          <w:rStyle w:val="CharDefText"/>
        </w:rPr>
        <w:t>protection application</w:t>
      </w:r>
      <w:r>
        <w:rPr>
          <w:b/>
        </w:rPr>
        <w:t>”</w:t>
      </w:r>
      <w:r>
        <w:t xml:space="preserve"> means an application to the Court for a protection order;</w:t>
      </w:r>
    </w:p>
    <w:p>
      <w:pPr>
        <w:pStyle w:val="Defstart"/>
      </w:pPr>
      <w:r>
        <w:tab/>
      </w:r>
      <w:r>
        <w:rPr>
          <w:b/>
        </w:rPr>
        <w:t>“</w:t>
      </w:r>
      <w:r>
        <w:rPr>
          <w:rStyle w:val="CharDefText"/>
        </w:rPr>
        <w:t>protection order</w:t>
      </w:r>
      <w:r>
        <w:rPr>
          <w:b/>
        </w:rPr>
        <w:t>”</w:t>
      </w:r>
      <w:r>
        <w:t xml:space="preserve"> has the meaning given to that term in section </w:t>
      </w:r>
      <w:bookmarkStart w:id="43" w:name="_Hlt27989525"/>
      <w:r>
        <w:t>43</w:t>
      </w:r>
      <w:bookmarkEnd w:id="43"/>
      <w:r>
        <w:t>;</w:t>
      </w:r>
    </w:p>
    <w:p>
      <w:pPr>
        <w:pStyle w:val="Defstart"/>
      </w:pPr>
      <w:r>
        <w:tab/>
      </w:r>
      <w:r>
        <w:rPr>
          <w:b/>
        </w:rPr>
        <w:t>“</w:t>
      </w:r>
      <w:r>
        <w:rPr>
          <w:rStyle w:val="CharDefText"/>
        </w:rPr>
        <w:t>protection order (enduring parental responsibility)</w:t>
      </w:r>
      <w:r>
        <w:rPr>
          <w:b/>
        </w:rPr>
        <w:t>”</w:t>
      </w:r>
      <w:r>
        <w:t xml:space="preserve"> has the meaning given to that term in section 60;</w:t>
      </w:r>
    </w:p>
    <w:p>
      <w:pPr>
        <w:pStyle w:val="Defstart"/>
      </w:pPr>
      <w:r>
        <w:tab/>
      </w:r>
      <w:r>
        <w:rPr>
          <w:b/>
        </w:rPr>
        <w:t>“</w:t>
      </w:r>
      <w:r>
        <w:rPr>
          <w:rStyle w:val="CharDefText"/>
        </w:rPr>
        <w:t>protection order (supervision)</w:t>
      </w:r>
      <w:r>
        <w:rPr>
          <w:b/>
        </w:rPr>
        <w:t>”</w:t>
      </w:r>
      <w:r>
        <w:t xml:space="preserve"> has the meaning given to that term in section </w:t>
      </w:r>
      <w:bookmarkStart w:id="44" w:name="_Hlt51044322"/>
      <w:r>
        <w:t>47</w:t>
      </w:r>
      <w:bookmarkEnd w:id="44"/>
      <w:r>
        <w:t>;</w:t>
      </w:r>
    </w:p>
    <w:p>
      <w:pPr>
        <w:pStyle w:val="Defstart"/>
      </w:pPr>
      <w:r>
        <w:tab/>
      </w:r>
      <w:r>
        <w:rPr>
          <w:b/>
        </w:rPr>
        <w:t>“</w:t>
      </w:r>
      <w:r>
        <w:rPr>
          <w:rStyle w:val="CharDefText"/>
        </w:rPr>
        <w:t>protection order (time</w:t>
      </w:r>
      <w:r>
        <w:rPr>
          <w:rStyle w:val="CharDefText"/>
        </w:rPr>
        <w:noBreakHyphen/>
        <w:t>limited)</w:t>
      </w:r>
      <w:r>
        <w:rPr>
          <w:b/>
        </w:rPr>
        <w:t>”</w:t>
      </w:r>
      <w:r>
        <w:t xml:space="preserve"> has the meaning given to that term in section </w:t>
      </w:r>
      <w:bookmarkStart w:id="45" w:name="_Hlt51044350"/>
      <w:r>
        <w:t>54</w:t>
      </w:r>
      <w:bookmarkEnd w:id="45"/>
      <w:r>
        <w:t>;</w:t>
      </w:r>
    </w:p>
    <w:p>
      <w:pPr>
        <w:pStyle w:val="Defstart"/>
      </w:pPr>
      <w:r>
        <w:tab/>
      </w:r>
      <w:r>
        <w:rPr>
          <w:b/>
        </w:rPr>
        <w:t>“</w:t>
      </w:r>
      <w:r>
        <w:rPr>
          <w:rStyle w:val="CharDefText"/>
        </w:rPr>
        <w:t>protection order (until 18)</w:t>
      </w:r>
      <w:r>
        <w:rPr>
          <w:b/>
        </w:rPr>
        <w:t>”</w:t>
      </w:r>
      <w:r>
        <w:t xml:space="preserve"> has the meaning given to that term in section </w:t>
      </w:r>
      <w:bookmarkStart w:id="46" w:name="_Hlt51044354"/>
      <w:r>
        <w:t>57</w:t>
      </w:r>
      <w:bookmarkEnd w:id="46"/>
      <w:r>
        <w:t>;</w:t>
      </w:r>
    </w:p>
    <w:p>
      <w:pPr>
        <w:pStyle w:val="Defstart"/>
      </w:pPr>
      <w:r>
        <w:tab/>
      </w:r>
      <w:r>
        <w:rPr>
          <w:b/>
        </w:rPr>
        <w:t>“</w:t>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47" w:name="_Hlt55707048"/>
      <w:r>
        <w:t>65</w:t>
      </w:r>
      <w:bookmarkEnd w:id="47"/>
      <w:r>
        <w:t>, 73 or 126);</w:t>
      </w:r>
    </w:p>
    <w:p>
      <w:pPr>
        <w:pStyle w:val="Defstart"/>
      </w:pPr>
      <w:r>
        <w:tab/>
      </w:r>
      <w:r>
        <w:rPr>
          <w:b/>
        </w:rPr>
        <w:t>“</w:t>
      </w:r>
      <w:r>
        <w:rPr>
          <w:rStyle w:val="CharDefText"/>
        </w:rPr>
        <w:t>provisional protection and care</w:t>
      </w:r>
      <w:r>
        <w:rPr>
          <w:b/>
        </w:rPr>
        <w:t>”</w:t>
      </w:r>
      <w:r>
        <w:t xml:space="preserve"> has the meaning given to that term in section</w:t>
      </w:r>
      <w:bookmarkStart w:id="48" w:name="_Hlt512910007"/>
      <w:r>
        <w:t> </w:t>
      </w:r>
      <w:bookmarkStart w:id="49" w:name="_Hlt39889319"/>
      <w:bookmarkEnd w:id="48"/>
      <w:r>
        <w:t>29(1)</w:t>
      </w:r>
      <w:bookmarkEnd w:id="49"/>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b/>
        </w:rPr>
        <w:t>“</w:t>
      </w:r>
      <w:r>
        <w:rPr>
          <w:rStyle w:val="CharDefText"/>
        </w:rPr>
        <w:t>relative</w:t>
      </w:r>
      <w:r>
        <w:rPr>
          <w:b/>
        </w:rPr>
        <w:t>”</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pPr>
      <w:r>
        <w:rPr>
          <w:b/>
        </w:rPr>
        <w:tab/>
        <w:t>“</w:t>
      </w:r>
      <w:r>
        <w:rPr>
          <w:rStyle w:val="CharDefText"/>
        </w:rPr>
        <w:t>service provider</w:t>
      </w:r>
      <w:r>
        <w:rPr>
          <w:b/>
        </w:rPr>
        <w:t>”</w:t>
      </w:r>
      <w:r>
        <w:t xml:space="preserve"> means a person or body who or which — </w:t>
      </w:r>
    </w:p>
    <w:p>
      <w:pPr>
        <w:pStyle w:val="Defpara"/>
      </w:pPr>
      <w:r>
        <w:tab/>
        <w:t>(a)</w:t>
      </w:r>
      <w:r>
        <w:tab/>
        <w:t>provides or promotes social services; or</w:t>
      </w:r>
    </w:p>
    <w:p>
      <w:pPr>
        <w:pStyle w:val="Defpara"/>
      </w:pPr>
      <w:r>
        <w:tab/>
        <w:t>(b)</w:t>
      </w:r>
      <w:r>
        <w:tab/>
        <w:t>conducts research and development,</w:t>
      </w:r>
    </w:p>
    <w:p>
      <w:pPr>
        <w:pStyle w:val="Defstart"/>
      </w:pPr>
      <w:r>
        <w:tab/>
      </w:r>
      <w:r>
        <w:tab/>
        <w:t>under an agreement referred to in section </w:t>
      </w:r>
      <w:bookmarkStart w:id="50" w:name="_Hlt37568951"/>
      <w:r>
        <w:t>15(1)</w:t>
      </w:r>
      <w:bookmarkEnd w:id="50"/>
      <w:r>
        <w:t>;</w:t>
      </w:r>
    </w:p>
    <w:p>
      <w:pPr>
        <w:pStyle w:val="Defstart"/>
      </w:pPr>
      <w:r>
        <w:tab/>
      </w:r>
      <w:r>
        <w:rPr>
          <w:b/>
        </w:rPr>
        <w:t>“</w:t>
      </w:r>
      <w:r>
        <w:rPr>
          <w:rStyle w:val="CharDefText"/>
        </w:rPr>
        <w:t>social services</w:t>
      </w:r>
      <w:r>
        <w:rPr>
          <w:b/>
        </w:rPr>
        <w:t>”</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b/>
        </w:rPr>
        <w:t>“</w:t>
      </w:r>
      <w:r>
        <w:rPr>
          <w:rStyle w:val="CharDefText"/>
        </w:rPr>
        <w:t>Torres Strait Islander</w:t>
      </w:r>
      <w:r>
        <w:rPr>
          <w:b/>
        </w:rPr>
        <w:t>”</w:t>
      </w:r>
      <w:r>
        <w:t xml:space="preserve"> means a person who is a descendant of the indigenous inhabitants of the Torres Strait Islands, and </w:t>
      </w:r>
      <w:r>
        <w:rPr>
          <w:b/>
        </w:rPr>
        <w:t>“</w:t>
      </w:r>
      <w:r>
        <w:rPr>
          <w:rStyle w:val="CharDefText"/>
        </w:rPr>
        <w:t>Torres Strait Islander child</w:t>
      </w:r>
      <w:r>
        <w:rPr>
          <w:b/>
        </w:rPr>
        <w:t>”</w:t>
      </w:r>
      <w:r>
        <w:t xml:space="preserve"> has a corresponding meaning;</w:t>
      </w:r>
    </w:p>
    <w:p>
      <w:pPr>
        <w:pStyle w:val="Defstart"/>
      </w:pPr>
      <w:r>
        <w:rPr>
          <w:b/>
        </w:rPr>
        <w:tab/>
        <w:t>“</w:t>
      </w:r>
      <w:r>
        <w:rPr>
          <w:rStyle w:val="CharDefText"/>
        </w:rPr>
        <w:t>wellbeing</w:t>
      </w:r>
      <w:r>
        <w:rPr>
          <w:b/>
        </w:rPr>
        <w:t>”</w:t>
      </w:r>
      <w:r>
        <w:t xml:space="preserve"> of a child includes the care, development, health and safety of the child;</w:t>
      </w:r>
    </w:p>
    <w:p>
      <w:pPr>
        <w:pStyle w:val="Defstart"/>
      </w:pPr>
      <w:r>
        <w:rPr>
          <w:b/>
        </w:rPr>
        <w:tab/>
        <w:t>“</w:t>
      </w:r>
      <w:r>
        <w:rPr>
          <w:rStyle w:val="CharDefText"/>
        </w:rPr>
        <w:t>working day</w:t>
      </w:r>
      <w:r>
        <w:rPr>
          <w:b/>
        </w:rPr>
        <w:t>”</w:t>
      </w:r>
      <w:r>
        <w:t>, except in Part 6, means a day other than a Saturday, Sunday, public holiday or public service holiday.</w:t>
      </w:r>
    </w:p>
    <w:p>
      <w:pPr>
        <w:pStyle w:val="Heading5"/>
      </w:pPr>
      <w:bookmarkStart w:id="51" w:name="_Toc85881217"/>
      <w:bookmarkStart w:id="52" w:name="_Toc128368605"/>
      <w:bookmarkStart w:id="53" w:name="_Toc140893271"/>
      <w:bookmarkStart w:id="54" w:name="_Toc140393803"/>
      <w:r>
        <w:rPr>
          <w:rStyle w:val="CharSectno"/>
        </w:rPr>
        <w:t>4</w:t>
      </w:r>
      <w:r>
        <w:t>.</w:t>
      </w:r>
      <w:r>
        <w:tab/>
        <w:t>Presumptions of parentage</w:t>
      </w:r>
      <w:bookmarkEnd w:id="51"/>
      <w:bookmarkEnd w:id="52"/>
      <w:bookmarkEnd w:id="53"/>
      <w:bookmarkEnd w:id="54"/>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55" w:name="_Toc85881218"/>
      <w:bookmarkStart w:id="56" w:name="_Toc128368606"/>
      <w:bookmarkStart w:id="57" w:name="_Toc140893272"/>
      <w:bookmarkStart w:id="58" w:name="_Toc140393804"/>
      <w:r>
        <w:rPr>
          <w:rStyle w:val="CharSectno"/>
        </w:rPr>
        <w:t>5</w:t>
      </w:r>
      <w:r>
        <w:t>.</w:t>
      </w:r>
      <w:r>
        <w:tab/>
        <w:t>Status of notes</w:t>
      </w:r>
      <w:bookmarkEnd w:id="55"/>
      <w:bookmarkEnd w:id="56"/>
      <w:bookmarkEnd w:id="57"/>
      <w:bookmarkEnd w:id="58"/>
    </w:p>
    <w:p>
      <w:pPr>
        <w:pStyle w:val="Subsection"/>
      </w:pPr>
      <w:r>
        <w:tab/>
      </w:r>
      <w:r>
        <w:tab/>
        <w:t>Notes in this Act are provided to assist understanding and do not form part of this Act.</w:t>
      </w:r>
    </w:p>
    <w:p>
      <w:pPr>
        <w:pStyle w:val="Heading2"/>
      </w:pPr>
      <w:bookmarkStart w:id="59" w:name="_Toc128300733"/>
      <w:bookmarkStart w:id="60" w:name="_Toc128302761"/>
      <w:bookmarkStart w:id="61" w:name="_Toc128366693"/>
      <w:bookmarkStart w:id="62" w:name="_Toc128368607"/>
      <w:bookmarkStart w:id="63" w:name="_Toc128368987"/>
      <w:bookmarkStart w:id="64" w:name="_Toc128969324"/>
      <w:bookmarkStart w:id="65" w:name="_Toc132620235"/>
      <w:bookmarkStart w:id="66" w:name="_Toc140377863"/>
      <w:bookmarkStart w:id="67" w:name="_Toc140393805"/>
      <w:bookmarkStart w:id="68" w:name="_Toc140893273"/>
      <w:r>
        <w:rPr>
          <w:rStyle w:val="CharPartNo"/>
        </w:rPr>
        <w:t>Part 2</w:t>
      </w:r>
      <w:r>
        <w:t> — </w:t>
      </w:r>
      <w:r>
        <w:rPr>
          <w:rStyle w:val="CharPartText"/>
        </w:rPr>
        <w:t>Objects and principles</w:t>
      </w:r>
      <w:bookmarkEnd w:id="59"/>
      <w:bookmarkEnd w:id="60"/>
      <w:bookmarkEnd w:id="61"/>
      <w:bookmarkEnd w:id="62"/>
      <w:bookmarkEnd w:id="63"/>
      <w:bookmarkEnd w:id="64"/>
      <w:bookmarkEnd w:id="65"/>
      <w:bookmarkEnd w:id="66"/>
      <w:bookmarkEnd w:id="67"/>
      <w:bookmarkEnd w:id="68"/>
    </w:p>
    <w:p>
      <w:pPr>
        <w:pStyle w:val="Heading3"/>
      </w:pPr>
      <w:bookmarkStart w:id="69" w:name="_Toc128300734"/>
      <w:bookmarkStart w:id="70" w:name="_Toc128302762"/>
      <w:bookmarkStart w:id="71" w:name="_Toc128366694"/>
      <w:bookmarkStart w:id="72" w:name="_Toc128368608"/>
      <w:bookmarkStart w:id="73" w:name="_Toc128368988"/>
      <w:bookmarkStart w:id="74" w:name="_Toc128969325"/>
      <w:bookmarkStart w:id="75" w:name="_Toc132620236"/>
      <w:bookmarkStart w:id="76" w:name="_Toc140377864"/>
      <w:bookmarkStart w:id="77" w:name="_Toc140393806"/>
      <w:bookmarkStart w:id="78" w:name="_Toc140893274"/>
      <w:r>
        <w:rPr>
          <w:rStyle w:val="CharDivNo"/>
        </w:rPr>
        <w:t>Division 1</w:t>
      </w:r>
      <w:r>
        <w:t> — </w:t>
      </w:r>
      <w:r>
        <w:rPr>
          <w:rStyle w:val="CharDivText"/>
        </w:rPr>
        <w:t>Objects</w:t>
      </w:r>
      <w:bookmarkEnd w:id="69"/>
      <w:bookmarkEnd w:id="70"/>
      <w:bookmarkEnd w:id="71"/>
      <w:bookmarkEnd w:id="72"/>
      <w:bookmarkEnd w:id="73"/>
      <w:bookmarkEnd w:id="74"/>
      <w:bookmarkEnd w:id="75"/>
      <w:bookmarkEnd w:id="76"/>
      <w:bookmarkEnd w:id="77"/>
      <w:bookmarkEnd w:id="78"/>
    </w:p>
    <w:p>
      <w:pPr>
        <w:pStyle w:val="Heading5"/>
      </w:pPr>
      <w:bookmarkStart w:id="79" w:name="_Toc438114696"/>
      <w:bookmarkStart w:id="80" w:name="_Toc85881219"/>
      <w:bookmarkStart w:id="81" w:name="_Toc128368609"/>
      <w:bookmarkStart w:id="82" w:name="_Toc140893275"/>
      <w:bookmarkStart w:id="83" w:name="_Toc140393807"/>
      <w:r>
        <w:rPr>
          <w:rStyle w:val="CharSectno"/>
        </w:rPr>
        <w:t>6</w:t>
      </w:r>
      <w:r>
        <w:t>.</w:t>
      </w:r>
      <w:r>
        <w:tab/>
        <w:t>Objects</w:t>
      </w:r>
      <w:bookmarkEnd w:id="79"/>
      <w:bookmarkEnd w:id="80"/>
      <w:bookmarkEnd w:id="81"/>
      <w:bookmarkEnd w:id="82"/>
      <w:bookmarkEnd w:id="83"/>
    </w:p>
    <w:p>
      <w:pPr>
        <w:pStyle w:val="Subsection"/>
      </w:pPr>
      <w:r>
        <w:tab/>
      </w:r>
      <w:r>
        <w:tab/>
        <w:t>The objects of this Act are —</w:t>
      </w:r>
    </w:p>
    <w:p>
      <w:pPr>
        <w:pStyle w:val="Indenta"/>
      </w:pPr>
      <w:r>
        <w:tab/>
        <w:t>(a)</w:t>
      </w:r>
      <w:r>
        <w:tab/>
        <w:t>to promote the wellbeing of children, other individuals, families and communities;</w:t>
      </w:r>
    </w:p>
    <w:p>
      <w:pPr>
        <w:pStyle w:val="Indenta"/>
      </w:pPr>
      <w:r>
        <w:tab/>
        <w:t>(b)</w:t>
      </w:r>
      <w:r>
        <w:tab/>
        <w:t>to acknowledge the primary role of parents, families and communities in safeguarding and promoting the wellbeing of children;</w:t>
      </w:r>
    </w:p>
    <w:p>
      <w:pPr>
        <w:pStyle w:val="Indenta"/>
      </w:pPr>
      <w:r>
        <w:tab/>
        <w:t>(c)</w:t>
      </w:r>
      <w:r>
        <w:tab/>
        <w:t>to encourage and support parents, families and communities in carrying out that role;</w:t>
      </w:r>
    </w:p>
    <w:p>
      <w:pPr>
        <w:pStyle w:val="Indenta"/>
      </w:pPr>
      <w:r>
        <w:tab/>
        <w:t>(d)</w:t>
      </w:r>
      <w:r>
        <w:tab/>
        <w:t>to provide for the protection and care of children in circumstances where their parents have not given, or are unlikely or unable to give, that protection and care;</w:t>
      </w:r>
    </w:p>
    <w:p>
      <w:pPr>
        <w:pStyle w:val="Indenta"/>
      </w:pPr>
      <w:r>
        <w:tab/>
        <w:t>(e)</w:t>
      </w:r>
      <w:r>
        <w:tab/>
        <w:t>to protect children from exploitation in employment; and</w:t>
      </w:r>
    </w:p>
    <w:p>
      <w:pPr>
        <w:pStyle w:val="Indenta"/>
      </w:pPr>
      <w:r>
        <w:tab/>
        <w:t>(f)</w:t>
      </w:r>
      <w:r>
        <w:tab/>
        <w:t>to protect, and promote the best interests of, children who receive child care services.</w:t>
      </w:r>
    </w:p>
    <w:p>
      <w:pPr>
        <w:pStyle w:val="Heading3"/>
      </w:pPr>
      <w:bookmarkStart w:id="84" w:name="_Toc128300736"/>
      <w:bookmarkStart w:id="85" w:name="_Toc128302764"/>
      <w:bookmarkStart w:id="86" w:name="_Toc128366696"/>
      <w:bookmarkStart w:id="87" w:name="_Toc128368610"/>
      <w:bookmarkStart w:id="88" w:name="_Toc128368990"/>
      <w:bookmarkStart w:id="89" w:name="_Toc128969327"/>
      <w:bookmarkStart w:id="90" w:name="_Toc132620238"/>
      <w:bookmarkStart w:id="91" w:name="_Toc140377866"/>
      <w:bookmarkStart w:id="92" w:name="_Toc140393808"/>
      <w:bookmarkStart w:id="93" w:name="_Toc140893276"/>
      <w:r>
        <w:rPr>
          <w:rStyle w:val="CharDivNo"/>
        </w:rPr>
        <w:t xml:space="preserve">Division </w:t>
      </w:r>
      <w:bookmarkStart w:id="94" w:name="_Hlt51045051"/>
      <w:bookmarkEnd w:id="94"/>
      <w:r>
        <w:rPr>
          <w:rStyle w:val="CharDivNo"/>
        </w:rPr>
        <w:t>2</w:t>
      </w:r>
      <w:r>
        <w:t> — </w:t>
      </w:r>
      <w:r>
        <w:rPr>
          <w:rStyle w:val="CharDivText"/>
        </w:rPr>
        <w:t>General principles relating to children</w:t>
      </w:r>
      <w:bookmarkEnd w:id="84"/>
      <w:bookmarkEnd w:id="85"/>
      <w:bookmarkEnd w:id="86"/>
      <w:bookmarkEnd w:id="87"/>
      <w:bookmarkEnd w:id="88"/>
      <w:bookmarkEnd w:id="89"/>
      <w:bookmarkEnd w:id="90"/>
      <w:bookmarkEnd w:id="91"/>
      <w:bookmarkEnd w:id="92"/>
      <w:bookmarkEnd w:id="93"/>
    </w:p>
    <w:p>
      <w:pPr>
        <w:pStyle w:val="Heading5"/>
      </w:pPr>
      <w:bookmarkStart w:id="95" w:name="_Toc85881220"/>
      <w:bookmarkStart w:id="96" w:name="_Toc128368611"/>
      <w:bookmarkStart w:id="97" w:name="_Toc140893277"/>
      <w:bookmarkStart w:id="98" w:name="_Toc140393809"/>
      <w:r>
        <w:rPr>
          <w:rStyle w:val="CharSectno"/>
        </w:rPr>
        <w:t>7</w:t>
      </w:r>
      <w:r>
        <w:t>.</w:t>
      </w:r>
      <w:r>
        <w:tab/>
        <w:t>Principle that best interests of child paramount</w:t>
      </w:r>
      <w:bookmarkEnd w:id="95"/>
      <w:bookmarkEnd w:id="96"/>
      <w:bookmarkEnd w:id="97"/>
      <w:bookmarkEnd w:id="98"/>
    </w:p>
    <w:p>
      <w:pPr>
        <w:pStyle w:val="Subsection"/>
      </w:pPr>
      <w:r>
        <w:tab/>
      </w:r>
      <w:r>
        <w:tab/>
        <w:t>In performing a function or exercising a power under this Act in relation to a child, a person or the Court must regard the best interests of the child as the paramount consideration.</w:t>
      </w:r>
    </w:p>
    <w:p>
      <w:pPr>
        <w:pStyle w:val="Heading5"/>
      </w:pPr>
      <w:bookmarkStart w:id="99" w:name="_Toc85881221"/>
      <w:bookmarkStart w:id="100" w:name="_Toc128368612"/>
      <w:bookmarkStart w:id="101" w:name="_Toc140893278"/>
      <w:bookmarkStart w:id="102" w:name="_Toc140393810"/>
      <w:r>
        <w:rPr>
          <w:rStyle w:val="CharSectno"/>
        </w:rPr>
        <w:t>8</w:t>
      </w:r>
      <w:r>
        <w:t>.</w:t>
      </w:r>
      <w:r>
        <w:tab/>
        <w:t>Determining the best interests of a child</w:t>
      </w:r>
      <w:bookmarkEnd w:id="99"/>
      <w:bookmarkEnd w:id="100"/>
      <w:bookmarkEnd w:id="101"/>
      <w:bookmarkEnd w:id="102"/>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w:t>
      </w:r>
    </w:p>
    <w:p>
      <w:pPr>
        <w:pStyle w:val="Indenti"/>
      </w:pPr>
      <w:r>
        <w:tab/>
        <w:t>(ii)</w:t>
      </w:r>
      <w:r>
        <w:tab/>
        <w:t>a sibling or other relative of the child;</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103" w:name="_Toc85881222"/>
      <w:bookmarkStart w:id="104" w:name="_Toc128368613"/>
      <w:bookmarkStart w:id="105" w:name="_Toc140893279"/>
      <w:bookmarkStart w:id="106" w:name="_Toc140393811"/>
      <w:r>
        <w:rPr>
          <w:rStyle w:val="CharSectno"/>
        </w:rPr>
        <w:t>9</w:t>
      </w:r>
      <w:r>
        <w:t>.</w:t>
      </w:r>
      <w:r>
        <w:tab/>
        <w:t>Guiding principles</w:t>
      </w:r>
      <w:bookmarkEnd w:id="103"/>
      <w:bookmarkEnd w:id="104"/>
      <w:bookmarkEnd w:id="105"/>
      <w:bookmarkEnd w:id="106"/>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Heading5"/>
      </w:pPr>
      <w:bookmarkStart w:id="107" w:name="_Toc85881223"/>
      <w:bookmarkStart w:id="108" w:name="_Toc128368614"/>
      <w:bookmarkStart w:id="109" w:name="_Toc140893280"/>
      <w:bookmarkStart w:id="110" w:name="_Toc140393812"/>
      <w:r>
        <w:rPr>
          <w:rStyle w:val="CharSectno"/>
        </w:rPr>
        <w:t>10</w:t>
      </w:r>
      <w:r>
        <w:t>.</w:t>
      </w:r>
      <w:r>
        <w:tab/>
        <w:t>Principle of child participation</w:t>
      </w:r>
      <w:bookmarkEnd w:id="107"/>
      <w:bookmarkEnd w:id="108"/>
      <w:bookmarkEnd w:id="109"/>
      <w:bookmarkEnd w:id="110"/>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w:t>
      </w:r>
    </w:p>
    <w:p>
      <w:pPr>
        <w:pStyle w:val="Indenti"/>
      </w:pPr>
      <w:r>
        <w:tab/>
        <w:t>(ii)</w:t>
      </w:r>
      <w:r>
        <w:tab/>
        <w:t>the reasons for the Department’s involvement;</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t>(b)</w:t>
      </w:r>
      <w:r>
        <w:tab/>
        <w:t>the opportunity to express the child’s wishes and views freely, according to the child’s abilities;</w:t>
      </w:r>
    </w:p>
    <w:p>
      <w:pPr>
        <w:pStyle w:val="Indenta"/>
      </w:pPr>
      <w:r>
        <w:tab/>
        <w:t>(c)</w:t>
      </w:r>
      <w:r>
        <w:tab/>
        <w:t>any assistance that is necessary for the child to express those wishes and views;</w:t>
      </w:r>
    </w:p>
    <w:p>
      <w:pPr>
        <w:pStyle w:val="Indenta"/>
      </w:pPr>
      <w:r>
        <w:tab/>
        <w:t>(d)</w:t>
      </w:r>
      <w:r>
        <w:tab/>
        <w:t>adequate information as to how the child’s wishes and views will be recorded and taken into account;</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the placement of the child;</w:t>
      </w:r>
    </w:p>
    <w:p>
      <w:pPr>
        <w:pStyle w:val="Indenta"/>
      </w:pPr>
      <w:r>
        <w:tab/>
        <w:t>(b)</w:t>
      </w:r>
      <w:r>
        <w:tab/>
        <w:t>decisions in the course of preparing, modifying or reviewing care plans or provisional care plans for the child;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(3)(3)(b) — </w:t>
      </w:r>
    </w:p>
    <w:p>
      <w:pPr>
        <w:pStyle w:val="Defstart"/>
      </w:pPr>
      <w:r>
        <w:rPr>
          <w:b/>
        </w:rPr>
        <w:tab/>
        <w:t>“</w:t>
      </w:r>
      <w:r>
        <w:rPr>
          <w:rStyle w:val="CharDefText"/>
        </w:rPr>
        <w:t>care plan</w:t>
      </w:r>
      <w:r>
        <w:rPr>
          <w:b/>
        </w:rPr>
        <w:t>”</w:t>
      </w:r>
      <w:r>
        <w:t xml:space="preserve"> has the meaning given to that term in section 89(1);</w:t>
      </w:r>
    </w:p>
    <w:p>
      <w:pPr>
        <w:pStyle w:val="Defstart"/>
      </w:pPr>
      <w:r>
        <w:rPr>
          <w:b/>
        </w:rPr>
        <w:tab/>
        <w:t>“</w:t>
      </w:r>
      <w:r>
        <w:rPr>
          <w:rStyle w:val="CharDefText"/>
        </w:rPr>
        <w:t>provisional care plan</w:t>
      </w:r>
      <w:r>
        <w:rPr>
          <w:b/>
        </w:rPr>
        <w:t>”</w:t>
      </w:r>
      <w:r>
        <w:t xml:space="preserve"> has the meaning given to that term in section 39(1).</w:t>
      </w:r>
    </w:p>
    <w:p>
      <w:pPr>
        <w:pStyle w:val="Heading3"/>
      </w:pPr>
      <w:bookmarkStart w:id="111" w:name="_Toc128300741"/>
      <w:bookmarkStart w:id="112" w:name="_Toc128302769"/>
      <w:bookmarkStart w:id="113" w:name="_Toc128366701"/>
      <w:bookmarkStart w:id="114" w:name="_Toc128368615"/>
      <w:bookmarkStart w:id="115" w:name="_Toc128368995"/>
      <w:bookmarkStart w:id="116" w:name="_Toc128969332"/>
      <w:bookmarkStart w:id="117" w:name="_Toc132620243"/>
      <w:bookmarkStart w:id="118" w:name="_Toc140377871"/>
      <w:bookmarkStart w:id="119" w:name="_Toc140393813"/>
      <w:bookmarkStart w:id="120" w:name="_Toc140893281"/>
      <w:r>
        <w:rPr>
          <w:rStyle w:val="CharDivNo"/>
        </w:rPr>
        <w:t>Division 3</w:t>
      </w:r>
      <w:r>
        <w:t> — </w:t>
      </w:r>
      <w:r>
        <w:rPr>
          <w:rStyle w:val="CharDivText"/>
        </w:rPr>
        <w:t>Principles relating to Aboriginal and Torres Strait Islander children</w:t>
      </w:r>
      <w:bookmarkEnd w:id="111"/>
      <w:bookmarkEnd w:id="112"/>
      <w:bookmarkEnd w:id="113"/>
      <w:bookmarkEnd w:id="114"/>
      <w:bookmarkEnd w:id="115"/>
      <w:bookmarkEnd w:id="116"/>
      <w:bookmarkEnd w:id="117"/>
      <w:bookmarkEnd w:id="118"/>
      <w:bookmarkEnd w:id="119"/>
      <w:bookmarkEnd w:id="120"/>
    </w:p>
    <w:p>
      <w:pPr>
        <w:pStyle w:val="Heading5"/>
      </w:pPr>
      <w:bookmarkStart w:id="121" w:name="_Toc85881224"/>
      <w:bookmarkStart w:id="122" w:name="_Toc128368616"/>
      <w:bookmarkStart w:id="123" w:name="_Toc140893282"/>
      <w:bookmarkStart w:id="124" w:name="_Toc140393814"/>
      <w:r>
        <w:rPr>
          <w:rStyle w:val="CharSectno"/>
        </w:rPr>
        <w:t>11</w:t>
      </w:r>
      <w:r>
        <w:t>.</w:t>
      </w:r>
      <w:r>
        <w:tab/>
        <w:t>Relationship with principles in Division </w:t>
      </w:r>
      <w:bookmarkStart w:id="125" w:name="_Hlt51045048"/>
      <w:r>
        <w:t>2</w:t>
      </w:r>
      <w:bookmarkEnd w:id="121"/>
      <w:bookmarkEnd w:id="122"/>
      <w:bookmarkEnd w:id="123"/>
      <w:bookmarkEnd w:id="125"/>
      <w:bookmarkEnd w:id="124"/>
    </w:p>
    <w:p>
      <w:pPr>
        <w:pStyle w:val="Subsection"/>
      </w:pPr>
      <w:r>
        <w:tab/>
      </w:r>
      <w:r>
        <w:tab/>
        <w:t>The principles set out in this Division are in addition to, and do not derogate from, the principles set out in Division 2.</w:t>
      </w:r>
    </w:p>
    <w:p>
      <w:pPr>
        <w:pStyle w:val="Heading5"/>
      </w:pPr>
      <w:bookmarkStart w:id="126" w:name="_Hlt39892324"/>
      <w:bookmarkStart w:id="127" w:name="_Toc85881225"/>
      <w:bookmarkStart w:id="128" w:name="_Toc128368617"/>
      <w:bookmarkStart w:id="129" w:name="_Toc140893283"/>
      <w:bookmarkStart w:id="130" w:name="_Toc140393815"/>
      <w:bookmarkEnd w:id="126"/>
      <w:r>
        <w:rPr>
          <w:rStyle w:val="CharSectno"/>
        </w:rPr>
        <w:t>12</w:t>
      </w:r>
      <w:r>
        <w:t>.</w:t>
      </w:r>
      <w:r>
        <w:tab/>
        <w:t>Aboriginal and Torres Strait Islander child placement principle</w:t>
      </w:r>
      <w:bookmarkEnd w:id="127"/>
      <w:bookmarkEnd w:id="128"/>
      <w:bookmarkEnd w:id="129"/>
      <w:bookmarkEnd w:id="130"/>
    </w:p>
    <w:p>
      <w:pPr>
        <w:pStyle w:val="Subsection"/>
      </w:pPr>
      <w:r>
        <w:tab/>
        <w:t>(1)</w:t>
      </w:r>
      <w:r>
        <w:tab/>
        <w:t>The objective of the principle in subsection (2) is to maintain a connection with family and culture for Aboriginal children and Torres Strait Islander children who are the subject of placement arrangements.</w:t>
      </w:r>
    </w:p>
    <w:p>
      <w:pPr>
        <w:pStyle w:val="Subsection"/>
      </w:pPr>
      <w:r>
        <w:tab/>
        <w:t>(2)</w:t>
      </w:r>
      <w:r>
        <w:tab/>
        <w:t xml:space="preserve">In making a decision under this Act about the placement of an Aboriginal child or a Torres Strait Islander child, a principle to be observed is that any placement of the child must be considered as far as is practicable in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Heading5"/>
      </w:pPr>
      <w:bookmarkStart w:id="131" w:name="_Toc85881226"/>
      <w:bookmarkStart w:id="132" w:name="_Toc128368618"/>
      <w:bookmarkStart w:id="133" w:name="_Toc140893284"/>
      <w:bookmarkStart w:id="134" w:name="_Toc140393816"/>
      <w:r>
        <w:rPr>
          <w:rStyle w:val="CharSectno"/>
        </w:rPr>
        <w:t>13</w:t>
      </w:r>
      <w:r>
        <w:t>.</w:t>
      </w:r>
      <w:r>
        <w:tab/>
        <w:t>Principle of self</w:t>
      </w:r>
      <w:r>
        <w:noBreakHyphen/>
        <w:t>determination</w:t>
      </w:r>
      <w:bookmarkEnd w:id="131"/>
      <w:bookmarkEnd w:id="132"/>
      <w:bookmarkEnd w:id="133"/>
      <w:bookmarkEnd w:id="134"/>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135" w:name="_Toc85881227"/>
      <w:bookmarkStart w:id="136" w:name="_Toc128368619"/>
      <w:bookmarkStart w:id="137" w:name="_Toc140893285"/>
      <w:bookmarkStart w:id="138" w:name="_Toc140393817"/>
      <w:r>
        <w:rPr>
          <w:rStyle w:val="CharSectno"/>
        </w:rPr>
        <w:t>14</w:t>
      </w:r>
      <w:r>
        <w:t>.</w:t>
      </w:r>
      <w:r>
        <w:tab/>
        <w:t>Principle of community participation</w:t>
      </w:r>
      <w:bookmarkEnd w:id="135"/>
      <w:bookmarkEnd w:id="136"/>
      <w:bookmarkEnd w:id="137"/>
      <w:bookmarkEnd w:id="138"/>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139" w:name="_Toc128300746"/>
      <w:bookmarkStart w:id="140" w:name="_Toc128302774"/>
      <w:bookmarkStart w:id="141" w:name="_Toc128366706"/>
      <w:bookmarkStart w:id="142" w:name="_Toc128368620"/>
      <w:bookmarkStart w:id="143" w:name="_Toc128369000"/>
      <w:bookmarkStart w:id="144" w:name="_Toc128969337"/>
      <w:bookmarkStart w:id="145" w:name="_Toc132620248"/>
      <w:bookmarkStart w:id="146" w:name="_Toc140377876"/>
      <w:bookmarkStart w:id="147" w:name="_Toc140393818"/>
      <w:bookmarkStart w:id="148" w:name="_Toc140893286"/>
      <w:r>
        <w:rPr>
          <w:rStyle w:val="CharPartNo"/>
        </w:rPr>
        <w:t>Part 3</w:t>
      </w:r>
      <w:r>
        <w:t xml:space="preserve"> — </w:t>
      </w:r>
      <w:r>
        <w:rPr>
          <w:rStyle w:val="CharPartText"/>
        </w:rPr>
        <w:t>Administrative matters</w:t>
      </w:r>
      <w:bookmarkEnd w:id="139"/>
      <w:bookmarkEnd w:id="140"/>
      <w:bookmarkEnd w:id="141"/>
      <w:bookmarkEnd w:id="142"/>
      <w:bookmarkEnd w:id="143"/>
      <w:bookmarkEnd w:id="144"/>
      <w:bookmarkEnd w:id="145"/>
      <w:bookmarkEnd w:id="146"/>
      <w:bookmarkEnd w:id="147"/>
      <w:bookmarkEnd w:id="148"/>
    </w:p>
    <w:p>
      <w:pPr>
        <w:pStyle w:val="Heading3"/>
      </w:pPr>
      <w:bookmarkStart w:id="149" w:name="_Toc128300747"/>
      <w:bookmarkStart w:id="150" w:name="_Toc128302775"/>
      <w:bookmarkStart w:id="151" w:name="_Toc128366707"/>
      <w:bookmarkStart w:id="152" w:name="_Toc128368621"/>
      <w:bookmarkStart w:id="153" w:name="_Toc128369001"/>
      <w:bookmarkStart w:id="154" w:name="_Toc128969338"/>
      <w:bookmarkStart w:id="155" w:name="_Toc132620249"/>
      <w:bookmarkStart w:id="156" w:name="_Toc140377877"/>
      <w:bookmarkStart w:id="157" w:name="_Toc140393819"/>
      <w:bookmarkStart w:id="158" w:name="_Toc140893287"/>
      <w:r>
        <w:rPr>
          <w:rStyle w:val="CharDivNo"/>
        </w:rPr>
        <w:t>Division 1</w:t>
      </w:r>
      <w:r>
        <w:t> — </w:t>
      </w:r>
      <w:r>
        <w:rPr>
          <w:rStyle w:val="CharDivText"/>
        </w:rPr>
        <w:t>The Minister</w:t>
      </w:r>
      <w:bookmarkEnd w:id="149"/>
      <w:bookmarkEnd w:id="150"/>
      <w:bookmarkEnd w:id="151"/>
      <w:bookmarkEnd w:id="152"/>
      <w:bookmarkEnd w:id="153"/>
      <w:bookmarkEnd w:id="154"/>
      <w:bookmarkEnd w:id="155"/>
      <w:bookmarkEnd w:id="156"/>
      <w:bookmarkEnd w:id="157"/>
      <w:bookmarkEnd w:id="158"/>
    </w:p>
    <w:p>
      <w:pPr>
        <w:pStyle w:val="Heading5"/>
      </w:pPr>
      <w:bookmarkStart w:id="159" w:name="_Toc85881228"/>
      <w:bookmarkStart w:id="160" w:name="_Toc128368622"/>
      <w:bookmarkStart w:id="161" w:name="_Toc140893288"/>
      <w:bookmarkStart w:id="162" w:name="_Toc140393820"/>
      <w:r>
        <w:rPr>
          <w:rStyle w:val="CharSectno"/>
        </w:rPr>
        <w:t>15</w:t>
      </w:r>
      <w:r>
        <w:t>.</w:t>
      </w:r>
      <w:r>
        <w:tab/>
        <w:t>Agreements in respect of social services</w:t>
      </w:r>
      <w:bookmarkEnd w:id="159"/>
      <w:bookmarkEnd w:id="160"/>
      <w:bookmarkEnd w:id="161"/>
      <w:bookmarkEnd w:id="162"/>
    </w:p>
    <w:p>
      <w:pPr>
        <w:pStyle w:val="Subsection"/>
      </w:pPr>
      <w:r>
        <w:tab/>
      </w:r>
      <w:bookmarkStart w:id="163" w:name="_Hlt39889419"/>
      <w:bookmarkEnd w:id="163"/>
      <w:r>
        <w:t>(1)</w:t>
      </w:r>
      <w:r>
        <w:tab/>
        <w:t xml:space="preserve">The Minister may, on behalf of the State, enter into an agreement with a person or body for — </w:t>
      </w:r>
    </w:p>
    <w:p>
      <w:pPr>
        <w:pStyle w:val="Indenta"/>
      </w:pPr>
      <w:r>
        <w:tab/>
        <w:t>(a)</w:t>
      </w:r>
      <w:r>
        <w:tab/>
        <w:t>the provision or promotion of social services by that person or body; or</w:t>
      </w:r>
    </w:p>
    <w:p>
      <w:pPr>
        <w:pStyle w:val="Indenta"/>
      </w:pPr>
      <w:r>
        <w:tab/>
        <w:t>(b)</w:t>
      </w:r>
      <w:r>
        <w:tab/>
        <w:t>the conduct of research and development by that person or body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Heading5"/>
      </w:pPr>
      <w:bookmarkStart w:id="164" w:name="_Toc29259569"/>
      <w:bookmarkStart w:id="165" w:name="_Toc85881229"/>
      <w:bookmarkStart w:id="166" w:name="_Toc128368623"/>
      <w:bookmarkStart w:id="167" w:name="_Toc140893289"/>
      <w:bookmarkStart w:id="168" w:name="_Toc140393821"/>
      <w:r>
        <w:rPr>
          <w:rStyle w:val="CharSectno"/>
        </w:rPr>
        <w:t>16</w:t>
      </w:r>
      <w:r>
        <w:t>.</w:t>
      </w:r>
      <w:r>
        <w:tab/>
        <w:t>Delegation by Minister</w:t>
      </w:r>
      <w:bookmarkEnd w:id="164"/>
      <w:bookmarkEnd w:id="165"/>
      <w:bookmarkEnd w:id="166"/>
      <w:bookmarkEnd w:id="167"/>
      <w:bookmarkEnd w:id="168"/>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Community Development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169" w:name="_Toc128300750"/>
      <w:bookmarkStart w:id="170" w:name="_Toc128302778"/>
      <w:bookmarkStart w:id="171" w:name="_Toc128366710"/>
      <w:bookmarkStart w:id="172" w:name="_Toc128368624"/>
      <w:bookmarkStart w:id="173" w:name="_Toc128369004"/>
      <w:bookmarkStart w:id="174" w:name="_Toc128969341"/>
      <w:bookmarkStart w:id="175" w:name="_Toc132620252"/>
      <w:bookmarkStart w:id="176" w:name="_Toc140377880"/>
      <w:bookmarkStart w:id="177" w:name="_Toc140393822"/>
      <w:bookmarkStart w:id="178" w:name="_Toc140893290"/>
      <w:r>
        <w:rPr>
          <w:rStyle w:val="CharDivNo"/>
        </w:rPr>
        <w:t>Division 2</w:t>
      </w:r>
      <w:r>
        <w:t xml:space="preserve"> — </w:t>
      </w:r>
      <w:r>
        <w:rPr>
          <w:rStyle w:val="CharDivText"/>
        </w:rPr>
        <w:t>The Community Development Ministerial Body</w:t>
      </w:r>
      <w:bookmarkEnd w:id="169"/>
      <w:bookmarkEnd w:id="170"/>
      <w:bookmarkEnd w:id="171"/>
      <w:bookmarkEnd w:id="172"/>
      <w:bookmarkEnd w:id="173"/>
      <w:bookmarkEnd w:id="174"/>
      <w:bookmarkEnd w:id="175"/>
      <w:bookmarkEnd w:id="176"/>
      <w:bookmarkEnd w:id="177"/>
      <w:bookmarkEnd w:id="178"/>
      <w:r>
        <w:rPr>
          <w:rStyle w:val="CharDivText"/>
        </w:rPr>
        <w:t xml:space="preserve"> </w:t>
      </w:r>
    </w:p>
    <w:p>
      <w:pPr>
        <w:pStyle w:val="Heading5"/>
      </w:pPr>
      <w:bookmarkStart w:id="179" w:name="_Toc85881230"/>
      <w:bookmarkStart w:id="180" w:name="_Toc128368625"/>
      <w:bookmarkStart w:id="181" w:name="_Toc140893291"/>
      <w:bookmarkStart w:id="182" w:name="_Toc140393823"/>
      <w:r>
        <w:rPr>
          <w:rStyle w:val="CharSectno"/>
        </w:rPr>
        <w:t>17</w:t>
      </w:r>
      <w:r>
        <w:t>.</w:t>
      </w:r>
      <w:r>
        <w:tab/>
        <w:t>Meaning of “Ministerial Body”</w:t>
      </w:r>
      <w:bookmarkEnd w:id="179"/>
      <w:bookmarkEnd w:id="180"/>
      <w:bookmarkEnd w:id="181"/>
      <w:bookmarkEnd w:id="182"/>
    </w:p>
    <w:p>
      <w:pPr>
        <w:pStyle w:val="Subsection"/>
      </w:pPr>
      <w:r>
        <w:tab/>
      </w:r>
      <w:r>
        <w:tab/>
        <w:t xml:space="preserve">In this Division — </w:t>
      </w:r>
    </w:p>
    <w:p>
      <w:pPr>
        <w:pStyle w:val="Defstart"/>
      </w:pPr>
      <w:r>
        <w:rPr>
          <w:b/>
        </w:rPr>
        <w:tab/>
        <w:t>“</w:t>
      </w:r>
      <w:r>
        <w:rPr>
          <w:rStyle w:val="CharDefText"/>
        </w:rPr>
        <w:t>Ministerial Body</w:t>
      </w:r>
      <w:r>
        <w:rPr>
          <w:b/>
        </w:rPr>
        <w:t>”</w:t>
      </w:r>
      <w:r>
        <w:t xml:space="preserve"> means the Community Development Ministerial Body established by section </w:t>
      </w:r>
      <w:bookmarkStart w:id="183" w:name="_Hlt51045204"/>
      <w:r>
        <w:t>18</w:t>
      </w:r>
      <w:bookmarkEnd w:id="183"/>
      <w:r>
        <w:t>(1).</w:t>
      </w:r>
    </w:p>
    <w:p>
      <w:pPr>
        <w:pStyle w:val="Heading5"/>
      </w:pPr>
      <w:bookmarkStart w:id="184" w:name="_Hlt51045197"/>
      <w:bookmarkStart w:id="185" w:name="_Toc85881231"/>
      <w:bookmarkStart w:id="186" w:name="_Toc128368626"/>
      <w:bookmarkStart w:id="187" w:name="_Toc140893292"/>
      <w:bookmarkStart w:id="188" w:name="_Toc140393824"/>
      <w:bookmarkEnd w:id="184"/>
      <w:r>
        <w:rPr>
          <w:rStyle w:val="CharSectno"/>
        </w:rPr>
        <w:t>18</w:t>
      </w:r>
      <w:r>
        <w:t>.</w:t>
      </w:r>
      <w:r>
        <w:tab/>
        <w:t>The Community Development Ministerial Body</w:t>
      </w:r>
      <w:bookmarkEnd w:id="185"/>
      <w:bookmarkEnd w:id="186"/>
      <w:bookmarkEnd w:id="187"/>
      <w:bookmarkEnd w:id="188"/>
    </w:p>
    <w:p>
      <w:pPr>
        <w:pStyle w:val="Subsection"/>
      </w:pPr>
      <w:r>
        <w:tab/>
        <w:t>(1)</w:t>
      </w:r>
      <w:r>
        <w:tab/>
        <w:t>A body called the Community Development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Heading5"/>
      </w:pPr>
      <w:bookmarkStart w:id="189" w:name="_Toc85881232"/>
      <w:bookmarkStart w:id="190" w:name="_Toc128368627"/>
      <w:bookmarkStart w:id="191" w:name="_Toc140893293"/>
      <w:bookmarkStart w:id="192" w:name="_Toc140393825"/>
      <w:r>
        <w:rPr>
          <w:rStyle w:val="CharSectno"/>
        </w:rPr>
        <w:t>19</w:t>
      </w:r>
      <w:r>
        <w:t>.</w:t>
      </w:r>
      <w:r>
        <w:tab/>
        <w:t>Purpose and nature of the Ministerial Body</w:t>
      </w:r>
      <w:bookmarkEnd w:id="189"/>
      <w:bookmarkEnd w:id="190"/>
      <w:bookmarkEnd w:id="191"/>
      <w:bookmarkEnd w:id="192"/>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193" w:name="_Toc85881233"/>
      <w:bookmarkStart w:id="194" w:name="_Toc128368628"/>
      <w:bookmarkStart w:id="195" w:name="_Toc140893294"/>
      <w:bookmarkStart w:id="196" w:name="_Toc140393826"/>
      <w:r>
        <w:rPr>
          <w:rStyle w:val="CharSectno"/>
        </w:rPr>
        <w:t>20</w:t>
      </w:r>
      <w:r>
        <w:t>.</w:t>
      </w:r>
      <w:r>
        <w:tab/>
        <w:t>Execution of documents by the Ministerial Body</w:t>
      </w:r>
      <w:bookmarkEnd w:id="193"/>
      <w:bookmarkEnd w:id="194"/>
      <w:bookmarkEnd w:id="195"/>
      <w:bookmarkEnd w:id="196"/>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197" w:name="_Toc128300755"/>
      <w:bookmarkStart w:id="198" w:name="_Toc128302783"/>
      <w:bookmarkStart w:id="199" w:name="_Toc128366715"/>
      <w:bookmarkStart w:id="200" w:name="_Toc128368629"/>
      <w:bookmarkStart w:id="201" w:name="_Toc128369009"/>
      <w:bookmarkStart w:id="202" w:name="_Toc128969346"/>
      <w:bookmarkStart w:id="203" w:name="_Toc132620257"/>
      <w:bookmarkStart w:id="204" w:name="_Toc140377885"/>
      <w:bookmarkStart w:id="205" w:name="_Toc140393827"/>
      <w:bookmarkStart w:id="206" w:name="_Toc140893295"/>
      <w:r>
        <w:rPr>
          <w:rStyle w:val="CharDivNo"/>
        </w:rPr>
        <w:t>Division 3</w:t>
      </w:r>
      <w:r>
        <w:t xml:space="preserve"> — </w:t>
      </w:r>
      <w:r>
        <w:rPr>
          <w:rStyle w:val="CharDivText"/>
        </w:rPr>
        <w:t>The CEO</w:t>
      </w:r>
      <w:bookmarkEnd w:id="197"/>
      <w:bookmarkEnd w:id="198"/>
      <w:bookmarkEnd w:id="199"/>
      <w:bookmarkEnd w:id="200"/>
      <w:bookmarkEnd w:id="201"/>
      <w:bookmarkEnd w:id="202"/>
      <w:bookmarkEnd w:id="203"/>
      <w:bookmarkEnd w:id="204"/>
      <w:bookmarkEnd w:id="205"/>
      <w:bookmarkEnd w:id="206"/>
    </w:p>
    <w:p>
      <w:pPr>
        <w:pStyle w:val="Heading5"/>
      </w:pPr>
      <w:bookmarkStart w:id="207" w:name="_Toc438114705"/>
      <w:bookmarkStart w:id="208" w:name="_Toc85881234"/>
      <w:bookmarkStart w:id="209" w:name="_Toc128368630"/>
      <w:bookmarkStart w:id="210" w:name="_Toc140893296"/>
      <w:bookmarkStart w:id="211" w:name="_Toc140393828"/>
      <w:r>
        <w:rPr>
          <w:rStyle w:val="CharSectno"/>
        </w:rPr>
        <w:t>21</w:t>
      </w:r>
      <w:r>
        <w:t>.</w:t>
      </w:r>
      <w:r>
        <w:tab/>
        <w:t>Functions of CEO</w:t>
      </w:r>
      <w:bookmarkEnd w:id="207"/>
      <w:bookmarkEnd w:id="208"/>
      <w:bookmarkEnd w:id="209"/>
      <w:bookmarkEnd w:id="210"/>
      <w:bookmarkEnd w:id="211"/>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w:t>
      </w:r>
    </w:p>
    <w:p>
      <w:pPr>
        <w:pStyle w:val="Indenta"/>
      </w:pPr>
      <w:r>
        <w:tab/>
        <w:t>(c)</w:t>
      </w:r>
      <w:r>
        <w:tab/>
        <w:t>to provide, and where appropriate, manage facilities (including land, buildings and other property) for purposes consistent with the objects of this Act;</w:t>
      </w:r>
    </w:p>
    <w:p>
      <w:pPr>
        <w:pStyle w:val="Indenta"/>
      </w:pPr>
      <w:r>
        <w:tab/>
        <w:t>(d)</w:t>
      </w:r>
      <w:r>
        <w:tab/>
        <w:t>to establish procedures for dealing with complaints about social services provided under this Act or otherwise relating to the administration of this Act;</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w:t>
      </w:r>
    </w:p>
    <w:p>
      <w:pPr>
        <w:pStyle w:val="Indenti"/>
      </w:pPr>
      <w:r>
        <w:tab/>
        <w:t>(ii)</w:t>
      </w:r>
      <w:r>
        <w:tab/>
        <w:t>Aboriginal people and Torres Strait Islanders;</w:t>
      </w:r>
    </w:p>
    <w:p>
      <w:pPr>
        <w:pStyle w:val="Indenti"/>
      </w:pPr>
      <w:r>
        <w:tab/>
        <w:t>(iii)</w:t>
      </w:r>
      <w:r>
        <w:tab/>
        <w:t>people from culturally or linguistically diverse backgrounds;</w:t>
      </w:r>
    </w:p>
    <w:p>
      <w:pPr>
        <w:pStyle w:val="Indenti"/>
      </w:pPr>
      <w:r>
        <w:tab/>
        <w:t>(iv)</w:t>
      </w:r>
      <w:r>
        <w:tab/>
        <w:t>people with disabilities; and</w:t>
      </w:r>
    </w:p>
    <w:p>
      <w:pPr>
        <w:pStyle w:val="Indenti"/>
      </w:pPr>
      <w:r>
        <w:tab/>
        <w:t>(v)</w:t>
      </w:r>
      <w:r>
        <w:tab/>
        <w:t>women and men of all ages as distinct groups within society;</w:t>
      </w:r>
    </w:p>
    <w:p>
      <w:pPr>
        <w:pStyle w:val="Indenta"/>
        <w:rPr>
          <w:b/>
          <w:i/>
          <w:sz w:val="20"/>
        </w:rPr>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Heading5"/>
      </w:pPr>
      <w:bookmarkStart w:id="212" w:name="_Toc85881235"/>
      <w:bookmarkStart w:id="213" w:name="_Toc128368631"/>
      <w:bookmarkStart w:id="214" w:name="_Toc140893297"/>
      <w:bookmarkStart w:id="215" w:name="_Toc140393829"/>
      <w:r>
        <w:rPr>
          <w:rStyle w:val="CharSectno"/>
        </w:rPr>
        <w:t>22</w:t>
      </w:r>
      <w:r>
        <w:t>.</w:t>
      </w:r>
      <w:r>
        <w:tab/>
        <w:t>Cooperation and assistance</w:t>
      </w:r>
      <w:bookmarkEnd w:id="212"/>
      <w:bookmarkEnd w:id="213"/>
      <w:bookmarkEnd w:id="214"/>
      <w:bookmarkEnd w:id="215"/>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by taking specified action, assist in the performance of functions under this Act, the CEO may request the assistance of that authority or provider, specifying the action that is sought.</w:t>
      </w:r>
    </w:p>
    <w:p>
      <w:pPr>
        <w:pStyle w:val="Subsection"/>
      </w:pPr>
      <w:r>
        <w:tab/>
        <w:t>(4)</w:t>
      </w:r>
      <w:r>
        <w:tab/>
        <w:t>A public authority or service provider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Heading5"/>
      </w:pPr>
      <w:bookmarkStart w:id="216" w:name="_Hlt532634081"/>
      <w:bookmarkStart w:id="217" w:name="_Toc85881236"/>
      <w:bookmarkStart w:id="218" w:name="_Toc128368632"/>
      <w:bookmarkStart w:id="219" w:name="_Toc140893298"/>
      <w:bookmarkStart w:id="220" w:name="_Toc140393830"/>
      <w:bookmarkEnd w:id="216"/>
      <w:r>
        <w:rPr>
          <w:rStyle w:val="CharSectno"/>
        </w:rPr>
        <w:t>23</w:t>
      </w:r>
      <w:r>
        <w:t>.</w:t>
      </w:r>
      <w:r>
        <w:tab/>
        <w:t>Exchange of information</w:t>
      </w:r>
      <w:bookmarkEnd w:id="217"/>
      <w:bookmarkEnd w:id="218"/>
      <w:bookmarkEnd w:id="219"/>
      <w:bookmarkEnd w:id="220"/>
    </w:p>
    <w:p>
      <w:pPr>
        <w:pStyle w:val="Subsection"/>
      </w:pPr>
      <w:r>
        <w:tab/>
        <w:t>(1)</w:t>
      </w:r>
      <w:r>
        <w:tab/>
        <w:t>In this section —</w:t>
      </w:r>
    </w:p>
    <w:p>
      <w:pPr>
        <w:pStyle w:val="Defstart"/>
      </w:pPr>
      <w:r>
        <w:tab/>
      </w:r>
      <w:r>
        <w:rPr>
          <w:b/>
        </w:rPr>
        <w:t>“</w:t>
      </w:r>
      <w:r>
        <w:rPr>
          <w:rStyle w:val="CharDefText"/>
        </w:rPr>
        <w:t>corresponding authority</w:t>
      </w:r>
      <w:r>
        <w:rPr>
          <w:b/>
        </w:rPr>
        <w:t>”</w:t>
      </w:r>
      <w:r>
        <w:t xml:space="preserve"> means a person or body in another State or a Territory, or another country, that has functions corresponding to those of the CEO under this Act;</w:t>
      </w:r>
    </w:p>
    <w:p>
      <w:pPr>
        <w:pStyle w:val="Defstart"/>
      </w:pPr>
      <w:r>
        <w:tab/>
      </w:r>
      <w:r>
        <w:rPr>
          <w:b/>
        </w:rPr>
        <w:t>“</w:t>
      </w:r>
      <w:r>
        <w:rPr>
          <w:rStyle w:val="CharDefText"/>
        </w:rPr>
        <w:t>interested person</w:t>
      </w:r>
      <w:r>
        <w:rPr>
          <w:b/>
        </w:rPr>
        <w:t>”</w:t>
      </w:r>
      <w:r>
        <w:t xml:space="preserve"> means a person or body who or which, in the opinion of the CEO, has a direct interest in the wellbeing of a child or a class or group of children;</w:t>
      </w:r>
    </w:p>
    <w:p>
      <w:pPr>
        <w:pStyle w:val="Defstart"/>
      </w:pPr>
      <w:r>
        <w:tab/>
      </w:r>
      <w:r>
        <w:rPr>
          <w:b/>
        </w:rPr>
        <w:t>“</w:t>
      </w:r>
      <w:r>
        <w:rPr>
          <w:rStyle w:val="CharDefText"/>
        </w:rPr>
        <w:t>relevant information</w:t>
      </w:r>
      <w:r>
        <w:rPr>
          <w:b/>
        </w:rPr>
        <w:t>”</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corresponding authority, a service provider or an interested person.</w:t>
      </w:r>
    </w:p>
    <w:p>
      <w:pPr>
        <w:pStyle w:val="Subsection"/>
      </w:pPr>
      <w:r>
        <w:tab/>
        <w:t>(3)</w:t>
      </w:r>
      <w:r>
        <w:tab/>
        <w:t>The CEO or an authorised officer may request a public authority,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A public authority, a service provider or an interested person may comply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Heading5"/>
      </w:pPr>
      <w:bookmarkStart w:id="221" w:name="_Toc438114707"/>
      <w:bookmarkStart w:id="222" w:name="_Toc85881237"/>
      <w:bookmarkStart w:id="223" w:name="_Toc128368633"/>
      <w:bookmarkStart w:id="224" w:name="_Toc140893299"/>
      <w:bookmarkStart w:id="225" w:name="_Toc140393831"/>
      <w:r>
        <w:rPr>
          <w:rStyle w:val="CharSectno"/>
        </w:rPr>
        <w:t>24</w:t>
      </w:r>
      <w:r>
        <w:t>.</w:t>
      </w:r>
      <w:r>
        <w:tab/>
        <w:t>Delegation</w:t>
      </w:r>
      <w:bookmarkEnd w:id="221"/>
      <w:r>
        <w:t xml:space="preserve"> by CEO</w:t>
      </w:r>
      <w:bookmarkEnd w:id="222"/>
      <w:bookmarkEnd w:id="223"/>
      <w:bookmarkEnd w:id="224"/>
      <w:bookmarkEnd w:id="225"/>
    </w:p>
    <w:p>
      <w:pPr>
        <w:pStyle w:val="Subsection"/>
      </w:pPr>
      <w:r>
        <w:tab/>
        <w:t>(1)</w:t>
      </w:r>
      <w:r>
        <w:tab/>
        <w:t>The CEO may delegate to an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terms of the delegation unless the contrary is shown.</w:t>
      </w:r>
    </w:p>
    <w:p>
      <w:pPr>
        <w:pStyle w:val="Subsection"/>
      </w:pPr>
      <w:r>
        <w:tab/>
        <w:t>(5)</w:t>
      </w:r>
      <w:r>
        <w:tab/>
        <w:t>Nothing in this section limits the ability of the CEO to perform a function through an officer or agent.</w:t>
      </w:r>
    </w:p>
    <w:p>
      <w:pPr>
        <w:pStyle w:val="Heading3"/>
      </w:pPr>
      <w:bookmarkStart w:id="226" w:name="_Toc128300760"/>
      <w:bookmarkStart w:id="227" w:name="_Toc128302788"/>
      <w:bookmarkStart w:id="228" w:name="_Toc128366720"/>
      <w:bookmarkStart w:id="229" w:name="_Toc128368634"/>
      <w:bookmarkStart w:id="230" w:name="_Toc128369014"/>
      <w:bookmarkStart w:id="231" w:name="_Toc128969351"/>
      <w:bookmarkStart w:id="232" w:name="_Toc132620262"/>
      <w:bookmarkStart w:id="233" w:name="_Toc140377890"/>
      <w:bookmarkStart w:id="234" w:name="_Toc140393832"/>
      <w:bookmarkStart w:id="235" w:name="_Toc140893300"/>
      <w:r>
        <w:rPr>
          <w:rStyle w:val="CharDivNo"/>
        </w:rPr>
        <w:t>Division 4</w:t>
      </w:r>
      <w:r>
        <w:t xml:space="preserve"> — </w:t>
      </w:r>
      <w:r>
        <w:rPr>
          <w:rStyle w:val="CharDivText"/>
        </w:rPr>
        <w:t>Authorised officers</w:t>
      </w:r>
      <w:bookmarkEnd w:id="226"/>
      <w:bookmarkEnd w:id="227"/>
      <w:bookmarkEnd w:id="228"/>
      <w:bookmarkEnd w:id="229"/>
      <w:bookmarkEnd w:id="230"/>
      <w:bookmarkEnd w:id="231"/>
      <w:bookmarkEnd w:id="232"/>
      <w:bookmarkEnd w:id="233"/>
      <w:bookmarkEnd w:id="234"/>
      <w:bookmarkEnd w:id="235"/>
    </w:p>
    <w:p>
      <w:pPr>
        <w:pStyle w:val="Heading5"/>
      </w:pPr>
      <w:bookmarkStart w:id="236" w:name="_Hlt51043937"/>
      <w:bookmarkStart w:id="237" w:name="_Toc85881238"/>
      <w:bookmarkStart w:id="238" w:name="_Toc128368635"/>
      <w:bookmarkStart w:id="239" w:name="_Toc140893301"/>
      <w:bookmarkStart w:id="240" w:name="_Toc140393833"/>
      <w:bookmarkEnd w:id="236"/>
      <w:r>
        <w:rPr>
          <w:rStyle w:val="CharSectno"/>
        </w:rPr>
        <w:t>25</w:t>
      </w:r>
      <w:r>
        <w:t>.</w:t>
      </w:r>
      <w:r>
        <w:tab/>
        <w:t>Appointment of authorised officers</w:t>
      </w:r>
      <w:bookmarkEnd w:id="237"/>
      <w:bookmarkEnd w:id="238"/>
      <w:bookmarkEnd w:id="239"/>
      <w:bookmarkEnd w:id="240"/>
    </w:p>
    <w:p>
      <w:pPr>
        <w:pStyle w:val="Subsection"/>
      </w:pPr>
      <w:r>
        <w:tab/>
      </w:r>
      <w:r>
        <w:tab/>
        <w:t>The CEO may appoint officers as authorised officers —</w:t>
      </w:r>
    </w:p>
    <w:p>
      <w:pPr>
        <w:pStyle w:val="Indenta"/>
      </w:pPr>
      <w:r>
        <w:tab/>
        <w:t>(a)</w:t>
      </w:r>
      <w:r>
        <w:tab/>
        <w:t>generally for the purposes of this Act; or</w:t>
      </w:r>
    </w:p>
    <w:p>
      <w:pPr>
        <w:pStyle w:val="Indenta"/>
      </w:pPr>
      <w:r>
        <w:tab/>
        <w:t>(b)</w:t>
      </w:r>
      <w:r>
        <w:tab/>
        <w:t>for the purposes of provisions of the Act specified in the appointment.</w:t>
      </w:r>
    </w:p>
    <w:p>
      <w:pPr>
        <w:pStyle w:val="Heading5"/>
      </w:pPr>
      <w:bookmarkStart w:id="241" w:name="_Toc85881239"/>
      <w:bookmarkStart w:id="242" w:name="_Toc128368636"/>
      <w:bookmarkStart w:id="243" w:name="_Toc140893302"/>
      <w:bookmarkStart w:id="244" w:name="_Toc140393834"/>
      <w:r>
        <w:rPr>
          <w:rStyle w:val="CharSectno"/>
        </w:rPr>
        <w:t>26</w:t>
      </w:r>
      <w:r>
        <w:t>.</w:t>
      </w:r>
      <w:r>
        <w:tab/>
        <w:t>Identity cards</w:t>
      </w:r>
      <w:bookmarkEnd w:id="241"/>
      <w:bookmarkEnd w:id="242"/>
      <w:bookmarkEnd w:id="243"/>
      <w:bookmarkEnd w:id="244"/>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appointment under section 25.</w:t>
      </w:r>
    </w:p>
    <w:p>
      <w:pPr>
        <w:pStyle w:val="Heading3"/>
      </w:pPr>
      <w:bookmarkStart w:id="245" w:name="_Toc128300763"/>
      <w:bookmarkStart w:id="246" w:name="_Toc128302791"/>
      <w:bookmarkStart w:id="247" w:name="_Toc128366723"/>
      <w:bookmarkStart w:id="248" w:name="_Toc128368637"/>
      <w:bookmarkStart w:id="249" w:name="_Toc128369017"/>
      <w:bookmarkStart w:id="250" w:name="_Toc128969354"/>
      <w:bookmarkStart w:id="251" w:name="_Toc132620265"/>
      <w:bookmarkStart w:id="252" w:name="_Toc140377893"/>
      <w:bookmarkStart w:id="253" w:name="_Toc140393835"/>
      <w:bookmarkStart w:id="254" w:name="_Toc140893303"/>
      <w:r>
        <w:rPr>
          <w:rStyle w:val="CharDivNo"/>
        </w:rPr>
        <w:t>Division 5</w:t>
      </w:r>
      <w:r>
        <w:t xml:space="preserve"> — </w:t>
      </w:r>
      <w:r>
        <w:rPr>
          <w:rStyle w:val="CharDivText"/>
        </w:rPr>
        <w:t>Advisory bodies</w:t>
      </w:r>
      <w:bookmarkEnd w:id="245"/>
      <w:bookmarkEnd w:id="246"/>
      <w:bookmarkEnd w:id="247"/>
      <w:bookmarkEnd w:id="248"/>
      <w:bookmarkEnd w:id="249"/>
      <w:bookmarkEnd w:id="250"/>
      <w:bookmarkEnd w:id="251"/>
      <w:bookmarkEnd w:id="252"/>
      <w:bookmarkEnd w:id="253"/>
      <w:bookmarkEnd w:id="254"/>
    </w:p>
    <w:p>
      <w:pPr>
        <w:pStyle w:val="Heading5"/>
      </w:pPr>
      <w:bookmarkStart w:id="255" w:name="_Toc438114708"/>
      <w:bookmarkStart w:id="256" w:name="_Toc85881240"/>
      <w:bookmarkStart w:id="257" w:name="_Toc128368638"/>
      <w:bookmarkStart w:id="258" w:name="_Toc140893304"/>
      <w:bookmarkStart w:id="259" w:name="_Toc140393836"/>
      <w:r>
        <w:rPr>
          <w:rStyle w:val="CharSectno"/>
        </w:rPr>
        <w:t>27</w:t>
      </w:r>
      <w:r>
        <w:t>.</w:t>
      </w:r>
      <w:r>
        <w:tab/>
        <w:t>Establishment of advisory bodies</w:t>
      </w:r>
      <w:bookmarkEnd w:id="255"/>
      <w:bookmarkEnd w:id="256"/>
      <w:bookmarkEnd w:id="257"/>
      <w:bookmarkEnd w:id="258"/>
      <w:bookmarkEnd w:id="259"/>
    </w:p>
    <w:p>
      <w:pPr>
        <w:pStyle w:val="Subsection"/>
      </w:pPr>
      <w:r>
        <w:tab/>
        <w:t>(1)</w:t>
      </w:r>
      <w:r>
        <w:tab/>
        <w:t>In this section —</w:t>
      </w:r>
    </w:p>
    <w:p>
      <w:pPr>
        <w:pStyle w:val="Defstart"/>
      </w:pPr>
      <w:r>
        <w:tab/>
      </w:r>
      <w:r>
        <w:rPr>
          <w:b/>
        </w:rPr>
        <w:t>“</w:t>
      </w:r>
      <w:r>
        <w:rPr>
          <w:rStyle w:val="CharDefText"/>
        </w:rPr>
        <w:t>advisory body</w:t>
      </w:r>
      <w:r>
        <w:rPr>
          <w:b/>
        </w:rPr>
        <w:t>”</w:t>
      </w:r>
      <w:r>
        <w:t xml:space="preserve"> means a body established under subsection (2).</w:t>
      </w:r>
    </w:p>
    <w:p>
      <w:pPr>
        <w:pStyle w:val="Subsection"/>
      </w:pPr>
      <w:r>
        <w:tab/>
      </w:r>
      <w:bookmarkStart w:id="260" w:name="_Hlt57715496"/>
      <w:bookmarkEnd w:id="260"/>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261" w:name="_Hlt55643702"/>
      <w:bookmarkEnd w:id="261"/>
      <w:r>
        <w:t>(5)</w:t>
      </w:r>
      <w:r>
        <w:tab/>
        <w:t>An advisory body is to be established by an instrument signed by the Minister that —</w:t>
      </w:r>
    </w:p>
    <w:p>
      <w:pPr>
        <w:pStyle w:val="Indenta"/>
      </w:pPr>
      <w:r>
        <w:tab/>
        <w:t>(a)</w:t>
      </w:r>
      <w:r>
        <w:tab/>
        <w:t>identifies the members of the body and the length and conditions of each of their appointments;</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Minister for Public Sector Management.</w:t>
      </w:r>
    </w:p>
    <w:p>
      <w:pPr>
        <w:pStyle w:val="Heading2"/>
      </w:pPr>
      <w:bookmarkStart w:id="262" w:name="_Toc128300765"/>
      <w:bookmarkStart w:id="263" w:name="_Toc128302793"/>
      <w:bookmarkStart w:id="264" w:name="_Toc128366725"/>
      <w:bookmarkStart w:id="265" w:name="_Toc128368639"/>
      <w:bookmarkStart w:id="266" w:name="_Toc128369019"/>
      <w:bookmarkStart w:id="267" w:name="_Toc128969356"/>
      <w:bookmarkStart w:id="268" w:name="_Toc132620267"/>
      <w:bookmarkStart w:id="269" w:name="_Toc140377895"/>
      <w:bookmarkStart w:id="270" w:name="_Toc140393837"/>
      <w:bookmarkStart w:id="271" w:name="_Toc140893305"/>
      <w:r>
        <w:rPr>
          <w:rStyle w:val="CharPartNo"/>
        </w:rPr>
        <w:t xml:space="preserve">Part </w:t>
      </w:r>
      <w:bookmarkStart w:id="272" w:name="_Hlt51043957"/>
      <w:bookmarkEnd w:id="272"/>
      <w:r>
        <w:rPr>
          <w:rStyle w:val="CharPartNo"/>
        </w:rPr>
        <w:t>4</w:t>
      </w:r>
      <w:r>
        <w:t xml:space="preserve"> — </w:t>
      </w:r>
      <w:r>
        <w:rPr>
          <w:rStyle w:val="CharPartText"/>
        </w:rPr>
        <w:t>Protection and care of children</w:t>
      </w:r>
      <w:bookmarkEnd w:id="262"/>
      <w:bookmarkEnd w:id="263"/>
      <w:bookmarkEnd w:id="264"/>
      <w:bookmarkEnd w:id="265"/>
      <w:bookmarkEnd w:id="266"/>
      <w:bookmarkEnd w:id="267"/>
      <w:bookmarkEnd w:id="268"/>
      <w:bookmarkEnd w:id="269"/>
      <w:bookmarkEnd w:id="270"/>
      <w:bookmarkEnd w:id="271"/>
    </w:p>
    <w:p>
      <w:pPr>
        <w:pStyle w:val="Heading3"/>
      </w:pPr>
      <w:bookmarkStart w:id="273" w:name="_Toc128300766"/>
      <w:bookmarkStart w:id="274" w:name="_Toc128302794"/>
      <w:bookmarkStart w:id="275" w:name="_Toc128366726"/>
      <w:bookmarkStart w:id="276" w:name="_Toc128368640"/>
      <w:bookmarkStart w:id="277" w:name="_Toc128369020"/>
      <w:bookmarkStart w:id="278" w:name="_Toc128969357"/>
      <w:bookmarkStart w:id="279" w:name="_Toc132620268"/>
      <w:bookmarkStart w:id="280" w:name="_Toc140377896"/>
      <w:bookmarkStart w:id="281" w:name="_Toc140393838"/>
      <w:bookmarkStart w:id="282" w:name="_Toc140893306"/>
      <w:r>
        <w:rPr>
          <w:rStyle w:val="CharDivNo"/>
        </w:rPr>
        <w:t>Division 1</w:t>
      </w:r>
      <w:r>
        <w:t xml:space="preserve"> — </w:t>
      </w:r>
      <w:r>
        <w:rPr>
          <w:rStyle w:val="CharDivText"/>
        </w:rPr>
        <w:t>Introductory matters</w:t>
      </w:r>
      <w:bookmarkEnd w:id="273"/>
      <w:bookmarkEnd w:id="274"/>
      <w:bookmarkEnd w:id="275"/>
      <w:bookmarkEnd w:id="276"/>
      <w:bookmarkEnd w:id="277"/>
      <w:bookmarkEnd w:id="278"/>
      <w:bookmarkEnd w:id="279"/>
      <w:bookmarkEnd w:id="280"/>
      <w:bookmarkEnd w:id="281"/>
      <w:bookmarkEnd w:id="282"/>
    </w:p>
    <w:p>
      <w:pPr>
        <w:pStyle w:val="Heading5"/>
      </w:pPr>
      <w:bookmarkStart w:id="283" w:name="_Hlt521833719"/>
      <w:bookmarkStart w:id="284" w:name="_Toc438114710"/>
      <w:bookmarkStart w:id="285" w:name="_Toc85881241"/>
      <w:bookmarkStart w:id="286" w:name="_Toc128368641"/>
      <w:bookmarkStart w:id="287" w:name="_Toc140893307"/>
      <w:bookmarkStart w:id="288" w:name="_Toc140393839"/>
      <w:bookmarkEnd w:id="283"/>
      <w:r>
        <w:rPr>
          <w:rStyle w:val="CharSectno"/>
        </w:rPr>
        <w:t>28</w:t>
      </w:r>
      <w:r>
        <w:t>.</w:t>
      </w:r>
      <w:r>
        <w:tab/>
        <w:t>When child is in need of protection</w:t>
      </w:r>
      <w:bookmarkEnd w:id="284"/>
      <w:bookmarkEnd w:id="285"/>
      <w:bookmarkEnd w:id="286"/>
      <w:bookmarkEnd w:id="287"/>
      <w:bookmarkEnd w:id="288"/>
    </w:p>
    <w:p>
      <w:pPr>
        <w:pStyle w:val="Subsection"/>
      </w:pPr>
      <w:r>
        <w:tab/>
        <w:t>(1)</w:t>
      </w:r>
      <w:r>
        <w:tab/>
        <w:t xml:space="preserve">In this section — </w:t>
      </w:r>
    </w:p>
    <w:p>
      <w:pPr>
        <w:pStyle w:val="Defstart"/>
        <w:rPr>
          <w:b/>
        </w:rPr>
      </w:pPr>
      <w:r>
        <w:tab/>
      </w:r>
      <w:r>
        <w:rPr>
          <w:b/>
        </w:rPr>
        <w:t>“</w:t>
      </w:r>
      <w:r>
        <w:rPr>
          <w:rStyle w:val="CharDefText"/>
        </w:rPr>
        <w:t>harm</w:t>
      </w:r>
      <w:r>
        <w:rPr>
          <w:b/>
        </w:rPr>
        <w:t>”</w:t>
      </w:r>
      <w:r>
        <w:t>, in relation to a child, means any detrimental effect of a significant nature on the child’s wellbeing;</w:t>
      </w:r>
    </w:p>
    <w:p>
      <w:pPr>
        <w:pStyle w:val="Defstart"/>
      </w:pPr>
      <w:r>
        <w:rPr>
          <w:b/>
        </w:rPr>
        <w:tab/>
        <w:t>“</w:t>
      </w:r>
      <w:r>
        <w:rPr>
          <w:rStyle w:val="CharDefText"/>
        </w:rPr>
        <w:t>neglect</w:t>
      </w:r>
      <w:r>
        <w:rPr>
          <w:b/>
        </w:rPr>
        <w:t>”</w:t>
      </w:r>
      <w:r>
        <w:t xml:space="preserve"> includes failure by a child’s parents to provide, arrange, or allow the provision of — </w:t>
      </w:r>
    </w:p>
    <w:p>
      <w:pPr>
        <w:pStyle w:val="Defpara"/>
      </w:pPr>
      <w:r>
        <w:tab/>
        <w:t>(a)</w:t>
      </w:r>
      <w:r>
        <w:tab/>
        <w:t>adequate care for the child; or</w:t>
      </w:r>
    </w:p>
    <w:p>
      <w:pPr>
        <w:pStyle w:val="Defpara"/>
      </w:pPr>
      <w:bookmarkStart w:id="289" w:name="_Hlt39892569"/>
      <w:bookmarkEnd w:id="289"/>
      <w:r>
        <w:tab/>
        <w:t>(b)</w:t>
      </w:r>
      <w:r>
        <w:tab/>
        <w:t>effective medical, therapeutic or remedial treatment for the child.</w:t>
      </w:r>
    </w:p>
    <w:p>
      <w:pPr>
        <w:pStyle w:val="Subsection"/>
      </w:pPr>
      <w:r>
        <w:tab/>
      </w:r>
      <w:bookmarkStart w:id="290" w:name="_Hlt39889047"/>
      <w:bookmarkEnd w:id="290"/>
      <w:r>
        <w:t>(2)</w:t>
      </w:r>
      <w:r>
        <w:tab/>
        <w:t xml:space="preserve">For the purposes of this Part a child is </w:t>
      </w:r>
      <w:r>
        <w:rPr>
          <w:b/>
        </w:rPr>
        <w:t>“</w:t>
      </w:r>
      <w:r>
        <w:rPr>
          <w:rStyle w:val="CharDefText"/>
        </w:rPr>
        <w:t>in need of protection</w:t>
      </w:r>
      <w:r>
        <w:rPr>
          <w:b/>
        </w:rPr>
        <w:t>”</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t>(b)</w:t>
      </w:r>
      <w:r>
        <w:tab/>
        <w:t>the child’s parents are dead or incapacitated and, after reasonable inquiries, no suitable adult relative or other suitable adult can be found who is willing and able to care for the child;</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Heading5"/>
      </w:pPr>
      <w:bookmarkStart w:id="291" w:name="_Toc438114711"/>
      <w:bookmarkStart w:id="292" w:name="_Toc85881242"/>
      <w:bookmarkStart w:id="293" w:name="_Toc128368642"/>
      <w:bookmarkStart w:id="294" w:name="_Toc140893308"/>
      <w:bookmarkStart w:id="295" w:name="_Toc140393840"/>
      <w:r>
        <w:rPr>
          <w:rStyle w:val="CharSectno"/>
        </w:rPr>
        <w:t>29</w:t>
      </w:r>
      <w:r>
        <w:t>.</w:t>
      </w:r>
      <w:r>
        <w:tab/>
        <w:t>Provisional protection</w:t>
      </w:r>
      <w:bookmarkEnd w:id="291"/>
      <w:r>
        <w:t xml:space="preserve"> and care: meaning and effect</w:t>
      </w:r>
      <w:bookmarkEnd w:id="292"/>
      <w:bookmarkEnd w:id="293"/>
      <w:bookmarkEnd w:id="294"/>
      <w:bookmarkEnd w:id="295"/>
    </w:p>
    <w:p>
      <w:pPr>
        <w:pStyle w:val="Subsection"/>
      </w:pPr>
      <w:r>
        <w:tab/>
      </w:r>
      <w:bookmarkStart w:id="296" w:name="_Hlt39889324"/>
      <w:bookmarkEnd w:id="296"/>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has the right to make decisions about the day</w:t>
      </w:r>
      <w:r>
        <w:noBreakHyphen/>
        <w:t>to</w:t>
      </w:r>
      <w:r>
        <w:noBreakHyphen/>
        <w:t>day care, welfare and development of the child, including, without limitation, decisions about any medical or dental examination, treatment or procedure in respect of the child.</w:t>
      </w:r>
    </w:p>
    <w:p>
      <w:pPr>
        <w:pStyle w:val="Subsection"/>
        <w:keepNext/>
      </w:pPr>
      <w:r>
        <w:tab/>
        <w:t>(3)</w:t>
      </w:r>
      <w:r>
        <w:tab/>
        <w:t>A child ceases to be in provisional protection and care if —</w:t>
      </w:r>
    </w:p>
    <w:p>
      <w:pPr>
        <w:pStyle w:val="Indenta"/>
      </w:pPr>
      <w:r>
        <w:tab/>
        <w:t>(a)</w:t>
      </w:r>
      <w:r>
        <w:tab/>
        <w:t>the child is returned to or placed in the care of a person under section 38(2);</w:t>
      </w:r>
    </w:p>
    <w:p>
      <w:pPr>
        <w:pStyle w:val="Indenta"/>
      </w:pPr>
      <w:r>
        <w:tab/>
        <w:t>(b)</w:t>
      </w:r>
      <w:r>
        <w:tab/>
        <w:t>the Court makes an interim order under section 133(2)(a) that the child be returned to or placed with a parent of the child;</w:t>
      </w:r>
    </w:p>
    <w:p>
      <w:pPr>
        <w:pStyle w:val="Indenta"/>
      </w:pPr>
      <w:r>
        <w:tab/>
        <w:t>(c)</w:t>
      </w:r>
      <w:r>
        <w:tab/>
        <w:t>the Court makes an interim order under section 133(2)(c); or</w:t>
      </w:r>
    </w:p>
    <w:p>
      <w:pPr>
        <w:pStyle w:val="Indenta"/>
      </w:pPr>
      <w:r>
        <w:tab/>
        <w:t>(d)</w:t>
      </w:r>
      <w:r>
        <w:tab/>
        <w:t>the Court makes a protection order in respect of the child or refuses to make such an order.</w:t>
      </w:r>
    </w:p>
    <w:p>
      <w:pPr>
        <w:pStyle w:val="Heading5"/>
      </w:pPr>
      <w:bookmarkStart w:id="297" w:name="_Hlt51044132"/>
      <w:bookmarkStart w:id="298" w:name="_Toc85881243"/>
      <w:bookmarkStart w:id="299" w:name="_Toc128368643"/>
      <w:bookmarkStart w:id="300" w:name="_Toc140893309"/>
      <w:bookmarkStart w:id="301" w:name="_Toc140393841"/>
      <w:bookmarkEnd w:id="297"/>
      <w:r>
        <w:rPr>
          <w:rStyle w:val="CharSectno"/>
        </w:rPr>
        <w:t>30</w:t>
      </w:r>
      <w:r>
        <w:t>.</w:t>
      </w:r>
      <w:r>
        <w:tab/>
        <w:t>Child in the CEO’s care</w:t>
      </w:r>
      <w:bookmarkEnd w:id="298"/>
      <w:bookmarkEnd w:id="299"/>
      <w:bookmarkEnd w:id="300"/>
      <w:bookmarkEnd w:id="301"/>
    </w:p>
    <w:p>
      <w:pPr>
        <w:pStyle w:val="Subsection"/>
      </w:pPr>
      <w:r>
        <w:tab/>
      </w:r>
      <w:r>
        <w:tab/>
        <w:t xml:space="preserve">For the purposes of this Part a child is </w:t>
      </w:r>
      <w:r>
        <w:rPr>
          <w:b/>
        </w:rPr>
        <w:t>“</w:t>
      </w:r>
      <w:r>
        <w:rPr>
          <w:rStyle w:val="CharDefText"/>
        </w:rPr>
        <w:t>in the CEO’s care</w:t>
      </w:r>
      <w:r>
        <w:rPr>
          <w:b/>
        </w:rPr>
        <w:t>”</w:t>
      </w:r>
      <w:r>
        <w:t xml:space="preserve"> if the child — </w:t>
      </w:r>
    </w:p>
    <w:p>
      <w:pPr>
        <w:pStyle w:val="Indenta"/>
      </w:pPr>
      <w:r>
        <w:tab/>
        <w:t>(a)</w:t>
      </w:r>
      <w:r>
        <w:tab/>
        <w:t>is in provisional protection and care;</w:t>
      </w:r>
    </w:p>
    <w:p>
      <w:pPr>
        <w:pStyle w:val="Indenta"/>
      </w:pPr>
      <w:r>
        <w:tab/>
        <w:t>(b)</w:t>
      </w:r>
      <w:r>
        <w:tab/>
        <w:t>is the subject of a protection order (time</w:t>
      </w:r>
      <w:r>
        <w:noBreakHyphen/>
        <w:t>limited) or protection order (until 18);</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302" w:name="_Toc128300770"/>
      <w:bookmarkStart w:id="303" w:name="_Toc128302798"/>
      <w:bookmarkStart w:id="304" w:name="_Toc128366730"/>
      <w:bookmarkStart w:id="305" w:name="_Toc128368644"/>
      <w:bookmarkStart w:id="306" w:name="_Toc128369024"/>
      <w:bookmarkStart w:id="307" w:name="_Toc128969361"/>
      <w:bookmarkStart w:id="308" w:name="_Toc132620272"/>
      <w:bookmarkStart w:id="309" w:name="_Toc140377900"/>
      <w:bookmarkStart w:id="310" w:name="_Toc140393842"/>
      <w:bookmarkStart w:id="311" w:name="_Toc140893310"/>
      <w:r>
        <w:rPr>
          <w:rStyle w:val="CharDivNo"/>
        </w:rPr>
        <w:t>Division 2</w:t>
      </w:r>
      <w:r>
        <w:t> — </w:t>
      </w:r>
      <w:r>
        <w:rPr>
          <w:rStyle w:val="CharDivText"/>
        </w:rPr>
        <w:t>Powers available to safeguard or promote child’s wellbeing</w:t>
      </w:r>
      <w:bookmarkEnd w:id="302"/>
      <w:bookmarkEnd w:id="303"/>
      <w:bookmarkEnd w:id="304"/>
      <w:bookmarkEnd w:id="305"/>
      <w:bookmarkEnd w:id="306"/>
      <w:bookmarkEnd w:id="307"/>
      <w:bookmarkEnd w:id="308"/>
      <w:bookmarkEnd w:id="309"/>
      <w:bookmarkEnd w:id="310"/>
      <w:bookmarkEnd w:id="311"/>
    </w:p>
    <w:p>
      <w:pPr>
        <w:pStyle w:val="Heading4"/>
      </w:pPr>
      <w:bookmarkStart w:id="312" w:name="_Toc128300771"/>
      <w:bookmarkStart w:id="313" w:name="_Toc128302799"/>
      <w:bookmarkStart w:id="314" w:name="_Toc128366731"/>
      <w:bookmarkStart w:id="315" w:name="_Toc128368645"/>
      <w:bookmarkStart w:id="316" w:name="_Toc128369025"/>
      <w:bookmarkStart w:id="317" w:name="_Toc128969362"/>
      <w:bookmarkStart w:id="318" w:name="_Toc132620273"/>
      <w:bookmarkStart w:id="319" w:name="_Toc140377901"/>
      <w:bookmarkStart w:id="320" w:name="_Toc140393843"/>
      <w:bookmarkStart w:id="321" w:name="_Toc140893311"/>
      <w:r>
        <w:t>Subdivision 1 — General powers of CEO</w:t>
      </w:r>
      <w:bookmarkEnd w:id="312"/>
      <w:bookmarkEnd w:id="313"/>
      <w:bookmarkEnd w:id="314"/>
      <w:bookmarkEnd w:id="315"/>
      <w:bookmarkEnd w:id="316"/>
      <w:bookmarkEnd w:id="317"/>
      <w:bookmarkEnd w:id="318"/>
      <w:bookmarkEnd w:id="319"/>
      <w:bookmarkEnd w:id="320"/>
      <w:bookmarkEnd w:id="321"/>
    </w:p>
    <w:p>
      <w:pPr>
        <w:pStyle w:val="Heading5"/>
      </w:pPr>
      <w:bookmarkStart w:id="322" w:name="_Hlt39909916"/>
      <w:bookmarkStart w:id="323" w:name="_Toc438114714"/>
      <w:bookmarkStart w:id="324" w:name="_Toc85881244"/>
      <w:bookmarkStart w:id="325" w:name="_Toc128368646"/>
      <w:bookmarkStart w:id="326" w:name="_Toc140893312"/>
      <w:bookmarkStart w:id="327" w:name="_Toc140393844"/>
      <w:bookmarkEnd w:id="322"/>
      <w:r>
        <w:rPr>
          <w:rStyle w:val="CharSectno"/>
        </w:rPr>
        <w:t>31</w:t>
      </w:r>
      <w:r>
        <w:t>.</w:t>
      </w:r>
      <w:r>
        <w:tab/>
        <w:t>CEO may cause inquiries to be made</w:t>
      </w:r>
      <w:bookmarkEnd w:id="323"/>
      <w:r>
        <w:t xml:space="preserve"> about child</w:t>
      </w:r>
      <w:bookmarkEnd w:id="324"/>
      <w:bookmarkEnd w:id="325"/>
      <w:bookmarkEnd w:id="326"/>
      <w:bookmarkEnd w:id="327"/>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pPr>
      <w:bookmarkStart w:id="328" w:name="_Toc85881245"/>
      <w:bookmarkStart w:id="329" w:name="_Toc128368647"/>
      <w:bookmarkStart w:id="330" w:name="_Toc140893313"/>
      <w:bookmarkStart w:id="331" w:name="_Toc140393845"/>
      <w:r>
        <w:rPr>
          <w:rStyle w:val="CharSectno"/>
        </w:rPr>
        <w:t>32</w:t>
      </w:r>
      <w:r>
        <w:t>.</w:t>
      </w:r>
      <w:r>
        <w:tab/>
        <w:t>Further action by CEO</w:t>
      </w:r>
      <w:bookmarkEnd w:id="328"/>
      <w:bookmarkEnd w:id="329"/>
      <w:bookmarkEnd w:id="330"/>
      <w:bookmarkEnd w:id="331"/>
    </w:p>
    <w:p>
      <w:pPr>
        <w:pStyle w:val="Subsection"/>
      </w:pPr>
      <w:r>
        <w:tab/>
        <w:t>(1)</w:t>
      </w:r>
      <w:r>
        <w:tab/>
        <w:t xml:space="preserve">If the CEO determines that action should be taken to safeguard or promote a child’s wellbeing, the CEO must do any one or more of the following — </w:t>
      </w:r>
    </w:p>
    <w:p>
      <w:pPr>
        <w:pStyle w:val="Indenta"/>
      </w:pPr>
      <w:r>
        <w:tab/>
      </w:r>
      <w:bookmarkStart w:id="332" w:name="_Hlt39890736"/>
      <w:bookmarkEnd w:id="332"/>
      <w:r>
        <w:t>(a)</w:t>
      </w:r>
      <w:r>
        <w:tab/>
        <w:t>provide, or arrange for the provision of, social services to the child and, if appropriate, a parent or other relative of the child;</w:t>
      </w:r>
    </w:p>
    <w:p>
      <w:pPr>
        <w:pStyle w:val="Indenta"/>
        <w:keepNext/>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333" w:name="_Hlt39890927"/>
      <w:bookmarkEnd w:id="333"/>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(1)(1)(e) — </w:t>
      </w:r>
    </w:p>
    <w:p>
      <w:pPr>
        <w:pStyle w:val="Defstart"/>
      </w:pPr>
      <w:r>
        <w:rPr>
          <w:b/>
        </w:rPr>
        <w:tab/>
        <w:t>“</w:t>
      </w:r>
      <w:r>
        <w:rPr>
          <w:rStyle w:val="CharDefText"/>
        </w:rPr>
        <w:t>intervention action</w:t>
      </w:r>
      <w:r>
        <w:rPr>
          <w:b/>
        </w:rPr>
        <w:t>”</w:t>
      </w:r>
      <w:r>
        <w:t xml:space="preserve"> means action that involves — </w:t>
      </w:r>
    </w:p>
    <w:p>
      <w:pPr>
        <w:pStyle w:val="Defpara"/>
      </w:pPr>
      <w:r>
        <w:tab/>
        <w:t>(a)</w:t>
      </w:r>
      <w:r>
        <w:tab/>
        <w:t>making an application for a warrant (provisional protection and care) under section </w:t>
      </w:r>
      <w:bookmarkStart w:id="334" w:name="_Hlt39890894"/>
      <w:r>
        <w:t>35</w:t>
      </w:r>
      <w:bookmarkEnd w:id="334"/>
      <w:r>
        <w:t>;</w:t>
      </w:r>
    </w:p>
    <w:p>
      <w:pPr>
        <w:pStyle w:val="Defpara"/>
      </w:pPr>
      <w:r>
        <w:tab/>
        <w:t>(b)</w:t>
      </w:r>
      <w:r>
        <w:tab/>
        <w:t>taking the child into provisional protection and care under section </w:t>
      </w:r>
      <w:bookmarkStart w:id="335" w:name="_Hlt35760254"/>
      <w:r>
        <w:t>37</w:t>
      </w:r>
      <w:bookmarkEnd w:id="335"/>
      <w:r>
        <w:t>; or</w:t>
      </w:r>
    </w:p>
    <w:p>
      <w:pPr>
        <w:pStyle w:val="Defpara"/>
      </w:pPr>
      <w:r>
        <w:tab/>
        <w:t>(c)</w:t>
      </w:r>
      <w:r>
        <w:tab/>
        <w:t>making a protection application.</w:t>
      </w:r>
    </w:p>
    <w:p>
      <w:pPr>
        <w:pStyle w:val="Heading4"/>
      </w:pPr>
      <w:bookmarkStart w:id="336" w:name="_Toc128300774"/>
      <w:bookmarkStart w:id="337" w:name="_Toc128302802"/>
      <w:bookmarkStart w:id="338" w:name="_Toc128366734"/>
      <w:bookmarkStart w:id="339" w:name="_Toc128368648"/>
      <w:bookmarkStart w:id="340" w:name="_Toc128369028"/>
      <w:bookmarkStart w:id="341" w:name="_Toc128969365"/>
      <w:bookmarkStart w:id="342" w:name="_Toc132620276"/>
      <w:bookmarkStart w:id="343" w:name="_Toc140377904"/>
      <w:bookmarkStart w:id="344" w:name="_Toc140393846"/>
      <w:bookmarkStart w:id="345" w:name="_Toc140893314"/>
      <w:r>
        <w:t>Subdivision 2 — Powers relating to investigation</w:t>
      </w:r>
      <w:bookmarkEnd w:id="336"/>
      <w:bookmarkEnd w:id="337"/>
      <w:bookmarkEnd w:id="338"/>
      <w:bookmarkEnd w:id="339"/>
      <w:bookmarkEnd w:id="340"/>
      <w:bookmarkEnd w:id="341"/>
      <w:bookmarkEnd w:id="342"/>
      <w:bookmarkEnd w:id="343"/>
      <w:bookmarkEnd w:id="344"/>
      <w:bookmarkEnd w:id="345"/>
    </w:p>
    <w:p>
      <w:pPr>
        <w:pStyle w:val="Heading5"/>
      </w:pPr>
      <w:bookmarkStart w:id="346" w:name="_Toc85881246"/>
      <w:bookmarkStart w:id="347" w:name="_Toc128368649"/>
      <w:bookmarkStart w:id="348" w:name="_Toc140893315"/>
      <w:bookmarkStart w:id="349" w:name="_Toc140393847"/>
      <w:r>
        <w:rPr>
          <w:rStyle w:val="CharSectno"/>
        </w:rPr>
        <w:t>33</w:t>
      </w:r>
      <w:r>
        <w:t>.</w:t>
      </w:r>
      <w:r>
        <w:tab/>
        <w:t>Access to child for purposes of investigation</w:t>
      </w:r>
      <w:bookmarkEnd w:id="346"/>
      <w:bookmarkEnd w:id="347"/>
      <w:bookmarkEnd w:id="348"/>
      <w:bookmarkEnd w:id="349"/>
    </w:p>
    <w:p>
      <w:pPr>
        <w:pStyle w:val="Subsection"/>
        <w:keepNext/>
      </w:pPr>
      <w:r>
        <w:tab/>
      </w:r>
      <w:bookmarkStart w:id="350" w:name="_Hlt521833110"/>
      <w:bookmarkEnd w:id="350"/>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351" w:name="_Hlt521833145"/>
      <w:bookmarkEnd w:id="351"/>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Next w:val="0"/>
        <w:keepLines w:val="0"/>
      </w:pPr>
      <w:bookmarkStart w:id="352" w:name="_Toc438114715"/>
      <w:bookmarkStart w:id="353" w:name="_Toc85881247"/>
      <w:bookmarkStart w:id="354" w:name="_Toc128368650"/>
      <w:bookmarkStart w:id="355" w:name="_Toc140893316"/>
      <w:bookmarkStart w:id="356" w:name="_Toc140393848"/>
      <w:r>
        <w:rPr>
          <w:rStyle w:val="CharSectno"/>
        </w:rPr>
        <w:t>34</w:t>
      </w:r>
      <w:r>
        <w:t>.</w:t>
      </w:r>
      <w:r>
        <w:tab/>
        <w:t>Warrant (access)</w:t>
      </w:r>
      <w:bookmarkEnd w:id="352"/>
      <w:bookmarkEnd w:id="353"/>
      <w:bookmarkEnd w:id="354"/>
      <w:bookmarkEnd w:id="355"/>
      <w:bookmarkEnd w:id="356"/>
    </w:p>
    <w:p>
      <w:pPr>
        <w:pStyle w:val="Subsection"/>
      </w:pPr>
      <w:r>
        <w:tab/>
      </w:r>
      <w:bookmarkStart w:id="357" w:name="_Hlt521833268"/>
      <w:bookmarkEnd w:id="357"/>
      <w:r>
        <w:t>(1)</w:t>
      </w:r>
      <w:r>
        <w:tab/>
        <w:t>An authorised officer may apply to a magistrate for a warrant (access) if, in the course of an investigation referred to in section 32(1)(d), the officer —</w:t>
      </w:r>
    </w:p>
    <w:p>
      <w:pPr>
        <w:pStyle w:val="Indenta"/>
      </w:pPr>
      <w:r>
        <w:tab/>
        <w:t>(a)</w:t>
      </w:r>
      <w:r>
        <w:tab/>
        <w:t>is denied access to a child;</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w:t>
      </w:r>
      <w:bookmarkStart w:id="358" w:name="_Hlt51057968"/>
      <w:r>
        <w:t>120</w:t>
      </w:r>
      <w:bookmarkEnd w:id="358"/>
      <w:r>
        <w:t>.</w:t>
      </w:r>
    </w:p>
    <w:p>
      <w:pPr>
        <w:pStyle w:val="Subsection"/>
      </w:pPr>
      <w:r>
        <w:tab/>
      </w:r>
      <w:bookmarkStart w:id="359" w:name="_Hlt39889450"/>
      <w:bookmarkEnd w:id="359"/>
      <w:r>
        <w:t>(3)</w:t>
      </w:r>
      <w:r>
        <w:tab/>
        <w:t>On an application under subsection (1) a magistrate may issue a warrant (access) if the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pPr>
      <w:r>
        <w:t>Note:</w:t>
      </w:r>
      <w:r>
        <w:tab/>
        <w:t>Section 121 contains provisions about the effect of a warrant (access).</w:t>
      </w:r>
    </w:p>
    <w:p>
      <w:pPr>
        <w:pStyle w:val="Heading4"/>
      </w:pPr>
      <w:bookmarkStart w:id="360" w:name="_Toc128300777"/>
      <w:bookmarkStart w:id="361" w:name="_Toc128302805"/>
      <w:bookmarkStart w:id="362" w:name="_Toc128366737"/>
      <w:bookmarkStart w:id="363" w:name="_Toc128368651"/>
      <w:bookmarkStart w:id="364" w:name="_Toc128369031"/>
      <w:bookmarkStart w:id="365" w:name="_Toc128969368"/>
      <w:bookmarkStart w:id="366" w:name="_Toc132620279"/>
      <w:bookmarkStart w:id="367" w:name="_Toc140377907"/>
      <w:bookmarkStart w:id="368" w:name="_Toc140393849"/>
      <w:bookmarkStart w:id="369" w:name="_Toc140893317"/>
      <w:r>
        <w:t>Subdivision 3 — Provisional protection and care</w:t>
      </w:r>
      <w:bookmarkEnd w:id="360"/>
      <w:bookmarkEnd w:id="361"/>
      <w:bookmarkEnd w:id="362"/>
      <w:bookmarkEnd w:id="363"/>
      <w:bookmarkEnd w:id="364"/>
      <w:bookmarkEnd w:id="365"/>
      <w:bookmarkEnd w:id="366"/>
      <w:bookmarkEnd w:id="367"/>
      <w:bookmarkEnd w:id="368"/>
      <w:bookmarkEnd w:id="369"/>
    </w:p>
    <w:p>
      <w:pPr>
        <w:pStyle w:val="Heading5"/>
      </w:pPr>
      <w:bookmarkStart w:id="370" w:name="_Hlt521833638"/>
      <w:bookmarkStart w:id="371" w:name="_Toc85881248"/>
      <w:bookmarkStart w:id="372" w:name="_Toc128368652"/>
      <w:bookmarkStart w:id="373" w:name="_Toc140893318"/>
      <w:bookmarkStart w:id="374" w:name="_Toc140393850"/>
      <w:bookmarkEnd w:id="370"/>
      <w:r>
        <w:rPr>
          <w:rStyle w:val="CharSectno"/>
        </w:rPr>
        <w:t>35</w:t>
      </w:r>
      <w:r>
        <w:t>.</w:t>
      </w:r>
      <w:r>
        <w:tab/>
        <w:t>Warrant (provisional protection and care)</w:t>
      </w:r>
      <w:bookmarkEnd w:id="371"/>
      <w:bookmarkEnd w:id="372"/>
      <w:bookmarkEnd w:id="373"/>
      <w:bookmarkEnd w:id="374"/>
    </w:p>
    <w:p>
      <w:pPr>
        <w:pStyle w:val="Subsection"/>
      </w:pPr>
      <w:r>
        <w:tab/>
      </w:r>
      <w:bookmarkStart w:id="375" w:name="_Hlt521833438"/>
      <w:bookmarkEnd w:id="375"/>
      <w:r>
        <w:t>(1)</w:t>
      </w:r>
      <w:r>
        <w:tab/>
        <w:t xml:space="preserve">An authorised officer who believes that a child is in need of protection may apply to a magistrate for a warrant (provisional protection and care) if the officer — </w:t>
      </w:r>
    </w:p>
    <w:p>
      <w:pPr>
        <w:pStyle w:val="Indenta"/>
      </w:pPr>
      <w:r>
        <w:tab/>
        <w:t>(a)</w:t>
      </w:r>
      <w:r>
        <w:tab/>
        <w:t>is unable to find the child;</w:t>
      </w:r>
    </w:p>
    <w:p>
      <w:pPr>
        <w:pStyle w:val="Indenta"/>
      </w:pPr>
      <w:r>
        <w:tab/>
        <w:t>(b)</w:t>
      </w:r>
      <w:r>
        <w:tab/>
        <w:t>believes that leaving the child at the place where the child is living poses an unacceptable risk to the child’s wellbeing; or</w:t>
      </w:r>
    </w:p>
    <w:p>
      <w:pPr>
        <w:pStyle w:val="Indenta"/>
      </w:pPr>
      <w:bookmarkStart w:id="376" w:name="_Hlt521833622"/>
      <w:bookmarkEnd w:id="376"/>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w:t>
      </w:r>
      <w:bookmarkStart w:id="377" w:name="_Hlt511453525"/>
      <w:r>
        <w:t>120</w:t>
      </w:r>
      <w:bookmarkEnd w:id="377"/>
      <w:r>
        <w:t>.</w:t>
      </w:r>
    </w:p>
    <w:p>
      <w:pPr>
        <w:pStyle w:val="Subsection"/>
      </w:pPr>
      <w:r>
        <w:tab/>
      </w:r>
      <w:bookmarkStart w:id="378" w:name="_Hlt39889503"/>
      <w:bookmarkEnd w:id="378"/>
      <w:r>
        <w:t>(3)</w:t>
      </w:r>
      <w:r>
        <w:tab/>
        <w:t xml:space="preserve">On an application under subsection (1) a magistrate may issue a warrant (provisional protection and care) if the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ind w:left="1418" w:hanging="1418"/>
      </w:pPr>
      <w:r>
        <w:tab/>
        <w:t>Note:</w:t>
      </w:r>
      <w:r>
        <w:tab/>
        <w:t>Section </w:t>
      </w:r>
      <w:bookmarkStart w:id="379" w:name="_Hlt39982277"/>
      <w:r>
        <w:t>123</w:t>
      </w:r>
      <w:bookmarkEnd w:id="379"/>
      <w:r>
        <w:t xml:space="preserve"> contains provisions about the effect of a warrant (provisional protection and care).</w:t>
      </w:r>
    </w:p>
    <w:p>
      <w:pPr>
        <w:pStyle w:val="Heading5"/>
      </w:pPr>
      <w:bookmarkStart w:id="380" w:name="_Toc85881249"/>
      <w:bookmarkStart w:id="381" w:name="_Toc128368653"/>
      <w:bookmarkStart w:id="382" w:name="_Toc140893319"/>
      <w:bookmarkStart w:id="383" w:name="_Toc140393851"/>
      <w:r>
        <w:rPr>
          <w:rStyle w:val="CharSectno"/>
        </w:rPr>
        <w:t>36</w:t>
      </w:r>
      <w:r>
        <w:t>.</w:t>
      </w:r>
      <w:r>
        <w:tab/>
        <w:t>Action after child taken into provisional protection and care under warrant</w:t>
      </w:r>
      <w:bookmarkEnd w:id="380"/>
      <w:bookmarkEnd w:id="381"/>
      <w:bookmarkEnd w:id="382"/>
      <w:bookmarkEnd w:id="383"/>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384" w:name="_Hlt39890906"/>
      <w:bookmarkStart w:id="385" w:name="_Toc85881250"/>
      <w:bookmarkStart w:id="386" w:name="_Toc128368654"/>
      <w:bookmarkStart w:id="387" w:name="_Toc140893320"/>
      <w:bookmarkStart w:id="388" w:name="_Toc140393852"/>
      <w:bookmarkEnd w:id="384"/>
      <w:r>
        <w:rPr>
          <w:rStyle w:val="CharSectno"/>
        </w:rPr>
        <w:t>37</w:t>
      </w:r>
      <w:r>
        <w:t>.</w:t>
      </w:r>
      <w:r>
        <w:tab/>
        <w:t>Provisional protection and care without warrant if child at immediate and substantial risk</w:t>
      </w:r>
      <w:bookmarkEnd w:id="385"/>
      <w:bookmarkEnd w:id="386"/>
      <w:bookmarkEnd w:id="387"/>
      <w:bookmarkEnd w:id="388"/>
    </w:p>
    <w:p>
      <w:pPr>
        <w:pStyle w:val="Subsection"/>
      </w:pPr>
      <w:r>
        <w:tab/>
        <w:t>(1)</w:t>
      </w:r>
      <w:r>
        <w:tab/>
        <w:t xml:space="preserve">In this section — </w:t>
      </w:r>
    </w:p>
    <w:p>
      <w:pPr>
        <w:pStyle w:val="Defstart"/>
      </w:pPr>
      <w:r>
        <w:tab/>
      </w:r>
      <w:r>
        <w:rPr>
          <w:b/>
        </w:rPr>
        <w:t>“</w:t>
      </w:r>
      <w:r>
        <w:rPr>
          <w:rStyle w:val="CharDefText"/>
        </w:rPr>
        <w:t>officer</w:t>
      </w:r>
      <w:r>
        <w:rPr>
          <w:b/>
        </w:rPr>
        <w:t>”</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pPr>
      <w:r>
        <w:tab/>
        <w:t>(6)</w:t>
      </w:r>
      <w:r>
        <w:tab/>
        <w:t>When exercising a power in this section an officer may use reasonable force and assistance.</w:t>
      </w:r>
    </w:p>
    <w:p>
      <w:pPr>
        <w:pStyle w:val="Heading5"/>
      </w:pPr>
      <w:bookmarkStart w:id="389" w:name="_Toc85881251"/>
      <w:bookmarkStart w:id="390" w:name="_Toc128368655"/>
      <w:bookmarkStart w:id="391" w:name="_Toc140893321"/>
      <w:bookmarkStart w:id="392" w:name="_Toc140393853"/>
      <w:r>
        <w:rPr>
          <w:rStyle w:val="CharSectno"/>
        </w:rPr>
        <w:t>38</w:t>
      </w:r>
      <w:r>
        <w:t>.</w:t>
      </w:r>
      <w:r>
        <w:tab/>
        <w:t>Action after child taken into provisional protection and care without warrant</w:t>
      </w:r>
      <w:bookmarkEnd w:id="389"/>
      <w:bookmarkEnd w:id="390"/>
      <w:bookmarkEnd w:id="391"/>
      <w:bookmarkEnd w:id="392"/>
    </w:p>
    <w:p>
      <w:pPr>
        <w:pStyle w:val="Subsection"/>
      </w:pPr>
      <w:r>
        <w:tab/>
        <w:t>(1)</w:t>
      </w:r>
      <w:r>
        <w:tab/>
        <w:t>This section applies in relation to a child who is taken into provisional protection and care under section </w:t>
      </w:r>
      <w:bookmarkStart w:id="393" w:name="_Hlt39891781"/>
      <w:r>
        <w:t>37</w:t>
      </w:r>
      <w:bookmarkEnd w:id="393"/>
      <w:r>
        <w:t>.</w:t>
      </w:r>
    </w:p>
    <w:p>
      <w:pPr>
        <w:pStyle w:val="Subsection"/>
      </w:pPr>
      <w:r>
        <w:tab/>
      </w:r>
      <w:bookmarkStart w:id="394" w:name="_Hlt39890611"/>
      <w:bookmarkEnd w:id="394"/>
      <w:r>
        <w:t>(2)</w:t>
      </w:r>
      <w:r>
        <w:tab/>
        <w:t xml:space="preserve">If the CEO decides not to make a protection application or other application under this Part in respect of the child, then, subject to subsection (3), the CEO must ensure that, as soon as practicable after the child is taken into provisional protection and care, the child is returned to or placed in the care of — </w:t>
      </w:r>
    </w:p>
    <w:p>
      <w:pPr>
        <w:pStyle w:val="Indenta"/>
      </w:pPr>
      <w:r>
        <w:tab/>
        <w:t>(a)</w:t>
      </w:r>
      <w:r>
        <w:tab/>
        <w:t>a parent of the child;</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If the child was in the CEO’s care immediately before being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Heading5"/>
      </w:pPr>
      <w:bookmarkStart w:id="395" w:name="_Hlt39899014"/>
      <w:bookmarkStart w:id="396" w:name="_Toc85881252"/>
      <w:bookmarkStart w:id="397" w:name="_Toc128368656"/>
      <w:bookmarkStart w:id="398" w:name="_Toc140893322"/>
      <w:bookmarkStart w:id="399" w:name="_Toc140393854"/>
      <w:bookmarkEnd w:id="395"/>
      <w:r>
        <w:rPr>
          <w:rStyle w:val="CharSectno"/>
        </w:rPr>
        <w:t>39</w:t>
      </w:r>
      <w:r>
        <w:t>.</w:t>
      </w:r>
      <w:r>
        <w:tab/>
        <w:t>Provisional care plan</w:t>
      </w:r>
      <w:bookmarkEnd w:id="396"/>
      <w:bookmarkEnd w:id="397"/>
      <w:bookmarkEnd w:id="398"/>
      <w:bookmarkEnd w:id="399"/>
    </w:p>
    <w:p>
      <w:pPr>
        <w:pStyle w:val="Subsection"/>
        <w:keepNext/>
      </w:pPr>
      <w:r>
        <w:tab/>
      </w:r>
      <w:bookmarkStart w:id="400" w:name="_Hlt39890124"/>
      <w:bookmarkEnd w:id="400"/>
      <w:r>
        <w:t>(1)</w:t>
      </w:r>
      <w:r>
        <w:tab/>
        <w:t xml:space="preserve">In this section — </w:t>
      </w:r>
    </w:p>
    <w:p>
      <w:pPr>
        <w:pStyle w:val="Defstart"/>
        <w:keepNext/>
      </w:pPr>
      <w:r>
        <w:rPr>
          <w:b/>
        </w:rPr>
        <w:tab/>
        <w:t>“</w:t>
      </w:r>
      <w:r>
        <w:rPr>
          <w:rStyle w:val="CharDefText"/>
        </w:rPr>
        <w:t>provisional care plan</w:t>
      </w:r>
      <w:r>
        <w:rPr>
          <w:b/>
        </w:rPr>
        <w:t>”</w:t>
      </w:r>
      <w:r>
        <w:t xml:space="preserve"> means a written plan that — </w:t>
      </w:r>
    </w:p>
    <w:p>
      <w:pPr>
        <w:pStyle w:val="Defpara"/>
      </w:pPr>
      <w:r>
        <w:tab/>
        <w:t>(a)</w:t>
      </w:r>
      <w:r>
        <w:tab/>
        <w:t>identifies the needs of the child while the child is in provisional protection and care;</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 xml:space="preserve">If — </w:t>
      </w:r>
    </w:p>
    <w:p>
      <w:pPr>
        <w:pStyle w:val="Indenta"/>
      </w:pPr>
      <w:r>
        <w:tab/>
        <w:t>(a)</w:t>
      </w:r>
      <w:r>
        <w:tab/>
        <w:t>a child is taken into provisional protection and care under this Division; and</w:t>
      </w:r>
    </w:p>
    <w:p>
      <w:pPr>
        <w:pStyle w:val="Indenta"/>
      </w:pPr>
      <w:r>
        <w:tab/>
        <w:t>(b)</w:t>
      </w:r>
      <w:r>
        <w:tab/>
        <w:t>the CEO decides, or is required, to make a protection application in respect of the child,</w:t>
      </w:r>
    </w:p>
    <w:p>
      <w:pPr>
        <w:pStyle w:val="Subsection"/>
      </w:pPr>
      <w:r>
        <w:tab/>
      </w:r>
      <w:r>
        <w:tab/>
        <w:t>the CEO must prepare and implement a provisional care plan for the child within 7 working days after the child is taken into provisional protection and care.</w:t>
      </w:r>
    </w:p>
    <w:p>
      <w:pPr>
        <w:pStyle w:val="Subsection"/>
      </w:pPr>
      <w:r>
        <w:tab/>
        <w:t>(3)</w:t>
      </w:r>
      <w:r>
        <w:tab/>
        <w:t>The CEO may modify a provisional care plan at any time if the CEO considers that it is appropriate to do so.</w:t>
      </w:r>
    </w:p>
    <w:p>
      <w:pPr>
        <w:pStyle w:val="Subsection"/>
      </w:pPr>
      <w:r>
        <w:tab/>
        <w:t>(4)</w:t>
      </w:r>
      <w:r>
        <w:tab/>
        <w:t xml:space="preserve">As soon as practicable after the CEO prepares or modifies a provisional care plan, the CEO must ensure that a copy of the care plan or modification, as the case requires, is given to —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4"/>
      </w:pPr>
      <w:bookmarkStart w:id="401" w:name="_Toc128300783"/>
      <w:bookmarkStart w:id="402" w:name="_Toc128302811"/>
      <w:bookmarkStart w:id="403" w:name="_Toc128366743"/>
      <w:bookmarkStart w:id="404" w:name="_Toc128368657"/>
      <w:bookmarkStart w:id="405" w:name="_Toc128369037"/>
      <w:bookmarkStart w:id="406" w:name="_Toc128969374"/>
      <w:bookmarkStart w:id="407" w:name="_Toc132620285"/>
      <w:bookmarkStart w:id="408" w:name="_Toc140377913"/>
      <w:bookmarkStart w:id="409" w:name="_Toc140393855"/>
      <w:bookmarkStart w:id="410" w:name="_Toc140893323"/>
      <w:r>
        <w:t>Subdivision 4 — Other powers</w:t>
      </w:r>
      <w:bookmarkEnd w:id="401"/>
      <w:bookmarkEnd w:id="402"/>
      <w:bookmarkEnd w:id="403"/>
      <w:bookmarkEnd w:id="404"/>
      <w:bookmarkEnd w:id="405"/>
      <w:bookmarkEnd w:id="406"/>
      <w:bookmarkEnd w:id="407"/>
      <w:bookmarkEnd w:id="408"/>
      <w:bookmarkEnd w:id="409"/>
      <w:bookmarkEnd w:id="410"/>
    </w:p>
    <w:p>
      <w:pPr>
        <w:pStyle w:val="Heading5"/>
      </w:pPr>
      <w:bookmarkStart w:id="411" w:name="_Toc85881253"/>
      <w:bookmarkStart w:id="412" w:name="_Toc128368658"/>
      <w:bookmarkStart w:id="413" w:name="_Toc140893324"/>
      <w:bookmarkStart w:id="414" w:name="_Toc140393856"/>
      <w:r>
        <w:rPr>
          <w:rStyle w:val="CharSectno"/>
        </w:rPr>
        <w:t>40</w:t>
      </w:r>
      <w:r>
        <w:t>.</w:t>
      </w:r>
      <w:r>
        <w:tab/>
        <w:t>Power to keep child under 6 years of age in hospital</w:t>
      </w:r>
      <w:bookmarkEnd w:id="411"/>
      <w:bookmarkEnd w:id="412"/>
      <w:bookmarkEnd w:id="413"/>
      <w:bookmarkEnd w:id="414"/>
    </w:p>
    <w:p>
      <w:pPr>
        <w:pStyle w:val="Subsection"/>
      </w:pPr>
      <w:r>
        <w:tab/>
        <w:t>(1)</w:t>
      </w:r>
      <w:r>
        <w:tab/>
        <w:t>In this section —</w:t>
      </w:r>
    </w:p>
    <w:p>
      <w:pPr>
        <w:pStyle w:val="Defstart"/>
      </w:pPr>
      <w:r>
        <w:tab/>
      </w:r>
      <w:r>
        <w:rPr>
          <w:b/>
        </w:rPr>
        <w:t>“</w:t>
      </w:r>
      <w:r>
        <w:rPr>
          <w:rStyle w:val="CharDefText"/>
        </w:rPr>
        <w:t>officer in charge</w:t>
      </w:r>
      <w:r>
        <w:rPr>
          <w:b/>
        </w:rPr>
        <w:t>”</w:t>
      </w:r>
      <w:r>
        <w:t>, in relation to a hospital, means the person for the time being in charge of the hospital.</w:t>
      </w:r>
    </w:p>
    <w:p>
      <w:pPr>
        <w:pStyle w:val="Subsection"/>
      </w:pPr>
      <w:r>
        <w:tab/>
      </w:r>
      <w:bookmarkStart w:id="415" w:name="_Hlt55636756"/>
      <w:bookmarkEnd w:id="415"/>
      <w:r>
        <w:t>(2)</w:t>
      </w:r>
      <w:r>
        <w:tab/>
        <w:t>If —</w:t>
      </w:r>
    </w:p>
    <w:p>
      <w:pPr>
        <w:pStyle w:val="Indenta"/>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416" w:name="_Hlt39908235"/>
      <w:bookmarkEnd w:id="416"/>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417" w:name="_Hlt55637724"/>
      <w:bookmarkEnd w:id="417"/>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pPr>
      <w:r>
        <w:tab/>
        <w:t>Penalty: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Heading5"/>
      </w:pPr>
      <w:bookmarkStart w:id="418" w:name="_Hlt57801696"/>
      <w:bookmarkStart w:id="419" w:name="_Toc85881254"/>
      <w:bookmarkStart w:id="420" w:name="_Toc128368659"/>
      <w:bookmarkStart w:id="421" w:name="_Toc140893325"/>
      <w:bookmarkStart w:id="422" w:name="_Toc140393857"/>
      <w:bookmarkEnd w:id="418"/>
      <w:r>
        <w:rPr>
          <w:rStyle w:val="CharSectno"/>
        </w:rPr>
        <w:t>41</w:t>
      </w:r>
      <w:r>
        <w:t>.</w:t>
      </w:r>
      <w:r>
        <w:tab/>
        <w:t>Power to move child to safe place</w:t>
      </w:r>
      <w:bookmarkEnd w:id="419"/>
      <w:bookmarkEnd w:id="420"/>
      <w:bookmarkEnd w:id="421"/>
      <w:bookmarkEnd w:id="422"/>
    </w:p>
    <w:p>
      <w:pPr>
        <w:pStyle w:val="Subsection"/>
      </w:pPr>
      <w:r>
        <w:tab/>
        <w:t>(1)</w:t>
      </w:r>
      <w:r>
        <w:tab/>
        <w:t xml:space="preserve">In this section — </w:t>
      </w:r>
    </w:p>
    <w:p>
      <w:pPr>
        <w:pStyle w:val="Defstart"/>
      </w:pPr>
      <w:r>
        <w:rPr>
          <w:b/>
        </w:rPr>
        <w:tab/>
        <w:t>“</w:t>
      </w:r>
      <w:r>
        <w:rPr>
          <w:rStyle w:val="CharDefText"/>
        </w:rPr>
        <w:t>officer</w:t>
      </w:r>
      <w:r>
        <w:rPr>
          <w:b/>
        </w:rPr>
        <w:t>”</w:t>
      </w:r>
      <w:r>
        <w:t xml:space="preserve"> means an authorised officer or a police officer;</w:t>
      </w:r>
    </w:p>
    <w:p>
      <w:pPr>
        <w:pStyle w:val="Defstart"/>
      </w:pPr>
      <w:r>
        <w:rPr>
          <w:b/>
        </w:rPr>
        <w:tab/>
        <w:t>“</w:t>
      </w:r>
      <w:r>
        <w:rPr>
          <w:rStyle w:val="CharDefText"/>
        </w:rPr>
        <w:t>responsible person</w:t>
      </w:r>
      <w:r>
        <w:rPr>
          <w:b/>
        </w:rPr>
        <w:t>”</w:t>
      </w:r>
      <w:r>
        <w:t xml:space="preserve">, in relation to a child, means — </w:t>
      </w:r>
    </w:p>
    <w:p>
      <w:pPr>
        <w:pStyle w:val="Defpara"/>
      </w:pPr>
      <w:r>
        <w:tab/>
        <w:t>(a)</w:t>
      </w:r>
      <w:r>
        <w:tab/>
        <w:t>a parent of the child;</w:t>
      </w:r>
    </w:p>
    <w:p>
      <w:pPr>
        <w:pStyle w:val="Defpara"/>
      </w:pPr>
      <w:r>
        <w:tab/>
        <w:t>(b)</w:t>
      </w:r>
      <w:r>
        <w:tab/>
        <w:t>an adult relative of the child; or</w:t>
      </w:r>
    </w:p>
    <w:p>
      <w:pPr>
        <w:pStyle w:val="Defpara"/>
      </w:pPr>
      <w:r>
        <w:tab/>
        <w:t>(c)</w:t>
      </w:r>
      <w:r>
        <w:tab/>
        <w:t>an adult with whom the child usually lives.</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A lock</w:t>
      </w:r>
      <w:r>
        <w:noBreakHyphen/>
        <w:t>up (including a place that is prescribed as a lock</w:t>
      </w:r>
      <w:r>
        <w:noBreakHyphen/>
        <w:t xml:space="preserve">up for the purposes of the </w:t>
      </w:r>
      <w:r>
        <w:rPr>
          <w:i/>
        </w:rPr>
        <w:t>Court Security and Custodial Services Act 1999</w:t>
      </w:r>
      <w:r>
        <w:t>) is not a safe place for the purposes of subsection (2).</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423" w:name="_Hlt58044175"/>
      <w:r>
        <w:t>8</w:t>
      </w:r>
      <w:bookmarkEnd w:id="423"/>
      <w:r>
        <w:t xml:space="preserve"> confers certain powers on authorised officers and police officers in relation to children moved to a safe place under this section.</w:t>
      </w:r>
    </w:p>
    <w:p>
      <w:pPr>
        <w:pStyle w:val="Heading3"/>
      </w:pPr>
      <w:bookmarkStart w:id="424" w:name="_Hlt51043979"/>
      <w:bookmarkStart w:id="425" w:name="_Toc128300786"/>
      <w:bookmarkStart w:id="426" w:name="_Toc128302814"/>
      <w:bookmarkStart w:id="427" w:name="_Toc128366746"/>
      <w:bookmarkStart w:id="428" w:name="_Toc128368660"/>
      <w:bookmarkStart w:id="429" w:name="_Toc128369040"/>
      <w:bookmarkStart w:id="430" w:name="_Toc128969377"/>
      <w:bookmarkStart w:id="431" w:name="_Toc132620288"/>
      <w:bookmarkStart w:id="432" w:name="_Toc140377916"/>
      <w:bookmarkStart w:id="433" w:name="_Toc140393858"/>
      <w:bookmarkStart w:id="434" w:name="_Toc140893326"/>
      <w:bookmarkEnd w:id="424"/>
      <w:r>
        <w:rPr>
          <w:rStyle w:val="CharDivNo"/>
        </w:rPr>
        <w:t xml:space="preserve">Division </w:t>
      </w:r>
      <w:bookmarkStart w:id="435" w:name="_Hlt51044062"/>
      <w:bookmarkEnd w:id="435"/>
      <w:r>
        <w:rPr>
          <w:rStyle w:val="CharDivNo"/>
        </w:rPr>
        <w:t>3</w:t>
      </w:r>
      <w:r>
        <w:t xml:space="preserve"> — </w:t>
      </w:r>
      <w:r>
        <w:rPr>
          <w:rStyle w:val="CharDivText"/>
        </w:rPr>
        <w:t>Protection orders</w:t>
      </w:r>
      <w:bookmarkEnd w:id="425"/>
      <w:bookmarkEnd w:id="426"/>
      <w:bookmarkEnd w:id="427"/>
      <w:bookmarkEnd w:id="428"/>
      <w:bookmarkEnd w:id="429"/>
      <w:bookmarkEnd w:id="430"/>
      <w:bookmarkEnd w:id="431"/>
      <w:bookmarkEnd w:id="432"/>
      <w:bookmarkEnd w:id="433"/>
      <w:bookmarkEnd w:id="434"/>
    </w:p>
    <w:p>
      <w:pPr>
        <w:pStyle w:val="Heading4"/>
      </w:pPr>
      <w:bookmarkStart w:id="436" w:name="_Toc128300787"/>
      <w:bookmarkStart w:id="437" w:name="_Toc128302815"/>
      <w:bookmarkStart w:id="438" w:name="_Toc128366747"/>
      <w:bookmarkStart w:id="439" w:name="_Toc128368661"/>
      <w:bookmarkStart w:id="440" w:name="_Toc128369041"/>
      <w:bookmarkStart w:id="441" w:name="_Toc128969378"/>
      <w:bookmarkStart w:id="442" w:name="_Toc132620289"/>
      <w:bookmarkStart w:id="443" w:name="_Toc140377917"/>
      <w:bookmarkStart w:id="444" w:name="_Toc140393859"/>
      <w:bookmarkStart w:id="445" w:name="_Toc140893327"/>
      <w:r>
        <w:t>Subdivision 1 — Introductory matters</w:t>
      </w:r>
      <w:bookmarkEnd w:id="436"/>
      <w:bookmarkEnd w:id="437"/>
      <w:bookmarkEnd w:id="438"/>
      <w:bookmarkEnd w:id="439"/>
      <w:bookmarkEnd w:id="440"/>
      <w:bookmarkEnd w:id="441"/>
      <w:bookmarkEnd w:id="442"/>
      <w:bookmarkEnd w:id="443"/>
      <w:bookmarkEnd w:id="444"/>
      <w:bookmarkEnd w:id="445"/>
    </w:p>
    <w:p>
      <w:pPr>
        <w:pStyle w:val="Heading5"/>
      </w:pPr>
      <w:bookmarkStart w:id="446" w:name="_Toc438114734"/>
      <w:bookmarkStart w:id="447" w:name="_Toc85881255"/>
      <w:bookmarkStart w:id="448" w:name="_Toc128368662"/>
      <w:bookmarkStart w:id="449" w:name="_Toc140893328"/>
      <w:bookmarkStart w:id="450" w:name="_Toc140393860"/>
      <w:r>
        <w:rPr>
          <w:rStyle w:val="CharSectno"/>
        </w:rPr>
        <w:t>42</w:t>
      </w:r>
      <w:r>
        <w:t>.</w:t>
      </w:r>
      <w:r>
        <w:tab/>
      </w:r>
      <w:bookmarkEnd w:id="446"/>
      <w:r>
        <w:t>Terms used in this Division</w:t>
      </w:r>
      <w:bookmarkEnd w:id="447"/>
      <w:bookmarkEnd w:id="448"/>
      <w:bookmarkEnd w:id="449"/>
      <w:bookmarkEnd w:id="450"/>
    </w:p>
    <w:p>
      <w:pPr>
        <w:pStyle w:val="Subsection"/>
      </w:pPr>
      <w:r>
        <w:tab/>
      </w:r>
      <w:r>
        <w:tab/>
        <w:t>In this Division —</w:t>
      </w:r>
    </w:p>
    <w:p>
      <w:pPr>
        <w:pStyle w:val="Defstart"/>
      </w:pPr>
      <w:r>
        <w:tab/>
      </w:r>
      <w:r>
        <w:rPr>
          <w:b/>
        </w:rPr>
        <w:t>“</w:t>
      </w:r>
      <w:r>
        <w:rPr>
          <w:rStyle w:val="CharDefText"/>
        </w:rPr>
        <w:t>child</w:t>
      </w:r>
      <w:r>
        <w:rPr>
          <w:b/>
        </w:rPr>
        <w:t>”</w:t>
      </w:r>
      <w:r>
        <w:t>, in relation to a protection order, means the child in respect of whom the order was made;</w:t>
      </w:r>
    </w:p>
    <w:p>
      <w:pPr>
        <w:pStyle w:val="Defstart"/>
      </w:pPr>
      <w:r>
        <w:rPr>
          <w:b/>
        </w:rPr>
        <w:tab/>
        <w:t>“</w:t>
      </w:r>
      <w:r>
        <w:rPr>
          <w:rStyle w:val="CharDefText"/>
        </w:rPr>
        <w:t>enduring parental carer</w:t>
      </w:r>
      <w:r>
        <w:rPr>
          <w:b/>
        </w:rPr>
        <w:t>”</w:t>
      </w:r>
      <w:r>
        <w:t xml:space="preserve"> means the person or persons given parental responsibility for a child under a protection order (enduring parental responsibility);</w:t>
      </w:r>
    </w:p>
    <w:p>
      <w:pPr>
        <w:pStyle w:val="Defstart"/>
      </w:pPr>
      <w:r>
        <w:tab/>
      </w:r>
      <w:r>
        <w:rPr>
          <w:b/>
        </w:rPr>
        <w:t>“</w:t>
      </w:r>
      <w:r>
        <w:rPr>
          <w:rStyle w:val="CharDefText"/>
        </w:rPr>
        <w:t>parent</w:t>
      </w:r>
      <w:r>
        <w:rPr>
          <w:b/>
        </w:rPr>
        <w: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b/>
        </w:rPr>
        <w:t>“</w:t>
      </w:r>
      <w:r>
        <w:rPr>
          <w:rStyle w:val="CharDefText"/>
        </w:rPr>
        <w:t>party to the initial proceedings</w:t>
      </w:r>
      <w:r>
        <w:rPr>
          <w:b/>
        </w:rPr>
        <w:t>”</w:t>
      </w:r>
      <w:r>
        <w:t>, in relation to a protection order, means a person who was a party to the protection proceedings in which the order was made.</w:t>
      </w:r>
    </w:p>
    <w:p>
      <w:pPr>
        <w:pStyle w:val="Heading5"/>
      </w:pPr>
      <w:bookmarkStart w:id="451" w:name="_Hlt51044291"/>
      <w:bookmarkStart w:id="452" w:name="_Toc85881256"/>
      <w:bookmarkStart w:id="453" w:name="_Toc128368663"/>
      <w:bookmarkStart w:id="454" w:name="_Toc140893329"/>
      <w:bookmarkStart w:id="455" w:name="_Toc140393861"/>
      <w:bookmarkEnd w:id="451"/>
      <w:r>
        <w:rPr>
          <w:rStyle w:val="CharSectno"/>
        </w:rPr>
        <w:t>43</w:t>
      </w:r>
      <w:r>
        <w:t>.</w:t>
      </w:r>
      <w:r>
        <w:tab/>
        <w:t>Protection order</w:t>
      </w:r>
      <w:bookmarkEnd w:id="452"/>
      <w:bookmarkEnd w:id="453"/>
      <w:bookmarkEnd w:id="454"/>
      <w:bookmarkEnd w:id="455"/>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(enduring parental responsibility).</w:t>
      </w:r>
    </w:p>
    <w:p>
      <w:pPr>
        <w:pStyle w:val="Heading4"/>
      </w:pPr>
      <w:bookmarkStart w:id="456" w:name="_Toc128300790"/>
      <w:bookmarkStart w:id="457" w:name="_Toc128302818"/>
      <w:bookmarkStart w:id="458" w:name="_Toc128366750"/>
      <w:bookmarkStart w:id="459" w:name="_Toc128368664"/>
      <w:bookmarkStart w:id="460" w:name="_Toc128369044"/>
      <w:bookmarkStart w:id="461" w:name="_Toc128969381"/>
      <w:bookmarkStart w:id="462" w:name="_Toc132620292"/>
      <w:bookmarkStart w:id="463" w:name="_Toc140377920"/>
      <w:bookmarkStart w:id="464" w:name="_Toc140393862"/>
      <w:bookmarkStart w:id="465" w:name="_Toc140893330"/>
      <w:r>
        <w:t>Subdivision 2 — Applications for, and making of, protection orders</w:t>
      </w:r>
      <w:bookmarkEnd w:id="456"/>
      <w:bookmarkEnd w:id="457"/>
      <w:bookmarkEnd w:id="458"/>
      <w:bookmarkEnd w:id="459"/>
      <w:bookmarkEnd w:id="460"/>
      <w:bookmarkEnd w:id="461"/>
      <w:bookmarkEnd w:id="462"/>
      <w:bookmarkEnd w:id="463"/>
      <w:bookmarkEnd w:id="464"/>
      <w:bookmarkEnd w:id="465"/>
    </w:p>
    <w:p>
      <w:pPr>
        <w:pStyle w:val="Heading5"/>
      </w:pPr>
      <w:bookmarkStart w:id="466" w:name="_Hlt39890882"/>
      <w:bookmarkStart w:id="467" w:name="_Toc85881257"/>
      <w:bookmarkStart w:id="468" w:name="_Toc128368665"/>
      <w:bookmarkStart w:id="469" w:name="_Toc140893331"/>
      <w:bookmarkStart w:id="470" w:name="_Toc140393863"/>
      <w:bookmarkEnd w:id="466"/>
      <w:r>
        <w:rPr>
          <w:rStyle w:val="CharSectno"/>
        </w:rPr>
        <w:t>44</w:t>
      </w:r>
      <w:r>
        <w:t>.</w:t>
      </w:r>
      <w:r>
        <w:tab/>
        <w:t>Application for protection order</w:t>
      </w:r>
      <w:bookmarkEnd w:id="467"/>
      <w:bookmarkEnd w:id="468"/>
      <w:bookmarkEnd w:id="469"/>
      <w:bookmarkEnd w:id="470"/>
    </w:p>
    <w:p>
      <w:pPr>
        <w:pStyle w:val="Subsection"/>
      </w:pPr>
      <w:r>
        <w:tab/>
      </w:r>
      <w:bookmarkStart w:id="471" w:name="_Hlt39889254"/>
      <w:bookmarkEnd w:id="471"/>
      <w:r>
        <w:t>(1)</w:t>
      </w:r>
      <w:r>
        <w:tab/>
        <w:t>A protection application can be made only by the CEO.</w:t>
      </w:r>
    </w:p>
    <w:p>
      <w:pPr>
        <w:pStyle w:val="Subsection"/>
      </w:pPr>
      <w:r>
        <w:tab/>
        <w:t>(2)</w:t>
      </w:r>
      <w:r>
        <w:tab/>
        <w:t>A protection application must —</w:t>
      </w:r>
    </w:p>
    <w:p>
      <w:pPr>
        <w:pStyle w:val="Indenta"/>
      </w:pPr>
      <w:r>
        <w:tab/>
        <w:t>(a)</w:t>
      </w:r>
      <w:r>
        <w:tab/>
        <w:t>be lodged with the Court;</w:t>
      </w:r>
    </w:p>
    <w:p>
      <w:pPr>
        <w:pStyle w:val="Indenta"/>
      </w:pPr>
      <w:r>
        <w:tab/>
        <w:t>(b)</w:t>
      </w:r>
      <w:r>
        <w:tab/>
        <w:t>specify the type of protection order sought;</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r>
      <w:bookmarkStart w:id="472" w:name="_Hlt39892219"/>
      <w:bookmarkEnd w:id="472"/>
      <w:r>
        <w:t>(3)</w:t>
      </w:r>
      <w:r>
        <w:tab/>
        <w:t>If a protection order (enduring parental responsibility) is sought a protection application must nominate the person or persons to whom parental responsibility for the child is proposed to be given.</w:t>
      </w:r>
    </w:p>
    <w:p>
      <w:pPr>
        <w:pStyle w:val="Subsection"/>
      </w:pPr>
      <w:r>
        <w:tab/>
      </w:r>
      <w:bookmarkStart w:id="473" w:name="_Hlt39889021"/>
      <w:bookmarkEnd w:id="473"/>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Heading5"/>
      </w:pPr>
      <w:bookmarkStart w:id="474" w:name="_Toc85881258"/>
      <w:bookmarkStart w:id="475" w:name="_Toc128368666"/>
      <w:bookmarkStart w:id="476" w:name="_Toc140893332"/>
      <w:bookmarkStart w:id="477" w:name="_Toc140393864"/>
      <w:r>
        <w:rPr>
          <w:rStyle w:val="CharSectno"/>
        </w:rPr>
        <w:t>45</w:t>
      </w:r>
      <w:r>
        <w:t>.</w:t>
      </w:r>
      <w:r>
        <w:tab/>
        <w:t>Court may make protection order</w:t>
      </w:r>
      <w:bookmarkEnd w:id="474"/>
      <w:bookmarkEnd w:id="475"/>
      <w:bookmarkEnd w:id="476"/>
      <w:bookmarkEnd w:id="477"/>
    </w:p>
    <w:p>
      <w:pPr>
        <w:pStyle w:val="Subsection"/>
      </w:pPr>
      <w:r>
        <w:tab/>
      </w:r>
      <w:r>
        <w:tab/>
        <w:t xml:space="preserve">If, on a protection application, the Court finds that the child is in need of protection the Court may, subject to this Part — </w:t>
      </w:r>
    </w:p>
    <w:p>
      <w:pPr>
        <w:pStyle w:val="Indenta"/>
      </w:pPr>
      <w:r>
        <w:tab/>
        <w:t>(a)</w:t>
      </w:r>
      <w:r>
        <w:tab/>
        <w:t>make the protection order sought in respect of the child; or</w:t>
      </w:r>
    </w:p>
    <w:p>
      <w:pPr>
        <w:pStyle w:val="Indenta"/>
      </w:pPr>
      <w:r>
        <w:tab/>
        <w:t>(b)</w:t>
      </w:r>
      <w:r>
        <w:tab/>
        <w:t>make another protection order in respect of the child.</w:t>
      </w:r>
    </w:p>
    <w:p>
      <w:pPr>
        <w:pStyle w:val="Heading5"/>
      </w:pPr>
      <w:bookmarkStart w:id="478" w:name="_Hlt39892003"/>
      <w:bookmarkStart w:id="479" w:name="_Toc85881259"/>
      <w:bookmarkStart w:id="480" w:name="_Toc128368667"/>
      <w:bookmarkStart w:id="481" w:name="_Toc140893333"/>
      <w:bookmarkStart w:id="482" w:name="_Toc140393865"/>
      <w:bookmarkEnd w:id="478"/>
      <w:r>
        <w:rPr>
          <w:rStyle w:val="CharSectno"/>
        </w:rPr>
        <w:t>46</w:t>
      </w:r>
      <w:r>
        <w:t>.</w:t>
      </w:r>
      <w:r>
        <w:tab/>
        <w:t>No order principle</w:t>
      </w:r>
      <w:bookmarkEnd w:id="479"/>
      <w:bookmarkEnd w:id="480"/>
      <w:bookmarkEnd w:id="481"/>
      <w:bookmarkEnd w:id="482"/>
    </w:p>
    <w:p>
      <w:pPr>
        <w:pStyle w:val="Subsection"/>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483" w:name="_Toc128300794"/>
      <w:bookmarkStart w:id="484" w:name="_Toc128302822"/>
      <w:bookmarkStart w:id="485" w:name="_Toc128366754"/>
      <w:bookmarkStart w:id="486" w:name="_Toc128368668"/>
      <w:bookmarkStart w:id="487" w:name="_Toc128369048"/>
      <w:bookmarkStart w:id="488" w:name="_Toc128969385"/>
      <w:bookmarkStart w:id="489" w:name="_Toc132620296"/>
      <w:bookmarkStart w:id="490" w:name="_Toc140377924"/>
      <w:bookmarkStart w:id="491" w:name="_Toc140393866"/>
      <w:bookmarkStart w:id="492" w:name="_Toc140893334"/>
      <w:r>
        <w:t>Subdivision 3 — Protection orders (supervision)</w:t>
      </w:r>
      <w:bookmarkEnd w:id="483"/>
      <w:bookmarkEnd w:id="484"/>
      <w:bookmarkEnd w:id="485"/>
      <w:bookmarkEnd w:id="486"/>
      <w:bookmarkEnd w:id="487"/>
      <w:bookmarkEnd w:id="488"/>
      <w:bookmarkEnd w:id="489"/>
      <w:bookmarkEnd w:id="490"/>
      <w:bookmarkEnd w:id="491"/>
      <w:bookmarkEnd w:id="492"/>
    </w:p>
    <w:p>
      <w:pPr>
        <w:pStyle w:val="Heading5"/>
      </w:pPr>
      <w:bookmarkStart w:id="493" w:name="_Hlt51044325"/>
      <w:bookmarkStart w:id="494" w:name="_Toc85881260"/>
      <w:bookmarkStart w:id="495" w:name="_Toc128368669"/>
      <w:bookmarkStart w:id="496" w:name="_Toc140893335"/>
      <w:bookmarkStart w:id="497" w:name="_Toc140393867"/>
      <w:bookmarkEnd w:id="493"/>
      <w:r>
        <w:rPr>
          <w:rStyle w:val="CharSectno"/>
        </w:rPr>
        <w:t>47</w:t>
      </w:r>
      <w:r>
        <w:t>.</w:t>
      </w:r>
      <w:r>
        <w:tab/>
        <w:t>Protection order (supervision)</w:t>
      </w:r>
      <w:bookmarkEnd w:id="494"/>
      <w:bookmarkEnd w:id="495"/>
      <w:bookmarkEnd w:id="496"/>
      <w:bookmarkEnd w:id="497"/>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pPr>
      <w:bookmarkStart w:id="498" w:name="_Toc438114737"/>
      <w:bookmarkStart w:id="499" w:name="_Toc85881261"/>
      <w:bookmarkStart w:id="500" w:name="_Toc128368670"/>
      <w:bookmarkStart w:id="501" w:name="_Toc140893336"/>
      <w:bookmarkStart w:id="502" w:name="_Toc140393868"/>
      <w:r>
        <w:rPr>
          <w:rStyle w:val="CharSectno"/>
        </w:rPr>
        <w:t>48</w:t>
      </w:r>
      <w:r>
        <w:t>.</w:t>
      </w:r>
      <w:r>
        <w:tab/>
        <w:t>Duration of protection order (supervision)</w:t>
      </w:r>
      <w:bookmarkEnd w:id="498"/>
      <w:bookmarkEnd w:id="499"/>
      <w:bookmarkEnd w:id="500"/>
      <w:bookmarkEnd w:id="501"/>
      <w:bookmarkEnd w:id="502"/>
    </w:p>
    <w:p>
      <w:pPr>
        <w:pStyle w:val="Subsection"/>
        <w:keepNext/>
        <w:keepLines/>
      </w:pPr>
      <w:r>
        <w:tab/>
      </w:r>
      <w:bookmarkStart w:id="503" w:name="_Hlt51059241"/>
      <w:bookmarkEnd w:id="503"/>
      <w:r>
        <w:t>(1)</w:t>
      </w:r>
      <w:r>
        <w:tab/>
        <w:t>A protection order (supervision) remains in force for the period specified in it unless it is extended under section </w:t>
      </w:r>
      <w:bookmarkStart w:id="504" w:name="_Hlt51059209"/>
      <w:r>
        <w:t>49</w:t>
      </w:r>
      <w:bookmarkEnd w:id="504"/>
      <w:r>
        <w:t xml:space="preserve"> or revoked</w:t>
      </w:r>
      <w:bookmarkStart w:id="505" w:name="_Hlt425870991"/>
      <w:bookmarkEnd w:id="505"/>
      <w:r>
        <w:t xml:space="preserve"> under Subdivision 7.</w:t>
      </w:r>
    </w:p>
    <w:p>
      <w:pPr>
        <w:pStyle w:val="Subsection"/>
      </w:pPr>
      <w:r>
        <w:tab/>
        <w:t>(2)</w:t>
      </w:r>
      <w:r>
        <w:tab/>
        <w:t>The period specified in the order must not exceed 2 years and must end before the child reaches 18 years of age.</w:t>
      </w:r>
    </w:p>
    <w:p>
      <w:pPr>
        <w:pStyle w:val="Heading5"/>
      </w:pPr>
      <w:bookmarkStart w:id="506" w:name="_Hlt51059213"/>
      <w:bookmarkStart w:id="507" w:name="_Toc85881262"/>
      <w:bookmarkStart w:id="508" w:name="_Toc128368671"/>
      <w:bookmarkStart w:id="509" w:name="_Toc140893337"/>
      <w:bookmarkStart w:id="510" w:name="_Toc140393869"/>
      <w:bookmarkEnd w:id="506"/>
      <w:r>
        <w:rPr>
          <w:rStyle w:val="CharSectno"/>
        </w:rPr>
        <w:t>49</w:t>
      </w:r>
      <w:r>
        <w:t>.</w:t>
      </w:r>
      <w:r>
        <w:tab/>
        <w:t>Extension of protection order (supervision)</w:t>
      </w:r>
      <w:bookmarkEnd w:id="507"/>
      <w:bookmarkEnd w:id="508"/>
      <w:bookmarkEnd w:id="509"/>
      <w:bookmarkEnd w:id="510"/>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w:t>
      </w:r>
      <w:bookmarkStart w:id="511" w:name="_Hlt51059234"/>
      <w:r>
        <w:t>48(1)</w:t>
      </w:r>
      <w:bookmarkEnd w:id="511"/>
      <w:r>
        <w:t>,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512" w:name="_Toc438114739"/>
      <w:bookmarkStart w:id="513" w:name="_Toc85881263"/>
      <w:bookmarkStart w:id="514" w:name="_Toc128368672"/>
      <w:bookmarkStart w:id="515" w:name="_Toc140893338"/>
      <w:bookmarkStart w:id="516" w:name="_Toc140393870"/>
      <w:r>
        <w:rPr>
          <w:rStyle w:val="CharSectno"/>
        </w:rPr>
        <w:t>50</w:t>
      </w:r>
      <w:r>
        <w:t>.</w:t>
      </w:r>
      <w:r>
        <w:tab/>
        <w:t>Conditions</w:t>
      </w:r>
      <w:bookmarkEnd w:id="512"/>
      <w:r>
        <w:t xml:space="preserve"> of protection order (supervision)</w:t>
      </w:r>
      <w:bookmarkEnd w:id="513"/>
      <w:bookmarkEnd w:id="514"/>
      <w:bookmarkEnd w:id="515"/>
      <w:bookmarkEnd w:id="516"/>
    </w:p>
    <w:p>
      <w:pPr>
        <w:pStyle w:val="Subsection"/>
      </w:pPr>
      <w:r>
        <w:tab/>
      </w:r>
      <w:bookmarkStart w:id="517" w:name="_Hlt51059315"/>
      <w:bookmarkEnd w:id="517"/>
      <w:r>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w:t>
      </w:r>
    </w:p>
    <w:p>
      <w:pPr>
        <w:pStyle w:val="Indenta"/>
      </w:pPr>
      <w:r>
        <w:tab/>
        <w:t>(b)</w:t>
      </w:r>
      <w:r>
        <w:tab/>
        <w:t>a parent of the child; or</w:t>
      </w:r>
    </w:p>
    <w:p>
      <w:pPr>
        <w:pStyle w:val="Indenta"/>
      </w:pPr>
      <w:r>
        <w:tab/>
        <w:t>(c)</w:t>
      </w:r>
      <w:r>
        <w:tab/>
        <w:t>an adult with whom the child is living.</w:t>
      </w:r>
    </w:p>
    <w:p>
      <w:pPr>
        <w:pStyle w:val="Subsection"/>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pPr>
      <w:bookmarkStart w:id="518" w:name="_Toc438114742"/>
      <w:bookmarkStart w:id="519" w:name="_Toc85881264"/>
      <w:bookmarkStart w:id="520" w:name="_Toc128368673"/>
      <w:bookmarkStart w:id="521" w:name="_Toc140893339"/>
      <w:bookmarkStart w:id="522" w:name="_Toc140393871"/>
      <w:r>
        <w:rPr>
          <w:rStyle w:val="CharSectno"/>
        </w:rPr>
        <w:t>51</w:t>
      </w:r>
      <w:r>
        <w:t>.</w:t>
      </w:r>
      <w:r>
        <w:tab/>
        <w:t>Variation of conditions</w:t>
      </w:r>
      <w:bookmarkEnd w:id="518"/>
      <w:r>
        <w:t xml:space="preserve"> of protection order (supervision)</w:t>
      </w:r>
      <w:bookmarkEnd w:id="519"/>
      <w:bookmarkEnd w:id="520"/>
      <w:bookmarkEnd w:id="521"/>
      <w:bookmarkEnd w:id="522"/>
    </w:p>
    <w:p>
      <w:pPr>
        <w:pStyle w:val="Subsection"/>
      </w:pPr>
      <w:r>
        <w:tab/>
        <w:t>(1)</w:t>
      </w:r>
      <w:r>
        <w:tab/>
        <w:t>In this section —</w:t>
      </w:r>
    </w:p>
    <w:p>
      <w:pPr>
        <w:pStyle w:val="Defstart"/>
      </w:pPr>
      <w:r>
        <w:tab/>
      </w:r>
      <w:r>
        <w:rPr>
          <w:b/>
        </w:rPr>
        <w:t>“</w:t>
      </w:r>
      <w:r>
        <w:rPr>
          <w:rStyle w:val="CharDefText"/>
        </w:rPr>
        <w:t>condition</w:t>
      </w:r>
      <w:r>
        <w:rPr>
          <w:b/>
        </w:rPr>
        <w:t>”</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523" w:name="_Toc85881265"/>
      <w:bookmarkStart w:id="524" w:name="_Toc128368674"/>
      <w:bookmarkStart w:id="525" w:name="_Toc140893340"/>
      <w:bookmarkStart w:id="526" w:name="_Toc140393872"/>
      <w:r>
        <w:rPr>
          <w:rStyle w:val="CharSectno"/>
        </w:rPr>
        <w:t>52</w:t>
      </w:r>
      <w:r>
        <w:t>.</w:t>
      </w:r>
      <w:r>
        <w:tab/>
        <w:t>Authorised officer entitled to have access to child</w:t>
      </w:r>
      <w:bookmarkEnd w:id="523"/>
      <w:bookmarkEnd w:id="524"/>
      <w:bookmarkEnd w:id="525"/>
      <w:bookmarkEnd w:id="526"/>
    </w:p>
    <w:p>
      <w:pPr>
        <w:pStyle w:val="Subsection"/>
      </w:pPr>
      <w:r>
        <w:tab/>
        <w:t>(1)</w:t>
      </w:r>
      <w:r>
        <w:tab/>
        <w:t>While a protection order (supervision) is in force in respect of a child, an authorised officer may have access to the child at any reasonable time.</w:t>
      </w:r>
    </w:p>
    <w:p>
      <w:pPr>
        <w:pStyle w:val="Subsection"/>
      </w:pPr>
      <w:r>
        <w:tab/>
        <w:t>(2)</w:t>
      </w:r>
      <w:r>
        <w:tab/>
        <w:t xml:space="preserve">An authorised officer may apply to a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527" w:name="_Hlt39889456"/>
      <w:bookmarkEnd w:id="527"/>
      <w:r>
        <w:t>(4)</w:t>
      </w:r>
      <w:r>
        <w:tab/>
        <w:t>On an application under subsection (2) a magistrate may issue a warrant (access) if the magistrate is satisfied as to a matter referred to in subsection (2)(a) or (b).</w:t>
      </w:r>
    </w:p>
    <w:p>
      <w:pPr>
        <w:pStyle w:val="NotesPerm"/>
      </w:pPr>
      <w:r>
        <w:t>Note:</w:t>
      </w:r>
      <w:r>
        <w:tab/>
        <w:t>Section 121 contains provisions about the effect of a warrant (access).</w:t>
      </w:r>
    </w:p>
    <w:p>
      <w:pPr>
        <w:pStyle w:val="Heading5"/>
      </w:pPr>
      <w:bookmarkStart w:id="528" w:name="_Toc85881266"/>
      <w:bookmarkStart w:id="529" w:name="_Toc128368675"/>
      <w:bookmarkStart w:id="530" w:name="_Toc140893341"/>
      <w:bookmarkStart w:id="531" w:name="_Toc140393873"/>
      <w:r>
        <w:rPr>
          <w:rStyle w:val="CharSectno"/>
        </w:rPr>
        <w:t>53</w:t>
      </w:r>
      <w:r>
        <w:t>.</w:t>
      </w:r>
      <w:r>
        <w:tab/>
        <w:t>Provision of social services</w:t>
      </w:r>
      <w:bookmarkEnd w:id="528"/>
      <w:bookmarkEnd w:id="529"/>
      <w:bookmarkEnd w:id="530"/>
      <w:bookmarkEnd w:id="531"/>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532" w:name="_Toc128300802"/>
      <w:bookmarkStart w:id="533" w:name="_Toc128302830"/>
      <w:bookmarkStart w:id="534" w:name="_Toc128366762"/>
      <w:bookmarkStart w:id="535" w:name="_Toc128368676"/>
      <w:bookmarkStart w:id="536" w:name="_Toc128369056"/>
      <w:bookmarkStart w:id="537" w:name="_Toc128969393"/>
      <w:bookmarkStart w:id="538" w:name="_Toc132620304"/>
      <w:bookmarkStart w:id="539" w:name="_Toc140377932"/>
      <w:bookmarkStart w:id="540" w:name="_Toc140393874"/>
      <w:bookmarkStart w:id="541" w:name="_Toc140893342"/>
      <w:r>
        <w:t>Subdivision 4 — Protection orders (time</w:t>
      </w:r>
      <w:r>
        <w:noBreakHyphen/>
        <w:t>limited)</w:t>
      </w:r>
      <w:bookmarkEnd w:id="532"/>
      <w:bookmarkEnd w:id="533"/>
      <w:bookmarkEnd w:id="534"/>
      <w:bookmarkEnd w:id="535"/>
      <w:bookmarkEnd w:id="536"/>
      <w:bookmarkEnd w:id="537"/>
      <w:bookmarkEnd w:id="538"/>
      <w:bookmarkEnd w:id="539"/>
      <w:bookmarkEnd w:id="540"/>
      <w:bookmarkEnd w:id="541"/>
    </w:p>
    <w:p>
      <w:pPr>
        <w:pStyle w:val="Heading5"/>
      </w:pPr>
      <w:bookmarkStart w:id="542" w:name="_Hlt51044352"/>
      <w:bookmarkStart w:id="543" w:name="_Toc85881267"/>
      <w:bookmarkStart w:id="544" w:name="_Toc128368677"/>
      <w:bookmarkStart w:id="545" w:name="_Toc140893343"/>
      <w:bookmarkStart w:id="546" w:name="_Toc140393875"/>
      <w:bookmarkEnd w:id="542"/>
      <w:r>
        <w:rPr>
          <w:rStyle w:val="CharSectno"/>
        </w:rPr>
        <w:t>54</w:t>
      </w:r>
      <w:r>
        <w:t>.</w:t>
      </w:r>
      <w:r>
        <w:tab/>
        <w:t>Protection order (time</w:t>
      </w:r>
      <w:r>
        <w:noBreakHyphen/>
        <w:t>limited)</w:t>
      </w:r>
      <w:bookmarkEnd w:id="543"/>
      <w:bookmarkEnd w:id="544"/>
      <w:bookmarkEnd w:id="545"/>
      <w:bookmarkEnd w:id="546"/>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547" w:name="_Toc85881268"/>
      <w:bookmarkStart w:id="548" w:name="_Toc128368678"/>
      <w:bookmarkStart w:id="549" w:name="_Toc140893344"/>
      <w:bookmarkStart w:id="550" w:name="_Toc140393876"/>
      <w:r>
        <w:rPr>
          <w:rStyle w:val="CharSectno"/>
        </w:rPr>
        <w:t>55</w:t>
      </w:r>
      <w:r>
        <w:t>.</w:t>
      </w:r>
      <w:r>
        <w:tab/>
        <w:t>Duration of protection order (time</w:t>
      </w:r>
      <w:r>
        <w:noBreakHyphen/>
        <w:t>limited)</w:t>
      </w:r>
      <w:bookmarkEnd w:id="547"/>
      <w:bookmarkEnd w:id="548"/>
      <w:bookmarkEnd w:id="549"/>
      <w:bookmarkEnd w:id="550"/>
    </w:p>
    <w:p>
      <w:pPr>
        <w:pStyle w:val="Subsection"/>
      </w:pPr>
      <w:r>
        <w:tab/>
        <w:t>(1)</w:t>
      </w:r>
      <w:r>
        <w:tab/>
        <w:t>A protection order (time</w:t>
      </w:r>
      <w:r>
        <w:noBreakHyphen/>
        <w:t>limited) remains in force for the period specified in the order unless it is extended or revoked under section 56 or revoked under Subdivision 7.</w:t>
      </w:r>
    </w:p>
    <w:p>
      <w:pPr>
        <w:pStyle w:val="Subsection"/>
      </w:pPr>
      <w:r>
        <w:tab/>
        <w:t>(2)</w:t>
      </w:r>
      <w:r>
        <w:tab/>
        <w:t>The period specified in the order must not exceed 2 years and must end before the child reaches 18 years of age.</w:t>
      </w:r>
    </w:p>
    <w:p>
      <w:pPr>
        <w:pStyle w:val="Heading5"/>
      </w:pPr>
      <w:bookmarkStart w:id="551" w:name="_Hlt39898735"/>
      <w:bookmarkStart w:id="552" w:name="_Toc85881269"/>
      <w:bookmarkStart w:id="553" w:name="_Toc128368679"/>
      <w:bookmarkStart w:id="554" w:name="_Toc140893345"/>
      <w:bookmarkStart w:id="555" w:name="_Toc140393877"/>
      <w:bookmarkEnd w:id="551"/>
      <w:r>
        <w:rPr>
          <w:rStyle w:val="CharSectno"/>
        </w:rPr>
        <w:t>56</w:t>
      </w:r>
      <w:r>
        <w:t>.</w:t>
      </w:r>
      <w:r>
        <w:tab/>
        <w:t>Extension of protection order (time</w:t>
      </w:r>
      <w:r>
        <w:noBreakHyphen/>
        <w:t>limited)</w:t>
      </w:r>
      <w:bookmarkEnd w:id="552"/>
      <w:bookmarkEnd w:id="553"/>
      <w:bookmarkEnd w:id="554"/>
      <w:bookmarkEnd w:id="555"/>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pPr>
      <w:r>
        <w:tab/>
        <w:t>(a)</w:t>
      </w:r>
      <w:r>
        <w:tab/>
        <w:t>extend the order for a period not exceeding 2 years that ends before the child reaches 18 years of age; or</w:t>
      </w:r>
    </w:p>
    <w:p>
      <w:pPr>
        <w:pStyle w:val="Indenta"/>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556" w:name="_Toc128300806"/>
      <w:bookmarkStart w:id="557" w:name="_Toc128302834"/>
      <w:bookmarkStart w:id="558" w:name="_Toc128366766"/>
      <w:bookmarkStart w:id="559" w:name="_Toc128368680"/>
      <w:bookmarkStart w:id="560" w:name="_Toc128369060"/>
      <w:bookmarkStart w:id="561" w:name="_Toc128969397"/>
      <w:bookmarkStart w:id="562" w:name="_Toc132620308"/>
      <w:bookmarkStart w:id="563" w:name="_Toc140377936"/>
      <w:bookmarkStart w:id="564" w:name="_Toc140393878"/>
      <w:bookmarkStart w:id="565" w:name="_Toc140893346"/>
      <w:r>
        <w:t>Subdivision 5 — Protection orders (until 18)</w:t>
      </w:r>
      <w:bookmarkEnd w:id="556"/>
      <w:bookmarkEnd w:id="557"/>
      <w:bookmarkEnd w:id="558"/>
      <w:bookmarkEnd w:id="559"/>
      <w:bookmarkEnd w:id="560"/>
      <w:bookmarkEnd w:id="561"/>
      <w:bookmarkEnd w:id="562"/>
      <w:bookmarkEnd w:id="563"/>
      <w:bookmarkEnd w:id="564"/>
      <w:bookmarkEnd w:id="565"/>
    </w:p>
    <w:p>
      <w:pPr>
        <w:pStyle w:val="Heading5"/>
      </w:pPr>
      <w:bookmarkStart w:id="566" w:name="_Hlt51044356"/>
      <w:bookmarkStart w:id="567" w:name="_Toc85881270"/>
      <w:bookmarkStart w:id="568" w:name="_Toc128368681"/>
      <w:bookmarkStart w:id="569" w:name="_Toc140893347"/>
      <w:bookmarkStart w:id="570" w:name="_Toc140393879"/>
      <w:bookmarkEnd w:id="566"/>
      <w:r>
        <w:rPr>
          <w:rStyle w:val="CharSectno"/>
        </w:rPr>
        <w:t>57</w:t>
      </w:r>
      <w:r>
        <w:t>.</w:t>
      </w:r>
      <w:r>
        <w:tab/>
        <w:t>Protection order (until 18)</w:t>
      </w:r>
      <w:bookmarkEnd w:id="567"/>
      <w:bookmarkEnd w:id="568"/>
      <w:bookmarkEnd w:id="569"/>
      <w:bookmarkEnd w:id="570"/>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571" w:name="_Hlt39892010"/>
      <w:bookmarkStart w:id="572" w:name="_Toc85881271"/>
      <w:bookmarkStart w:id="573" w:name="_Toc128368682"/>
      <w:bookmarkStart w:id="574" w:name="_Toc140893348"/>
      <w:bookmarkStart w:id="575" w:name="_Toc140393880"/>
      <w:bookmarkEnd w:id="571"/>
      <w:r>
        <w:rPr>
          <w:rStyle w:val="CharSectno"/>
        </w:rPr>
        <w:t>58</w:t>
      </w:r>
      <w:r>
        <w:t>.</w:t>
      </w:r>
      <w:r>
        <w:tab/>
        <w:t>Restriction on making protection order (until 18)</w:t>
      </w:r>
      <w:bookmarkEnd w:id="572"/>
      <w:bookmarkEnd w:id="573"/>
      <w:bookmarkEnd w:id="574"/>
      <w:bookmarkEnd w:id="575"/>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576" w:name="_Toc85881272"/>
      <w:bookmarkStart w:id="577" w:name="_Toc128368683"/>
      <w:bookmarkStart w:id="578" w:name="_Toc140893349"/>
      <w:bookmarkStart w:id="579" w:name="_Toc140393881"/>
      <w:r>
        <w:rPr>
          <w:rStyle w:val="CharSectno"/>
        </w:rPr>
        <w:t>59</w:t>
      </w:r>
      <w:r>
        <w:t>.</w:t>
      </w:r>
      <w:r>
        <w:tab/>
        <w:t>Duration of protection order (until 18)</w:t>
      </w:r>
      <w:bookmarkEnd w:id="576"/>
      <w:bookmarkEnd w:id="577"/>
      <w:bookmarkEnd w:id="578"/>
      <w:bookmarkEnd w:id="579"/>
    </w:p>
    <w:p>
      <w:pPr>
        <w:pStyle w:val="Subsection"/>
      </w:pPr>
      <w:r>
        <w:tab/>
      </w:r>
      <w:r>
        <w:tab/>
        <w:t>A protection order (until 18) remains in force until the child reaches 18 years of age unless it is revoked under Subdivision 7.</w:t>
      </w:r>
    </w:p>
    <w:p>
      <w:pPr>
        <w:pStyle w:val="Heading4"/>
        <w:keepNext w:val="0"/>
      </w:pPr>
      <w:bookmarkStart w:id="580" w:name="_Toc128300810"/>
      <w:bookmarkStart w:id="581" w:name="_Toc128302838"/>
      <w:bookmarkStart w:id="582" w:name="_Toc128366770"/>
      <w:bookmarkStart w:id="583" w:name="_Toc128368684"/>
      <w:bookmarkStart w:id="584" w:name="_Toc128369064"/>
      <w:bookmarkStart w:id="585" w:name="_Toc128969401"/>
      <w:bookmarkStart w:id="586" w:name="_Toc132620312"/>
      <w:bookmarkStart w:id="587" w:name="_Toc140377940"/>
      <w:bookmarkStart w:id="588" w:name="_Toc140393882"/>
      <w:bookmarkStart w:id="589" w:name="_Toc140893350"/>
      <w:r>
        <w:t>Subdivision 6 — Protection orders (enduring parental responsibility)</w:t>
      </w:r>
      <w:bookmarkEnd w:id="580"/>
      <w:bookmarkEnd w:id="581"/>
      <w:bookmarkEnd w:id="582"/>
      <w:bookmarkEnd w:id="583"/>
      <w:bookmarkEnd w:id="584"/>
      <w:bookmarkEnd w:id="585"/>
      <w:bookmarkEnd w:id="586"/>
      <w:bookmarkEnd w:id="587"/>
      <w:bookmarkEnd w:id="588"/>
      <w:bookmarkEnd w:id="589"/>
    </w:p>
    <w:p>
      <w:pPr>
        <w:pStyle w:val="Heading5"/>
        <w:keepNext w:val="0"/>
        <w:keepLines w:val="0"/>
      </w:pPr>
      <w:bookmarkStart w:id="590" w:name="_Hlt51044314"/>
      <w:bookmarkStart w:id="591" w:name="_Toc85881273"/>
      <w:bookmarkStart w:id="592" w:name="_Toc128368685"/>
      <w:bookmarkStart w:id="593" w:name="_Toc140893351"/>
      <w:bookmarkStart w:id="594" w:name="_Toc140393883"/>
      <w:bookmarkEnd w:id="590"/>
      <w:r>
        <w:rPr>
          <w:rStyle w:val="CharSectno"/>
        </w:rPr>
        <w:t>60</w:t>
      </w:r>
      <w:r>
        <w:t>.</w:t>
      </w:r>
      <w:r>
        <w:tab/>
        <w:t>Protection order (enduring parental responsibility)</w:t>
      </w:r>
      <w:bookmarkEnd w:id="591"/>
      <w:bookmarkEnd w:id="592"/>
      <w:bookmarkEnd w:id="593"/>
      <w:bookmarkEnd w:id="594"/>
    </w:p>
    <w:p>
      <w:pPr>
        <w:pStyle w:val="Subsection"/>
      </w:pPr>
      <w:r>
        <w:tab/>
        <w:t>(1)</w:t>
      </w:r>
      <w:r>
        <w:tab/>
        <w:t>A protection order (enduring parental responsibility) is an order giving a natural person, or 2 natural persons jointly, parental responsibility for a child until the child reaches 18 years of age.</w:t>
      </w:r>
    </w:p>
    <w:p>
      <w:pPr>
        <w:pStyle w:val="Subsection"/>
      </w:pPr>
      <w:r>
        <w:tab/>
        <w:t>(2)</w:t>
      </w:r>
      <w:r>
        <w:tab/>
        <w:t>A protection order (enduring parental responsibility) cannot give parental responsibility for a child to the CEO or a parent of the child.</w:t>
      </w:r>
    </w:p>
    <w:p>
      <w:pPr>
        <w:pStyle w:val="Subsection"/>
      </w:pPr>
      <w:r>
        <w:tab/>
        <w:t>(3)</w:t>
      </w:r>
      <w:r>
        <w:tab/>
        <w:t>While a protection order (enduring parental responsibility) is in force in respect of a child the enduring parental carer has parental responsibility for the child to the exclusion of any other person.</w:t>
      </w:r>
    </w:p>
    <w:p>
      <w:pPr>
        <w:pStyle w:val="Heading5"/>
      </w:pPr>
      <w:bookmarkStart w:id="595" w:name="_Hlt39892014"/>
      <w:bookmarkStart w:id="596" w:name="_Toc85881274"/>
      <w:bookmarkStart w:id="597" w:name="_Toc128368686"/>
      <w:bookmarkStart w:id="598" w:name="_Toc140893352"/>
      <w:bookmarkStart w:id="599" w:name="_Toc140393884"/>
      <w:bookmarkEnd w:id="595"/>
      <w:r>
        <w:rPr>
          <w:rStyle w:val="CharSectno"/>
        </w:rPr>
        <w:t>61</w:t>
      </w:r>
      <w:r>
        <w:t>.</w:t>
      </w:r>
      <w:r>
        <w:tab/>
        <w:t>Restriction on making protection order (enduring parental responsibility)</w:t>
      </w:r>
      <w:bookmarkEnd w:id="596"/>
      <w:bookmarkEnd w:id="597"/>
      <w:bookmarkEnd w:id="598"/>
      <w:bookmarkEnd w:id="599"/>
    </w:p>
    <w:p>
      <w:pPr>
        <w:pStyle w:val="Subsection"/>
      </w:pPr>
      <w:r>
        <w:tab/>
        <w:t>(1)</w:t>
      </w:r>
      <w:r>
        <w:tab/>
        <w:t>In this section —</w:t>
      </w:r>
    </w:p>
    <w:p>
      <w:pPr>
        <w:pStyle w:val="Defstart"/>
      </w:pPr>
      <w:r>
        <w:tab/>
      </w:r>
      <w:r>
        <w:rPr>
          <w:b/>
        </w:rPr>
        <w:t>“</w:t>
      </w:r>
      <w:r>
        <w:rPr>
          <w:rStyle w:val="CharDefText"/>
        </w:rPr>
        <w:t>proposed carer</w:t>
      </w:r>
      <w:r>
        <w:rPr>
          <w:b/>
        </w:rPr>
        <w:t>”</w:t>
      </w:r>
      <w:r>
        <w:t xml:space="preserve"> means — </w:t>
      </w:r>
    </w:p>
    <w:p>
      <w:pPr>
        <w:pStyle w:val="Defpara"/>
      </w:pPr>
      <w:r>
        <w:tab/>
        <w:t>(a)</w:t>
      </w:r>
      <w:r>
        <w:tab/>
        <w:t>if the protection order (enduring parental responsibility) is sought by the CEO, a person nominated under section 44(3) or 68(3); or</w:t>
      </w:r>
    </w:p>
    <w:p>
      <w:pPr>
        <w:pStyle w:val="Defpara"/>
      </w:pPr>
      <w:r>
        <w:tab/>
        <w:t>(b)</w:t>
      </w:r>
      <w:r>
        <w:tab/>
        <w:t>in any other case, a person to whom parental responsibility for the child is proposed to be given under the protection order (enduring parental responsibility).</w:t>
      </w:r>
    </w:p>
    <w:p>
      <w:pPr>
        <w:pStyle w:val="Subsection"/>
      </w:pPr>
      <w:r>
        <w:tab/>
        <w:t>(2)</w:t>
      </w:r>
      <w:r>
        <w:tab/>
        <w:t>The Court must not make a protection order (enduring parental responsibility) in respect of a child unless the Court is satisfied —</w:t>
      </w:r>
    </w:p>
    <w:p>
      <w:pPr>
        <w:pStyle w:val="Indenta"/>
      </w:pPr>
      <w:r>
        <w:tab/>
        <w:t>(a)</w:t>
      </w:r>
      <w:r>
        <w:tab/>
        <w:t>that long</w:t>
      </w:r>
      <w:r>
        <w:noBreakHyphen/>
        <w:t>term arrangements should be made for the wellbeing of the child; and</w:t>
      </w:r>
    </w:p>
    <w:p>
      <w:pPr>
        <w:pStyle w:val="Indenta"/>
      </w:pPr>
      <w:r>
        <w:tab/>
        <w:t>(b)</w:t>
      </w:r>
      <w:r>
        <w:tab/>
        <w:t>that, having regard to the report mentioned in subsection (3), the proposed carer or each proposed carer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a proposed carer for the purposes of subsection (2)(b), have regard to the Aboriginal and Torres Strait Islander child placement principle set out in section </w:t>
      </w:r>
      <w:bookmarkStart w:id="600" w:name="_Hlt39892322"/>
      <w:r>
        <w:t>12</w:t>
      </w:r>
      <w:bookmarkEnd w:id="600"/>
      <w:r>
        <w:t>.</w:t>
      </w:r>
    </w:p>
    <w:p>
      <w:pPr>
        <w:pStyle w:val="Subsection"/>
      </w:pPr>
      <w:r>
        <w:tab/>
        <w:t>(5)</w:t>
      </w:r>
      <w:r>
        <w:tab/>
        <w:t>If the child is from a culturally or linguistically diverse background, the Court must, in assessing the suitability of a proposed carer for the purposes of subsection (2)(b), have regard to any guidelines established under section 80.</w:t>
      </w:r>
    </w:p>
    <w:p>
      <w:pPr>
        <w:pStyle w:val="Heading5"/>
      </w:pPr>
      <w:bookmarkStart w:id="601" w:name="_Toc85881275"/>
      <w:bookmarkStart w:id="602" w:name="_Toc128368687"/>
      <w:bookmarkStart w:id="603" w:name="_Toc140893353"/>
      <w:bookmarkStart w:id="604" w:name="_Toc140393885"/>
      <w:r>
        <w:rPr>
          <w:rStyle w:val="CharSectno"/>
        </w:rPr>
        <w:t>62</w:t>
      </w:r>
      <w:r>
        <w:t>.</w:t>
      </w:r>
      <w:r>
        <w:tab/>
        <w:t>Duration of protection order (enduring parental responsibility)</w:t>
      </w:r>
      <w:bookmarkEnd w:id="601"/>
      <w:bookmarkEnd w:id="602"/>
      <w:bookmarkEnd w:id="603"/>
      <w:bookmarkEnd w:id="604"/>
    </w:p>
    <w:p>
      <w:pPr>
        <w:pStyle w:val="Subsection"/>
      </w:pPr>
      <w:r>
        <w:tab/>
      </w:r>
      <w:r>
        <w:tab/>
        <w:t>A protection order (enduring parental responsibility) remains in force until the child reaches 18 years of age unless it is revoked under Subdivision </w:t>
      </w:r>
      <w:bookmarkStart w:id="605" w:name="_Hlt52773243"/>
      <w:r>
        <w:t>7</w:t>
      </w:r>
      <w:bookmarkEnd w:id="605"/>
      <w:r>
        <w:t>.</w:t>
      </w:r>
    </w:p>
    <w:p>
      <w:pPr>
        <w:pStyle w:val="Heading5"/>
      </w:pPr>
      <w:bookmarkStart w:id="606" w:name="_Toc85881276"/>
      <w:bookmarkStart w:id="607" w:name="_Toc128368688"/>
      <w:bookmarkStart w:id="608" w:name="_Toc140893354"/>
      <w:bookmarkStart w:id="609" w:name="_Toc140393886"/>
      <w:r>
        <w:rPr>
          <w:rStyle w:val="CharSectno"/>
        </w:rPr>
        <w:t>63</w:t>
      </w:r>
      <w:r>
        <w:t>.</w:t>
      </w:r>
      <w:r>
        <w:tab/>
        <w:t>Conditions of protection order (enduring parental responsibility)</w:t>
      </w:r>
      <w:bookmarkEnd w:id="606"/>
      <w:bookmarkEnd w:id="607"/>
      <w:bookmarkEnd w:id="608"/>
      <w:bookmarkEnd w:id="609"/>
    </w:p>
    <w:p>
      <w:pPr>
        <w:pStyle w:val="Subsection"/>
      </w:pPr>
      <w:r>
        <w:tab/>
        <w:t>(1)</w:t>
      </w:r>
      <w:r>
        <w:tab/>
        <w:t>A protection order (enduring parental responsibility) may include conditions about contact between the child and another person.</w:t>
      </w:r>
    </w:p>
    <w:p>
      <w:pPr>
        <w:pStyle w:val="Subsection"/>
      </w:pPr>
      <w:r>
        <w:tab/>
        <w:t>(2)</w:t>
      </w:r>
      <w:r>
        <w:tab/>
        <w:t>A protection order (enduring parental responsibility) must not include any other conditions.</w:t>
      </w:r>
    </w:p>
    <w:p>
      <w:pPr>
        <w:pStyle w:val="Heading5"/>
      </w:pPr>
      <w:bookmarkStart w:id="610" w:name="_Toc85881277"/>
      <w:bookmarkStart w:id="611" w:name="_Toc128368689"/>
      <w:bookmarkStart w:id="612" w:name="_Toc140893355"/>
      <w:bookmarkStart w:id="613" w:name="_Toc140393887"/>
      <w:r>
        <w:rPr>
          <w:rStyle w:val="CharSectno"/>
        </w:rPr>
        <w:t>64</w:t>
      </w:r>
      <w:r>
        <w:t>.</w:t>
      </w:r>
      <w:r>
        <w:tab/>
        <w:t>Variation of conditions of protection order (enduring parental responsibility)</w:t>
      </w:r>
      <w:bookmarkEnd w:id="610"/>
      <w:bookmarkEnd w:id="611"/>
      <w:bookmarkEnd w:id="612"/>
      <w:bookmarkEnd w:id="613"/>
    </w:p>
    <w:p>
      <w:pPr>
        <w:pStyle w:val="Subsection"/>
      </w:pPr>
      <w:r>
        <w:tab/>
        <w:t>(1)</w:t>
      </w:r>
      <w:r>
        <w:tab/>
        <w:t>In this section —</w:t>
      </w:r>
    </w:p>
    <w:p>
      <w:pPr>
        <w:pStyle w:val="Defstart"/>
      </w:pPr>
      <w:r>
        <w:tab/>
      </w:r>
      <w:r>
        <w:rPr>
          <w:b/>
        </w:rPr>
        <w:t>“</w:t>
      </w:r>
      <w:r>
        <w:rPr>
          <w:rStyle w:val="CharDefText"/>
        </w:rPr>
        <w:t>condition</w:t>
      </w:r>
      <w:r>
        <w:rPr>
          <w:b/>
        </w:rPr>
        <w:t>”</w:t>
      </w:r>
      <w:r>
        <w:t xml:space="preserve"> means a condition referred to in section 63(1).</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614" w:name="_Toc85881278"/>
      <w:bookmarkStart w:id="615" w:name="_Toc128368690"/>
      <w:bookmarkStart w:id="616" w:name="_Toc140893356"/>
      <w:bookmarkStart w:id="617" w:name="_Toc140393888"/>
      <w:r>
        <w:rPr>
          <w:rStyle w:val="CharSectno"/>
        </w:rPr>
        <w:t>65</w:t>
      </w:r>
      <w:r>
        <w:t>.</w:t>
      </w:r>
      <w:r>
        <w:tab/>
        <w:t>Court may order payments to enduring parental carer</w:t>
      </w:r>
      <w:bookmarkEnd w:id="614"/>
      <w:bookmarkEnd w:id="615"/>
      <w:bookmarkEnd w:id="616"/>
      <w:bookmarkEnd w:id="617"/>
    </w:p>
    <w:p>
      <w:pPr>
        <w:pStyle w:val="Subsection"/>
      </w:pPr>
      <w:r>
        <w:tab/>
        <w:t>(1)</w:t>
      </w:r>
      <w:r>
        <w:tab/>
        <w:t>On the making of a protection order (enduring parental responsibility), or at any time while such an order is in force, the Court may, on the application of a party to the initial proceedings, order the CEO to</w:t>
      </w:r>
      <w:bookmarkStart w:id="618" w:name="_Hlt55707053"/>
      <w:bookmarkEnd w:id="618"/>
      <w:r>
        <w:t xml:space="preserve"> pay to the enduring parental carer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Heading5"/>
      </w:pPr>
      <w:bookmarkStart w:id="619" w:name="_Toc85881279"/>
      <w:bookmarkStart w:id="620" w:name="_Toc128368691"/>
      <w:bookmarkStart w:id="621" w:name="_Toc140893357"/>
      <w:bookmarkStart w:id="622" w:name="_Toc140393889"/>
      <w:r>
        <w:rPr>
          <w:rStyle w:val="CharSectno"/>
        </w:rPr>
        <w:t>66</w:t>
      </w:r>
      <w:r>
        <w:t>.</w:t>
      </w:r>
      <w:r>
        <w:tab/>
        <w:t>Provision of social services</w:t>
      </w:r>
      <w:bookmarkEnd w:id="619"/>
      <w:bookmarkEnd w:id="620"/>
      <w:bookmarkEnd w:id="621"/>
      <w:bookmarkEnd w:id="622"/>
    </w:p>
    <w:p>
      <w:pPr>
        <w:pStyle w:val="Subsection"/>
      </w:pPr>
      <w:r>
        <w:tab/>
      </w:r>
      <w:r>
        <w:tab/>
        <w:t>Without limiting section 21(1)(a), while a protection order (enduring parental responsibility) is in force in respect of a child the CEO may cause the child and the enduring parental carer to be provided with any social services that the CEO considers appropriate.</w:t>
      </w:r>
    </w:p>
    <w:p>
      <w:pPr>
        <w:pStyle w:val="Heading4"/>
      </w:pPr>
      <w:bookmarkStart w:id="623" w:name="_Toc128300818"/>
      <w:bookmarkStart w:id="624" w:name="_Toc128302846"/>
      <w:bookmarkStart w:id="625" w:name="_Toc128366778"/>
      <w:bookmarkStart w:id="626" w:name="_Toc128368692"/>
      <w:bookmarkStart w:id="627" w:name="_Toc128369072"/>
      <w:bookmarkStart w:id="628" w:name="_Toc128969409"/>
      <w:bookmarkStart w:id="629" w:name="_Toc132620320"/>
      <w:bookmarkStart w:id="630" w:name="_Toc140377948"/>
      <w:bookmarkStart w:id="631" w:name="_Toc140393890"/>
      <w:bookmarkStart w:id="632" w:name="_Toc140893358"/>
      <w:r>
        <w:t>Subdivision 7 — Revocation and replacement of protection orders</w:t>
      </w:r>
      <w:bookmarkEnd w:id="623"/>
      <w:bookmarkEnd w:id="624"/>
      <w:bookmarkEnd w:id="625"/>
      <w:bookmarkEnd w:id="626"/>
      <w:bookmarkEnd w:id="627"/>
      <w:bookmarkEnd w:id="628"/>
      <w:bookmarkEnd w:id="629"/>
      <w:bookmarkEnd w:id="630"/>
      <w:bookmarkEnd w:id="631"/>
      <w:bookmarkEnd w:id="632"/>
    </w:p>
    <w:p>
      <w:pPr>
        <w:pStyle w:val="Heading5"/>
      </w:pPr>
      <w:bookmarkStart w:id="633" w:name="_Hlt39898763"/>
      <w:bookmarkStart w:id="634" w:name="_Toc85881280"/>
      <w:bookmarkStart w:id="635" w:name="_Toc128368693"/>
      <w:bookmarkStart w:id="636" w:name="_Toc140893359"/>
      <w:bookmarkStart w:id="637" w:name="_Toc140393891"/>
      <w:bookmarkEnd w:id="633"/>
      <w:r>
        <w:rPr>
          <w:rStyle w:val="CharSectno"/>
        </w:rPr>
        <w:t>67</w:t>
      </w:r>
      <w:r>
        <w:t>.</w:t>
      </w:r>
      <w:r>
        <w:tab/>
        <w:t>Revocation of protection order</w:t>
      </w:r>
      <w:bookmarkEnd w:id="634"/>
      <w:bookmarkEnd w:id="635"/>
      <w:bookmarkEnd w:id="636"/>
      <w:bookmarkEnd w:id="637"/>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638" w:name="_Hlt39898741"/>
      <w:bookmarkStart w:id="639" w:name="_Toc85881281"/>
      <w:bookmarkStart w:id="640" w:name="_Toc128368694"/>
      <w:bookmarkStart w:id="641" w:name="_Toc140893360"/>
      <w:bookmarkStart w:id="642" w:name="_Toc140393892"/>
      <w:bookmarkEnd w:id="638"/>
      <w:r>
        <w:rPr>
          <w:rStyle w:val="CharSectno"/>
        </w:rPr>
        <w:t>68</w:t>
      </w:r>
      <w:r>
        <w:t>.</w:t>
      </w:r>
      <w:r>
        <w:tab/>
        <w:t>Replacement of protection order</w:t>
      </w:r>
      <w:bookmarkEnd w:id="639"/>
      <w:bookmarkEnd w:id="640"/>
      <w:bookmarkEnd w:id="641"/>
      <w:bookmarkEnd w:id="642"/>
    </w:p>
    <w:p>
      <w:pPr>
        <w:pStyle w:val="Subsection"/>
      </w:pPr>
      <w:r>
        <w:tab/>
        <w:t>(1)</w:t>
      </w:r>
      <w:r>
        <w:tab/>
        <w:t>The CEO may apply to the Court for the revocation of a protection order and the making of another protection order in respect of the child.</w:t>
      </w:r>
    </w:p>
    <w:p>
      <w:pPr>
        <w:pStyle w:val="Subsection"/>
      </w:pPr>
      <w:r>
        <w:tab/>
        <w:t>(2)</w:t>
      </w:r>
      <w:r>
        <w:tab/>
        <w:t>An application under subsection (1) must specify the type of protection order sought.</w:t>
      </w:r>
    </w:p>
    <w:p>
      <w:pPr>
        <w:pStyle w:val="Subsection"/>
      </w:pPr>
      <w:r>
        <w:tab/>
      </w:r>
      <w:bookmarkStart w:id="643" w:name="_Hlt39892236"/>
      <w:bookmarkEnd w:id="643"/>
      <w:r>
        <w:t>(3)</w:t>
      </w:r>
      <w:r>
        <w:tab/>
        <w:t>If a protection order (enduring parental responsibility) is sought an application under subsection (1) must nominate the person or persons to whom parental responsibility for the child is proposed to be given.</w:t>
      </w:r>
    </w:p>
    <w:p>
      <w:pPr>
        <w:pStyle w:val="Subsection"/>
      </w:pPr>
      <w:r>
        <w:tab/>
        <w:t>(4)</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and, subject to this Part, make the protection order sought or another protection order in respect of the child.</w:t>
      </w:r>
    </w:p>
    <w:p>
      <w:pPr>
        <w:pStyle w:val="Heading4"/>
      </w:pPr>
      <w:bookmarkStart w:id="644" w:name="_Toc128300821"/>
      <w:bookmarkStart w:id="645" w:name="_Toc128302849"/>
      <w:bookmarkStart w:id="646" w:name="_Toc128366781"/>
      <w:bookmarkStart w:id="647" w:name="_Toc128368695"/>
      <w:bookmarkStart w:id="648" w:name="_Toc128369075"/>
      <w:bookmarkStart w:id="649" w:name="_Toc128969412"/>
      <w:bookmarkStart w:id="650" w:name="_Toc132620323"/>
      <w:bookmarkStart w:id="651" w:name="_Toc140377951"/>
      <w:bookmarkStart w:id="652" w:name="_Toc140393893"/>
      <w:bookmarkStart w:id="653" w:name="_Toc140893361"/>
      <w:r>
        <w:t>Subdivision 8 — General</w:t>
      </w:r>
      <w:bookmarkEnd w:id="644"/>
      <w:bookmarkEnd w:id="645"/>
      <w:bookmarkEnd w:id="646"/>
      <w:bookmarkEnd w:id="647"/>
      <w:bookmarkEnd w:id="648"/>
      <w:bookmarkEnd w:id="649"/>
      <w:bookmarkEnd w:id="650"/>
      <w:bookmarkEnd w:id="651"/>
      <w:bookmarkEnd w:id="652"/>
      <w:bookmarkEnd w:id="653"/>
    </w:p>
    <w:p>
      <w:pPr>
        <w:pStyle w:val="Heading5"/>
      </w:pPr>
      <w:bookmarkStart w:id="654" w:name="_Toc85881282"/>
      <w:bookmarkStart w:id="655" w:name="_Toc128368696"/>
      <w:bookmarkStart w:id="656" w:name="_Toc140893362"/>
      <w:bookmarkStart w:id="657" w:name="_Toc140393894"/>
      <w:r>
        <w:rPr>
          <w:rStyle w:val="CharSectno"/>
        </w:rPr>
        <w:t>69</w:t>
      </w:r>
      <w:r>
        <w:t>.</w:t>
      </w:r>
      <w:r>
        <w:tab/>
        <w:t>Applications for extension, variation, revocation or replacement of protection orders</w:t>
      </w:r>
      <w:bookmarkEnd w:id="654"/>
      <w:bookmarkEnd w:id="655"/>
      <w:bookmarkEnd w:id="656"/>
      <w:bookmarkEnd w:id="657"/>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pPr>
      <w:r>
        <w:tab/>
        <w:t>(a)</w:t>
      </w:r>
      <w:r>
        <w:tab/>
        <w:t>be lodged with the Court; and</w:t>
      </w:r>
    </w:p>
    <w:p>
      <w:pPr>
        <w:pStyle w:val="Indenta"/>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pPr>
      <w:bookmarkStart w:id="658" w:name="_Toc85881283"/>
      <w:bookmarkStart w:id="659" w:name="_Toc128368697"/>
      <w:bookmarkStart w:id="660" w:name="_Toc140893363"/>
      <w:bookmarkStart w:id="661" w:name="_Toc140393895"/>
      <w:r>
        <w:rPr>
          <w:rStyle w:val="CharSectno"/>
        </w:rPr>
        <w:t>70</w:t>
      </w:r>
      <w:r>
        <w:t>.</w:t>
      </w:r>
      <w:r>
        <w:tab/>
        <w:t>Form of protection order</w:t>
      </w:r>
      <w:bookmarkEnd w:id="658"/>
      <w:bookmarkEnd w:id="659"/>
      <w:bookmarkEnd w:id="660"/>
      <w:bookmarkEnd w:id="661"/>
    </w:p>
    <w:p>
      <w:pPr>
        <w:pStyle w:val="Subsection"/>
        <w:keepNext/>
        <w:keepLines/>
      </w:pPr>
      <w:r>
        <w:tab/>
      </w:r>
      <w:bookmarkStart w:id="662" w:name="_Hlt532635242"/>
      <w:bookmarkEnd w:id="662"/>
      <w:r>
        <w:t>(1)</w:t>
      </w:r>
      <w:r>
        <w:tab/>
        <w:t>A protection order must be in writing and must state the child’s name and date of birth.</w:t>
      </w:r>
    </w:p>
    <w:p>
      <w:pPr>
        <w:pStyle w:val="Subsection"/>
      </w:pPr>
      <w:r>
        <w:tab/>
        <w:t>(2)</w:t>
      </w:r>
      <w:r>
        <w:tab/>
        <w:t>A protection order, if made on a protection application, must state the basis under section </w:t>
      </w:r>
      <w:bookmarkStart w:id="663" w:name="_Hlt39892518"/>
      <w:r>
        <w:t>28</w:t>
      </w:r>
      <w:bookmarkEnd w:id="663"/>
      <w:r>
        <w:t xml:space="preserve"> for finding that the child is in need of protection.</w:t>
      </w:r>
    </w:p>
    <w:p>
      <w:pPr>
        <w:pStyle w:val="Heading5"/>
      </w:pPr>
      <w:bookmarkStart w:id="664" w:name="_Toc85881284"/>
      <w:bookmarkStart w:id="665" w:name="_Toc128368698"/>
      <w:bookmarkStart w:id="666" w:name="_Toc140893364"/>
      <w:bookmarkStart w:id="667" w:name="_Toc140393896"/>
      <w:r>
        <w:rPr>
          <w:rStyle w:val="CharSectno"/>
        </w:rPr>
        <w:t>71</w:t>
      </w:r>
      <w:r>
        <w:t>.</w:t>
      </w:r>
      <w:r>
        <w:tab/>
        <w:t>Child’s date of birth</w:t>
      </w:r>
      <w:bookmarkEnd w:id="664"/>
      <w:bookmarkEnd w:id="665"/>
      <w:bookmarkEnd w:id="666"/>
      <w:bookmarkEnd w:id="667"/>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668" w:name="_Toc85881285"/>
      <w:bookmarkStart w:id="669" w:name="_Toc128368699"/>
      <w:bookmarkStart w:id="670" w:name="_Toc140893365"/>
      <w:bookmarkStart w:id="671" w:name="_Toc140393897"/>
      <w:r>
        <w:rPr>
          <w:rStyle w:val="CharSectno"/>
        </w:rPr>
        <w:t>72</w:t>
      </w:r>
      <w:r>
        <w:t>.</w:t>
      </w:r>
      <w:r>
        <w:tab/>
        <w:t>Parties to proceedings to be given copy of protection order</w:t>
      </w:r>
      <w:bookmarkEnd w:id="668"/>
      <w:bookmarkEnd w:id="669"/>
      <w:bookmarkEnd w:id="670"/>
      <w:bookmarkEnd w:id="671"/>
    </w:p>
    <w:p>
      <w:pPr>
        <w:pStyle w:val="Subsection"/>
        <w:keepLines/>
      </w:pPr>
      <w:r>
        <w:tab/>
      </w:r>
      <w:r>
        <w:tab/>
        <w:t>If the Court makes a protection order it must take all reasonable steps to ensure that each party is given a copy of the order.</w:t>
      </w:r>
    </w:p>
    <w:p>
      <w:pPr>
        <w:pStyle w:val="Heading5"/>
      </w:pPr>
      <w:bookmarkStart w:id="672" w:name="_Toc85881286"/>
      <w:bookmarkStart w:id="673" w:name="_Toc128368700"/>
      <w:bookmarkStart w:id="674" w:name="_Toc140893366"/>
      <w:bookmarkStart w:id="675" w:name="_Toc140393898"/>
      <w:r>
        <w:rPr>
          <w:rStyle w:val="CharSectno"/>
        </w:rPr>
        <w:t>73</w:t>
      </w:r>
      <w:r>
        <w:t>.</w:t>
      </w:r>
      <w:r>
        <w:tab/>
        <w:t>Maintenance of children under certain orders</w:t>
      </w:r>
      <w:bookmarkEnd w:id="672"/>
      <w:bookmarkEnd w:id="673"/>
      <w:bookmarkEnd w:id="674"/>
      <w:bookmarkEnd w:id="675"/>
    </w:p>
    <w:p>
      <w:pPr>
        <w:pStyle w:val="Subsection"/>
      </w:pPr>
      <w:r>
        <w:tab/>
        <w:t>(1)</w:t>
      </w:r>
      <w:r>
        <w:tab/>
        <w:t xml:space="preserve">In this section — </w:t>
      </w:r>
    </w:p>
    <w:p>
      <w:pPr>
        <w:pStyle w:val="Defstart"/>
      </w:pPr>
      <w:r>
        <w:rPr>
          <w:b/>
        </w:rPr>
        <w:tab/>
        <w:t>“</w:t>
      </w:r>
      <w:r>
        <w:rPr>
          <w:rStyle w:val="CharDefText"/>
        </w:rPr>
        <w:t>relevant person</w:t>
      </w:r>
      <w:r>
        <w:rPr>
          <w:b/>
        </w:rPr>
        <w:t>”</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(enduring parental responsibility), the enduring parental carer.</w:t>
      </w:r>
    </w:p>
    <w:p>
      <w:pPr>
        <w:pStyle w:val="Subsection"/>
      </w:pPr>
      <w:r>
        <w:tab/>
      </w:r>
      <w:bookmarkStart w:id="676" w:name="_Hlt39889310"/>
      <w:bookmarkEnd w:id="676"/>
      <w:r>
        <w:t>(2)</w:t>
      </w:r>
      <w:r>
        <w:tab/>
        <w:t>On the making of a protection order (time</w:t>
      </w:r>
      <w:r>
        <w:noBreakHyphen/>
        <w:t>limited), protection order (until 18) or protection order (enduring parental responsibility)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3"/>
      </w:pPr>
      <w:bookmarkStart w:id="677" w:name="_Toc128300827"/>
      <w:bookmarkStart w:id="678" w:name="_Toc128302855"/>
      <w:bookmarkStart w:id="679" w:name="_Toc128366787"/>
      <w:bookmarkStart w:id="680" w:name="_Toc128368701"/>
      <w:bookmarkStart w:id="681" w:name="_Toc128369081"/>
      <w:bookmarkStart w:id="682" w:name="_Toc128969418"/>
      <w:bookmarkStart w:id="683" w:name="_Toc132620329"/>
      <w:bookmarkStart w:id="684" w:name="_Toc140377957"/>
      <w:bookmarkStart w:id="685" w:name="_Toc140393899"/>
      <w:bookmarkStart w:id="686" w:name="_Toc140893367"/>
      <w:r>
        <w:rPr>
          <w:rStyle w:val="CharDivNo"/>
        </w:rPr>
        <w:t>Division 4</w:t>
      </w:r>
      <w:r>
        <w:t> — </w:t>
      </w:r>
      <w:r>
        <w:rPr>
          <w:rStyle w:val="CharDivText"/>
        </w:rPr>
        <w:t>Negotiated placement</w:t>
      </w:r>
      <w:bookmarkEnd w:id="677"/>
      <w:bookmarkEnd w:id="678"/>
      <w:bookmarkEnd w:id="679"/>
      <w:bookmarkEnd w:id="680"/>
      <w:bookmarkEnd w:id="681"/>
      <w:bookmarkEnd w:id="682"/>
      <w:bookmarkEnd w:id="683"/>
      <w:bookmarkEnd w:id="684"/>
      <w:bookmarkEnd w:id="685"/>
      <w:bookmarkEnd w:id="686"/>
    </w:p>
    <w:p>
      <w:pPr>
        <w:pStyle w:val="Heading5"/>
      </w:pPr>
      <w:bookmarkStart w:id="687" w:name="_Toc85881287"/>
      <w:bookmarkStart w:id="688" w:name="_Toc128368702"/>
      <w:bookmarkStart w:id="689" w:name="_Toc140893368"/>
      <w:bookmarkStart w:id="690" w:name="_Toc140393900"/>
      <w:r>
        <w:rPr>
          <w:rStyle w:val="CharSectno"/>
        </w:rPr>
        <w:t>74</w:t>
      </w:r>
      <w:r>
        <w:t>.</w:t>
      </w:r>
      <w:r>
        <w:tab/>
        <w:t>Meaning of “child”</w:t>
      </w:r>
      <w:bookmarkEnd w:id="687"/>
      <w:bookmarkEnd w:id="688"/>
      <w:bookmarkEnd w:id="689"/>
      <w:bookmarkEnd w:id="690"/>
    </w:p>
    <w:p>
      <w:pPr>
        <w:pStyle w:val="Subsection"/>
      </w:pPr>
      <w:r>
        <w:tab/>
      </w:r>
      <w:r>
        <w:tab/>
        <w:t xml:space="preserve">In this Division — </w:t>
      </w:r>
    </w:p>
    <w:p>
      <w:pPr>
        <w:pStyle w:val="Defstart"/>
      </w:pPr>
      <w:r>
        <w:tab/>
      </w:r>
      <w:r>
        <w:rPr>
          <w:b/>
        </w:rPr>
        <w:t>“</w:t>
      </w:r>
      <w:r>
        <w:rPr>
          <w:rStyle w:val="CharDefText"/>
        </w:rPr>
        <w:t>child</w:t>
      </w:r>
      <w:r>
        <w:rPr>
          <w:b/>
        </w:rPr>
        <w:t>”</w:t>
      </w:r>
      <w:r>
        <w:t>, in relation to a negotiated placement agreement, means the child in respect of whom the agreement is made.</w:t>
      </w:r>
    </w:p>
    <w:p>
      <w:pPr>
        <w:pStyle w:val="Heading5"/>
      </w:pPr>
      <w:bookmarkStart w:id="691" w:name="_Toc85881288"/>
      <w:bookmarkStart w:id="692" w:name="_Toc128368703"/>
      <w:bookmarkStart w:id="693" w:name="_Toc140893369"/>
      <w:bookmarkStart w:id="694" w:name="_Toc140393901"/>
      <w:r>
        <w:rPr>
          <w:rStyle w:val="CharSectno"/>
        </w:rPr>
        <w:t>75</w:t>
      </w:r>
      <w:r>
        <w:t>.</w:t>
      </w:r>
      <w:r>
        <w:tab/>
        <w:t>Negotiated placement agreement</w:t>
      </w:r>
      <w:bookmarkEnd w:id="691"/>
      <w:bookmarkEnd w:id="692"/>
      <w:bookmarkEnd w:id="693"/>
      <w:bookmarkEnd w:id="694"/>
    </w:p>
    <w:p>
      <w:pPr>
        <w:pStyle w:val="Subsection"/>
      </w:pPr>
      <w:r>
        <w:tab/>
      </w:r>
      <w:bookmarkStart w:id="695" w:name="_Hlt39889095"/>
      <w:bookmarkEnd w:id="695"/>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pPr>
      <w:r>
        <w:tab/>
        <w:t>(a)</w:t>
      </w:r>
      <w:r>
        <w:tab/>
        <w:t>after reasonable inquiries any other parent of the child cannot be found;</w:t>
      </w:r>
    </w:p>
    <w:p>
      <w:pPr>
        <w:pStyle w:val="Indenta"/>
      </w:pPr>
      <w:r>
        <w:tab/>
        <w:t>(b)</w:t>
      </w:r>
      <w:r>
        <w:tab/>
        <w:t>any other parent of the child has failed to respond within a reasonable time to a request that he or she enter into or extend a negotiated placement agreement;</w:t>
      </w:r>
    </w:p>
    <w:p>
      <w:pPr>
        <w:pStyle w:val="Indenta"/>
      </w:pPr>
      <w:r>
        <w:tab/>
        <w:t>(c)</w:t>
      </w:r>
      <w:r>
        <w:tab/>
        <w:t>any other parent of the child does not have ongoing contact with the child; or</w:t>
      </w:r>
    </w:p>
    <w:p>
      <w:pPr>
        <w:pStyle w:val="Indenta"/>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pPr>
      <w:r>
        <w:tab/>
        <w:t>(a)</w:t>
      </w:r>
      <w:r>
        <w:tab/>
        <w:t>in writing; and</w:t>
      </w:r>
    </w:p>
    <w:p>
      <w:pPr>
        <w:pStyle w:val="Indenta"/>
        <w:keepNext/>
      </w:pPr>
      <w:r>
        <w:tab/>
        <w:t>(b)</w:t>
      </w:r>
      <w:r>
        <w:tab/>
        <w:t>signed by —</w:t>
      </w:r>
    </w:p>
    <w:p>
      <w:pPr>
        <w:pStyle w:val="Indenti"/>
      </w:pPr>
      <w:r>
        <w:tab/>
        <w:t>(i)</w:t>
      </w:r>
      <w:r>
        <w:tab/>
        <w:t>the CEO; and</w:t>
      </w:r>
    </w:p>
    <w:p>
      <w:pPr>
        <w:pStyle w:val="Indenti"/>
      </w:pPr>
      <w:r>
        <w:tab/>
        <w:t>(ii)</w:t>
      </w:r>
      <w:r>
        <w:tab/>
        <w:t>the parents of the child or, if subsection (3) applies, the parent who is entering into or extending the agreement.</w:t>
      </w:r>
    </w:p>
    <w:p>
      <w:pPr>
        <w:pStyle w:val="Heading5"/>
      </w:pPr>
      <w:bookmarkStart w:id="696" w:name="_Toc85881289"/>
      <w:bookmarkStart w:id="697" w:name="_Toc128368704"/>
      <w:bookmarkStart w:id="698" w:name="_Toc140893370"/>
      <w:bookmarkStart w:id="699" w:name="_Toc140393902"/>
      <w:r>
        <w:rPr>
          <w:rStyle w:val="CharSectno"/>
        </w:rPr>
        <w:t>76</w:t>
      </w:r>
      <w:r>
        <w:t>.</w:t>
      </w:r>
      <w:r>
        <w:tab/>
        <w:t>Duration of negotiated placement agreement</w:t>
      </w:r>
      <w:bookmarkEnd w:id="696"/>
      <w:bookmarkEnd w:id="697"/>
      <w:bookmarkEnd w:id="698"/>
      <w:bookmarkEnd w:id="699"/>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700" w:name="_Toc85881290"/>
      <w:bookmarkStart w:id="701" w:name="_Toc128368705"/>
      <w:bookmarkStart w:id="702" w:name="_Toc140893371"/>
      <w:bookmarkStart w:id="703" w:name="_Toc140393903"/>
      <w:r>
        <w:rPr>
          <w:rStyle w:val="CharSectno"/>
        </w:rPr>
        <w:t>77</w:t>
      </w:r>
      <w:r>
        <w:t>.</w:t>
      </w:r>
      <w:r>
        <w:tab/>
        <w:t>Termination of negotiated placement agreement</w:t>
      </w:r>
      <w:bookmarkEnd w:id="700"/>
      <w:bookmarkEnd w:id="701"/>
      <w:bookmarkEnd w:id="702"/>
      <w:bookmarkEnd w:id="703"/>
    </w:p>
    <w:p>
      <w:pPr>
        <w:pStyle w:val="Subsection"/>
      </w:pPr>
      <w:r>
        <w:tab/>
      </w:r>
      <w:r>
        <w:tab/>
        <w:t xml:space="preserve">A negotiated placement agreement may be terminated at any time by — </w:t>
      </w:r>
    </w:p>
    <w:p>
      <w:pPr>
        <w:pStyle w:val="Indenta"/>
      </w:pPr>
      <w:r>
        <w:tab/>
        <w:t>(a)</w:t>
      </w:r>
      <w:r>
        <w:tab/>
        <w:t>the CEO; or</w:t>
      </w:r>
    </w:p>
    <w:p>
      <w:pPr>
        <w:pStyle w:val="Indenta"/>
      </w:pPr>
      <w:r>
        <w:tab/>
        <w:t>(b)</w:t>
      </w:r>
      <w:r>
        <w:tab/>
        <w:t>a parent of the child (whether or not the parent is a party to the agreement),</w:t>
      </w:r>
    </w:p>
    <w:p>
      <w:pPr>
        <w:pStyle w:val="Subsection"/>
      </w:pPr>
      <w:r>
        <w:tab/>
      </w:r>
      <w:r>
        <w:tab/>
        <w:t>by written notice given to the parties, or other parties, to the agreement.</w:t>
      </w:r>
    </w:p>
    <w:p>
      <w:pPr>
        <w:pStyle w:val="Heading3"/>
      </w:pPr>
      <w:bookmarkStart w:id="704" w:name="_Toc128300832"/>
      <w:bookmarkStart w:id="705" w:name="_Toc128302860"/>
      <w:bookmarkStart w:id="706" w:name="_Toc128366792"/>
      <w:bookmarkStart w:id="707" w:name="_Toc128368706"/>
      <w:bookmarkStart w:id="708" w:name="_Toc128369086"/>
      <w:bookmarkStart w:id="709" w:name="_Toc128969423"/>
      <w:bookmarkStart w:id="710" w:name="_Toc132620334"/>
      <w:bookmarkStart w:id="711" w:name="_Toc140377962"/>
      <w:bookmarkStart w:id="712" w:name="_Toc140393904"/>
      <w:bookmarkStart w:id="713" w:name="_Toc140893372"/>
      <w:r>
        <w:rPr>
          <w:rStyle w:val="CharDivNo"/>
        </w:rPr>
        <w:t>Division 5</w:t>
      </w:r>
      <w:r>
        <w:t> — </w:t>
      </w:r>
      <w:r>
        <w:rPr>
          <w:rStyle w:val="CharDivText"/>
        </w:rPr>
        <w:t>Children in the CEO’s care</w:t>
      </w:r>
      <w:bookmarkEnd w:id="704"/>
      <w:bookmarkEnd w:id="705"/>
      <w:bookmarkEnd w:id="706"/>
      <w:bookmarkEnd w:id="707"/>
      <w:bookmarkEnd w:id="708"/>
      <w:bookmarkEnd w:id="709"/>
      <w:bookmarkEnd w:id="710"/>
      <w:bookmarkEnd w:id="711"/>
      <w:bookmarkEnd w:id="712"/>
      <w:bookmarkEnd w:id="713"/>
    </w:p>
    <w:p>
      <w:pPr>
        <w:pStyle w:val="Heading4"/>
      </w:pPr>
      <w:bookmarkStart w:id="714" w:name="_Toc128300833"/>
      <w:bookmarkStart w:id="715" w:name="_Toc128302861"/>
      <w:bookmarkStart w:id="716" w:name="_Toc128366793"/>
      <w:bookmarkStart w:id="717" w:name="_Toc128368707"/>
      <w:bookmarkStart w:id="718" w:name="_Toc128369087"/>
      <w:bookmarkStart w:id="719" w:name="_Toc128969424"/>
      <w:bookmarkStart w:id="720" w:name="_Toc132620335"/>
      <w:bookmarkStart w:id="721" w:name="_Toc140377963"/>
      <w:bookmarkStart w:id="722" w:name="_Toc140393905"/>
      <w:bookmarkStart w:id="723" w:name="_Toc140893373"/>
      <w:r>
        <w:t>Subdivision 1 — Charter of Rights</w:t>
      </w:r>
      <w:bookmarkEnd w:id="714"/>
      <w:bookmarkEnd w:id="715"/>
      <w:bookmarkEnd w:id="716"/>
      <w:bookmarkEnd w:id="717"/>
      <w:bookmarkEnd w:id="718"/>
      <w:bookmarkEnd w:id="719"/>
      <w:bookmarkEnd w:id="720"/>
      <w:bookmarkEnd w:id="721"/>
      <w:bookmarkEnd w:id="722"/>
      <w:bookmarkEnd w:id="723"/>
    </w:p>
    <w:p>
      <w:pPr>
        <w:pStyle w:val="Heading5"/>
      </w:pPr>
      <w:bookmarkStart w:id="724" w:name="_Toc46130222"/>
      <w:bookmarkStart w:id="725" w:name="_Toc85881291"/>
      <w:bookmarkStart w:id="726" w:name="_Toc128368708"/>
      <w:bookmarkStart w:id="727" w:name="_Toc140893374"/>
      <w:bookmarkStart w:id="728" w:name="_Toc140393906"/>
      <w:r>
        <w:rPr>
          <w:rStyle w:val="CharSectno"/>
        </w:rPr>
        <w:t>78</w:t>
      </w:r>
      <w:r>
        <w:t>.</w:t>
      </w:r>
      <w:r>
        <w:tab/>
        <w:t>CEO to prepare Charter of Rights</w:t>
      </w:r>
      <w:bookmarkEnd w:id="724"/>
      <w:bookmarkEnd w:id="725"/>
      <w:bookmarkEnd w:id="726"/>
      <w:bookmarkEnd w:id="727"/>
      <w:bookmarkEnd w:id="728"/>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729" w:name="_Toc128300835"/>
      <w:bookmarkStart w:id="730" w:name="_Toc128302863"/>
      <w:bookmarkStart w:id="731" w:name="_Toc128366795"/>
      <w:bookmarkStart w:id="732" w:name="_Toc128368709"/>
      <w:bookmarkStart w:id="733" w:name="_Toc128369089"/>
      <w:bookmarkStart w:id="734" w:name="_Toc128969426"/>
      <w:bookmarkStart w:id="735" w:name="_Toc132620337"/>
      <w:bookmarkStart w:id="736" w:name="_Toc140377965"/>
      <w:bookmarkStart w:id="737" w:name="_Toc140393907"/>
      <w:bookmarkStart w:id="738" w:name="_Toc140893375"/>
      <w:r>
        <w:t>Subdivision 2 — Placement arrangements</w:t>
      </w:r>
      <w:bookmarkEnd w:id="729"/>
      <w:bookmarkEnd w:id="730"/>
      <w:bookmarkEnd w:id="731"/>
      <w:bookmarkEnd w:id="732"/>
      <w:bookmarkEnd w:id="733"/>
      <w:bookmarkEnd w:id="734"/>
      <w:bookmarkEnd w:id="735"/>
      <w:bookmarkEnd w:id="736"/>
      <w:bookmarkEnd w:id="737"/>
      <w:bookmarkEnd w:id="738"/>
    </w:p>
    <w:p>
      <w:pPr>
        <w:pStyle w:val="Heading5"/>
      </w:pPr>
      <w:bookmarkStart w:id="739" w:name="_Toc85881292"/>
      <w:bookmarkStart w:id="740" w:name="_Toc128368710"/>
      <w:bookmarkStart w:id="741" w:name="_Toc140893376"/>
      <w:bookmarkStart w:id="742" w:name="_Toc140393908"/>
      <w:r>
        <w:rPr>
          <w:rStyle w:val="CharSectno"/>
        </w:rPr>
        <w:t>79</w:t>
      </w:r>
      <w:r>
        <w:t>.</w:t>
      </w:r>
      <w:r>
        <w:tab/>
        <w:t>Power of CEO to arrange placement of child</w:t>
      </w:r>
      <w:bookmarkEnd w:id="739"/>
      <w:bookmarkEnd w:id="740"/>
      <w:bookmarkEnd w:id="741"/>
      <w:bookmarkEnd w:id="742"/>
    </w:p>
    <w:p>
      <w:pPr>
        <w:pStyle w:val="Subsection"/>
      </w:pPr>
      <w:r>
        <w:tab/>
        <w:t>(1)</w:t>
      </w:r>
      <w:r>
        <w:tab/>
        <w:t xml:space="preserve">In this section — </w:t>
      </w:r>
    </w:p>
    <w:p>
      <w:pPr>
        <w:pStyle w:val="Defstart"/>
      </w:pPr>
      <w:r>
        <w:rPr>
          <w:b/>
        </w:rPr>
        <w:tab/>
        <w:t>“</w:t>
      </w:r>
      <w:r>
        <w:rPr>
          <w:rStyle w:val="CharDefText"/>
        </w:rPr>
        <w:t>child</w:t>
      </w:r>
      <w:r>
        <w:rPr>
          <w:b/>
        </w:rPr>
        <w:t>”</w:t>
      </w:r>
      <w:r>
        <w:t xml:space="preserve"> means a child who is in the CEO’s care.</w:t>
      </w:r>
    </w:p>
    <w:p>
      <w:pPr>
        <w:pStyle w:val="Subsection"/>
      </w:pPr>
      <w:r>
        <w:tab/>
      </w:r>
      <w:bookmarkStart w:id="743" w:name="_Hlt521896345"/>
      <w:bookmarkEnd w:id="743"/>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w:t>
      </w:r>
    </w:p>
    <w:p>
      <w:pPr>
        <w:pStyle w:val="Indenti"/>
      </w:pPr>
      <w:r>
        <w:tab/>
        <w:t>(ii)</w:t>
      </w:r>
      <w:r>
        <w:tab/>
        <w:t>with a person or body who or which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pPr>
      <w:r>
        <w:tab/>
      </w:r>
      <w:r>
        <w:tab/>
        <w:t>or</w:t>
      </w:r>
    </w:p>
    <w:p>
      <w:pPr>
        <w:pStyle w:val="Indenta"/>
      </w:pPr>
      <w:r>
        <w:tab/>
        <w:t>(b)</w:t>
      </w:r>
      <w:r>
        <w:tab/>
        <w:t>any other arrangement for the placement of the child that the CEO considers appropriate.</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Heading5"/>
      </w:pPr>
      <w:bookmarkStart w:id="744" w:name="_Toc46130201"/>
      <w:bookmarkStart w:id="745" w:name="_Toc85881293"/>
      <w:bookmarkStart w:id="746" w:name="_Toc128368711"/>
      <w:bookmarkStart w:id="747" w:name="_Toc140893377"/>
      <w:bookmarkStart w:id="748" w:name="_Toc140393909"/>
      <w:r>
        <w:rPr>
          <w:rStyle w:val="CharSectno"/>
        </w:rPr>
        <w:t>80</w:t>
      </w:r>
      <w:r>
        <w:t>.</w:t>
      </w:r>
      <w:r>
        <w:tab/>
        <w:t>Guidelines for placement of certain child</w:t>
      </w:r>
      <w:bookmarkEnd w:id="744"/>
      <w:r>
        <w:t>ren</w:t>
      </w:r>
      <w:bookmarkEnd w:id="745"/>
      <w:bookmarkEnd w:id="746"/>
      <w:bookmarkEnd w:id="747"/>
      <w:bookmarkEnd w:id="748"/>
    </w:p>
    <w:p>
      <w:pPr>
        <w:pStyle w:val="Subsection"/>
      </w:pPr>
      <w:r>
        <w:tab/>
        <w:t>(1)</w:t>
      </w:r>
      <w:r>
        <w:tab/>
        <w:t xml:space="preserve">Within 12 months after the commencement of this Part, the CEO must establish written guidelines (the </w:t>
      </w:r>
      <w:r>
        <w:rPr>
          <w:b/>
        </w:rPr>
        <w:t>“</w:t>
      </w:r>
      <w:r>
        <w:rPr>
          <w:rStyle w:val="CharDefText"/>
        </w:rPr>
        <w:t>guidelines</w:t>
      </w:r>
      <w:r>
        <w:rPr>
          <w:b/>
        </w:rPr>
        <w:t>”</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749" w:name="_Toc85881294"/>
      <w:bookmarkStart w:id="750" w:name="_Toc128368712"/>
      <w:bookmarkStart w:id="751" w:name="_Toc140893378"/>
      <w:bookmarkStart w:id="752" w:name="_Toc140393910"/>
      <w:r>
        <w:rPr>
          <w:rStyle w:val="CharSectno"/>
        </w:rPr>
        <w:t>81</w:t>
      </w:r>
      <w:r>
        <w:t>.</w:t>
      </w:r>
      <w:r>
        <w:tab/>
        <w:t>Matters relevant to placement of Aboriginal or Torres Strait Islander children</w:t>
      </w:r>
      <w:bookmarkEnd w:id="749"/>
      <w:bookmarkEnd w:id="750"/>
      <w:bookmarkEnd w:id="751"/>
      <w:bookmarkEnd w:id="752"/>
    </w:p>
    <w:p>
      <w:pPr>
        <w:pStyle w:val="Subsection"/>
      </w:pPr>
      <w:r>
        <w:tab/>
        <w:t>(1)</w:t>
      </w:r>
      <w:r>
        <w:tab/>
        <w:t>The CEO must ensure that an officer who is an Aboriginal person or a Torres Strait Islander is involved at all relevant times in the making of a placement arrangement in respect of an Aboriginal child or a Torres Strait Islander child.</w:t>
      </w:r>
    </w:p>
    <w:p>
      <w:pPr>
        <w:pStyle w:val="Subsection"/>
      </w:pPr>
      <w:r>
        <w:tab/>
        <w:t>(2)</w:t>
      </w:r>
      <w:r>
        <w:tab/>
        <w:t>The CEO must consult with an Aboriginal or Torres Strait Islander agency, approved by the CEO for the purposes of this section, regarding the prospective placement of an Aboriginal child or a Torres Strait Islander child.</w:t>
      </w:r>
    </w:p>
    <w:p>
      <w:pPr>
        <w:pStyle w:val="Heading5"/>
      </w:pPr>
      <w:bookmarkStart w:id="753" w:name="_Toc438114758"/>
      <w:bookmarkStart w:id="754" w:name="_Toc85881295"/>
      <w:bookmarkStart w:id="755" w:name="_Toc128368713"/>
      <w:bookmarkStart w:id="756" w:name="_Toc140893379"/>
      <w:bookmarkStart w:id="757" w:name="_Toc140393911"/>
      <w:r>
        <w:rPr>
          <w:rStyle w:val="CharSectno"/>
        </w:rPr>
        <w:t>82</w:t>
      </w:r>
      <w:r>
        <w:t>.</w:t>
      </w:r>
      <w:r>
        <w:tab/>
        <w:t>Payment for care</w:t>
      </w:r>
      <w:bookmarkEnd w:id="753"/>
      <w:r>
        <w:t xml:space="preserve"> under placement arrangement</w:t>
      </w:r>
      <w:bookmarkEnd w:id="754"/>
      <w:bookmarkEnd w:id="755"/>
      <w:bookmarkEnd w:id="756"/>
      <w:bookmarkEnd w:id="757"/>
    </w:p>
    <w:p>
      <w:pPr>
        <w:pStyle w:val="Subsection"/>
      </w:pPr>
      <w:r>
        <w:tab/>
      </w:r>
      <w:r>
        <w:tab/>
        <w:t>The CEO may make payments to a person for or in relation to the provision of care for a child under a placement arrangement.</w:t>
      </w:r>
    </w:p>
    <w:p>
      <w:pPr>
        <w:pStyle w:val="Heading5"/>
      </w:pPr>
      <w:bookmarkStart w:id="758" w:name="_Toc438114760"/>
      <w:bookmarkStart w:id="759" w:name="_Toc85881296"/>
      <w:bookmarkStart w:id="760" w:name="_Toc128368714"/>
      <w:bookmarkStart w:id="761" w:name="_Toc140893380"/>
      <w:bookmarkStart w:id="762" w:name="_Toc140393912"/>
      <w:r>
        <w:rPr>
          <w:rStyle w:val="CharSectno"/>
        </w:rPr>
        <w:t>83</w:t>
      </w:r>
      <w:r>
        <w:t>.</w:t>
      </w:r>
      <w:r>
        <w:tab/>
        <w:t>Inspection of place where child living</w:t>
      </w:r>
      <w:bookmarkEnd w:id="758"/>
      <w:bookmarkEnd w:id="759"/>
      <w:bookmarkEnd w:id="760"/>
      <w:bookmarkEnd w:id="761"/>
      <w:bookmarkEnd w:id="762"/>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763" w:name="_Toc85881297"/>
      <w:bookmarkStart w:id="764" w:name="_Toc128368715"/>
      <w:bookmarkStart w:id="765" w:name="_Toc140893381"/>
      <w:bookmarkStart w:id="766" w:name="_Toc140393913"/>
      <w:r>
        <w:rPr>
          <w:rStyle w:val="CharSectno"/>
        </w:rPr>
        <w:t>84</w:t>
      </w:r>
      <w:r>
        <w:t>.</w:t>
      </w:r>
      <w:r>
        <w:tab/>
        <w:t>Authorised officer may request carer to hand over child</w:t>
      </w:r>
      <w:bookmarkEnd w:id="763"/>
      <w:bookmarkEnd w:id="764"/>
      <w:bookmarkEnd w:id="765"/>
      <w:bookmarkEnd w:id="766"/>
    </w:p>
    <w:p>
      <w:pPr>
        <w:pStyle w:val="Subsection"/>
      </w:pPr>
      <w:r>
        <w:tab/>
      </w:r>
      <w:r>
        <w:tab/>
        <w:t>An authorised officer may at any time request a carer of a child to hand over the child to the officer.</w:t>
      </w:r>
    </w:p>
    <w:p>
      <w:pPr>
        <w:pStyle w:val="Heading5"/>
      </w:pPr>
      <w:bookmarkStart w:id="767" w:name="_Toc85881298"/>
      <w:bookmarkStart w:id="768" w:name="_Toc128368716"/>
      <w:bookmarkStart w:id="769" w:name="_Toc140893382"/>
      <w:bookmarkStart w:id="770" w:name="_Toc140393914"/>
      <w:r>
        <w:rPr>
          <w:rStyle w:val="CharSectno"/>
        </w:rPr>
        <w:t>85</w:t>
      </w:r>
      <w:r>
        <w:t>.</w:t>
      </w:r>
      <w:r>
        <w:tab/>
        <w:t>Warrant (apprehension) where child not handed over</w:t>
      </w:r>
      <w:bookmarkEnd w:id="767"/>
      <w:bookmarkEnd w:id="768"/>
      <w:bookmarkEnd w:id="769"/>
      <w:bookmarkEnd w:id="770"/>
    </w:p>
    <w:p>
      <w:pPr>
        <w:pStyle w:val="Subsection"/>
      </w:pPr>
      <w:r>
        <w:tab/>
        <w:t>(1)</w:t>
      </w:r>
      <w:r>
        <w:tab/>
        <w:t>If a carer does not comply with a request made by an authorised officer under section 84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771" w:name="_Hlt39889480"/>
      <w:bookmarkEnd w:id="771"/>
      <w:r>
        <w:t>(3)</w:t>
      </w:r>
      <w:r>
        <w:tab/>
        <w:t>On an application made under subsection (1) a magistrate may issue a warrant (apprehension) if the magistrate is satisfied that the carer has not complied with the request.</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772" w:name="_Toc85881299"/>
      <w:bookmarkStart w:id="773" w:name="_Toc128368717"/>
      <w:bookmarkStart w:id="774" w:name="_Toc140893383"/>
      <w:bookmarkStart w:id="775" w:name="_Toc140393915"/>
      <w:r>
        <w:rPr>
          <w:rStyle w:val="CharSectno"/>
        </w:rPr>
        <w:t>86</w:t>
      </w:r>
      <w:r>
        <w:t>.</w:t>
      </w:r>
      <w:r>
        <w:tab/>
        <w:t>Warrant (apprehension) where child absent or taken without authority</w:t>
      </w:r>
      <w:bookmarkEnd w:id="772"/>
      <w:bookmarkEnd w:id="773"/>
      <w:bookmarkEnd w:id="774"/>
      <w:bookmarkEnd w:id="775"/>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magistrate for a warrant (apprehension).</w:t>
      </w:r>
    </w:p>
    <w:p>
      <w:pPr>
        <w:pStyle w:val="Subsection"/>
      </w:pPr>
      <w:r>
        <w:tab/>
        <w:t>(2)</w:t>
      </w:r>
      <w:r>
        <w:tab/>
        <w:t>An application under subsection (1) must be made in accordance with section 120.</w:t>
      </w:r>
    </w:p>
    <w:p>
      <w:pPr>
        <w:pStyle w:val="Subsection"/>
      </w:pPr>
      <w:r>
        <w:tab/>
      </w:r>
      <w:bookmarkStart w:id="776" w:name="_Hlt39889487"/>
      <w:bookmarkEnd w:id="776"/>
      <w:r>
        <w:t>(3)</w:t>
      </w:r>
      <w:r>
        <w:tab/>
        <w:t>On an application made under subsection (1) a magistrate may issue a warrant (apprehension) if the magistrate is satisfied that there are reasonable grounds for the suspicion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Heading5"/>
      </w:pPr>
      <w:bookmarkStart w:id="777" w:name="_Toc85881300"/>
      <w:bookmarkStart w:id="778" w:name="_Toc128368718"/>
      <w:bookmarkStart w:id="779" w:name="_Toc140893384"/>
      <w:bookmarkStart w:id="780" w:name="_Toc140393916"/>
      <w:r>
        <w:rPr>
          <w:rStyle w:val="CharSectno"/>
        </w:rPr>
        <w:t>87</w:t>
      </w:r>
      <w:r>
        <w:t>.</w:t>
      </w:r>
      <w:r>
        <w:tab/>
        <w:t>Apprehension without warrant in certain circumstances</w:t>
      </w:r>
      <w:bookmarkEnd w:id="777"/>
      <w:bookmarkEnd w:id="778"/>
      <w:bookmarkEnd w:id="779"/>
      <w:bookmarkEnd w:id="780"/>
    </w:p>
    <w:p>
      <w:pPr>
        <w:pStyle w:val="Subsection"/>
      </w:pPr>
      <w:r>
        <w:tab/>
        <w:t>(1)</w:t>
      </w:r>
      <w:r>
        <w:tab/>
        <w:t xml:space="preserve">In this section — </w:t>
      </w:r>
    </w:p>
    <w:p>
      <w:pPr>
        <w:pStyle w:val="Defstart"/>
      </w:pPr>
      <w:r>
        <w:rPr>
          <w:b/>
        </w:rPr>
        <w:tab/>
        <w:t>“</w:t>
      </w:r>
      <w:r>
        <w:rPr>
          <w:rStyle w:val="CharDefText"/>
        </w:rPr>
        <w:t>officer</w:t>
      </w:r>
      <w:r>
        <w:rPr>
          <w:b/>
        </w:rPr>
        <w:t>”</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Heading4"/>
      </w:pPr>
      <w:bookmarkStart w:id="781" w:name="_Toc128300845"/>
      <w:bookmarkStart w:id="782" w:name="_Toc128302873"/>
      <w:bookmarkStart w:id="783" w:name="_Toc128366805"/>
      <w:bookmarkStart w:id="784" w:name="_Toc128368719"/>
      <w:bookmarkStart w:id="785" w:name="_Toc128369099"/>
      <w:bookmarkStart w:id="786" w:name="_Toc128969436"/>
      <w:bookmarkStart w:id="787" w:name="_Toc132620347"/>
      <w:bookmarkStart w:id="788" w:name="_Toc140377975"/>
      <w:bookmarkStart w:id="789" w:name="_Toc140393917"/>
      <w:bookmarkStart w:id="790" w:name="_Toc140893385"/>
      <w:r>
        <w:t>Subdivision 3 — Care plans</w:t>
      </w:r>
      <w:bookmarkEnd w:id="781"/>
      <w:bookmarkEnd w:id="782"/>
      <w:bookmarkEnd w:id="783"/>
      <w:bookmarkEnd w:id="784"/>
      <w:bookmarkEnd w:id="785"/>
      <w:bookmarkEnd w:id="786"/>
      <w:bookmarkEnd w:id="787"/>
      <w:bookmarkEnd w:id="788"/>
      <w:bookmarkEnd w:id="789"/>
      <w:bookmarkEnd w:id="790"/>
    </w:p>
    <w:p>
      <w:pPr>
        <w:pStyle w:val="Heading5"/>
      </w:pPr>
      <w:bookmarkStart w:id="791" w:name="_Toc85881301"/>
      <w:bookmarkStart w:id="792" w:name="_Toc128368720"/>
      <w:bookmarkStart w:id="793" w:name="_Toc140893386"/>
      <w:bookmarkStart w:id="794" w:name="_Toc140393918"/>
      <w:r>
        <w:rPr>
          <w:rStyle w:val="CharSectno"/>
        </w:rPr>
        <w:t>88</w:t>
      </w:r>
      <w:r>
        <w:t>.</w:t>
      </w:r>
      <w:r>
        <w:tab/>
        <w:t>Meaning of “parent”</w:t>
      </w:r>
      <w:bookmarkEnd w:id="791"/>
      <w:bookmarkEnd w:id="792"/>
      <w:bookmarkEnd w:id="793"/>
      <w:bookmarkEnd w:id="794"/>
    </w:p>
    <w:p>
      <w:pPr>
        <w:pStyle w:val="Subsection"/>
      </w:pPr>
      <w:r>
        <w:tab/>
      </w:r>
      <w:r>
        <w:tab/>
        <w:t>In this Subdivision —</w:t>
      </w:r>
    </w:p>
    <w:p>
      <w:pPr>
        <w:pStyle w:val="Defstart"/>
      </w:pPr>
      <w:r>
        <w:rPr>
          <w:b/>
        </w:rPr>
        <w:tab/>
        <w:t>“</w:t>
      </w:r>
      <w:r>
        <w:rPr>
          <w:rStyle w:val="CharDefText"/>
        </w:rPr>
        <w:t>parent</w:t>
      </w:r>
      <w:r>
        <w:rPr>
          <w:b/>
        </w:rPr>
        <w:t>”</w:t>
      </w:r>
      <w:r>
        <w:t xml:space="preserve"> has the meaning given to that term in section 42.</w:t>
      </w:r>
    </w:p>
    <w:p>
      <w:pPr>
        <w:pStyle w:val="Heading5"/>
      </w:pPr>
      <w:bookmarkStart w:id="795" w:name="_Toc85881302"/>
      <w:bookmarkStart w:id="796" w:name="_Toc128368721"/>
      <w:bookmarkStart w:id="797" w:name="_Toc140893387"/>
      <w:bookmarkStart w:id="798" w:name="_Toc140393919"/>
      <w:r>
        <w:rPr>
          <w:rStyle w:val="CharSectno"/>
        </w:rPr>
        <w:t>89</w:t>
      </w:r>
      <w:r>
        <w:t>.</w:t>
      </w:r>
      <w:r>
        <w:tab/>
        <w:t>Care plan</w:t>
      </w:r>
      <w:bookmarkEnd w:id="795"/>
      <w:bookmarkEnd w:id="796"/>
      <w:bookmarkEnd w:id="797"/>
      <w:bookmarkEnd w:id="798"/>
    </w:p>
    <w:p>
      <w:pPr>
        <w:pStyle w:val="Subsection"/>
      </w:pPr>
      <w:r>
        <w:tab/>
      </w:r>
      <w:bookmarkStart w:id="799" w:name="_Hlt51045024"/>
      <w:bookmarkEnd w:id="799"/>
      <w:r>
        <w:t>(1)</w:t>
      </w:r>
      <w:r>
        <w:tab/>
        <w:t xml:space="preserve">In this section — </w:t>
      </w:r>
    </w:p>
    <w:p>
      <w:pPr>
        <w:pStyle w:val="Defstart"/>
      </w:pPr>
      <w:r>
        <w:rPr>
          <w:b/>
        </w:rPr>
        <w:tab/>
        <w:t>“</w:t>
      </w:r>
      <w:r>
        <w:rPr>
          <w:rStyle w:val="CharDefText"/>
        </w:rPr>
        <w:t>care plan</w:t>
      </w:r>
      <w:r>
        <w:rPr>
          <w:b/>
        </w:rPr>
        <w:t>”</w:t>
      </w:r>
      <w:r>
        <w:t xml:space="preserve"> means a written plan that — </w:t>
      </w:r>
    </w:p>
    <w:p>
      <w:pPr>
        <w:pStyle w:val="Defpara"/>
      </w:pPr>
      <w:r>
        <w:tab/>
        <w:t>(a)</w:t>
      </w:r>
      <w:r>
        <w:tab/>
        <w:t>identifies the needs of the child;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pPr>
      <w:r>
        <w:tab/>
        <w:t>(i)</w:t>
      </w:r>
      <w:r>
        <w:tab/>
        <w:t>decisions about placement; and</w:t>
      </w:r>
    </w:p>
    <w:p>
      <w:pPr>
        <w:pStyle w:val="Defsubpara"/>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NotesPerm"/>
        <w:tabs>
          <w:tab w:val="clear" w:pos="879"/>
          <w:tab w:val="left" w:pos="851"/>
        </w:tabs>
        <w:ind w:left="1418" w:hanging="1418"/>
      </w:pPr>
      <w:r>
        <w:tab/>
        <w:t>Note:</w:t>
      </w:r>
      <w:r>
        <w:tab/>
        <w:t>Section</w:t>
      </w:r>
      <w:bookmarkStart w:id="800" w:name="_Hlt36436521"/>
      <w:r>
        <w:t> </w:t>
      </w:r>
      <w:bookmarkStart w:id="801" w:name="_Hlt39899011"/>
      <w:r>
        <w:t>39</w:t>
      </w:r>
      <w:bookmarkEnd w:id="800"/>
      <w:bookmarkEnd w:id="801"/>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802" w:name="_Hlt39899576"/>
      <w:bookmarkEnd w:id="802"/>
      <w:r>
        <w:t>(6)</w:t>
      </w:r>
      <w:r>
        <w:tab/>
        <w:t xml:space="preserve">As soon as practicable after the CEO prepares or modifies a care plan, the CEO must ensure that a copy of the care plan or modification, as the case requires, is given to — </w:t>
      </w:r>
    </w:p>
    <w:p>
      <w:pPr>
        <w:pStyle w:val="Indenta"/>
      </w:pPr>
      <w:r>
        <w:tab/>
        <w:t>(a)</w:t>
      </w:r>
      <w:r>
        <w:tab/>
        <w:t>the child;</w:t>
      </w:r>
    </w:p>
    <w:p>
      <w:pPr>
        <w:pStyle w:val="Indenta"/>
      </w:pPr>
      <w:r>
        <w:tab/>
        <w:t>(b)</w:t>
      </w:r>
      <w:r>
        <w:tab/>
        <w:t>each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Heading5"/>
      </w:pPr>
      <w:bookmarkStart w:id="803" w:name="_Toc85881303"/>
      <w:bookmarkStart w:id="804" w:name="_Toc128368722"/>
      <w:bookmarkStart w:id="805" w:name="_Toc140893388"/>
      <w:bookmarkStart w:id="806" w:name="_Toc140393920"/>
      <w:r>
        <w:rPr>
          <w:rStyle w:val="CharSectno"/>
        </w:rPr>
        <w:t>90</w:t>
      </w:r>
      <w:r>
        <w:t>.</w:t>
      </w:r>
      <w:r>
        <w:tab/>
        <w:t>Review of care plan</w:t>
      </w:r>
      <w:bookmarkEnd w:id="803"/>
      <w:bookmarkEnd w:id="804"/>
      <w:bookmarkEnd w:id="805"/>
      <w:bookmarkEnd w:id="806"/>
    </w:p>
    <w:p>
      <w:pPr>
        <w:pStyle w:val="Subsection"/>
      </w:pPr>
      <w:r>
        <w:tab/>
        <w:t>(1)</w:t>
      </w:r>
      <w:r>
        <w:tab/>
        <w:t>The CEO must carry out a review of the operation and effectiveness of every care plan at regular intervals not exceeding 12 months.</w:t>
      </w:r>
    </w:p>
    <w:p>
      <w:pPr>
        <w:pStyle w:val="Subsection"/>
        <w:keepNext/>
      </w:pPr>
      <w:r>
        <w:tab/>
        <w:t>(2)</w:t>
      </w:r>
      <w:r>
        <w:tab/>
        <w:t>In the course of the review the CEO must have regard to any views expressed by —</w:t>
      </w:r>
    </w:p>
    <w:p>
      <w:pPr>
        <w:pStyle w:val="Indenta"/>
      </w:pPr>
      <w:r>
        <w:tab/>
        <w:t>(a)</w:t>
      </w:r>
      <w:r>
        <w:tab/>
        <w:t>the child;</w:t>
      </w:r>
    </w:p>
    <w:p>
      <w:pPr>
        <w:pStyle w:val="Indenta"/>
      </w:pPr>
      <w:r>
        <w:tab/>
        <w:t>(b)</w:t>
      </w:r>
      <w:r>
        <w:tab/>
        <w:t>a parent of the child;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pPr>
      <w:r>
        <w:tab/>
        <w:t>(4)</w:t>
      </w:r>
      <w:r>
        <w:tab/>
        <w:t>The CEO must keep a record of reviews carried out, and reports prepared, under this section in a manner that the CEO considers appropriate.</w:t>
      </w:r>
    </w:p>
    <w:p>
      <w:pPr>
        <w:pStyle w:val="Heading4"/>
      </w:pPr>
      <w:bookmarkStart w:id="807" w:name="_Toc128300849"/>
      <w:bookmarkStart w:id="808" w:name="_Toc128302877"/>
      <w:bookmarkStart w:id="809" w:name="_Toc128366809"/>
      <w:bookmarkStart w:id="810" w:name="_Toc128368723"/>
      <w:bookmarkStart w:id="811" w:name="_Toc128369103"/>
      <w:bookmarkStart w:id="812" w:name="_Toc128969440"/>
      <w:bookmarkStart w:id="813" w:name="_Toc132620351"/>
      <w:bookmarkStart w:id="814" w:name="_Toc140377979"/>
      <w:bookmarkStart w:id="815" w:name="_Toc140393921"/>
      <w:bookmarkStart w:id="816" w:name="_Toc140893389"/>
      <w:r>
        <w:t>Subdivision 4 — Review of case planning decisions</w:t>
      </w:r>
      <w:bookmarkEnd w:id="807"/>
      <w:bookmarkEnd w:id="808"/>
      <w:bookmarkEnd w:id="809"/>
      <w:bookmarkEnd w:id="810"/>
      <w:bookmarkEnd w:id="811"/>
      <w:bookmarkEnd w:id="812"/>
      <w:bookmarkEnd w:id="813"/>
      <w:bookmarkEnd w:id="814"/>
      <w:bookmarkEnd w:id="815"/>
      <w:bookmarkEnd w:id="816"/>
    </w:p>
    <w:p>
      <w:pPr>
        <w:pStyle w:val="Heading5"/>
      </w:pPr>
      <w:bookmarkStart w:id="817" w:name="_Toc85881304"/>
      <w:bookmarkStart w:id="818" w:name="_Toc128368724"/>
      <w:bookmarkStart w:id="819" w:name="_Toc140893390"/>
      <w:bookmarkStart w:id="820" w:name="_Toc140393922"/>
      <w:r>
        <w:rPr>
          <w:rStyle w:val="CharSectno"/>
        </w:rPr>
        <w:t>91</w:t>
      </w:r>
      <w:r>
        <w:t>.</w:t>
      </w:r>
      <w:r>
        <w:tab/>
        <w:t>Terms used in this Subdivision</w:t>
      </w:r>
      <w:bookmarkEnd w:id="817"/>
      <w:bookmarkEnd w:id="818"/>
      <w:bookmarkEnd w:id="819"/>
      <w:bookmarkEnd w:id="820"/>
    </w:p>
    <w:p>
      <w:pPr>
        <w:pStyle w:val="Subsection"/>
      </w:pPr>
      <w:r>
        <w:tab/>
      </w:r>
      <w:r>
        <w:tab/>
        <w:t>In this Subdivision, unless the contrary intention appears —</w:t>
      </w:r>
    </w:p>
    <w:p>
      <w:pPr>
        <w:pStyle w:val="Defstart"/>
      </w:pPr>
      <w:r>
        <w:tab/>
      </w:r>
      <w:r>
        <w:rPr>
          <w:b/>
        </w:rPr>
        <w:t>“</w:t>
      </w:r>
      <w:r>
        <w:rPr>
          <w:rStyle w:val="CharDefText"/>
        </w:rPr>
        <w:t>applicant</w:t>
      </w:r>
      <w:r>
        <w:rPr>
          <w:b/>
        </w:rPr>
        <w:t>”</w:t>
      </w:r>
      <w:r>
        <w:t xml:space="preserve"> means a person who makes an application under section 93(1);</w:t>
      </w:r>
    </w:p>
    <w:p>
      <w:pPr>
        <w:pStyle w:val="Defstart"/>
      </w:pPr>
      <w:r>
        <w:rPr>
          <w:b/>
        </w:rPr>
        <w:tab/>
        <w:t>“</w:t>
      </w:r>
      <w:r>
        <w:rPr>
          <w:rStyle w:val="CharDefText"/>
        </w:rPr>
        <w:t>care plan</w:t>
      </w:r>
      <w:r>
        <w:rPr>
          <w:b/>
        </w:rPr>
        <w:t>”</w:t>
      </w:r>
      <w:r>
        <w:t xml:space="preserve"> has the meaning given to that term in section 89(1);</w:t>
      </w:r>
    </w:p>
    <w:p>
      <w:pPr>
        <w:pStyle w:val="Defstart"/>
      </w:pPr>
      <w:r>
        <w:rPr>
          <w:b/>
        </w:rPr>
        <w:tab/>
        <w:t>“</w:t>
      </w:r>
      <w:r>
        <w:rPr>
          <w:rStyle w:val="CharDefText"/>
        </w:rPr>
        <w:t>case planning decision</w:t>
      </w:r>
      <w:r>
        <w:rPr>
          <w:b/>
        </w:rPr>
        <w:t>”</w:t>
      </w:r>
      <w:r>
        <w:t>, in relation to a child, means a decision set out in a care plan for the child;</w:t>
      </w:r>
    </w:p>
    <w:p>
      <w:pPr>
        <w:pStyle w:val="Defstart"/>
      </w:pPr>
      <w:r>
        <w:tab/>
      </w:r>
      <w:r>
        <w:rPr>
          <w:b/>
        </w:rPr>
        <w:t>“</w:t>
      </w:r>
      <w:r>
        <w:rPr>
          <w:rStyle w:val="CharDefText"/>
        </w:rPr>
        <w:t>case review panel</w:t>
      </w:r>
      <w:r>
        <w:rPr>
          <w:b/>
        </w:rPr>
        <w:t>”</w:t>
      </w:r>
      <w:r>
        <w:t xml:space="preserve"> means the case review panel established under section 92;</w:t>
      </w:r>
    </w:p>
    <w:p>
      <w:pPr>
        <w:pStyle w:val="Defstart"/>
      </w:pPr>
      <w:r>
        <w:tab/>
      </w:r>
      <w:r>
        <w:rPr>
          <w:b/>
        </w:rPr>
        <w:t xml:space="preserve">“parent” </w:t>
      </w:r>
      <w:r>
        <w:t>has the meaning given to that term in section 42.</w:t>
      </w:r>
    </w:p>
    <w:p>
      <w:pPr>
        <w:pStyle w:val="Heading5"/>
      </w:pPr>
      <w:bookmarkStart w:id="821" w:name="_Hlt39899422"/>
      <w:bookmarkStart w:id="822" w:name="_Toc85881305"/>
      <w:bookmarkStart w:id="823" w:name="_Toc128368725"/>
      <w:bookmarkStart w:id="824" w:name="_Toc140893391"/>
      <w:bookmarkStart w:id="825" w:name="_Toc140393923"/>
      <w:bookmarkEnd w:id="821"/>
      <w:r>
        <w:rPr>
          <w:rStyle w:val="CharSectno"/>
        </w:rPr>
        <w:t>92</w:t>
      </w:r>
      <w:r>
        <w:t>.</w:t>
      </w:r>
      <w:r>
        <w:tab/>
        <w:t>Case review panel</w:t>
      </w:r>
      <w:bookmarkEnd w:id="822"/>
      <w:bookmarkEnd w:id="823"/>
      <w:bookmarkEnd w:id="824"/>
      <w:bookmarkEnd w:id="825"/>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Minister for Public Sector Management.</w:t>
      </w:r>
    </w:p>
    <w:p>
      <w:pPr>
        <w:pStyle w:val="Subsection"/>
      </w:pPr>
      <w:r>
        <w:tab/>
        <w:t>(8)</w:t>
      </w:r>
      <w:r>
        <w:tab/>
        <w:t>The CEO must provide the case review panel with such support services as it may reasonably require.</w:t>
      </w:r>
    </w:p>
    <w:p>
      <w:pPr>
        <w:pStyle w:val="Heading5"/>
      </w:pPr>
      <w:bookmarkStart w:id="826" w:name="_Toc85881306"/>
      <w:bookmarkStart w:id="827" w:name="_Toc128368726"/>
      <w:bookmarkStart w:id="828" w:name="_Toc140893392"/>
      <w:bookmarkStart w:id="829" w:name="_Toc140393924"/>
      <w:r>
        <w:rPr>
          <w:rStyle w:val="CharSectno"/>
        </w:rPr>
        <w:t>93</w:t>
      </w:r>
      <w:r>
        <w:t>.</w:t>
      </w:r>
      <w:r>
        <w:tab/>
        <w:t>Initial review</w:t>
      </w:r>
      <w:bookmarkEnd w:id="826"/>
      <w:bookmarkEnd w:id="827"/>
      <w:bookmarkEnd w:id="828"/>
      <w:bookmarkEnd w:id="829"/>
    </w:p>
    <w:p>
      <w:pPr>
        <w:pStyle w:val="Subsection"/>
      </w:pPr>
      <w:r>
        <w:tab/>
      </w:r>
      <w:bookmarkStart w:id="830" w:name="_Hlt39899407"/>
      <w:bookmarkEnd w:id="830"/>
      <w:r>
        <w:t>(1)</w:t>
      </w:r>
      <w:r>
        <w:tab/>
        <w:t>An application for the review of a case planning decision may be made to the CEO by —</w:t>
      </w:r>
    </w:p>
    <w:p>
      <w:pPr>
        <w:pStyle w:val="Indenta"/>
      </w:pPr>
      <w:r>
        <w:tab/>
        <w:t>(a)</w:t>
      </w:r>
      <w:r>
        <w:tab/>
        <w:t>the child;</w:t>
      </w:r>
    </w:p>
    <w:p>
      <w:pPr>
        <w:pStyle w:val="Indenta"/>
      </w:pPr>
      <w:r>
        <w:tab/>
        <w:t>(b)</w:t>
      </w:r>
      <w:r>
        <w:tab/>
        <w:t>a parent of the child;</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case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831" w:name="_Hlt39909172"/>
      <w:bookmarkEnd w:id="831"/>
      <w:r>
        <w:t>(6)</w:t>
      </w:r>
      <w:r>
        <w:tab/>
        <w:t>The CEO, after considering the report of the case review panel and any other information available to the CEO, must —</w:t>
      </w:r>
    </w:p>
    <w:p>
      <w:pPr>
        <w:pStyle w:val="Indenta"/>
      </w:pPr>
      <w:r>
        <w:tab/>
        <w:t>(a)</w:t>
      </w:r>
      <w:r>
        <w:tab/>
        <w:t>confirm, vary or reverse the case planning decision;</w:t>
      </w:r>
    </w:p>
    <w:p>
      <w:pPr>
        <w:pStyle w:val="Indenta"/>
      </w:pPr>
      <w:r>
        <w:tab/>
        <w:t>(b)</w:t>
      </w:r>
      <w:r>
        <w:tab/>
        <w:t>substitute another decision for the case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Heading5"/>
      </w:pPr>
      <w:bookmarkStart w:id="832" w:name="_Toc51641741"/>
      <w:bookmarkStart w:id="833" w:name="_Toc85881307"/>
      <w:bookmarkStart w:id="834" w:name="_Toc128368727"/>
      <w:bookmarkStart w:id="835" w:name="_Toc140893393"/>
      <w:bookmarkStart w:id="836" w:name="_Toc140393925"/>
      <w:r>
        <w:rPr>
          <w:rStyle w:val="CharSectno"/>
        </w:rPr>
        <w:t>94</w:t>
      </w:r>
      <w:r>
        <w:t>.</w:t>
      </w:r>
      <w:r>
        <w:tab/>
        <w:t>Review of CEO’s decision</w:t>
      </w:r>
      <w:bookmarkEnd w:id="832"/>
      <w:bookmarkEnd w:id="833"/>
      <w:bookmarkEnd w:id="834"/>
      <w:bookmarkEnd w:id="835"/>
      <w:bookmarkEnd w:id="836"/>
    </w:p>
    <w:p>
      <w:pPr>
        <w:pStyle w:val="Subsection"/>
      </w:pPr>
      <w:r>
        <w:tab/>
      </w:r>
      <w:r>
        <w:tab/>
        <w:t>A person who is aggrieved by a decision made by the CEO under section 93(6)(a) or (b) may apply to the State Administrative Tribunal for a review of the decision.</w:t>
      </w:r>
    </w:p>
    <w:p>
      <w:pPr>
        <w:pStyle w:val="Heading5"/>
      </w:pPr>
      <w:bookmarkStart w:id="837" w:name="_Toc85881308"/>
      <w:bookmarkStart w:id="838" w:name="_Toc128368728"/>
      <w:bookmarkStart w:id="839" w:name="_Toc140893394"/>
      <w:bookmarkStart w:id="840" w:name="_Toc140393926"/>
      <w:r>
        <w:rPr>
          <w:rStyle w:val="CharSectno"/>
        </w:rPr>
        <w:t>95</w:t>
      </w:r>
      <w:r>
        <w:t>.</w:t>
      </w:r>
      <w:r>
        <w:tab/>
        <w:t>Procedure</w:t>
      </w:r>
      <w:bookmarkEnd w:id="837"/>
      <w:bookmarkEnd w:id="838"/>
      <w:bookmarkEnd w:id="839"/>
      <w:bookmarkEnd w:id="840"/>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841" w:name="_Toc128300855"/>
      <w:bookmarkStart w:id="842" w:name="_Toc128302883"/>
      <w:bookmarkStart w:id="843" w:name="_Toc128366815"/>
      <w:bookmarkStart w:id="844" w:name="_Toc128368729"/>
      <w:bookmarkStart w:id="845" w:name="_Toc128369109"/>
      <w:bookmarkStart w:id="846" w:name="_Toc128969446"/>
      <w:bookmarkStart w:id="847" w:name="_Toc132620357"/>
      <w:bookmarkStart w:id="848" w:name="_Toc140377985"/>
      <w:bookmarkStart w:id="849" w:name="_Toc140393927"/>
      <w:bookmarkStart w:id="850" w:name="_Toc140893395"/>
      <w:r>
        <w:rPr>
          <w:rStyle w:val="CharDivNo"/>
        </w:rPr>
        <w:t>Division 6</w:t>
      </w:r>
      <w:r>
        <w:t xml:space="preserve"> — </w:t>
      </w:r>
      <w:r>
        <w:rPr>
          <w:rStyle w:val="CharDivText"/>
        </w:rPr>
        <w:t>Provisions about leaving the CEO’s care</w:t>
      </w:r>
      <w:bookmarkEnd w:id="841"/>
      <w:bookmarkEnd w:id="842"/>
      <w:bookmarkEnd w:id="843"/>
      <w:bookmarkEnd w:id="844"/>
      <w:bookmarkEnd w:id="845"/>
      <w:bookmarkEnd w:id="846"/>
      <w:bookmarkEnd w:id="847"/>
      <w:bookmarkEnd w:id="848"/>
      <w:bookmarkEnd w:id="849"/>
      <w:bookmarkEnd w:id="850"/>
    </w:p>
    <w:p>
      <w:pPr>
        <w:pStyle w:val="Heading5"/>
      </w:pPr>
      <w:bookmarkStart w:id="851" w:name="_Toc85881309"/>
      <w:bookmarkStart w:id="852" w:name="_Toc128368730"/>
      <w:bookmarkStart w:id="853" w:name="_Toc140893396"/>
      <w:bookmarkStart w:id="854" w:name="_Toc140393928"/>
      <w:r>
        <w:rPr>
          <w:rStyle w:val="CharSectno"/>
        </w:rPr>
        <w:t>96</w:t>
      </w:r>
      <w:r>
        <w:t>.</w:t>
      </w:r>
      <w:r>
        <w:tab/>
        <w:t>People who qualify for assistance</w:t>
      </w:r>
      <w:bookmarkEnd w:id="851"/>
      <w:bookmarkEnd w:id="852"/>
      <w:bookmarkEnd w:id="853"/>
      <w:bookmarkEnd w:id="854"/>
    </w:p>
    <w:p>
      <w:pPr>
        <w:pStyle w:val="Subsection"/>
      </w:pPr>
      <w:r>
        <w:tab/>
      </w:r>
      <w:r>
        <w:tab/>
        <w:t xml:space="preserve">For the purposes of this Division a person qualifies for assistance if — </w:t>
      </w:r>
    </w:p>
    <w:p>
      <w:pPr>
        <w:pStyle w:val="Indenta"/>
      </w:pPr>
      <w:r>
        <w:tab/>
        <w:t>(a)</w:t>
      </w:r>
      <w:r>
        <w:tab/>
        <w:t>the person has left the CEO’s care;</w:t>
      </w:r>
    </w:p>
    <w:p>
      <w:pPr>
        <w:pStyle w:val="Indenta"/>
      </w:pPr>
      <w:r>
        <w:tab/>
        <w:t>(b)</w:t>
      </w:r>
      <w:r>
        <w:tab/>
        <w:t>the person is under 25 years of age; and</w:t>
      </w:r>
    </w:p>
    <w:p>
      <w:pPr>
        <w:pStyle w:val="Indenta"/>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855" w:name="_Toc85881310"/>
      <w:bookmarkStart w:id="856" w:name="_Toc128368731"/>
      <w:bookmarkStart w:id="857" w:name="_Toc140893397"/>
      <w:bookmarkStart w:id="858" w:name="_Toc140393929"/>
      <w:r>
        <w:rPr>
          <w:rStyle w:val="CharSectno"/>
        </w:rPr>
        <w:t>97</w:t>
      </w:r>
      <w:r>
        <w:t>.</w:t>
      </w:r>
      <w:r>
        <w:tab/>
        <w:t>Entitlement to personal material</w:t>
      </w:r>
      <w:bookmarkEnd w:id="855"/>
      <w:bookmarkEnd w:id="856"/>
      <w:bookmarkEnd w:id="857"/>
      <w:bookmarkEnd w:id="858"/>
    </w:p>
    <w:p>
      <w:pPr>
        <w:pStyle w:val="Subsection"/>
        <w:keepNext/>
      </w:pPr>
      <w:r>
        <w:tab/>
        <w:t>(1)</w:t>
      </w:r>
      <w:r>
        <w:tab/>
        <w:t xml:space="preserve">In this section — </w:t>
      </w:r>
    </w:p>
    <w:p>
      <w:pPr>
        <w:pStyle w:val="Defstart"/>
      </w:pPr>
      <w:r>
        <w:rPr>
          <w:b/>
        </w:rPr>
        <w:tab/>
        <w:t>“</w:t>
      </w:r>
      <w:r>
        <w:rPr>
          <w:rStyle w:val="CharDefText"/>
        </w:rPr>
        <w:t>personal material</w:t>
      </w:r>
      <w:r>
        <w:rPr>
          <w:b/>
        </w:rPr>
        <w:t>”</w:t>
      </w:r>
      <w:r>
        <w:t xml:space="preserve">, in relation to a child, means — </w:t>
      </w:r>
    </w:p>
    <w:p>
      <w:pPr>
        <w:pStyle w:val="Defpara"/>
      </w:pPr>
      <w:r>
        <w:tab/>
        <w:t>(a)</w:t>
      </w:r>
      <w:r>
        <w:tab/>
        <w:t>the child’s birth certificate;</w:t>
      </w:r>
    </w:p>
    <w:p>
      <w:pPr>
        <w:pStyle w:val="Defpara"/>
      </w:pPr>
      <w:r>
        <w:tab/>
        <w:t>(b)</w:t>
      </w:r>
      <w:r>
        <w:tab/>
        <w:t>the child’s passport;</w:t>
      </w:r>
    </w:p>
    <w:p>
      <w:pPr>
        <w:pStyle w:val="Defpara"/>
      </w:pPr>
      <w:r>
        <w:tab/>
        <w:t>(c)</w:t>
      </w:r>
      <w:r>
        <w:tab/>
        <w:t>any school report or other report relating to the child’s education;</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or body who or which has provided care for the child under a placement arrangement.</w:t>
      </w:r>
    </w:p>
    <w:p>
      <w:pPr>
        <w:pStyle w:val="Heading5"/>
      </w:pPr>
      <w:bookmarkStart w:id="859" w:name="_Toc85881311"/>
      <w:bookmarkStart w:id="860" w:name="_Toc128368732"/>
      <w:bookmarkStart w:id="861" w:name="_Toc140893398"/>
      <w:bookmarkStart w:id="862" w:name="_Toc140393930"/>
      <w:r>
        <w:rPr>
          <w:rStyle w:val="CharSectno"/>
        </w:rPr>
        <w:t>98</w:t>
      </w:r>
      <w:r>
        <w:t>.</w:t>
      </w:r>
      <w:r>
        <w:tab/>
        <w:t>Social services</w:t>
      </w:r>
      <w:bookmarkEnd w:id="859"/>
      <w:bookmarkEnd w:id="860"/>
      <w:bookmarkEnd w:id="861"/>
      <w:bookmarkEnd w:id="862"/>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863" w:name="_Toc85881312"/>
      <w:bookmarkStart w:id="864" w:name="_Toc128368733"/>
      <w:bookmarkStart w:id="865" w:name="_Toc140893399"/>
      <w:bookmarkStart w:id="866" w:name="_Toc140393931"/>
      <w:r>
        <w:rPr>
          <w:rStyle w:val="CharSectno"/>
        </w:rPr>
        <w:t>99</w:t>
      </w:r>
      <w:r>
        <w:t>.</w:t>
      </w:r>
      <w:r>
        <w:tab/>
        <w:t>Information and advisory services</w:t>
      </w:r>
      <w:bookmarkEnd w:id="863"/>
      <w:bookmarkEnd w:id="864"/>
      <w:bookmarkEnd w:id="865"/>
      <w:bookmarkEnd w:id="866"/>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867" w:name="_Toc85881313"/>
      <w:bookmarkStart w:id="868" w:name="_Toc128368734"/>
      <w:bookmarkStart w:id="869" w:name="_Toc140893400"/>
      <w:bookmarkStart w:id="870" w:name="_Toc140393932"/>
      <w:r>
        <w:rPr>
          <w:rStyle w:val="CharSectno"/>
        </w:rPr>
        <w:t>100</w:t>
      </w:r>
      <w:r>
        <w:t>.</w:t>
      </w:r>
      <w:r>
        <w:tab/>
        <w:t>Financial assistance</w:t>
      </w:r>
      <w:bookmarkEnd w:id="867"/>
      <w:bookmarkEnd w:id="868"/>
      <w:bookmarkEnd w:id="869"/>
      <w:bookmarkEnd w:id="870"/>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871" w:name="_Toc128300861"/>
      <w:bookmarkStart w:id="872" w:name="_Toc128302889"/>
      <w:bookmarkStart w:id="873" w:name="_Toc128366821"/>
      <w:bookmarkStart w:id="874" w:name="_Toc128368735"/>
      <w:bookmarkStart w:id="875" w:name="_Toc128369115"/>
      <w:bookmarkStart w:id="876" w:name="_Toc128969452"/>
      <w:bookmarkStart w:id="877" w:name="_Toc132620363"/>
      <w:bookmarkStart w:id="878" w:name="_Toc140377991"/>
      <w:bookmarkStart w:id="879" w:name="_Toc140393933"/>
      <w:bookmarkStart w:id="880" w:name="_Toc140893401"/>
      <w:r>
        <w:rPr>
          <w:rStyle w:val="CharDivNo"/>
        </w:rPr>
        <w:t>Division 7</w:t>
      </w:r>
      <w:r>
        <w:t xml:space="preserve"> — </w:t>
      </w:r>
      <w:r>
        <w:rPr>
          <w:rStyle w:val="CharDivText"/>
        </w:rPr>
        <w:t>Offences</w:t>
      </w:r>
      <w:bookmarkEnd w:id="871"/>
      <w:bookmarkEnd w:id="872"/>
      <w:bookmarkEnd w:id="873"/>
      <w:bookmarkEnd w:id="874"/>
      <w:bookmarkEnd w:id="875"/>
      <w:bookmarkEnd w:id="876"/>
      <w:bookmarkEnd w:id="877"/>
      <w:bookmarkEnd w:id="878"/>
      <w:bookmarkEnd w:id="879"/>
      <w:bookmarkEnd w:id="880"/>
    </w:p>
    <w:p>
      <w:pPr>
        <w:pStyle w:val="Heading4"/>
      </w:pPr>
      <w:bookmarkStart w:id="881" w:name="_Toc128300862"/>
      <w:bookmarkStart w:id="882" w:name="_Toc128302890"/>
      <w:bookmarkStart w:id="883" w:name="_Toc128366822"/>
      <w:bookmarkStart w:id="884" w:name="_Toc128368736"/>
      <w:bookmarkStart w:id="885" w:name="_Toc128369116"/>
      <w:bookmarkStart w:id="886" w:name="_Toc128969453"/>
      <w:bookmarkStart w:id="887" w:name="_Toc132620364"/>
      <w:bookmarkStart w:id="888" w:name="_Toc140377992"/>
      <w:bookmarkStart w:id="889" w:name="_Toc140393934"/>
      <w:bookmarkStart w:id="890" w:name="_Toc140893402"/>
      <w:r>
        <w:t>Subdivision 1 — Children generally</w:t>
      </w:r>
      <w:bookmarkEnd w:id="881"/>
      <w:bookmarkEnd w:id="882"/>
      <w:bookmarkEnd w:id="883"/>
      <w:bookmarkEnd w:id="884"/>
      <w:bookmarkEnd w:id="885"/>
      <w:bookmarkEnd w:id="886"/>
      <w:bookmarkEnd w:id="887"/>
      <w:bookmarkEnd w:id="888"/>
      <w:bookmarkEnd w:id="889"/>
      <w:bookmarkEnd w:id="890"/>
    </w:p>
    <w:p>
      <w:pPr>
        <w:pStyle w:val="Heading5"/>
      </w:pPr>
      <w:bookmarkStart w:id="891" w:name="_Hlt55723078"/>
      <w:bookmarkStart w:id="892" w:name="_Toc85881314"/>
      <w:bookmarkStart w:id="893" w:name="_Toc128368737"/>
      <w:bookmarkStart w:id="894" w:name="_Toc140893403"/>
      <w:bookmarkStart w:id="895" w:name="_Toc140393935"/>
      <w:bookmarkEnd w:id="891"/>
      <w:r>
        <w:rPr>
          <w:rStyle w:val="CharSectno"/>
        </w:rPr>
        <w:t>101</w:t>
      </w:r>
      <w:r>
        <w:t>.</w:t>
      </w:r>
      <w:r>
        <w:tab/>
        <w:t>Failing to protect child from harm</w:t>
      </w:r>
      <w:bookmarkEnd w:id="892"/>
      <w:bookmarkEnd w:id="893"/>
      <w:bookmarkEnd w:id="894"/>
      <w:bookmarkEnd w:id="895"/>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t>“</w:t>
      </w:r>
      <w:r>
        <w:rPr>
          <w:rStyle w:val="CharDefText"/>
        </w:rPr>
        <w:t>engage in conduct</w:t>
      </w:r>
      <w:r>
        <w:rPr>
          <w:b/>
        </w:rPr>
        <w:t>”</w:t>
      </w:r>
      <w:r>
        <w:t xml:space="preserve"> means — </w:t>
      </w:r>
    </w:p>
    <w:p>
      <w:pPr>
        <w:pStyle w:val="Defpara"/>
      </w:pPr>
      <w:r>
        <w:tab/>
        <w:t>(a)</w:t>
      </w:r>
      <w:r>
        <w:tab/>
        <w:t>to do an act; or</w:t>
      </w:r>
    </w:p>
    <w:p>
      <w:pPr>
        <w:pStyle w:val="Defpara"/>
      </w:pPr>
      <w:r>
        <w:tab/>
        <w:t>(b)</w:t>
      </w:r>
      <w:r>
        <w:tab/>
        <w:t>to omit to do an act;</w:t>
      </w:r>
    </w:p>
    <w:p>
      <w:pPr>
        <w:pStyle w:val="Defstart"/>
      </w:pPr>
      <w:r>
        <w:tab/>
      </w:r>
      <w:r>
        <w:rPr>
          <w:b/>
        </w:rPr>
        <w:t>“</w:t>
      </w:r>
      <w:r>
        <w:rPr>
          <w:rStyle w:val="CharDefText"/>
        </w:rPr>
        <w:t>harm</w:t>
      </w:r>
      <w:r>
        <w:rPr>
          <w:b/>
        </w:rPr>
        <w:t>”</w:t>
      </w:r>
      <w:r>
        <w:t xml:space="preserve"> has the meaning given to that term in section 28(1).</w:t>
      </w:r>
    </w:p>
    <w:p>
      <w:pPr>
        <w:pStyle w:val="Heading5"/>
      </w:pPr>
      <w:bookmarkStart w:id="896" w:name="_Toc438114765"/>
      <w:bookmarkStart w:id="897" w:name="_Toc85881315"/>
      <w:bookmarkStart w:id="898" w:name="_Toc128368738"/>
      <w:bookmarkStart w:id="899" w:name="_Toc140893404"/>
      <w:bookmarkStart w:id="900" w:name="_Toc140393936"/>
      <w:r>
        <w:rPr>
          <w:rStyle w:val="CharSectno"/>
        </w:rPr>
        <w:t>102</w:t>
      </w:r>
      <w:r>
        <w:t>.</w:t>
      </w:r>
      <w:r>
        <w:tab/>
        <w:t>Leaving child</w:t>
      </w:r>
      <w:bookmarkEnd w:id="896"/>
      <w:r>
        <w:t xml:space="preserve"> unsupervised in vehicle</w:t>
      </w:r>
      <w:bookmarkEnd w:id="897"/>
      <w:bookmarkEnd w:id="898"/>
      <w:bookmarkEnd w:id="899"/>
      <w:bookmarkEnd w:id="900"/>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$36 000 and imprisonment for 3 years.</w:t>
      </w:r>
    </w:p>
    <w:p>
      <w:pPr>
        <w:pStyle w:val="Heading5"/>
      </w:pPr>
      <w:bookmarkStart w:id="901" w:name="_Toc438114766"/>
      <w:bookmarkStart w:id="902" w:name="_Toc85881316"/>
      <w:bookmarkStart w:id="903" w:name="_Toc128368739"/>
      <w:bookmarkStart w:id="904" w:name="_Toc140893405"/>
      <w:bookmarkStart w:id="905" w:name="_Toc140393937"/>
      <w:r>
        <w:rPr>
          <w:rStyle w:val="CharSectno"/>
        </w:rPr>
        <w:t>103</w:t>
      </w:r>
      <w:r>
        <w:t>.</w:t>
      </w:r>
      <w:r>
        <w:tab/>
        <w:t>Tattooing</w:t>
      </w:r>
      <w:bookmarkEnd w:id="901"/>
      <w:r>
        <w:t xml:space="preserve"> or branding</w:t>
      </w:r>
      <w:bookmarkEnd w:id="902"/>
      <w:bookmarkEnd w:id="903"/>
      <w:bookmarkEnd w:id="904"/>
      <w:bookmarkEnd w:id="905"/>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rPr>
          <w:b/>
          <w:i/>
          <w:sz w:val="20"/>
        </w:rPr>
      </w:pPr>
      <w:r>
        <w:tab/>
        <w:t>Penalty: $12 000 and imprisonment for one year.</w:t>
      </w:r>
    </w:p>
    <w:p>
      <w:pPr>
        <w:pStyle w:val="Heading5"/>
      </w:pPr>
      <w:bookmarkStart w:id="906" w:name="_Toc85881317"/>
      <w:bookmarkStart w:id="907" w:name="_Toc128368740"/>
      <w:bookmarkStart w:id="908" w:name="_Toc140893406"/>
      <w:bookmarkStart w:id="909" w:name="_Toc140393938"/>
      <w:r>
        <w:rPr>
          <w:rStyle w:val="CharSectno"/>
        </w:rPr>
        <w:t>104</w:t>
      </w:r>
      <w:r>
        <w:t>.</w:t>
      </w:r>
      <w:r>
        <w:tab/>
        <w:t>Providing long</w:t>
      </w:r>
      <w:r>
        <w:noBreakHyphen/>
        <w:t>term care for young children</w:t>
      </w:r>
      <w:bookmarkEnd w:id="906"/>
      <w:bookmarkEnd w:id="907"/>
      <w:bookmarkEnd w:id="908"/>
      <w:bookmarkEnd w:id="909"/>
    </w:p>
    <w:p>
      <w:pPr>
        <w:pStyle w:val="Subsection"/>
      </w:pPr>
      <w:r>
        <w:tab/>
        <w:t>(1)</w:t>
      </w:r>
      <w:r>
        <w:tab/>
        <w:t>In this section —</w:t>
      </w:r>
    </w:p>
    <w:p>
      <w:pPr>
        <w:pStyle w:val="Defstart"/>
        <w:rPr>
          <w:ins w:id="910" w:author="svcMRProcess" w:date="2018-08-21T09:48:00Z"/>
        </w:rPr>
      </w:pPr>
      <w:ins w:id="911" w:author="svcMRProcess" w:date="2018-08-21T09:48:00Z">
        <w:r>
          <w:rPr>
            <w:b/>
          </w:rPr>
          <w:tab/>
          <w:t>“</w:t>
        </w:r>
        <w:r>
          <w:rPr>
            <w:rStyle w:val="CharDefText"/>
          </w:rPr>
          <w:t>parenting order</w:t>
        </w:r>
        <w:r>
          <w:rPr>
            <w:b/>
          </w:rPr>
          <w:t>”</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ins>
    </w:p>
    <w:p>
      <w:pPr>
        <w:pStyle w:val="Defpara"/>
        <w:rPr>
          <w:ins w:id="912" w:author="svcMRProcess" w:date="2018-08-21T09:48:00Z"/>
        </w:rPr>
      </w:pPr>
      <w:ins w:id="913" w:author="svcMRProcess" w:date="2018-08-21T09:48:00Z">
        <w:r>
          <w:tab/>
          <w:t>(a)</w:t>
        </w:r>
        <w:r>
          <w:tab/>
          <w:t>the person or persons with whom a child is to live; or</w:t>
        </w:r>
      </w:ins>
    </w:p>
    <w:p>
      <w:pPr>
        <w:pStyle w:val="Defpara"/>
        <w:rPr>
          <w:ins w:id="914" w:author="svcMRProcess" w:date="2018-08-21T09:48:00Z"/>
        </w:rPr>
      </w:pPr>
      <w:ins w:id="915" w:author="svcMRProcess" w:date="2018-08-21T09:48:00Z">
        <w:r>
          <w:tab/>
          <w:t>(b)</w:t>
        </w:r>
        <w:r>
          <w:tab/>
          <w:t>the time a child is to spend with another person or other persons; or</w:t>
        </w:r>
      </w:ins>
    </w:p>
    <w:p>
      <w:pPr>
        <w:pStyle w:val="Defpara"/>
        <w:rPr>
          <w:ins w:id="916" w:author="svcMRProcess" w:date="2018-08-21T09:48:00Z"/>
        </w:rPr>
      </w:pPr>
      <w:ins w:id="917" w:author="svcMRProcess" w:date="2018-08-21T09:48:00Z">
        <w:r>
          <w:tab/>
          <w:t>(c)</w:t>
        </w:r>
        <w:r>
          <w:tab/>
          <w:t>the communication a child is to have with another person or other persons; or</w:t>
        </w:r>
      </w:ins>
    </w:p>
    <w:p>
      <w:pPr>
        <w:pStyle w:val="Defpara"/>
        <w:rPr>
          <w:ins w:id="918" w:author="svcMRProcess" w:date="2018-08-21T09:48:00Z"/>
        </w:rPr>
      </w:pPr>
      <w:ins w:id="919" w:author="svcMRProcess" w:date="2018-08-21T09:48:00Z">
        <w:r>
          <w:tab/>
          <w:t>(d)</w:t>
        </w:r>
        <w:r>
          <w:tab/>
          <w:t>the allocation of parental responsibility for a child;</w:t>
        </w:r>
      </w:ins>
    </w:p>
    <w:p>
      <w:pPr>
        <w:pStyle w:val="Defstart"/>
      </w:pPr>
      <w:r>
        <w:tab/>
      </w:r>
      <w:r>
        <w:rPr>
          <w:b/>
        </w:rPr>
        <w:t>“</w:t>
      </w:r>
      <w:r>
        <w:rPr>
          <w:rStyle w:val="CharDefText"/>
        </w:rPr>
        <w:t>prescribed period</w:t>
      </w:r>
      <w:r>
        <w:rPr>
          <w:b/>
        </w:rPr>
        <w:t>”</w:t>
      </w:r>
      <w:r>
        <w:t xml:space="preserve">, in relation to — </w:t>
      </w:r>
    </w:p>
    <w:p>
      <w:pPr>
        <w:pStyle w:val="Defpara"/>
      </w:pPr>
      <w:r>
        <w:tab/>
        <w:t>(a)</w:t>
      </w:r>
      <w:r>
        <w:tab/>
        <w:t>a child who is under 12 months of age, means one month; or</w:t>
      </w:r>
    </w:p>
    <w:p>
      <w:pPr>
        <w:pStyle w:val="Defpara"/>
      </w:pPr>
      <w:r>
        <w:tab/>
        <w:t>(b)</w:t>
      </w:r>
      <w:r>
        <w:tab/>
        <w:t>any other young child, means a period of 3 consecutive months;</w:t>
      </w:r>
    </w:p>
    <w:p>
      <w:pPr>
        <w:pStyle w:val="Defstart"/>
      </w:pPr>
      <w:r>
        <w:tab/>
      </w:r>
      <w:r>
        <w:rPr>
          <w:b/>
        </w:rPr>
        <w:t>“</w:t>
      </w:r>
      <w:r>
        <w:rPr>
          <w:rStyle w:val="CharDefText"/>
        </w:rPr>
        <w:t>provide care</w:t>
      </w:r>
      <w:r>
        <w:rPr>
          <w:b/>
        </w:rPr>
        <w:t>”</w:t>
      </w:r>
      <w:r>
        <w:t>, in relation to a young child, means to exercise responsibility for the day</w:t>
      </w:r>
      <w:r>
        <w:noBreakHyphen/>
        <w:t>to</w:t>
      </w:r>
      <w:r>
        <w:noBreakHyphen/>
        <w:t>day care, welfare and development of the child;</w:t>
      </w:r>
    </w:p>
    <w:p>
      <w:pPr>
        <w:pStyle w:val="Defstart"/>
        <w:rPr>
          <w:del w:id="920" w:author="svcMRProcess" w:date="2018-08-21T09:48:00Z"/>
        </w:rPr>
      </w:pPr>
      <w:del w:id="921" w:author="svcMRProcess" w:date="2018-08-21T09:48:00Z">
        <w:r>
          <w:tab/>
        </w:r>
        <w:r>
          <w:rPr>
            <w:b/>
          </w:rPr>
          <w:delText>“</w:delText>
        </w:r>
        <w:r>
          <w:rPr>
            <w:rStyle w:val="CharDefText"/>
          </w:rPr>
          <w:delText>residence order</w:delText>
        </w:r>
        <w:r>
          <w:rPr>
            <w:b/>
          </w:rPr>
          <w:delText>”</w:delText>
        </w:r>
        <w:r>
          <w:delText xml:space="preserve"> means a residence order made under the </w:delText>
        </w:r>
        <w:r>
          <w:rPr>
            <w:i/>
          </w:rPr>
          <w:delText>Family Law Act 1975</w:delText>
        </w:r>
        <w:r>
          <w:delText xml:space="preserve"> of the Commonwealth or the</w:delText>
        </w:r>
        <w:r>
          <w:rPr>
            <w:i/>
          </w:rPr>
          <w:delText xml:space="preserve"> Family Court Act 1997</w:delText>
        </w:r>
        <w:r>
          <w:delText>;</w:delText>
        </w:r>
      </w:del>
    </w:p>
    <w:p>
      <w:pPr>
        <w:pStyle w:val="Defstart"/>
        <w:rPr>
          <w:del w:id="922" w:author="svcMRProcess" w:date="2018-08-21T09:48:00Z"/>
        </w:rPr>
      </w:pPr>
      <w:del w:id="923" w:author="svcMRProcess" w:date="2018-08-21T09:48:00Z">
        <w:r>
          <w:tab/>
        </w:r>
        <w:r>
          <w:rPr>
            <w:b/>
          </w:rPr>
          <w:delText>“</w:delText>
        </w:r>
        <w:r>
          <w:rPr>
            <w:rStyle w:val="CharDefText"/>
          </w:rPr>
          <w:delText>specific issues order</w:delText>
        </w:r>
        <w:r>
          <w:rPr>
            <w:b/>
          </w:rPr>
          <w:delText>”</w:delText>
        </w:r>
        <w:r>
          <w:delText xml:space="preserve"> means a specific issues order made under the </w:delText>
        </w:r>
        <w:r>
          <w:rPr>
            <w:i/>
          </w:rPr>
          <w:delText>Family Law Act 1975</w:delText>
        </w:r>
        <w:r>
          <w:delText xml:space="preserve"> of the Commonwealth or the </w:delText>
        </w:r>
        <w:r>
          <w:rPr>
            <w:i/>
          </w:rPr>
          <w:delText>Family Court Act 1997</w:delText>
        </w:r>
        <w:r>
          <w:delText xml:space="preserve"> which confers responsibility for the day</w:delText>
        </w:r>
        <w:r>
          <w:noBreakHyphen/>
          <w:delText>to</w:delText>
        </w:r>
        <w:r>
          <w:noBreakHyphen/>
          <w:delText>day care, welfare and development of a child;</w:delText>
        </w:r>
      </w:del>
    </w:p>
    <w:p>
      <w:pPr>
        <w:pStyle w:val="Defstart"/>
      </w:pPr>
      <w:r>
        <w:tab/>
      </w:r>
      <w:r>
        <w:rPr>
          <w:b/>
        </w:rPr>
        <w:t>“</w:t>
      </w:r>
      <w:r>
        <w:rPr>
          <w:rStyle w:val="CharDefText"/>
        </w:rPr>
        <w:t>young child</w:t>
      </w:r>
      <w:r>
        <w:rPr>
          <w:b/>
        </w:rPr>
        <w:t>”</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w:t>
      </w:r>
    </w:p>
    <w:p>
      <w:pPr>
        <w:pStyle w:val="Indenta"/>
      </w:pPr>
      <w:r>
        <w:tab/>
        <w:t>(b)</w:t>
      </w:r>
      <w:r>
        <w:tab/>
        <w:t>an adult relative of the child;</w:t>
      </w:r>
    </w:p>
    <w:p>
      <w:pPr>
        <w:pStyle w:val="Indenta"/>
      </w:pPr>
      <w:r>
        <w:tab/>
        <w:t>(c)</w:t>
      </w:r>
      <w:r>
        <w:tab/>
        <w:t>a carer of the child;</w:t>
      </w:r>
    </w:p>
    <w:p>
      <w:pPr>
        <w:pStyle w:val="Indenta"/>
      </w:pPr>
      <w:r>
        <w:tab/>
        <w:t>(d)</w:t>
      </w:r>
      <w:r>
        <w:tab/>
        <w:t xml:space="preserve">a person who has made an application for a </w:t>
      </w:r>
      <w:del w:id="924" w:author="svcMRProcess" w:date="2018-08-21T09:48:00Z">
        <w:r>
          <w:delText>residence order or specific issues</w:delText>
        </w:r>
      </w:del>
      <w:ins w:id="925" w:author="svcMRProcess" w:date="2018-08-21T09:48:00Z">
        <w:r>
          <w:t>parenting</w:t>
        </w:r>
      </w:ins>
      <w:r>
        <w:t xml:space="preserve"> order in relation to the child, at any time before the application is finally determined;</w:t>
      </w:r>
    </w:p>
    <w:p>
      <w:pPr>
        <w:pStyle w:val="Indenta"/>
      </w:pPr>
      <w:r>
        <w:tab/>
        <w:t>(e)</w:t>
      </w:r>
      <w:r>
        <w:tab/>
        <w:t xml:space="preserve">a person in whose favour a </w:t>
      </w:r>
      <w:del w:id="926" w:author="svcMRProcess" w:date="2018-08-21T09:48:00Z">
        <w:r>
          <w:delText>residence order or specific issues</w:delText>
        </w:r>
      </w:del>
      <w:ins w:id="927" w:author="svcMRProcess" w:date="2018-08-21T09:48:00Z">
        <w:r>
          <w:t>parenting</w:t>
        </w:r>
      </w:ins>
      <w:r>
        <w:t xml:space="preserve"> order has been made in relation to the child, while the order is in force; or</w:t>
      </w:r>
    </w:p>
    <w:p>
      <w:pPr>
        <w:pStyle w:val="Indenta"/>
      </w:pPr>
      <w:r>
        <w:tab/>
        <w:t>(f)</w:t>
      </w:r>
      <w:r>
        <w:tab/>
        <w:t>a person who is providing care for the child in accordance with an approval under subsection </w:t>
      </w:r>
      <w:bookmarkStart w:id="928" w:name="_Hlt41716336"/>
      <w:r>
        <w:t>(3)</w:t>
      </w:r>
      <w:bookmarkEnd w:id="928"/>
      <w:r>
        <w:t>.</w:t>
      </w:r>
    </w:p>
    <w:p>
      <w:pPr>
        <w:pStyle w:val="Penstart"/>
        <w:rPr>
          <w:b/>
          <w:i/>
          <w:sz w:val="20"/>
        </w:rPr>
      </w:pPr>
      <w:r>
        <w:tab/>
        <w:t>Penalty: $12 000 and imprisonment for one year.</w:t>
      </w:r>
    </w:p>
    <w:p>
      <w:pPr>
        <w:pStyle w:val="Subsection"/>
      </w:pPr>
      <w:r>
        <w:tab/>
      </w:r>
      <w:bookmarkStart w:id="929" w:name="_Hlt39908640"/>
      <w:bookmarkEnd w:id="929"/>
      <w:r>
        <w:t>(3)</w:t>
      </w:r>
      <w:r>
        <w:tab/>
        <w:t>The CEO may give a person approval to provide care for a young child.</w:t>
      </w:r>
    </w:p>
    <w:p>
      <w:pPr>
        <w:pStyle w:val="Subsection"/>
      </w:pPr>
      <w:r>
        <w:tab/>
        <w:t>(4)</w:t>
      </w:r>
      <w:r>
        <w:tab/>
        <w:t>An approval under subsection (3) —</w:t>
      </w:r>
    </w:p>
    <w:p>
      <w:pPr>
        <w:pStyle w:val="Indenta"/>
      </w:pPr>
      <w:r>
        <w:tab/>
        <w:t>(a)</w:t>
      </w:r>
      <w:r>
        <w:tab/>
        <w:t>must be in writing;</w:t>
      </w:r>
    </w:p>
    <w:p>
      <w:pPr>
        <w:pStyle w:val="Indenta"/>
      </w:pPr>
      <w:r>
        <w:tab/>
        <w:t>(b)</w:t>
      </w:r>
      <w:r>
        <w:tab/>
        <w:t>has effect for such period not exceeding 12 months as is specified in the approval;</w:t>
      </w:r>
    </w:p>
    <w:p>
      <w:pPr>
        <w:pStyle w:val="Indenta"/>
      </w:pPr>
      <w:r>
        <w:tab/>
        <w:t>(c)</w:t>
      </w:r>
      <w:r>
        <w:tab/>
        <w:t xml:space="preserve">may be subject to such conditions as the CEO considers appropriate; </w:t>
      </w:r>
    </w:p>
    <w:p>
      <w:pPr>
        <w:pStyle w:val="Indenta"/>
      </w:pPr>
      <w:r>
        <w:tab/>
        <w:t>(d)</w:t>
      </w:r>
      <w:r>
        <w:tab/>
        <w:t>may be revoked at any time; and</w:t>
      </w:r>
    </w:p>
    <w:p>
      <w:pPr>
        <w:pStyle w:val="Indenta"/>
      </w:pPr>
      <w:r>
        <w:tab/>
        <w:t>(e)</w:t>
      </w:r>
      <w:r>
        <w:tab/>
        <w:t>cannot be renewed.</w:t>
      </w:r>
    </w:p>
    <w:p>
      <w:pPr>
        <w:pStyle w:val="Footnotesection"/>
        <w:rPr>
          <w:ins w:id="930" w:author="svcMRProcess" w:date="2018-08-21T09:48:00Z"/>
        </w:rPr>
      </w:pPr>
      <w:ins w:id="931" w:author="svcMRProcess" w:date="2018-08-21T09:48:00Z">
        <w:r>
          <w:tab/>
          <w:t>[Section 104 amended by No. 35 of 2006 s. 201.]</w:t>
        </w:r>
      </w:ins>
    </w:p>
    <w:p>
      <w:pPr>
        <w:pStyle w:val="Heading4"/>
      </w:pPr>
      <w:bookmarkStart w:id="932" w:name="_Toc128300867"/>
      <w:bookmarkStart w:id="933" w:name="_Toc128302895"/>
      <w:bookmarkStart w:id="934" w:name="_Toc128366827"/>
      <w:bookmarkStart w:id="935" w:name="_Toc128368741"/>
      <w:bookmarkStart w:id="936" w:name="_Toc128369121"/>
      <w:bookmarkStart w:id="937" w:name="_Toc128969458"/>
      <w:bookmarkStart w:id="938" w:name="_Toc132620369"/>
      <w:bookmarkStart w:id="939" w:name="_Toc140377997"/>
      <w:bookmarkStart w:id="940" w:name="_Toc140393939"/>
      <w:bookmarkStart w:id="941" w:name="_Toc140893407"/>
      <w:r>
        <w:t>Subdivision 2 — Children under placement arrangements</w:t>
      </w:r>
      <w:bookmarkEnd w:id="932"/>
      <w:bookmarkEnd w:id="933"/>
      <w:bookmarkEnd w:id="934"/>
      <w:bookmarkEnd w:id="935"/>
      <w:bookmarkEnd w:id="936"/>
      <w:bookmarkEnd w:id="937"/>
      <w:bookmarkEnd w:id="938"/>
      <w:bookmarkEnd w:id="939"/>
      <w:bookmarkEnd w:id="940"/>
      <w:bookmarkEnd w:id="941"/>
    </w:p>
    <w:p>
      <w:pPr>
        <w:pStyle w:val="Heading5"/>
      </w:pPr>
      <w:bookmarkStart w:id="942" w:name="_Toc85881318"/>
      <w:bookmarkStart w:id="943" w:name="_Toc128368742"/>
      <w:bookmarkStart w:id="944" w:name="_Toc140893408"/>
      <w:bookmarkStart w:id="945" w:name="_Toc140393940"/>
      <w:r>
        <w:rPr>
          <w:rStyle w:val="CharSectno"/>
        </w:rPr>
        <w:t>105</w:t>
      </w:r>
      <w:r>
        <w:t>.</w:t>
      </w:r>
      <w:r>
        <w:tab/>
        <w:t>Terms used in this Subdivision</w:t>
      </w:r>
      <w:bookmarkEnd w:id="942"/>
      <w:bookmarkEnd w:id="943"/>
      <w:bookmarkEnd w:id="944"/>
      <w:bookmarkEnd w:id="945"/>
    </w:p>
    <w:p>
      <w:pPr>
        <w:pStyle w:val="Subsection"/>
      </w:pPr>
      <w:r>
        <w:tab/>
        <w:t>(1)</w:t>
      </w:r>
      <w:r>
        <w:tab/>
        <w:t xml:space="preserve">In this Subdivision — </w:t>
      </w:r>
    </w:p>
    <w:p>
      <w:pPr>
        <w:pStyle w:val="Defstart"/>
      </w:pPr>
      <w:r>
        <w:tab/>
      </w:r>
      <w:r>
        <w:rPr>
          <w:b/>
        </w:rPr>
        <w:t>“</w:t>
      </w:r>
      <w:r>
        <w:rPr>
          <w:rStyle w:val="CharDefText"/>
        </w:rPr>
        <w:t>child</w:t>
      </w:r>
      <w:r>
        <w:rPr>
          <w:b/>
        </w:rPr>
        <w:t>”</w:t>
      </w:r>
      <w:r>
        <w:t xml:space="preserve"> means a child who is the subject of a placement arrangement;</w:t>
      </w:r>
    </w:p>
    <w:p>
      <w:pPr>
        <w:pStyle w:val="Defstart"/>
      </w:pPr>
      <w:r>
        <w:tab/>
      </w:r>
      <w:r>
        <w:rPr>
          <w:b/>
        </w:rPr>
        <w:t>“</w:t>
      </w:r>
      <w:r>
        <w:rPr>
          <w:rStyle w:val="CharDefText"/>
        </w:rPr>
        <w:t>place of residence</w:t>
      </w:r>
      <w:r>
        <w:rPr>
          <w:b/>
        </w:rPr>
        <w:t>”</w:t>
      </w:r>
      <w:r>
        <w:t>, in relation to a child, means the place where the child lives under a placement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Heading5"/>
      </w:pPr>
      <w:bookmarkStart w:id="946" w:name="_Toc85881319"/>
      <w:bookmarkStart w:id="947" w:name="_Toc128368743"/>
      <w:bookmarkStart w:id="948" w:name="_Toc140893409"/>
      <w:bookmarkStart w:id="949" w:name="_Toc140393941"/>
      <w:r>
        <w:rPr>
          <w:rStyle w:val="CharSectno"/>
        </w:rPr>
        <w:t>106</w:t>
      </w:r>
      <w:r>
        <w:t>.</w:t>
      </w:r>
      <w:r>
        <w:tab/>
        <w:t>Removing child from State</w:t>
      </w:r>
      <w:bookmarkEnd w:id="946"/>
      <w:bookmarkEnd w:id="947"/>
      <w:bookmarkEnd w:id="948"/>
      <w:bookmarkEnd w:id="949"/>
    </w:p>
    <w:p>
      <w:pPr>
        <w:pStyle w:val="Subsection"/>
      </w:pPr>
      <w:r>
        <w:tab/>
      </w:r>
      <w:r>
        <w:tab/>
        <w:t>A person must not, without lawful authority, remove a child, or cause or permit a child to be removed, from the State.</w:t>
      </w:r>
    </w:p>
    <w:p>
      <w:pPr>
        <w:pStyle w:val="Penstart"/>
      </w:pPr>
      <w:r>
        <w:tab/>
        <w:t>Penalty: $24 000 and imprisonment for 2 years.</w:t>
      </w:r>
    </w:p>
    <w:p>
      <w:pPr>
        <w:pStyle w:val="Heading5"/>
      </w:pPr>
      <w:bookmarkStart w:id="950" w:name="_Toc85881320"/>
      <w:bookmarkStart w:id="951" w:name="_Toc128368744"/>
      <w:bookmarkStart w:id="952" w:name="_Toc140893410"/>
      <w:bookmarkStart w:id="953" w:name="_Toc140393942"/>
      <w:r>
        <w:rPr>
          <w:rStyle w:val="CharSectno"/>
        </w:rPr>
        <w:t>107</w:t>
      </w:r>
      <w:r>
        <w:t>.</w:t>
      </w:r>
      <w:r>
        <w:tab/>
        <w:t>Removing child from place of residence</w:t>
      </w:r>
      <w:bookmarkEnd w:id="950"/>
      <w:bookmarkEnd w:id="951"/>
      <w:bookmarkEnd w:id="952"/>
      <w:bookmarkEnd w:id="953"/>
    </w:p>
    <w:p>
      <w:pPr>
        <w:pStyle w:val="Subsection"/>
      </w:pPr>
      <w:r>
        <w:tab/>
        <w:t>(1)</w:t>
      </w:r>
      <w:r>
        <w:tab/>
        <w:t xml:space="preserve">In this section — </w:t>
      </w:r>
    </w:p>
    <w:p>
      <w:pPr>
        <w:pStyle w:val="Defstart"/>
      </w:pPr>
      <w:r>
        <w:tab/>
      </w:r>
      <w:r>
        <w:rPr>
          <w:b/>
        </w:rPr>
        <w:t>“</w:t>
      </w:r>
      <w:r>
        <w:rPr>
          <w:rStyle w:val="CharDefText"/>
        </w:rPr>
        <w:t>another law</w:t>
      </w:r>
      <w:r>
        <w:rPr>
          <w:b/>
        </w:rPr>
        <w:t>”</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rPr>
          <w:b/>
          <w:i/>
          <w:sz w:val="20"/>
        </w:rPr>
      </w:pPr>
      <w:r>
        <w:tab/>
        <w:t>Penalty: $12 000 and imprisonment for one year.</w:t>
      </w:r>
    </w:p>
    <w:p>
      <w:pPr>
        <w:pStyle w:val="Subsection"/>
      </w:pPr>
      <w:r>
        <w:tab/>
        <w:t>(3)</w:t>
      </w:r>
      <w:r>
        <w:tab/>
        <w:t>A person must not, without lawful authority, counsel, induce or assist a child to leave the child’s place of residence.</w:t>
      </w:r>
    </w:p>
    <w:p>
      <w:pPr>
        <w:pStyle w:val="Penstart"/>
        <w:rPr>
          <w:b/>
          <w:i/>
          <w:sz w:val="20"/>
        </w:rPr>
      </w:pPr>
      <w:r>
        <w:tab/>
        <w:t>Penalty: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Heading5"/>
      </w:pPr>
      <w:bookmarkStart w:id="954" w:name="_Toc85881321"/>
      <w:bookmarkStart w:id="955" w:name="_Toc128368745"/>
      <w:bookmarkStart w:id="956" w:name="_Toc140893411"/>
      <w:bookmarkStart w:id="957" w:name="_Toc140393943"/>
      <w:r>
        <w:rPr>
          <w:rStyle w:val="CharSectno"/>
        </w:rPr>
        <w:t>108</w:t>
      </w:r>
      <w:r>
        <w:t>.</w:t>
      </w:r>
      <w:r>
        <w:tab/>
        <w:t>Harbouring child</w:t>
      </w:r>
      <w:bookmarkEnd w:id="954"/>
      <w:bookmarkEnd w:id="955"/>
      <w:bookmarkEnd w:id="956"/>
      <w:bookmarkEnd w:id="957"/>
    </w:p>
    <w:p>
      <w:pPr>
        <w:pStyle w:val="Subsection"/>
      </w:pPr>
      <w:r>
        <w:tab/>
      </w:r>
      <w:r>
        <w:tab/>
        <w:t>A person must not harbour a child if the person knows that the child has left, or has been removed from, the child’s place of residence without lawful authority.</w:t>
      </w:r>
    </w:p>
    <w:p>
      <w:pPr>
        <w:pStyle w:val="Penstart"/>
        <w:rPr>
          <w:b/>
          <w:i/>
          <w:sz w:val="20"/>
        </w:rPr>
      </w:pPr>
      <w:r>
        <w:tab/>
        <w:t>Penalty: $12 000 and imprisonment for one year.</w:t>
      </w:r>
    </w:p>
    <w:p>
      <w:pPr>
        <w:pStyle w:val="Heading5"/>
      </w:pPr>
      <w:bookmarkStart w:id="958" w:name="_Toc85881322"/>
      <w:bookmarkStart w:id="959" w:name="_Toc128368746"/>
      <w:bookmarkStart w:id="960" w:name="_Toc140893412"/>
      <w:bookmarkStart w:id="961" w:name="_Toc140393944"/>
      <w:r>
        <w:rPr>
          <w:rStyle w:val="CharSectno"/>
        </w:rPr>
        <w:t>109</w:t>
      </w:r>
      <w:r>
        <w:t>.</w:t>
      </w:r>
      <w:r>
        <w:tab/>
        <w:t>Preventing child’s return</w:t>
      </w:r>
      <w:bookmarkEnd w:id="958"/>
      <w:bookmarkEnd w:id="959"/>
      <w:bookmarkEnd w:id="960"/>
      <w:bookmarkEnd w:id="961"/>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rPr>
          <w:b/>
          <w:i/>
          <w:sz w:val="20"/>
        </w:rPr>
      </w:pPr>
      <w:r>
        <w:tab/>
        <w:t>Penalty: $12 000 and imprisonment for one year.</w:t>
      </w:r>
    </w:p>
    <w:p>
      <w:pPr>
        <w:pStyle w:val="Heading5"/>
      </w:pPr>
      <w:bookmarkStart w:id="962" w:name="_Toc85881323"/>
      <w:bookmarkStart w:id="963" w:name="_Toc128368747"/>
      <w:bookmarkStart w:id="964" w:name="_Toc140893413"/>
      <w:bookmarkStart w:id="965" w:name="_Toc140393945"/>
      <w:r>
        <w:rPr>
          <w:rStyle w:val="CharSectno"/>
        </w:rPr>
        <w:t>110</w:t>
      </w:r>
      <w:r>
        <w:t>.</w:t>
      </w:r>
      <w:r>
        <w:tab/>
        <w:t>CEO may prohibit communication with child</w:t>
      </w:r>
      <w:bookmarkEnd w:id="962"/>
      <w:bookmarkEnd w:id="963"/>
      <w:bookmarkEnd w:id="964"/>
      <w:bookmarkEnd w:id="965"/>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$6 000.</w:t>
      </w:r>
    </w:p>
    <w:p>
      <w:pPr>
        <w:pStyle w:val="Heading5"/>
        <w:rPr>
          <w:rStyle w:val="CharSectno"/>
        </w:rPr>
      </w:pPr>
      <w:bookmarkStart w:id="966" w:name="_Toc140893414"/>
      <w:bookmarkStart w:id="967" w:name="_Toc140393946"/>
      <w:r>
        <w:rPr>
          <w:rStyle w:val="CharSectno"/>
        </w:rPr>
        <w:t>111.</w:t>
      </w:r>
      <w:r>
        <w:rPr>
          <w:rStyle w:val="CharSectno"/>
        </w:rPr>
        <w:tab/>
        <w:t>Evidentiary provision</w:t>
      </w:r>
      <w:bookmarkEnd w:id="966"/>
      <w:bookmarkEnd w:id="967"/>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pPr>
      <w:r>
        <w:tab/>
        <w:t>[Section 111 amended by No. 84 of 2004 s. 80.]</w:t>
      </w:r>
    </w:p>
    <w:p>
      <w:pPr>
        <w:pStyle w:val="Heading3"/>
      </w:pPr>
      <w:bookmarkStart w:id="968" w:name="_Toc128300875"/>
      <w:bookmarkStart w:id="969" w:name="_Toc128302903"/>
      <w:bookmarkStart w:id="970" w:name="_Toc128366835"/>
      <w:bookmarkStart w:id="971" w:name="_Toc128368749"/>
      <w:bookmarkStart w:id="972" w:name="_Toc128369129"/>
      <w:bookmarkStart w:id="973" w:name="_Toc128969466"/>
      <w:bookmarkStart w:id="974" w:name="_Toc132620377"/>
      <w:bookmarkStart w:id="975" w:name="_Toc140378005"/>
      <w:bookmarkStart w:id="976" w:name="_Toc140393947"/>
      <w:bookmarkStart w:id="977" w:name="_Toc140893415"/>
      <w:r>
        <w:rPr>
          <w:rStyle w:val="CharDivNo"/>
        </w:rPr>
        <w:t xml:space="preserve">Division </w:t>
      </w:r>
      <w:bookmarkStart w:id="978" w:name="_Hlt58044179"/>
      <w:bookmarkEnd w:id="978"/>
      <w:r>
        <w:rPr>
          <w:rStyle w:val="CharDivNo"/>
        </w:rPr>
        <w:t>8</w:t>
      </w:r>
      <w:r>
        <w:t> — </w:t>
      </w:r>
      <w:r>
        <w:rPr>
          <w:rStyle w:val="CharDivText"/>
        </w:rPr>
        <w:t>Powers of restraint, search and seizure</w:t>
      </w:r>
      <w:bookmarkEnd w:id="968"/>
      <w:bookmarkEnd w:id="969"/>
      <w:bookmarkEnd w:id="970"/>
      <w:bookmarkEnd w:id="971"/>
      <w:bookmarkEnd w:id="972"/>
      <w:bookmarkEnd w:id="973"/>
      <w:bookmarkEnd w:id="974"/>
      <w:bookmarkEnd w:id="975"/>
      <w:bookmarkEnd w:id="976"/>
      <w:bookmarkEnd w:id="977"/>
    </w:p>
    <w:p>
      <w:pPr>
        <w:pStyle w:val="Heading5"/>
      </w:pPr>
      <w:bookmarkStart w:id="979" w:name="_Toc85881325"/>
      <w:bookmarkStart w:id="980" w:name="_Toc128368750"/>
      <w:bookmarkStart w:id="981" w:name="_Toc140893416"/>
      <w:bookmarkStart w:id="982" w:name="_Toc140393948"/>
      <w:r>
        <w:rPr>
          <w:rStyle w:val="CharSectno"/>
        </w:rPr>
        <w:t>112</w:t>
      </w:r>
      <w:r>
        <w:t>.</w:t>
      </w:r>
      <w:r>
        <w:tab/>
        <w:t>Terms used in this Division</w:t>
      </w:r>
      <w:bookmarkEnd w:id="979"/>
      <w:bookmarkEnd w:id="980"/>
      <w:bookmarkEnd w:id="981"/>
      <w:bookmarkEnd w:id="982"/>
    </w:p>
    <w:p>
      <w:pPr>
        <w:pStyle w:val="Subsection"/>
      </w:pPr>
      <w:r>
        <w:tab/>
      </w:r>
      <w:r>
        <w:tab/>
        <w:t>In this Division —</w:t>
      </w:r>
    </w:p>
    <w:p>
      <w:pPr>
        <w:pStyle w:val="Defstart"/>
      </w:pPr>
      <w:r>
        <w:tab/>
      </w:r>
      <w:r>
        <w:rPr>
          <w:b/>
        </w:rPr>
        <w:t>“</w:t>
      </w:r>
      <w:r>
        <w:rPr>
          <w:rStyle w:val="CharDefText"/>
        </w:rPr>
        <w:t>disposable article</w:t>
      </w:r>
      <w:r>
        <w:rPr>
          <w:b/>
        </w:rPr>
        <w:t>”</w:t>
      </w:r>
      <w:r>
        <w:t xml:space="preserve"> means — </w:t>
      </w:r>
    </w:p>
    <w:p>
      <w:pPr>
        <w:pStyle w:val="Defpara"/>
      </w:pPr>
      <w:r>
        <w:tab/>
        <w:t>(a)</w:t>
      </w:r>
      <w:r>
        <w:tab/>
        <w:t>a disposable hypodermic needle or syringe;</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b/>
        </w:rPr>
        <w:t>“</w:t>
      </w:r>
      <w:r>
        <w:rPr>
          <w:rStyle w:val="CharDefText"/>
        </w:rPr>
        <w:t>firearm</w:t>
      </w:r>
      <w:r>
        <w:rPr>
          <w:b/>
        </w:rPr>
        <w:t>”</w:t>
      </w:r>
      <w:r>
        <w:t xml:space="preserve"> has the meaning given to that term in the </w:t>
      </w:r>
      <w:r>
        <w:rPr>
          <w:i/>
        </w:rPr>
        <w:t>Firearms Act 1973</w:t>
      </w:r>
      <w:r>
        <w:t xml:space="preserve"> section 4;</w:t>
      </w:r>
    </w:p>
    <w:p>
      <w:pPr>
        <w:pStyle w:val="Defstart"/>
      </w:pPr>
      <w:r>
        <w:tab/>
      </w:r>
      <w:r>
        <w:rPr>
          <w:b/>
        </w:rPr>
        <w:t>“</w:t>
      </w:r>
      <w:r>
        <w:rPr>
          <w:rStyle w:val="CharDefText"/>
        </w:rPr>
        <w:t>intoxicant</w:t>
      </w:r>
      <w:r>
        <w:rPr>
          <w:b/>
        </w:rPr>
        <w: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rPr>
          <w:b/>
        </w:rPr>
        <w:tab/>
        <w:t>“</w:t>
      </w:r>
      <w:r>
        <w:rPr>
          <w:rStyle w:val="CharDefText"/>
        </w:rPr>
        <w:t>officer</w:t>
      </w:r>
      <w:r>
        <w:rPr>
          <w:b/>
        </w:rPr>
        <w:t>”</w:t>
      </w:r>
      <w:r>
        <w:t xml:space="preserve"> means an authorised officer or a police officer;</w:t>
      </w:r>
    </w:p>
    <w:p>
      <w:pPr>
        <w:pStyle w:val="Defstart"/>
      </w:pPr>
      <w:r>
        <w:tab/>
      </w:r>
      <w:r>
        <w:rPr>
          <w:b/>
        </w:rPr>
        <w:t>“</w:t>
      </w:r>
      <w:r>
        <w:rPr>
          <w:rStyle w:val="CharDefText"/>
        </w:rPr>
        <w:t>prohibited article</w:t>
      </w:r>
      <w:r>
        <w:rPr>
          <w:b/>
        </w:rPr>
        <w:t>”</w:t>
      </w:r>
      <w:r>
        <w:t xml:space="preserve"> means a prohibited drug or a prohibited plant as those terms are defined in the </w:t>
      </w:r>
      <w:r>
        <w:rPr>
          <w:i/>
        </w:rPr>
        <w:t>Misuse of Drugs Act 1981</w:t>
      </w:r>
      <w:r>
        <w:t xml:space="preserve"> section 3(1);</w:t>
      </w:r>
    </w:p>
    <w:p>
      <w:pPr>
        <w:pStyle w:val="Defstart"/>
      </w:pPr>
      <w:r>
        <w:tab/>
      </w:r>
      <w:r>
        <w:rPr>
          <w:b/>
        </w:rPr>
        <w:t>“</w:t>
      </w:r>
      <w:r>
        <w:rPr>
          <w:rStyle w:val="CharDefText"/>
        </w:rPr>
        <w:t>weapon</w:t>
      </w:r>
      <w:r>
        <w:rPr>
          <w:b/>
        </w:rPr>
        <w:t>”</w:t>
      </w:r>
      <w:r>
        <w:t xml:space="preserve"> means a controlled weapon or a prohibited weapon as those terms are defined in the </w:t>
      </w:r>
      <w:r>
        <w:rPr>
          <w:i/>
        </w:rPr>
        <w:t>Weapons Act 1999</w:t>
      </w:r>
      <w:r>
        <w:t xml:space="preserve"> section 3.</w:t>
      </w:r>
    </w:p>
    <w:p>
      <w:pPr>
        <w:pStyle w:val="Heading5"/>
      </w:pPr>
      <w:bookmarkStart w:id="983" w:name="_Toc85881326"/>
      <w:bookmarkStart w:id="984" w:name="_Toc128368751"/>
      <w:bookmarkStart w:id="985" w:name="_Toc140893417"/>
      <w:bookmarkStart w:id="986" w:name="_Toc140393949"/>
      <w:r>
        <w:rPr>
          <w:rStyle w:val="CharSectno"/>
        </w:rPr>
        <w:t>113</w:t>
      </w:r>
      <w:r>
        <w:t>.</w:t>
      </w:r>
      <w:r>
        <w:tab/>
        <w:t>Prerequisites for exercise of power</w:t>
      </w:r>
      <w:bookmarkEnd w:id="983"/>
      <w:bookmarkEnd w:id="984"/>
      <w:bookmarkEnd w:id="985"/>
      <w:bookmarkEnd w:id="986"/>
    </w:p>
    <w:p>
      <w:pPr>
        <w:pStyle w:val="Subsection"/>
      </w:pPr>
      <w:r>
        <w:tab/>
        <w:t>(1)</w:t>
      </w:r>
      <w:r>
        <w:tab/>
        <w:t xml:space="preserve">The powers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The powers conferred by this Division may be exercised by a police officer only if — </w:t>
      </w:r>
    </w:p>
    <w:p>
      <w:pPr>
        <w:pStyle w:val="Indenta"/>
      </w:pPr>
      <w:r>
        <w:tab/>
        <w:t>(a)</w:t>
      </w:r>
      <w:r>
        <w:tab/>
        <w:t>the child concerned is being moved, or has been moved, to a safe place under section 41;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Heading5"/>
      </w:pPr>
      <w:bookmarkStart w:id="987" w:name="_Toc85881327"/>
      <w:bookmarkStart w:id="988" w:name="_Toc128368752"/>
      <w:bookmarkStart w:id="989" w:name="_Toc140893418"/>
      <w:bookmarkStart w:id="990" w:name="_Toc140393950"/>
      <w:r>
        <w:rPr>
          <w:rStyle w:val="CharSectno"/>
        </w:rPr>
        <w:t>114</w:t>
      </w:r>
      <w:r>
        <w:t>.</w:t>
      </w:r>
      <w:r>
        <w:tab/>
        <w:t>Child may be restrained</w:t>
      </w:r>
      <w:bookmarkEnd w:id="987"/>
      <w:bookmarkEnd w:id="988"/>
      <w:bookmarkEnd w:id="989"/>
      <w:bookmarkEnd w:id="990"/>
    </w:p>
    <w:p>
      <w:pPr>
        <w:pStyle w:val="Subsection"/>
      </w:pPr>
      <w:r>
        <w:tab/>
      </w:r>
      <w:r>
        <w:tab/>
        <w:t xml:space="preserve">An officer may restrain a child but only for the period, and to the extent, necessary, in the opinion of the officer, to prevent the child — </w:t>
      </w:r>
    </w:p>
    <w:p>
      <w:pPr>
        <w:pStyle w:val="Indenta"/>
      </w:pPr>
      <w:r>
        <w:tab/>
        <w:t>(a)</w:t>
      </w:r>
      <w:r>
        <w:tab/>
        <w:t>endangering the health or safety of the child or another person; or</w:t>
      </w:r>
    </w:p>
    <w:p>
      <w:pPr>
        <w:pStyle w:val="Indenta"/>
      </w:pPr>
      <w:r>
        <w:tab/>
        <w:t>(b)</w:t>
      </w:r>
      <w:r>
        <w:tab/>
        <w:t>causing serious damage to property.</w:t>
      </w:r>
    </w:p>
    <w:p>
      <w:pPr>
        <w:pStyle w:val="Heading5"/>
      </w:pPr>
      <w:bookmarkStart w:id="991" w:name="_Toc85881328"/>
      <w:bookmarkStart w:id="992" w:name="_Toc128368753"/>
      <w:bookmarkStart w:id="993" w:name="_Toc140893419"/>
      <w:bookmarkStart w:id="994" w:name="_Toc140393951"/>
      <w:r>
        <w:rPr>
          <w:rStyle w:val="CharSectno"/>
        </w:rPr>
        <w:t>115</w:t>
      </w:r>
      <w:r>
        <w:t>.</w:t>
      </w:r>
      <w:r>
        <w:tab/>
        <w:t>Child may be searched</w:t>
      </w:r>
      <w:bookmarkEnd w:id="991"/>
      <w:bookmarkEnd w:id="992"/>
      <w:bookmarkEnd w:id="993"/>
      <w:bookmarkEnd w:id="994"/>
    </w:p>
    <w:p>
      <w:pPr>
        <w:pStyle w:val="Subsection"/>
      </w:pPr>
      <w:r>
        <w:tab/>
        <w:t>(1)</w:t>
      </w:r>
      <w:r>
        <w:tab/>
        <w:t>An officer may search a child, and any thing found on or with the child, for any thing or substance that can be seized under section 116.</w:t>
      </w:r>
    </w:p>
    <w:p>
      <w:pPr>
        <w:pStyle w:val="Subsection"/>
      </w:pPr>
      <w:r>
        <w:tab/>
        <w:t>(2)</w:t>
      </w:r>
      <w:r>
        <w:tab/>
        <w:t xml:space="preserve">The search of a child must be done — </w:t>
      </w:r>
    </w:p>
    <w:p>
      <w:pPr>
        <w:pStyle w:val="Indenta"/>
      </w:pPr>
      <w:r>
        <w:tab/>
        <w:t>(a)</w:t>
      </w:r>
      <w:r>
        <w:tab/>
        <w:t>by an officer,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officer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officer.</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Heading5"/>
      </w:pPr>
      <w:bookmarkStart w:id="995" w:name="_Toc85881329"/>
      <w:bookmarkStart w:id="996" w:name="_Toc128368754"/>
      <w:bookmarkStart w:id="997" w:name="_Toc140893420"/>
      <w:bookmarkStart w:id="998" w:name="_Toc140393952"/>
      <w:r>
        <w:rPr>
          <w:rStyle w:val="CharSectno"/>
        </w:rPr>
        <w:t>116</w:t>
      </w:r>
      <w:r>
        <w:t>.</w:t>
      </w:r>
      <w:r>
        <w:tab/>
        <w:t>Certain articles may be seized</w:t>
      </w:r>
      <w:bookmarkEnd w:id="995"/>
      <w:bookmarkEnd w:id="996"/>
      <w:bookmarkEnd w:id="997"/>
      <w:bookmarkEnd w:id="998"/>
    </w:p>
    <w:p>
      <w:pPr>
        <w:pStyle w:val="Subsection"/>
        <w:keepNext/>
      </w:pPr>
      <w:r>
        <w:tab/>
      </w:r>
      <w:r>
        <w:tab/>
        <w:t>An officer may seize from a child any thing or substance the seizure of which is necessary, in the opinion of the officer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Heading5"/>
      </w:pPr>
      <w:bookmarkStart w:id="999" w:name="_Toc85881330"/>
      <w:bookmarkStart w:id="1000" w:name="_Toc128368755"/>
      <w:bookmarkStart w:id="1001" w:name="_Toc140893421"/>
      <w:bookmarkStart w:id="1002" w:name="_Toc140393953"/>
      <w:r>
        <w:rPr>
          <w:rStyle w:val="CharSectno"/>
        </w:rPr>
        <w:t>117</w:t>
      </w:r>
      <w:r>
        <w:t>.</w:t>
      </w:r>
      <w:r>
        <w:tab/>
        <w:t>How seized articles to be dealt with</w:t>
      </w:r>
      <w:bookmarkEnd w:id="999"/>
      <w:bookmarkEnd w:id="1000"/>
      <w:bookmarkEnd w:id="1001"/>
      <w:bookmarkEnd w:id="1002"/>
    </w:p>
    <w:p>
      <w:pPr>
        <w:pStyle w:val="Subsection"/>
      </w:pPr>
      <w:r>
        <w:tab/>
        <w:t>(1)</w:t>
      </w:r>
      <w:r>
        <w:tab/>
        <w:t xml:space="preserve">In this section — </w:t>
      </w:r>
    </w:p>
    <w:p>
      <w:pPr>
        <w:pStyle w:val="Defstart"/>
      </w:pPr>
      <w:r>
        <w:tab/>
      </w:r>
      <w:r>
        <w:rPr>
          <w:b/>
        </w:rPr>
        <w:t>“</w:t>
      </w:r>
      <w:r>
        <w:rPr>
          <w:rStyle w:val="CharDefText"/>
        </w:rPr>
        <w:t>seized</w:t>
      </w:r>
      <w:r>
        <w:rPr>
          <w:b/>
        </w:rPr>
        <w:t>”</w:t>
      </w:r>
      <w:r>
        <w:t xml:space="preserve"> means seized under section 116.</w:t>
      </w:r>
    </w:p>
    <w:p>
      <w:pPr>
        <w:pStyle w:val="Subsection"/>
      </w:pPr>
      <w:r>
        <w:tab/>
        <w:t>(2)</w:t>
      </w:r>
      <w:r>
        <w:tab/>
        <w:t>If a firearm, weapon or prohibited article is seized from a child by an authorised officer, the authorised officer must deliver it into the custody of a police officer as soon as practicable after it is seized.</w:t>
      </w:r>
    </w:p>
    <w:p>
      <w:pPr>
        <w:pStyle w:val="Subsection"/>
      </w:pPr>
      <w:r>
        <w:tab/>
        <w:t>(3)</w:t>
      </w:r>
      <w:r>
        <w:tab/>
        <w:t>If a disposable article or an intoxicant (other than a prohibited article) is seized from a child, an officer may destroy it.</w:t>
      </w:r>
    </w:p>
    <w:p>
      <w:pPr>
        <w:pStyle w:val="Subsection"/>
      </w:pPr>
      <w:r>
        <w:tab/>
        <w:t>(4)</w:t>
      </w:r>
      <w:r>
        <w:tab/>
        <w:t xml:space="preserve">Any thing or substance seized from a child that is not dealt with under subsection (2) or (3) — </w:t>
      </w:r>
    </w:p>
    <w:p>
      <w:pPr>
        <w:pStyle w:val="Indenta"/>
      </w:pPr>
      <w:r>
        <w:tab/>
        <w:t>(a)</w:t>
      </w:r>
      <w:r>
        <w:tab/>
        <w:t xml:space="preserve">must be kept in safe keeping for such period as an officer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officer must deal with the thing or substance in accordance with the regulations.</w:t>
      </w:r>
    </w:p>
    <w:p>
      <w:pPr>
        <w:pStyle w:val="Heading5"/>
      </w:pPr>
      <w:bookmarkStart w:id="1003" w:name="_Toc85881331"/>
      <w:bookmarkStart w:id="1004" w:name="_Toc128368756"/>
      <w:bookmarkStart w:id="1005" w:name="_Toc140893422"/>
      <w:bookmarkStart w:id="1006" w:name="_Toc140393954"/>
      <w:r>
        <w:rPr>
          <w:rStyle w:val="CharSectno"/>
        </w:rPr>
        <w:t>118</w:t>
      </w:r>
      <w:r>
        <w:t>.</w:t>
      </w:r>
      <w:r>
        <w:tab/>
        <w:t>Use of reasonable force</w:t>
      </w:r>
      <w:bookmarkEnd w:id="1003"/>
      <w:bookmarkEnd w:id="1004"/>
      <w:bookmarkEnd w:id="1005"/>
      <w:bookmarkEnd w:id="1006"/>
    </w:p>
    <w:p>
      <w:pPr>
        <w:pStyle w:val="Subsection"/>
      </w:pPr>
      <w:r>
        <w:tab/>
      </w:r>
      <w:r>
        <w:tab/>
        <w:t>Reasonable force may be used to do a search under section 115 and to seize any thing or substance that can be seized under section 116.</w:t>
      </w:r>
    </w:p>
    <w:p>
      <w:pPr>
        <w:pStyle w:val="Heading5"/>
      </w:pPr>
      <w:bookmarkStart w:id="1007" w:name="_Toc85881332"/>
      <w:bookmarkStart w:id="1008" w:name="_Toc128368757"/>
      <w:bookmarkStart w:id="1009" w:name="_Toc140893423"/>
      <w:bookmarkStart w:id="1010" w:name="_Toc140393955"/>
      <w:r>
        <w:rPr>
          <w:rStyle w:val="CharSectno"/>
        </w:rPr>
        <w:t>119</w:t>
      </w:r>
      <w:r>
        <w:t>.</w:t>
      </w:r>
      <w:r>
        <w:tab/>
        <w:t>Prescribed procedures</w:t>
      </w:r>
      <w:bookmarkEnd w:id="1007"/>
      <w:bookmarkEnd w:id="1008"/>
      <w:bookmarkEnd w:id="1009"/>
      <w:bookmarkEnd w:id="1010"/>
    </w:p>
    <w:p>
      <w:pPr>
        <w:pStyle w:val="Subsection"/>
      </w:pPr>
      <w:r>
        <w:tab/>
      </w:r>
      <w:r>
        <w:tab/>
        <w:t>The regulations may prescribe procedures to be followed in relation to the exercise of the powers conferred by this Division, and an officer must ensure that those procedures are complied with when exercising those powers.</w:t>
      </w:r>
    </w:p>
    <w:p>
      <w:pPr>
        <w:pStyle w:val="Heading3"/>
      </w:pPr>
      <w:bookmarkStart w:id="1011" w:name="_Toc128300884"/>
      <w:bookmarkStart w:id="1012" w:name="_Toc128302912"/>
      <w:bookmarkStart w:id="1013" w:name="_Toc128366844"/>
      <w:bookmarkStart w:id="1014" w:name="_Toc128368758"/>
      <w:bookmarkStart w:id="1015" w:name="_Toc128369138"/>
      <w:bookmarkStart w:id="1016" w:name="_Toc128969475"/>
      <w:bookmarkStart w:id="1017" w:name="_Toc132620386"/>
      <w:bookmarkStart w:id="1018" w:name="_Toc140378014"/>
      <w:bookmarkStart w:id="1019" w:name="_Toc140393956"/>
      <w:bookmarkStart w:id="1020" w:name="_Toc140893424"/>
      <w:r>
        <w:rPr>
          <w:rStyle w:val="CharDivNo"/>
        </w:rPr>
        <w:t>Division 9</w:t>
      </w:r>
      <w:r>
        <w:t xml:space="preserve"> — </w:t>
      </w:r>
      <w:r>
        <w:rPr>
          <w:rStyle w:val="CharDivText"/>
        </w:rPr>
        <w:t>Warrants</w:t>
      </w:r>
      <w:bookmarkEnd w:id="1011"/>
      <w:bookmarkEnd w:id="1012"/>
      <w:bookmarkEnd w:id="1013"/>
      <w:bookmarkEnd w:id="1014"/>
      <w:bookmarkEnd w:id="1015"/>
      <w:bookmarkEnd w:id="1016"/>
      <w:bookmarkEnd w:id="1017"/>
      <w:bookmarkEnd w:id="1018"/>
      <w:bookmarkEnd w:id="1019"/>
      <w:bookmarkEnd w:id="1020"/>
    </w:p>
    <w:p>
      <w:pPr>
        <w:pStyle w:val="Heading5"/>
      </w:pPr>
      <w:bookmarkStart w:id="1021" w:name="_Hlt521833380"/>
      <w:bookmarkStart w:id="1022" w:name="_Toc85881333"/>
      <w:bookmarkStart w:id="1023" w:name="_Toc128368759"/>
      <w:bookmarkStart w:id="1024" w:name="_Toc140893425"/>
      <w:bookmarkStart w:id="1025" w:name="_Toc140393957"/>
      <w:bookmarkEnd w:id="1021"/>
      <w:r>
        <w:rPr>
          <w:rStyle w:val="CharSectno"/>
        </w:rPr>
        <w:t>120</w:t>
      </w:r>
      <w:r>
        <w:t>.</w:t>
      </w:r>
      <w:r>
        <w:tab/>
        <w:t>Applying for warrant</w:t>
      </w:r>
      <w:bookmarkEnd w:id="1022"/>
      <w:bookmarkEnd w:id="1023"/>
      <w:bookmarkEnd w:id="1024"/>
      <w:bookmarkEnd w:id="1025"/>
    </w:p>
    <w:p>
      <w:pPr>
        <w:pStyle w:val="Subsection"/>
      </w:pPr>
      <w:r>
        <w:tab/>
        <w:t>(1)</w:t>
      </w:r>
      <w:r>
        <w:tab/>
        <w:t xml:space="preserve">In this section — </w:t>
      </w:r>
    </w:p>
    <w:p>
      <w:pPr>
        <w:pStyle w:val="Defstart"/>
      </w:pPr>
      <w:r>
        <w:tab/>
      </w:r>
      <w:r>
        <w:rPr>
          <w:b/>
        </w:rPr>
        <w:t>“</w:t>
      </w:r>
      <w:r>
        <w:rPr>
          <w:rStyle w:val="CharDefText"/>
        </w:rPr>
        <w:t>remote communication</w:t>
      </w:r>
      <w:r>
        <w:rPr>
          <w:b/>
        </w:rPr>
        <w:t>”</w:t>
      </w:r>
      <w:r>
        <w:t xml:space="preserve"> means any way of communicating at a distance including by telephone, telephone typewriter, fax, email and radio.</w:t>
      </w:r>
    </w:p>
    <w:p>
      <w:pPr>
        <w:pStyle w:val="Subsection"/>
      </w:pPr>
      <w:r>
        <w:tab/>
        <w:t>(2)</w:t>
      </w:r>
      <w:r>
        <w:tab/>
        <w:t>This section applies to and in respect of an application for a warrant if another section in this Part requires the application to be made in accordance with this section.</w:t>
      </w:r>
    </w:p>
    <w:p>
      <w:pPr>
        <w:pStyle w:val="Subsection"/>
      </w:pPr>
      <w:r>
        <w:tab/>
        <w:t>(3)</w:t>
      </w:r>
      <w:r>
        <w:tab/>
        <w:t>The application must be made, and any information in support of it must be given, on oath.</w:t>
      </w:r>
    </w:p>
    <w:p>
      <w:pPr>
        <w:pStyle w:val="Subsection"/>
      </w:pPr>
      <w:r>
        <w:tab/>
        <w:t>(4)</w:t>
      </w:r>
      <w:r>
        <w:tab/>
        <w:t xml:space="preserve">The application must be made in person before a magistrate unless — </w:t>
      </w:r>
    </w:p>
    <w:p>
      <w:pPr>
        <w:pStyle w:val="Indenta"/>
      </w:pPr>
      <w:r>
        <w:tab/>
        <w:t>(a)</w:t>
      </w:r>
      <w:r>
        <w:tab/>
        <w:t>the warrant is needed urgently; and</w:t>
      </w:r>
    </w:p>
    <w:p>
      <w:pPr>
        <w:pStyle w:val="Indenta"/>
      </w:pPr>
      <w:r>
        <w:tab/>
        <w:t>(b)</w:t>
      </w:r>
      <w:r>
        <w:tab/>
        <w:t>the applicant reasonably believes that a magistrate is not known to be available within a reasonable distance of the applicant,</w:t>
      </w:r>
    </w:p>
    <w:p>
      <w:pPr>
        <w:pStyle w:val="Subsection"/>
      </w:pPr>
      <w:r>
        <w:tab/>
      </w:r>
      <w:r>
        <w:tab/>
        <w:t>in which case it may be made to a magistrate by remote communication.</w:t>
      </w:r>
    </w:p>
    <w:p>
      <w:pPr>
        <w:pStyle w:val="Subsection"/>
      </w:pPr>
      <w:r>
        <w:tab/>
        <w:t>(5)</w:t>
      </w:r>
      <w:r>
        <w:tab/>
        <w:t xml:space="preserve">If the application is made to a magistrate by remote communication — </w:t>
      </w:r>
    </w:p>
    <w:p>
      <w:pPr>
        <w:pStyle w:val="Indenta"/>
      </w:pPr>
      <w:r>
        <w:tab/>
        <w:t>(a)</w:t>
      </w:r>
      <w:r>
        <w:tab/>
        <w:t>the applicant must prepare a written application and if practicable send it to the magistrate;</w:t>
      </w:r>
    </w:p>
    <w:p>
      <w:pPr>
        <w:pStyle w:val="Indenta"/>
      </w:pPr>
      <w:r>
        <w:tab/>
        <w:t>(b)</w:t>
      </w:r>
      <w:r>
        <w:tab/>
        <w:t>if it is not practicable to send the written application to the magistrate, the applicant may make the application orally;</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magistrate must not grant the application unless satisfied that there are grounds under subsection (4) for the application not to be made in person.</w:t>
      </w:r>
    </w:p>
    <w:p>
      <w:pPr>
        <w:pStyle w:val="Subsection"/>
      </w:pPr>
      <w:r>
        <w:tab/>
        <w:t>(6)</w:t>
      </w:r>
      <w:r>
        <w:tab/>
        <w:t>If the application is made orally under subsection (5)(b), the magistrate must complete a written application.</w:t>
      </w:r>
    </w:p>
    <w:p>
      <w:pPr>
        <w:pStyle w:val="Subsection"/>
      </w:pPr>
      <w:r>
        <w:tab/>
        <w:t>(7)</w:t>
      </w:r>
      <w:r>
        <w:tab/>
        <w:t>If information in support of the application is given orally, the magistrate must make a record of it.</w:t>
      </w:r>
    </w:p>
    <w:p>
      <w:pPr>
        <w:pStyle w:val="Subsection"/>
      </w:pPr>
      <w:r>
        <w:tab/>
        <w:t>(8)</w:t>
      </w:r>
      <w:r>
        <w:tab/>
        <w:t xml:space="preserve">If — </w:t>
      </w:r>
    </w:p>
    <w:p>
      <w:pPr>
        <w:pStyle w:val="Indenta"/>
      </w:pPr>
      <w:r>
        <w:tab/>
        <w:t>(a)</w:t>
      </w:r>
      <w:r>
        <w:tab/>
        <w:t>the applicant gives the magistrate unsworn information under subsection (5)(c); and</w:t>
      </w:r>
    </w:p>
    <w:p>
      <w:pPr>
        <w:pStyle w:val="Indenta"/>
      </w:pPr>
      <w:r>
        <w:tab/>
        <w:t>(b)</w:t>
      </w:r>
      <w:r>
        <w:tab/>
        <w:t>the magistrate issues a warrant,</w:t>
      </w:r>
    </w:p>
    <w:p>
      <w:pPr>
        <w:pStyle w:val="Subsection"/>
      </w:pPr>
      <w:r>
        <w:tab/>
      </w:r>
      <w:r>
        <w:tab/>
        <w:t>the applicant must send the magistrate an affidavit containing all that information as soon as practicable after the warrant is issued.</w:t>
      </w:r>
    </w:p>
    <w:p>
      <w:pPr>
        <w:pStyle w:val="Subsection"/>
        <w:keepNext/>
      </w:pPr>
      <w:r>
        <w:tab/>
        <w:t>(9)</w:t>
      </w:r>
      <w:r>
        <w:tab/>
        <w:t xml:space="preserve">If the application is made by remote communication and the magistrate issues a warrant, then — </w:t>
      </w:r>
    </w:p>
    <w:p>
      <w:pPr>
        <w:pStyle w:val="Indenta"/>
      </w:pPr>
      <w:r>
        <w:tab/>
        <w:t>(a)</w:t>
      </w:r>
      <w:r>
        <w:tab/>
        <w:t>if it is reasonably practicable to send a copy of the warrant to the applicant by remote communication, the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magistrate must immediately give the applicant by remote communication any information that is required to be set out in the warrant;</w:t>
      </w:r>
    </w:p>
    <w:p>
      <w:pPr>
        <w:pStyle w:val="Indenti"/>
      </w:pPr>
      <w:r>
        <w:tab/>
        <w:t>(ii)</w:t>
      </w:r>
      <w:r>
        <w:tab/>
        <w:t>the applicant must complete a form of the warrant with the information given by the magistrate;</w:t>
      </w:r>
    </w:p>
    <w:p>
      <w:pPr>
        <w:pStyle w:val="Indenti"/>
      </w:pPr>
      <w:r>
        <w:tab/>
        <w:t>(iii)</w:t>
      </w:r>
      <w:r>
        <w:tab/>
        <w:t>the applicant must give the magistrate a copy of the completed form as soon as practicable after the warrant is issued; and</w:t>
      </w:r>
    </w:p>
    <w:p>
      <w:pPr>
        <w:pStyle w:val="Indenti"/>
      </w:pPr>
      <w:r>
        <w:tab/>
        <w:t>(iv)</w:t>
      </w:r>
      <w:r>
        <w:tab/>
        <w:t>the magistrate must attach the copy of the completed form to the original warrant issued by the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magistrate.</w:t>
      </w:r>
    </w:p>
    <w:p>
      <w:pPr>
        <w:pStyle w:val="Heading5"/>
      </w:pPr>
      <w:bookmarkStart w:id="1026" w:name="_Hlt39892174"/>
      <w:bookmarkStart w:id="1027" w:name="_Toc85881334"/>
      <w:bookmarkStart w:id="1028" w:name="_Toc128368760"/>
      <w:bookmarkStart w:id="1029" w:name="_Toc140893426"/>
      <w:bookmarkStart w:id="1030" w:name="_Toc140393958"/>
      <w:bookmarkEnd w:id="1026"/>
      <w:r>
        <w:rPr>
          <w:rStyle w:val="CharSectno"/>
        </w:rPr>
        <w:t>121</w:t>
      </w:r>
      <w:r>
        <w:t>.</w:t>
      </w:r>
      <w:r>
        <w:tab/>
        <w:t>Authority conferred by warrant (access)</w:t>
      </w:r>
      <w:bookmarkEnd w:id="1027"/>
      <w:bookmarkEnd w:id="1028"/>
      <w:bookmarkEnd w:id="1029"/>
      <w:bookmarkEnd w:id="1030"/>
    </w:p>
    <w:p>
      <w:pPr>
        <w:pStyle w:val="Subsection"/>
      </w:pPr>
      <w:r>
        <w:tab/>
        <w:t>(1)</w:t>
      </w:r>
      <w:r>
        <w:tab/>
        <w:t xml:space="preserve">In this section — </w:t>
      </w:r>
    </w:p>
    <w:p>
      <w:pPr>
        <w:pStyle w:val="Defstart"/>
      </w:pPr>
      <w:r>
        <w:tab/>
      </w:r>
      <w:r>
        <w:rPr>
          <w:b/>
        </w:rPr>
        <w:t>“</w:t>
      </w:r>
      <w:r>
        <w:rPr>
          <w:rStyle w:val="CharDefText"/>
        </w:rPr>
        <w:t>warrant (access)</w:t>
      </w:r>
      <w:r>
        <w:rPr>
          <w:b/>
        </w:rPr>
        <w:t>”</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(2)(2)(d) includes an entitlement to both see and talk with the child without a parent of the child or any other person being present.</w:t>
      </w:r>
    </w:p>
    <w:p>
      <w:pPr>
        <w:pStyle w:val="Heading5"/>
      </w:pPr>
      <w:bookmarkStart w:id="1031" w:name="_Hlt39899212"/>
      <w:bookmarkStart w:id="1032" w:name="_Toc85881335"/>
      <w:bookmarkStart w:id="1033" w:name="_Toc128368761"/>
      <w:bookmarkStart w:id="1034" w:name="_Toc140893427"/>
      <w:bookmarkStart w:id="1035" w:name="_Toc140393959"/>
      <w:bookmarkEnd w:id="1031"/>
      <w:r>
        <w:rPr>
          <w:rStyle w:val="CharSectno"/>
        </w:rPr>
        <w:t>122</w:t>
      </w:r>
      <w:r>
        <w:t>.</w:t>
      </w:r>
      <w:r>
        <w:tab/>
        <w:t>Authority conferred by warrant (apprehension)</w:t>
      </w:r>
      <w:bookmarkEnd w:id="1032"/>
      <w:bookmarkEnd w:id="1033"/>
      <w:bookmarkEnd w:id="1034"/>
      <w:bookmarkEnd w:id="1035"/>
    </w:p>
    <w:p>
      <w:pPr>
        <w:pStyle w:val="Subsection"/>
      </w:pPr>
      <w:r>
        <w:tab/>
        <w:t>(1)</w:t>
      </w:r>
      <w:r>
        <w:tab/>
        <w:t xml:space="preserve">In this section — </w:t>
      </w:r>
    </w:p>
    <w:p>
      <w:pPr>
        <w:pStyle w:val="Defstart"/>
      </w:pPr>
      <w:r>
        <w:tab/>
      </w:r>
      <w:r>
        <w:rPr>
          <w:b/>
        </w:rPr>
        <w:t>“</w:t>
      </w:r>
      <w:r>
        <w:rPr>
          <w:rStyle w:val="CharDefText"/>
        </w:rPr>
        <w:t>warrant (apprehension)</w:t>
      </w:r>
      <w:r>
        <w:rPr>
          <w:b/>
        </w:rPr>
        <w:t>”</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w:t>
      </w:r>
    </w:p>
    <w:p>
      <w:pPr>
        <w:pStyle w:val="Indenta"/>
        <w:spacing w:before="60"/>
      </w:pPr>
      <w:r>
        <w:tab/>
        <w:t>(b)</w:t>
      </w:r>
      <w:r>
        <w:tab/>
        <w:t>to search the place for the purpose of finding the child;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1036" w:name="_Hlt39892632"/>
      <w:bookmarkStart w:id="1037" w:name="_Toc85881336"/>
      <w:bookmarkStart w:id="1038" w:name="_Toc128368762"/>
      <w:bookmarkStart w:id="1039" w:name="_Toc140893428"/>
      <w:bookmarkStart w:id="1040" w:name="_Toc140393960"/>
      <w:bookmarkEnd w:id="1036"/>
      <w:r>
        <w:rPr>
          <w:rStyle w:val="CharSectno"/>
        </w:rPr>
        <w:t>123</w:t>
      </w:r>
      <w:r>
        <w:t>.</w:t>
      </w:r>
      <w:r>
        <w:tab/>
        <w:t>Authority conferred by warrant (provisional protection and care)</w:t>
      </w:r>
      <w:bookmarkEnd w:id="1037"/>
      <w:bookmarkEnd w:id="1038"/>
      <w:bookmarkEnd w:id="1039"/>
      <w:bookmarkEnd w:id="1040"/>
    </w:p>
    <w:p>
      <w:pPr>
        <w:pStyle w:val="Subsection"/>
        <w:keepNext/>
      </w:pPr>
      <w:r>
        <w:tab/>
        <w:t>(1)</w:t>
      </w:r>
      <w:r>
        <w:tab/>
        <w:t xml:space="preserve">In this section — </w:t>
      </w:r>
    </w:p>
    <w:p>
      <w:pPr>
        <w:pStyle w:val="Defstart"/>
      </w:pPr>
      <w:r>
        <w:tab/>
      </w:r>
      <w:r>
        <w:rPr>
          <w:b/>
        </w:rPr>
        <w:t>“</w:t>
      </w:r>
      <w:r>
        <w:rPr>
          <w:rStyle w:val="CharDefText"/>
        </w:rPr>
        <w:t>warrant (provisional protection and care)</w:t>
      </w:r>
      <w:r>
        <w:rPr>
          <w:b/>
        </w:rPr>
        <w:t>”</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pPr>
      <w:r>
        <w:tab/>
        <w:t>(a)</w:t>
      </w:r>
      <w:r>
        <w:tab/>
        <w:t>to enter, at any time, any place where the officer reasonably believes the child to be;</w:t>
      </w:r>
    </w:p>
    <w:p>
      <w:pPr>
        <w:pStyle w:val="Indenta"/>
      </w:pPr>
      <w:r>
        <w:tab/>
        <w:t>(b)</w:t>
      </w:r>
      <w:r>
        <w:tab/>
        <w:t>to search the place for the purpose of finding the child;</w:t>
      </w:r>
    </w:p>
    <w:p>
      <w:pPr>
        <w:pStyle w:val="Indenta"/>
      </w:pPr>
      <w:r>
        <w:tab/>
        <w:t>(c)</w:t>
      </w:r>
      <w:r>
        <w:tab/>
        <w:t>to remain at the place for as long as the officer considers reasonably necessary to find the child; and</w:t>
      </w:r>
    </w:p>
    <w:p>
      <w:pPr>
        <w:pStyle w:val="Indenta"/>
      </w:pPr>
      <w:r>
        <w:tab/>
        <w:t>(d)</w:t>
      </w:r>
      <w:r>
        <w:tab/>
        <w:t>if the child is found, to take the child into provisional protection and care and to such place as the CEO directs.</w:t>
      </w:r>
    </w:p>
    <w:p>
      <w:pPr>
        <w:pStyle w:val="Heading5"/>
      </w:pPr>
      <w:bookmarkStart w:id="1041" w:name="_Toc85881337"/>
      <w:bookmarkStart w:id="1042" w:name="_Toc128368763"/>
      <w:bookmarkStart w:id="1043" w:name="_Toc140893429"/>
      <w:bookmarkStart w:id="1044" w:name="_Toc140393961"/>
      <w:r>
        <w:rPr>
          <w:rStyle w:val="CharSectno"/>
        </w:rPr>
        <w:t>124</w:t>
      </w:r>
      <w:r>
        <w:t>.</w:t>
      </w:r>
      <w:r>
        <w:tab/>
        <w:t>Execution of warrant</w:t>
      </w:r>
      <w:bookmarkEnd w:id="1041"/>
      <w:bookmarkEnd w:id="1042"/>
      <w:bookmarkEnd w:id="1043"/>
      <w:bookmarkEnd w:id="1044"/>
    </w:p>
    <w:p>
      <w:pPr>
        <w:pStyle w:val="Subsection"/>
      </w:pPr>
      <w:r>
        <w:tab/>
        <w:t>(1)</w:t>
      </w:r>
      <w:r>
        <w:tab/>
        <w:t xml:space="preserve">When executing a warrant issued under this Part, an authorised officer or police officer, as the case may be — </w:t>
      </w:r>
    </w:p>
    <w:p>
      <w:pPr>
        <w:pStyle w:val="Indenta"/>
      </w:pPr>
      <w:r>
        <w:tab/>
        <w:t>(a)</w:t>
      </w:r>
      <w:r>
        <w:tab/>
        <w:t>may use reasonable force and assistance; and</w:t>
      </w:r>
    </w:p>
    <w:p>
      <w:pPr>
        <w:pStyle w:val="Indenta"/>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1045" w:name="_Toc128300890"/>
      <w:bookmarkStart w:id="1046" w:name="_Toc128302918"/>
      <w:bookmarkStart w:id="1047" w:name="_Toc128366850"/>
      <w:bookmarkStart w:id="1048" w:name="_Toc128368764"/>
      <w:bookmarkStart w:id="1049" w:name="_Toc128369144"/>
      <w:bookmarkStart w:id="1050" w:name="_Toc128969481"/>
      <w:bookmarkStart w:id="1051" w:name="_Toc132620392"/>
      <w:bookmarkStart w:id="1052" w:name="_Toc140378020"/>
      <w:bookmarkStart w:id="1053" w:name="_Toc140393962"/>
      <w:bookmarkStart w:id="1054" w:name="_Toc140893430"/>
      <w:r>
        <w:rPr>
          <w:rStyle w:val="CharDivNo"/>
        </w:rPr>
        <w:t>Division 10</w:t>
      </w:r>
      <w:r>
        <w:t xml:space="preserve"> — </w:t>
      </w:r>
      <w:r>
        <w:rPr>
          <w:rStyle w:val="CharDivText"/>
        </w:rPr>
        <w:t>General</w:t>
      </w:r>
      <w:bookmarkEnd w:id="1045"/>
      <w:bookmarkEnd w:id="1046"/>
      <w:bookmarkEnd w:id="1047"/>
      <w:bookmarkEnd w:id="1048"/>
      <w:bookmarkEnd w:id="1049"/>
      <w:bookmarkEnd w:id="1050"/>
      <w:bookmarkEnd w:id="1051"/>
      <w:bookmarkEnd w:id="1052"/>
      <w:bookmarkEnd w:id="1053"/>
      <w:bookmarkEnd w:id="1054"/>
    </w:p>
    <w:p>
      <w:pPr>
        <w:pStyle w:val="Heading5"/>
      </w:pPr>
      <w:bookmarkStart w:id="1055" w:name="_Toc85881338"/>
      <w:bookmarkStart w:id="1056" w:name="_Toc128368765"/>
      <w:bookmarkStart w:id="1057" w:name="_Toc140893431"/>
      <w:bookmarkStart w:id="1058" w:name="_Toc140393963"/>
      <w:r>
        <w:rPr>
          <w:rStyle w:val="CharSectno"/>
        </w:rPr>
        <w:t>125</w:t>
      </w:r>
      <w:r>
        <w:t>.</w:t>
      </w:r>
      <w:r>
        <w:tab/>
        <w:t>Access to child</w:t>
      </w:r>
      <w:bookmarkEnd w:id="1055"/>
      <w:bookmarkEnd w:id="1056"/>
      <w:bookmarkEnd w:id="1057"/>
      <w:bookmarkEnd w:id="1058"/>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1059" w:name="_Toc85881339"/>
      <w:bookmarkStart w:id="1060" w:name="_Toc128368766"/>
      <w:bookmarkStart w:id="1061" w:name="_Toc140893432"/>
      <w:bookmarkStart w:id="1062" w:name="_Toc140393964"/>
      <w:r>
        <w:rPr>
          <w:rStyle w:val="CharSectno"/>
        </w:rPr>
        <w:t>126</w:t>
      </w:r>
      <w:r>
        <w:t>.</w:t>
      </w:r>
      <w:r>
        <w:tab/>
        <w:t>Recovery of certain expenditure</w:t>
      </w:r>
      <w:bookmarkEnd w:id="1059"/>
      <w:bookmarkEnd w:id="1060"/>
      <w:bookmarkEnd w:id="1061"/>
      <w:bookmarkEnd w:id="1062"/>
    </w:p>
    <w:p>
      <w:pPr>
        <w:pStyle w:val="Subsection"/>
      </w:pPr>
      <w:r>
        <w:tab/>
        <w:t>(1)</w:t>
      </w:r>
      <w:r>
        <w:tab/>
        <w:t>In this section —</w:t>
      </w:r>
    </w:p>
    <w:p>
      <w:pPr>
        <w:pStyle w:val="Defstart"/>
      </w:pPr>
      <w:r>
        <w:tab/>
      </w:r>
      <w:r>
        <w:rPr>
          <w:b/>
        </w:rPr>
        <w:t>“</w:t>
      </w:r>
      <w:r>
        <w:rPr>
          <w:rStyle w:val="CharDefText"/>
        </w:rPr>
        <w:t>child</w:t>
      </w:r>
      <w:r>
        <w:rPr>
          <w:b/>
        </w:rPr>
        <w:t>”</w:t>
      </w:r>
      <w:r>
        <w:t xml:space="preserve"> means a child —</w:t>
      </w:r>
    </w:p>
    <w:p>
      <w:pPr>
        <w:pStyle w:val="Defpara"/>
      </w:pPr>
      <w:r>
        <w:tab/>
        <w:t>(a)</w:t>
      </w:r>
      <w:r>
        <w:tab/>
        <w:t>who is in provisional protection and care;</w:t>
      </w:r>
    </w:p>
    <w:p>
      <w:pPr>
        <w:pStyle w:val="Defpara"/>
      </w:pPr>
      <w:r>
        <w:tab/>
        <w:t>(b)</w:t>
      </w:r>
      <w:r>
        <w:tab/>
        <w:t>who is the subject of a protection order (supervision);</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1063" w:name="_Toc438114786"/>
      <w:bookmarkStart w:id="1064" w:name="_Toc85881340"/>
      <w:bookmarkStart w:id="1065" w:name="_Toc128368767"/>
      <w:bookmarkStart w:id="1066" w:name="_Toc140893433"/>
      <w:bookmarkStart w:id="1067" w:name="_Toc140393965"/>
      <w:r>
        <w:rPr>
          <w:rStyle w:val="CharSectno"/>
        </w:rPr>
        <w:t>127</w:t>
      </w:r>
      <w:r>
        <w:t>.</w:t>
      </w:r>
      <w:r>
        <w:tab/>
        <w:t>Power of CEO to give consent</w:t>
      </w:r>
      <w:bookmarkEnd w:id="1063"/>
      <w:bookmarkEnd w:id="1064"/>
      <w:bookmarkEnd w:id="1065"/>
      <w:bookmarkEnd w:id="1066"/>
      <w:bookmarkEnd w:id="1067"/>
    </w:p>
    <w:p>
      <w:pPr>
        <w:pStyle w:val="Subsection"/>
      </w:pPr>
      <w:r>
        <w:tab/>
      </w:r>
      <w:r>
        <w:tab/>
        <w:t>In any case where the consent of a parent of a child is required or customarily sought, the CEO may, in writing signed by the CEO, give that consent in relation to —</w:t>
      </w:r>
    </w:p>
    <w:p>
      <w:pPr>
        <w:pStyle w:val="Indenta"/>
      </w:pPr>
      <w:r>
        <w:tab/>
        <w:t>(a)</w:t>
      </w:r>
      <w:r>
        <w:tab/>
        <w:t>a child who is the subject of a protection order (time</w:t>
      </w:r>
      <w:r>
        <w:noBreakHyphen/>
        <w:t>limited) or protection order (until 18); or</w:t>
      </w:r>
    </w:p>
    <w:p>
      <w:pPr>
        <w:pStyle w:val="Indenta"/>
      </w:pPr>
      <w:r>
        <w:tab/>
        <w:t>(b)</w:t>
      </w:r>
      <w:r>
        <w:tab/>
        <w:t>a child who is the subject of a negotiated placement agreement if the agreement authorises the CEO to do so.</w:t>
      </w:r>
    </w:p>
    <w:p>
      <w:pPr>
        <w:pStyle w:val="Heading5"/>
      </w:pPr>
      <w:bookmarkStart w:id="1068" w:name="_Hlt55636554"/>
      <w:bookmarkStart w:id="1069" w:name="_Toc85881341"/>
      <w:bookmarkStart w:id="1070" w:name="_Toc128368768"/>
      <w:bookmarkStart w:id="1071" w:name="_Toc140893434"/>
      <w:bookmarkStart w:id="1072" w:name="_Toc140393966"/>
      <w:bookmarkEnd w:id="1068"/>
      <w:r>
        <w:rPr>
          <w:rStyle w:val="CharSectno"/>
        </w:rPr>
        <w:t>128</w:t>
      </w:r>
      <w:r>
        <w:t>.</w:t>
      </w:r>
      <w:r>
        <w:tab/>
        <w:t>Records</w:t>
      </w:r>
      <w:bookmarkEnd w:id="1069"/>
      <w:bookmarkEnd w:id="1070"/>
      <w:bookmarkEnd w:id="1071"/>
      <w:bookmarkEnd w:id="1072"/>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1073" w:name="_Toc438114716"/>
      <w:bookmarkStart w:id="1074" w:name="_Toc85881342"/>
      <w:bookmarkStart w:id="1075" w:name="_Toc128368769"/>
      <w:bookmarkStart w:id="1076" w:name="_Toc140893435"/>
      <w:bookmarkStart w:id="1077" w:name="_Toc140393967"/>
      <w:r>
        <w:rPr>
          <w:rStyle w:val="CharSectno"/>
        </w:rPr>
        <w:t>129</w:t>
      </w:r>
      <w:r>
        <w:t>.</w:t>
      </w:r>
      <w:r>
        <w:tab/>
        <w:t>Protection from liability for giving information</w:t>
      </w:r>
      <w:bookmarkEnd w:id="1073"/>
      <w:bookmarkEnd w:id="1074"/>
      <w:bookmarkEnd w:id="1075"/>
      <w:bookmarkEnd w:id="1076"/>
      <w:bookmarkEnd w:id="1077"/>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w:t>
      </w:r>
    </w:p>
    <w:p>
      <w:pPr>
        <w:pStyle w:val="Indenta"/>
      </w:pPr>
      <w:r>
        <w:tab/>
        <w:t>(b)</w:t>
      </w:r>
      <w:r>
        <w:tab/>
        <w:t>gives information to the CEO or another officer for the purposes of, or in connection with, an investigation referred to in section 32(1)(d);</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1078" w:name="_Hlt54333853"/>
      <w:r>
        <w:t>40(6)</w:t>
      </w:r>
      <w:bookmarkEnd w:id="1078"/>
      <w:r>
        <w:t>.</w:t>
      </w:r>
    </w:p>
    <w:p>
      <w:pPr>
        <w:pStyle w:val="Subsection"/>
      </w:pPr>
      <w:r>
        <w:tab/>
        <w:t>(2)</w:t>
      </w:r>
      <w:r>
        <w:tab/>
        <w:t>In giving the information the person —</w:t>
      </w:r>
    </w:p>
    <w:p>
      <w:pPr>
        <w:pStyle w:val="Indenta"/>
      </w:pPr>
      <w:r>
        <w:tab/>
        <w:t>(a)</w:t>
      </w:r>
      <w:r>
        <w:tab/>
        <w:t>does not incur any civil or criminal liability;</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to have engaged in unprofessional conduct.</w:t>
      </w:r>
    </w:p>
    <w:p>
      <w:pPr>
        <w:pStyle w:val="Heading5"/>
      </w:pPr>
      <w:bookmarkStart w:id="1079" w:name="_Toc85881343"/>
      <w:bookmarkStart w:id="1080" w:name="_Toc128368770"/>
      <w:bookmarkStart w:id="1081" w:name="_Toc140893436"/>
      <w:bookmarkStart w:id="1082" w:name="_Toc140393968"/>
      <w:r>
        <w:rPr>
          <w:rStyle w:val="CharSectno"/>
        </w:rPr>
        <w:t>130</w:t>
      </w:r>
      <w:r>
        <w:t>.</w:t>
      </w:r>
      <w:r>
        <w:tab/>
        <w:t>General powers of police officers not affected</w:t>
      </w:r>
      <w:bookmarkEnd w:id="1079"/>
      <w:bookmarkEnd w:id="1080"/>
      <w:bookmarkEnd w:id="1081"/>
      <w:bookmarkEnd w:id="1082"/>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1083" w:name="_Toc128300897"/>
      <w:bookmarkStart w:id="1084" w:name="_Toc128302925"/>
      <w:bookmarkStart w:id="1085" w:name="_Toc128366857"/>
      <w:bookmarkStart w:id="1086" w:name="_Toc128368771"/>
      <w:bookmarkStart w:id="1087" w:name="_Toc128369151"/>
      <w:bookmarkStart w:id="1088" w:name="_Toc128969488"/>
      <w:bookmarkStart w:id="1089" w:name="_Toc132620399"/>
      <w:bookmarkStart w:id="1090" w:name="_Toc140378027"/>
      <w:bookmarkStart w:id="1091" w:name="_Toc140393969"/>
      <w:bookmarkStart w:id="1092" w:name="_Toc140893437"/>
      <w:r>
        <w:rPr>
          <w:rStyle w:val="CharPartNo"/>
        </w:rPr>
        <w:t xml:space="preserve">Part </w:t>
      </w:r>
      <w:bookmarkStart w:id="1093" w:name="_Hlt55286211"/>
      <w:bookmarkEnd w:id="1093"/>
      <w:r>
        <w:rPr>
          <w:rStyle w:val="CharPartNo"/>
        </w:rPr>
        <w:t>5</w:t>
      </w:r>
      <w:r>
        <w:t> — </w:t>
      </w:r>
      <w:r>
        <w:rPr>
          <w:rStyle w:val="CharPartText"/>
        </w:rPr>
        <w:t>Protection proceedings</w:t>
      </w:r>
      <w:bookmarkEnd w:id="1083"/>
      <w:bookmarkEnd w:id="1084"/>
      <w:bookmarkEnd w:id="1085"/>
      <w:bookmarkEnd w:id="1086"/>
      <w:bookmarkEnd w:id="1087"/>
      <w:bookmarkEnd w:id="1088"/>
      <w:bookmarkEnd w:id="1089"/>
      <w:bookmarkEnd w:id="1090"/>
      <w:bookmarkEnd w:id="1091"/>
      <w:bookmarkEnd w:id="1092"/>
    </w:p>
    <w:p>
      <w:pPr>
        <w:pStyle w:val="Heading3"/>
      </w:pPr>
      <w:bookmarkStart w:id="1094" w:name="_Toc128300898"/>
      <w:bookmarkStart w:id="1095" w:name="_Toc128302926"/>
      <w:bookmarkStart w:id="1096" w:name="_Toc128366858"/>
      <w:bookmarkStart w:id="1097" w:name="_Toc128368772"/>
      <w:bookmarkStart w:id="1098" w:name="_Toc128369152"/>
      <w:bookmarkStart w:id="1099" w:name="_Toc128969489"/>
      <w:bookmarkStart w:id="1100" w:name="_Toc132620400"/>
      <w:bookmarkStart w:id="1101" w:name="_Toc140378028"/>
      <w:bookmarkStart w:id="1102" w:name="_Toc140393970"/>
      <w:bookmarkStart w:id="1103" w:name="_Toc140893438"/>
      <w:r>
        <w:rPr>
          <w:rStyle w:val="CharDivNo"/>
        </w:rPr>
        <w:t>Division 1</w:t>
      </w:r>
      <w:r>
        <w:t> — </w:t>
      </w:r>
      <w:r>
        <w:rPr>
          <w:rStyle w:val="CharDivText"/>
        </w:rPr>
        <w:t>Terms used in this Part</w:t>
      </w:r>
      <w:bookmarkEnd w:id="1094"/>
      <w:bookmarkEnd w:id="1095"/>
      <w:bookmarkEnd w:id="1096"/>
      <w:bookmarkEnd w:id="1097"/>
      <w:bookmarkEnd w:id="1098"/>
      <w:bookmarkEnd w:id="1099"/>
      <w:bookmarkEnd w:id="1100"/>
      <w:bookmarkEnd w:id="1101"/>
      <w:bookmarkEnd w:id="1102"/>
      <w:bookmarkEnd w:id="1103"/>
    </w:p>
    <w:p>
      <w:pPr>
        <w:pStyle w:val="Heading5"/>
      </w:pPr>
      <w:bookmarkStart w:id="1104" w:name="_Toc85881344"/>
      <w:bookmarkStart w:id="1105" w:name="_Toc128368773"/>
      <w:bookmarkStart w:id="1106" w:name="_Toc140893439"/>
      <w:bookmarkStart w:id="1107" w:name="_Toc140393971"/>
      <w:r>
        <w:rPr>
          <w:rStyle w:val="CharSectno"/>
        </w:rPr>
        <w:t>131</w:t>
      </w:r>
      <w:r>
        <w:t>.</w:t>
      </w:r>
      <w:r>
        <w:tab/>
        <w:t>Terms used in this Part</w:t>
      </w:r>
      <w:bookmarkEnd w:id="1104"/>
      <w:bookmarkEnd w:id="1105"/>
      <w:bookmarkEnd w:id="1106"/>
      <w:bookmarkEnd w:id="1107"/>
    </w:p>
    <w:p>
      <w:pPr>
        <w:pStyle w:val="Subsection"/>
      </w:pPr>
      <w:r>
        <w:tab/>
      </w:r>
      <w:r>
        <w:tab/>
        <w:t>In this Part, unless the contrary intention appears —</w:t>
      </w:r>
    </w:p>
    <w:p>
      <w:pPr>
        <w:pStyle w:val="Defstart"/>
      </w:pPr>
      <w:r>
        <w:tab/>
      </w:r>
      <w:r>
        <w:rPr>
          <w:b/>
        </w:rPr>
        <w:t>“</w:t>
      </w:r>
      <w:r>
        <w:rPr>
          <w:rStyle w:val="CharDefText"/>
        </w:rPr>
        <w:t>child</w:t>
      </w:r>
      <w:r>
        <w:rPr>
          <w:b/>
        </w:rPr>
        <w:t>”</w:t>
      </w:r>
      <w:r>
        <w:t>, in relation to protection proceedings, means the child who is the subject of those proceedings;</w:t>
      </w:r>
    </w:p>
    <w:p>
      <w:pPr>
        <w:pStyle w:val="Defstart"/>
      </w:pPr>
      <w:r>
        <w:tab/>
      </w:r>
      <w:r>
        <w:rPr>
          <w:b/>
        </w:rPr>
        <w:t>“</w:t>
      </w:r>
      <w:r>
        <w:rPr>
          <w:rStyle w:val="CharDefText"/>
        </w:rPr>
        <w:t>parent</w:t>
      </w:r>
      <w:r>
        <w:rPr>
          <w:b/>
        </w:rPr>
        <w: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1108" w:name="_Toc128300900"/>
      <w:bookmarkStart w:id="1109" w:name="_Toc128302928"/>
      <w:bookmarkStart w:id="1110" w:name="_Toc128366860"/>
      <w:bookmarkStart w:id="1111" w:name="_Toc128368774"/>
      <w:bookmarkStart w:id="1112" w:name="_Toc128369154"/>
      <w:bookmarkStart w:id="1113" w:name="_Toc128969491"/>
      <w:bookmarkStart w:id="1114" w:name="_Toc132620402"/>
      <w:bookmarkStart w:id="1115" w:name="_Toc140378030"/>
      <w:bookmarkStart w:id="1116" w:name="_Toc140393972"/>
      <w:bookmarkStart w:id="1117" w:name="_Toc140893440"/>
      <w:r>
        <w:rPr>
          <w:rStyle w:val="CharDivNo"/>
        </w:rPr>
        <w:t>Division 2</w:t>
      </w:r>
      <w:r>
        <w:t> — </w:t>
      </w:r>
      <w:r>
        <w:rPr>
          <w:rStyle w:val="CharDivText"/>
        </w:rPr>
        <w:t>Adjournment and interim orders</w:t>
      </w:r>
      <w:bookmarkEnd w:id="1108"/>
      <w:bookmarkEnd w:id="1109"/>
      <w:bookmarkEnd w:id="1110"/>
      <w:bookmarkEnd w:id="1111"/>
      <w:bookmarkEnd w:id="1112"/>
      <w:bookmarkEnd w:id="1113"/>
      <w:bookmarkEnd w:id="1114"/>
      <w:bookmarkEnd w:id="1115"/>
      <w:bookmarkEnd w:id="1116"/>
      <w:bookmarkEnd w:id="1117"/>
    </w:p>
    <w:p>
      <w:pPr>
        <w:pStyle w:val="Heading5"/>
      </w:pPr>
      <w:bookmarkStart w:id="1118" w:name="_Toc438114724"/>
      <w:bookmarkStart w:id="1119" w:name="_Toc85881345"/>
      <w:bookmarkStart w:id="1120" w:name="_Toc128368775"/>
      <w:bookmarkStart w:id="1121" w:name="_Toc140893441"/>
      <w:bookmarkStart w:id="1122" w:name="_Toc140393973"/>
      <w:r>
        <w:rPr>
          <w:rStyle w:val="CharSectno"/>
        </w:rPr>
        <w:t>132</w:t>
      </w:r>
      <w:r>
        <w:t>.</w:t>
      </w:r>
      <w:r>
        <w:tab/>
        <w:t>Adjournment of proceedings</w:t>
      </w:r>
      <w:bookmarkEnd w:id="1118"/>
      <w:bookmarkEnd w:id="1119"/>
      <w:bookmarkEnd w:id="1120"/>
      <w:bookmarkEnd w:id="1121"/>
      <w:bookmarkEnd w:id="1122"/>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Heading5"/>
      </w:pPr>
      <w:bookmarkStart w:id="1123" w:name="_Hlt39889068"/>
      <w:bookmarkStart w:id="1124" w:name="_Toc85881346"/>
      <w:bookmarkStart w:id="1125" w:name="_Toc128368776"/>
      <w:bookmarkStart w:id="1126" w:name="_Toc140893442"/>
      <w:bookmarkStart w:id="1127" w:name="_Toc140393974"/>
      <w:bookmarkEnd w:id="1123"/>
      <w:r>
        <w:rPr>
          <w:rStyle w:val="CharSectno"/>
        </w:rPr>
        <w:t>133</w:t>
      </w:r>
      <w:r>
        <w:t>.</w:t>
      </w:r>
      <w:r>
        <w:tab/>
        <w:t>Interim orders</w:t>
      </w:r>
      <w:bookmarkEnd w:id="1124"/>
      <w:bookmarkEnd w:id="1125"/>
      <w:bookmarkEnd w:id="1126"/>
      <w:bookmarkEnd w:id="1127"/>
    </w:p>
    <w:p>
      <w:pPr>
        <w:pStyle w:val="Subsection"/>
      </w:pPr>
      <w:r>
        <w:tab/>
        <w:t>(1)</w:t>
      </w:r>
      <w:r>
        <w:tab/>
        <w:t xml:space="preserve">The Court may at any time in the course of protection proceedings make an interim order — </w:t>
      </w:r>
    </w:p>
    <w:p>
      <w:pPr>
        <w:pStyle w:val="Indenta"/>
      </w:pPr>
      <w:r>
        <w:tab/>
        <w:t>(a)</w:t>
      </w:r>
      <w:r>
        <w:tab/>
        <w:t>on its own initiative; or</w:t>
      </w:r>
    </w:p>
    <w:p>
      <w:pPr>
        <w:pStyle w:val="Indenta"/>
      </w:pPr>
      <w:r>
        <w:tab/>
        <w:t>(b)</w:t>
      </w:r>
      <w:r>
        <w:tab/>
        <w:t>on the application of a party.</w:t>
      </w:r>
    </w:p>
    <w:p>
      <w:pPr>
        <w:pStyle w:val="Subsection"/>
      </w:pPr>
      <w:r>
        <w:tab/>
        <w:t>(2)</w:t>
      </w:r>
      <w:r>
        <w:tab/>
        <w:t>An interim order is an order as to any one or more of the following —</w:t>
      </w:r>
    </w:p>
    <w:p>
      <w:pPr>
        <w:pStyle w:val="Indenta"/>
      </w:pPr>
      <w:r>
        <w:tab/>
      </w:r>
      <w:bookmarkStart w:id="1128" w:name="_Hlt39890626"/>
      <w:bookmarkEnd w:id="1128"/>
      <w:r>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r>
      <w:bookmarkStart w:id="1129" w:name="_Hlt51054879"/>
      <w:bookmarkEnd w:id="1129"/>
      <w:r>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r>
      <w:bookmarkStart w:id="1130" w:name="_Hlt39889508"/>
      <w:bookmarkEnd w:id="1130"/>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Heading5"/>
      </w:pPr>
      <w:bookmarkStart w:id="1131" w:name="_Toc438114726"/>
      <w:bookmarkStart w:id="1132" w:name="_Toc85881347"/>
      <w:bookmarkStart w:id="1133" w:name="_Toc128368777"/>
      <w:bookmarkStart w:id="1134" w:name="_Toc140893443"/>
      <w:bookmarkStart w:id="1135" w:name="_Toc140393975"/>
      <w:r>
        <w:rPr>
          <w:rStyle w:val="CharSectno"/>
        </w:rPr>
        <w:t>134</w:t>
      </w:r>
      <w:r>
        <w:t>.</w:t>
      </w:r>
      <w:r>
        <w:tab/>
        <w:t>Variation or revocation of interim order</w:t>
      </w:r>
      <w:bookmarkEnd w:id="1131"/>
      <w:bookmarkEnd w:id="1132"/>
      <w:bookmarkEnd w:id="1133"/>
      <w:bookmarkEnd w:id="1134"/>
      <w:bookmarkEnd w:id="1135"/>
    </w:p>
    <w:p>
      <w:pPr>
        <w:pStyle w:val="Subsection"/>
      </w:pPr>
      <w:r>
        <w:tab/>
        <w:t>(1)</w:t>
      </w:r>
      <w:r>
        <w:tab/>
        <w:t>A party may apply to the Court for the variation or revocation of an interim order.</w:t>
      </w:r>
    </w:p>
    <w:p>
      <w:pPr>
        <w:pStyle w:val="Subsection"/>
      </w:pPr>
      <w:r>
        <w:tab/>
        <w:t>(2)</w:t>
      </w:r>
      <w:r>
        <w:tab/>
        <w:t>On an application under subsection (1) the Court may —</w:t>
      </w:r>
    </w:p>
    <w:p>
      <w:pPr>
        <w:pStyle w:val="Indenta"/>
      </w:pPr>
      <w:r>
        <w:tab/>
        <w:t>(a)</w:t>
      </w:r>
      <w:r>
        <w:tab/>
        <w:t>confirm the interim order;</w:t>
      </w:r>
    </w:p>
    <w:p>
      <w:pPr>
        <w:pStyle w:val="Indenta"/>
      </w:pPr>
      <w:r>
        <w:tab/>
        <w:t>(b)</w:t>
      </w:r>
      <w:r>
        <w:tab/>
        <w:t>vary the interim order;</w:t>
      </w:r>
    </w:p>
    <w:p>
      <w:pPr>
        <w:pStyle w:val="Indenta"/>
      </w:pPr>
      <w:r>
        <w:tab/>
        <w:t>(c)</w:t>
      </w:r>
      <w:r>
        <w:tab/>
        <w:t>revoke the interim order; or</w:t>
      </w:r>
    </w:p>
    <w:p>
      <w:pPr>
        <w:pStyle w:val="Indenta"/>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pPr>
      <w:r>
        <w:tab/>
        <w:t>(a)</w:t>
      </w:r>
      <w:r>
        <w:tab/>
        <w:t>new facts or circumstances have arisen since the interim order was made or last varied, as the case may be; or</w:t>
      </w:r>
    </w:p>
    <w:p>
      <w:pPr>
        <w:pStyle w:val="Indenta"/>
      </w:pPr>
      <w:r>
        <w:tab/>
        <w:t>(b)</w:t>
      </w:r>
      <w:r>
        <w:tab/>
        <w:t>each party consents to the action.</w:t>
      </w:r>
    </w:p>
    <w:p>
      <w:pPr>
        <w:pStyle w:val="Subsection"/>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pPr>
      <w:bookmarkStart w:id="1136" w:name="_Toc85881348"/>
      <w:bookmarkStart w:id="1137" w:name="_Toc128368778"/>
      <w:bookmarkStart w:id="1138" w:name="_Toc140893444"/>
      <w:bookmarkStart w:id="1139" w:name="_Toc140393976"/>
      <w:r>
        <w:rPr>
          <w:rStyle w:val="CharSectno"/>
        </w:rPr>
        <w:t>135</w:t>
      </w:r>
      <w:r>
        <w:t>.</w:t>
      </w:r>
      <w:r>
        <w:tab/>
        <w:t>Authorised officer entitled to have access to the child</w:t>
      </w:r>
      <w:bookmarkEnd w:id="1136"/>
      <w:bookmarkEnd w:id="1137"/>
      <w:bookmarkEnd w:id="1138"/>
      <w:bookmarkEnd w:id="1139"/>
    </w:p>
    <w:p>
      <w:pPr>
        <w:pStyle w:val="Subsection"/>
      </w:pPr>
      <w:r>
        <w:tab/>
        <w:t>(1)</w:t>
      </w:r>
      <w:r>
        <w:tab/>
        <w:t>While an interim order as to a matter referred to in section 133(2)(a) or (c) is in force in respect of a child, an authorised officer may have access to the child at any reasonable time.</w:t>
      </w:r>
    </w:p>
    <w:p>
      <w:pPr>
        <w:pStyle w:val="Subsection"/>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magistrate for a warrant (access) if the officer —</w:t>
      </w:r>
    </w:p>
    <w:p>
      <w:pPr>
        <w:pStyle w:val="Indenta"/>
      </w:pPr>
      <w:r>
        <w:tab/>
        <w:t>(a)</w:t>
      </w:r>
      <w:r>
        <w:tab/>
        <w:t>is denied access to a child;</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1140" w:name="_Hlt51044853"/>
      <w:bookmarkEnd w:id="1140"/>
      <w:r>
        <w:t>(5)</w:t>
      </w:r>
      <w:r>
        <w:tab/>
        <w:t>On an application under subsection (3) a magistrate may issue a warrant (access) if the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pPr>
      <w:r>
        <w:t>Note:</w:t>
      </w:r>
      <w:r>
        <w:tab/>
        <w:t>Section 121 contains provisions about the effect of a warrant (access).</w:t>
      </w:r>
    </w:p>
    <w:p>
      <w:pPr>
        <w:pStyle w:val="Heading3"/>
      </w:pPr>
      <w:bookmarkStart w:id="1141" w:name="_Toc128300905"/>
      <w:bookmarkStart w:id="1142" w:name="_Toc128302933"/>
      <w:bookmarkStart w:id="1143" w:name="_Toc128366865"/>
      <w:bookmarkStart w:id="1144" w:name="_Toc128368779"/>
      <w:bookmarkStart w:id="1145" w:name="_Toc128369159"/>
      <w:bookmarkStart w:id="1146" w:name="_Toc128969496"/>
      <w:bookmarkStart w:id="1147" w:name="_Toc132620407"/>
      <w:bookmarkStart w:id="1148" w:name="_Toc140378035"/>
      <w:bookmarkStart w:id="1149" w:name="_Toc140393977"/>
      <w:bookmarkStart w:id="1150" w:name="_Toc140893445"/>
      <w:r>
        <w:rPr>
          <w:rStyle w:val="CharDivNo"/>
        </w:rPr>
        <w:t>Division 3</w:t>
      </w:r>
      <w:r>
        <w:t> — </w:t>
      </w:r>
      <w:r>
        <w:rPr>
          <w:rStyle w:val="CharDivText"/>
        </w:rPr>
        <w:t>Pre</w:t>
      </w:r>
      <w:r>
        <w:rPr>
          <w:rStyle w:val="CharDivText"/>
        </w:rPr>
        <w:noBreakHyphen/>
        <w:t>hearing conferences</w:t>
      </w:r>
      <w:bookmarkEnd w:id="1141"/>
      <w:bookmarkEnd w:id="1142"/>
      <w:bookmarkEnd w:id="1143"/>
      <w:bookmarkEnd w:id="1144"/>
      <w:bookmarkEnd w:id="1145"/>
      <w:bookmarkEnd w:id="1146"/>
      <w:bookmarkEnd w:id="1147"/>
      <w:bookmarkEnd w:id="1148"/>
      <w:bookmarkEnd w:id="1149"/>
      <w:bookmarkEnd w:id="1150"/>
    </w:p>
    <w:p>
      <w:pPr>
        <w:pStyle w:val="Heading5"/>
      </w:pPr>
      <w:bookmarkStart w:id="1151" w:name="_Toc438114732"/>
      <w:bookmarkStart w:id="1152" w:name="_Toc85881349"/>
      <w:bookmarkStart w:id="1153" w:name="_Toc128368780"/>
      <w:bookmarkStart w:id="1154" w:name="_Toc140893446"/>
      <w:bookmarkStart w:id="1155" w:name="_Toc140393978"/>
      <w:r>
        <w:rPr>
          <w:rStyle w:val="CharSectno"/>
        </w:rPr>
        <w:t>136</w:t>
      </w:r>
      <w:r>
        <w:t>.</w:t>
      </w:r>
      <w:r>
        <w:tab/>
        <w:t>Court may order pre</w:t>
      </w:r>
      <w:r>
        <w:noBreakHyphen/>
        <w:t>hearing conference</w:t>
      </w:r>
      <w:bookmarkEnd w:id="1151"/>
      <w:bookmarkEnd w:id="1152"/>
      <w:bookmarkEnd w:id="1153"/>
      <w:bookmarkEnd w:id="1154"/>
      <w:bookmarkEnd w:id="1155"/>
    </w:p>
    <w:p>
      <w:pPr>
        <w:pStyle w:val="Subsection"/>
      </w:pPr>
      <w:r>
        <w:tab/>
      </w:r>
      <w:bookmarkStart w:id="1156" w:name="_Hlt39889239"/>
      <w:bookmarkEnd w:id="1156"/>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magistrate who ordered the conference under subsection (1).</w:t>
      </w:r>
    </w:p>
    <w:p>
      <w:pPr>
        <w:pStyle w:val="Subsection"/>
      </w:pPr>
      <w:r>
        <w:tab/>
        <w:t>(6)</w:t>
      </w:r>
      <w:r>
        <w:tab/>
        <w:t>The regulations may —</w:t>
      </w:r>
    </w:p>
    <w:p>
      <w:pPr>
        <w:pStyle w:val="Indenta"/>
      </w:pPr>
      <w:r>
        <w:tab/>
        <w:t>(a)</w:t>
      </w:r>
      <w:r>
        <w:tab/>
        <w:t>provide for the appointment of convenors;</w:t>
      </w:r>
    </w:p>
    <w:p>
      <w:pPr>
        <w:pStyle w:val="Indenta"/>
      </w:pPr>
      <w:r>
        <w:tab/>
        <w:t>(b)</w:t>
      </w:r>
      <w:r>
        <w:tab/>
        <w:t>provide for the remuneration and allowances payable to convenors;</w:t>
      </w:r>
    </w:p>
    <w:p>
      <w:pPr>
        <w:pStyle w:val="Indenta"/>
      </w:pPr>
      <w:r>
        <w:tab/>
        <w:t>(c)</w:t>
      </w:r>
      <w:r>
        <w:tab/>
        <w:t>prescribe the classes of people who may attend a pre</w:t>
      </w:r>
      <w:r>
        <w:noBreakHyphen/>
        <w:t>hearing conference;</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Heading5"/>
      </w:pPr>
      <w:bookmarkStart w:id="1157" w:name="_Toc438114733"/>
      <w:bookmarkStart w:id="1158" w:name="_Toc85881350"/>
      <w:bookmarkStart w:id="1159" w:name="_Toc128368781"/>
      <w:bookmarkStart w:id="1160" w:name="_Toc140893447"/>
      <w:bookmarkStart w:id="1161" w:name="_Toc140393979"/>
      <w:r>
        <w:rPr>
          <w:rStyle w:val="CharSectno"/>
        </w:rPr>
        <w:t>137</w:t>
      </w:r>
      <w:r>
        <w:t>.</w:t>
      </w:r>
      <w:r>
        <w:tab/>
        <w:t>Confidentiality of pre</w:t>
      </w:r>
      <w:r>
        <w:noBreakHyphen/>
        <w:t>hearing conference</w:t>
      </w:r>
      <w:bookmarkEnd w:id="1157"/>
      <w:bookmarkEnd w:id="1158"/>
      <w:bookmarkEnd w:id="1159"/>
      <w:bookmarkEnd w:id="1160"/>
      <w:bookmarkEnd w:id="1161"/>
    </w:p>
    <w:p>
      <w:pPr>
        <w:pStyle w:val="Subsection"/>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rPr>
          <w:b/>
          <w:i/>
          <w:sz w:val="20"/>
        </w:rPr>
      </w:pPr>
      <w:r>
        <w:tab/>
        <w:t>Penalty: $12 000 and imprisonment of one year.</w:t>
      </w:r>
    </w:p>
    <w:p>
      <w:pPr>
        <w:pStyle w:val="Subsection"/>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Heading3"/>
      </w:pPr>
      <w:bookmarkStart w:id="1162" w:name="_Toc128300908"/>
      <w:bookmarkStart w:id="1163" w:name="_Toc128302936"/>
      <w:bookmarkStart w:id="1164" w:name="_Toc128366868"/>
      <w:bookmarkStart w:id="1165" w:name="_Toc128368782"/>
      <w:bookmarkStart w:id="1166" w:name="_Toc128369162"/>
      <w:bookmarkStart w:id="1167" w:name="_Toc128969499"/>
      <w:bookmarkStart w:id="1168" w:name="_Toc132620410"/>
      <w:bookmarkStart w:id="1169" w:name="_Toc140378038"/>
      <w:bookmarkStart w:id="1170" w:name="_Toc140393980"/>
      <w:bookmarkStart w:id="1171" w:name="_Toc140893448"/>
      <w:r>
        <w:rPr>
          <w:rStyle w:val="CharDivNo"/>
        </w:rPr>
        <w:t>Division 4</w:t>
      </w:r>
      <w:r>
        <w:t> — </w:t>
      </w:r>
      <w:r>
        <w:rPr>
          <w:rStyle w:val="CharDivText"/>
        </w:rPr>
        <w:t>Reports about child</w:t>
      </w:r>
      <w:bookmarkEnd w:id="1162"/>
      <w:bookmarkEnd w:id="1163"/>
      <w:bookmarkEnd w:id="1164"/>
      <w:bookmarkEnd w:id="1165"/>
      <w:bookmarkEnd w:id="1166"/>
      <w:bookmarkEnd w:id="1167"/>
      <w:bookmarkEnd w:id="1168"/>
      <w:bookmarkEnd w:id="1169"/>
      <w:bookmarkEnd w:id="1170"/>
      <w:bookmarkEnd w:id="1171"/>
    </w:p>
    <w:p>
      <w:pPr>
        <w:pStyle w:val="Heading5"/>
      </w:pPr>
      <w:bookmarkStart w:id="1172" w:name="_Toc85881351"/>
      <w:bookmarkStart w:id="1173" w:name="_Toc128368783"/>
      <w:bookmarkStart w:id="1174" w:name="_Toc140893449"/>
      <w:bookmarkStart w:id="1175" w:name="_Toc140393981"/>
      <w:r>
        <w:rPr>
          <w:rStyle w:val="CharSectno"/>
        </w:rPr>
        <w:t>138</w:t>
      </w:r>
      <w:r>
        <w:t>.</w:t>
      </w:r>
      <w:r>
        <w:tab/>
        <w:t>Meaning of “report”</w:t>
      </w:r>
      <w:bookmarkEnd w:id="1172"/>
      <w:bookmarkEnd w:id="1173"/>
      <w:bookmarkEnd w:id="1174"/>
      <w:bookmarkEnd w:id="1175"/>
    </w:p>
    <w:p>
      <w:pPr>
        <w:pStyle w:val="Subsection"/>
      </w:pPr>
      <w:r>
        <w:tab/>
      </w:r>
      <w:r>
        <w:tab/>
        <w:t xml:space="preserve">In this Division — </w:t>
      </w:r>
    </w:p>
    <w:p>
      <w:pPr>
        <w:pStyle w:val="Defstart"/>
      </w:pPr>
      <w:r>
        <w:rPr>
          <w:b/>
        </w:rPr>
        <w:tab/>
        <w:t>“</w:t>
      </w:r>
      <w:r>
        <w:rPr>
          <w:rStyle w:val="CharDefText"/>
        </w:rPr>
        <w:t>report</w:t>
      </w:r>
      <w:r>
        <w:rPr>
          <w:b/>
        </w:rPr>
        <w:t>”</w:t>
      </w:r>
      <w:r>
        <w:t xml:space="preserve"> means a report under section 139.</w:t>
      </w:r>
    </w:p>
    <w:p>
      <w:pPr>
        <w:pStyle w:val="Heading5"/>
        <w:keepNext w:val="0"/>
        <w:keepLines w:val="0"/>
      </w:pPr>
      <w:bookmarkStart w:id="1176" w:name="_Hlt39910292"/>
      <w:bookmarkStart w:id="1177" w:name="_Toc438114729"/>
      <w:bookmarkStart w:id="1178" w:name="_Toc85881352"/>
      <w:bookmarkStart w:id="1179" w:name="_Toc128368784"/>
      <w:bookmarkStart w:id="1180" w:name="_Toc140893450"/>
      <w:bookmarkStart w:id="1181" w:name="_Toc140393982"/>
      <w:bookmarkEnd w:id="1176"/>
      <w:r>
        <w:rPr>
          <w:rStyle w:val="CharSectno"/>
        </w:rPr>
        <w:t>139</w:t>
      </w:r>
      <w:r>
        <w:t>.</w:t>
      </w:r>
      <w:r>
        <w:tab/>
        <w:t xml:space="preserve">Court may require </w:t>
      </w:r>
      <w:bookmarkStart w:id="1182" w:name="_Hlt531660922"/>
      <w:bookmarkEnd w:id="1182"/>
      <w:r>
        <w:t>report</w:t>
      </w:r>
      <w:bookmarkEnd w:id="1177"/>
      <w:bookmarkEnd w:id="1178"/>
      <w:bookmarkEnd w:id="1179"/>
      <w:bookmarkEnd w:id="1180"/>
      <w:bookmarkEnd w:id="1181"/>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1183" w:name="_Hlt501936669"/>
      <w:bookmarkEnd w:id="1183"/>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pPr>
      <w:r>
        <w:tab/>
        <w:t>(a)</w:t>
      </w:r>
      <w:r>
        <w:tab/>
        <w:t>provide for and in relation to the appointment of persons for the purposes of this section;</w:t>
      </w:r>
    </w:p>
    <w:p>
      <w:pPr>
        <w:pStyle w:val="Indenta"/>
      </w:pPr>
      <w:r>
        <w:tab/>
        <w:t>(b)</w:t>
      </w:r>
      <w:r>
        <w:tab/>
        <w:t>provide for the remuneration and allowances payable to such persons; and</w:t>
      </w:r>
    </w:p>
    <w:p>
      <w:pPr>
        <w:pStyle w:val="Indenta"/>
      </w:pPr>
      <w:r>
        <w:tab/>
        <w:t>(c)</w:t>
      </w:r>
      <w:r>
        <w:tab/>
        <w:t>specify who is liable to pay the costs of a report under this section.</w:t>
      </w:r>
    </w:p>
    <w:p>
      <w:pPr>
        <w:pStyle w:val="Heading5"/>
      </w:pPr>
      <w:bookmarkStart w:id="1184" w:name="_Toc438114730"/>
      <w:bookmarkStart w:id="1185" w:name="_Toc85881353"/>
      <w:bookmarkStart w:id="1186" w:name="_Toc128368785"/>
      <w:bookmarkStart w:id="1187" w:name="_Toc140893451"/>
      <w:bookmarkStart w:id="1188" w:name="_Toc140393983"/>
      <w:r>
        <w:rPr>
          <w:rStyle w:val="CharSectno"/>
        </w:rPr>
        <w:t>140</w:t>
      </w:r>
      <w:r>
        <w:t>.</w:t>
      </w:r>
      <w:r>
        <w:tab/>
        <w:t>Access to written report</w:t>
      </w:r>
      <w:bookmarkEnd w:id="1184"/>
      <w:bookmarkEnd w:id="1185"/>
      <w:bookmarkEnd w:id="1186"/>
      <w:bookmarkEnd w:id="1187"/>
      <w:bookmarkEnd w:id="1188"/>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1189" w:name="_Toc85881354"/>
      <w:bookmarkStart w:id="1190" w:name="_Toc128368786"/>
      <w:bookmarkStart w:id="1191" w:name="_Toc140893452"/>
      <w:bookmarkStart w:id="1192" w:name="_Toc140393984"/>
      <w:r>
        <w:rPr>
          <w:rStyle w:val="CharSectno"/>
        </w:rPr>
        <w:t>141</w:t>
      </w:r>
      <w:r>
        <w:t>.</w:t>
      </w:r>
      <w:r>
        <w:tab/>
        <w:t>Confidentiality of report</w:t>
      </w:r>
      <w:bookmarkEnd w:id="1189"/>
      <w:bookmarkEnd w:id="1190"/>
      <w:bookmarkEnd w:id="1191"/>
      <w:bookmarkEnd w:id="1192"/>
    </w:p>
    <w:p>
      <w:pPr>
        <w:pStyle w:val="Subsection"/>
      </w:pPr>
      <w:r>
        <w:tab/>
        <w:t>(1)</w:t>
      </w:r>
      <w:r>
        <w:tab/>
        <w:t>A person who prepares or is given a report must not, without the leave of the Court, disclose information contained in it to another person.</w:t>
      </w:r>
    </w:p>
    <w:p>
      <w:pPr>
        <w:pStyle w:val="Penstart"/>
        <w:rPr>
          <w:b/>
          <w:i/>
          <w:sz w:val="20"/>
        </w:rPr>
      </w:pPr>
      <w:r>
        <w:tab/>
        <w:t>Penalty: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w:t>
      </w:r>
      <w:bookmarkStart w:id="1193" w:name="_Hlt511029912"/>
      <w:r>
        <w:t>23</w:t>
      </w:r>
      <w:bookmarkEnd w:id="1193"/>
      <w:r>
        <w:t>.</w:t>
      </w:r>
    </w:p>
    <w:p>
      <w:pPr>
        <w:pStyle w:val="Subsection"/>
      </w:pPr>
      <w:r>
        <w:tab/>
        <w:t>(3)</w:t>
      </w:r>
      <w:r>
        <w:tab/>
        <w:t>Nothing in subsection (1) prevents a person disclosing information contained in a report to the person’s legal representative.</w:t>
      </w:r>
    </w:p>
    <w:p>
      <w:pPr>
        <w:pStyle w:val="Heading5"/>
      </w:pPr>
      <w:bookmarkStart w:id="1194" w:name="_Toc438114731"/>
      <w:bookmarkStart w:id="1195" w:name="_Toc85881355"/>
      <w:bookmarkStart w:id="1196" w:name="_Toc128368787"/>
      <w:bookmarkStart w:id="1197" w:name="_Toc140893453"/>
      <w:bookmarkStart w:id="1198" w:name="_Toc140393985"/>
      <w:r>
        <w:rPr>
          <w:rStyle w:val="CharSectno"/>
        </w:rPr>
        <w:t>142</w:t>
      </w:r>
      <w:r>
        <w:t>.</w:t>
      </w:r>
      <w:r>
        <w:tab/>
        <w:t>Protection from liability</w:t>
      </w:r>
      <w:bookmarkEnd w:id="1194"/>
      <w:r>
        <w:t xml:space="preserve"> for preparing or giving report</w:t>
      </w:r>
      <w:bookmarkEnd w:id="1195"/>
      <w:bookmarkEnd w:id="1196"/>
      <w:bookmarkEnd w:id="1197"/>
      <w:bookmarkEnd w:id="1198"/>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to have engaged in unprofessional conduct.</w:t>
      </w:r>
    </w:p>
    <w:p>
      <w:pPr>
        <w:pStyle w:val="Heading3"/>
      </w:pPr>
      <w:bookmarkStart w:id="1199" w:name="_Toc128300914"/>
      <w:bookmarkStart w:id="1200" w:name="_Toc128302942"/>
      <w:bookmarkStart w:id="1201" w:name="_Toc128366874"/>
      <w:bookmarkStart w:id="1202" w:name="_Toc128368788"/>
      <w:bookmarkStart w:id="1203" w:name="_Toc128369168"/>
      <w:bookmarkStart w:id="1204" w:name="_Toc128969505"/>
      <w:bookmarkStart w:id="1205" w:name="_Toc132620416"/>
      <w:bookmarkStart w:id="1206" w:name="_Toc140378044"/>
      <w:bookmarkStart w:id="1207" w:name="_Toc140393986"/>
      <w:bookmarkStart w:id="1208" w:name="_Toc140893454"/>
      <w:r>
        <w:rPr>
          <w:rStyle w:val="CharDivNo"/>
        </w:rPr>
        <w:t>Division 5</w:t>
      </w:r>
      <w:r>
        <w:t> — </w:t>
      </w:r>
      <w:r>
        <w:rPr>
          <w:rStyle w:val="CharDivText"/>
        </w:rPr>
        <w:t>Proposals about arrangements for child</w:t>
      </w:r>
      <w:bookmarkEnd w:id="1199"/>
      <w:bookmarkEnd w:id="1200"/>
      <w:bookmarkEnd w:id="1201"/>
      <w:bookmarkEnd w:id="1202"/>
      <w:bookmarkEnd w:id="1203"/>
      <w:bookmarkEnd w:id="1204"/>
      <w:bookmarkEnd w:id="1205"/>
      <w:bookmarkEnd w:id="1206"/>
      <w:bookmarkEnd w:id="1207"/>
      <w:bookmarkEnd w:id="1208"/>
    </w:p>
    <w:p>
      <w:pPr>
        <w:pStyle w:val="Heading5"/>
      </w:pPr>
      <w:bookmarkStart w:id="1209" w:name="_Toc85881356"/>
      <w:bookmarkStart w:id="1210" w:name="_Toc128368789"/>
      <w:bookmarkStart w:id="1211" w:name="_Toc140893455"/>
      <w:bookmarkStart w:id="1212" w:name="_Toc140393987"/>
      <w:r>
        <w:rPr>
          <w:rStyle w:val="CharSectno"/>
        </w:rPr>
        <w:t>143</w:t>
      </w:r>
      <w:r>
        <w:t>.</w:t>
      </w:r>
      <w:r>
        <w:tab/>
        <w:t>CEO to provide Court with proposal for child</w:t>
      </w:r>
      <w:bookmarkEnd w:id="1209"/>
      <w:bookmarkEnd w:id="1210"/>
      <w:bookmarkEnd w:id="1211"/>
      <w:bookmarkEnd w:id="1212"/>
    </w:p>
    <w:p>
      <w:pPr>
        <w:pStyle w:val="Subsection"/>
      </w:pPr>
      <w:r>
        <w:tab/>
        <w:t>(1)</w:t>
      </w:r>
      <w:r>
        <w:tab/>
        <w:t>In this section —</w:t>
      </w:r>
    </w:p>
    <w:p>
      <w:pPr>
        <w:pStyle w:val="Defstart"/>
      </w:pPr>
      <w:r>
        <w:tab/>
      </w:r>
      <w:r>
        <w:rPr>
          <w:b/>
        </w:rPr>
        <w:t>“</w:t>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pPr>
      <w:r>
        <w:tab/>
        <w:t>(2)</w:t>
      </w:r>
      <w:r>
        <w:tab/>
        <w:t xml:space="preserve">If — </w:t>
      </w:r>
    </w:p>
    <w:p>
      <w:pPr>
        <w:pStyle w:val="Indenta"/>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1213" w:name="_Hlt52696301"/>
      <w:r>
        <w:t>49</w:t>
      </w:r>
      <w:bookmarkEnd w:id="1213"/>
      <w:r>
        <w:t xml:space="preserve"> for the extension of a protection order (supervision);</w:t>
      </w:r>
    </w:p>
    <w:p>
      <w:pPr>
        <w:pStyle w:val="Indenta"/>
      </w:pPr>
      <w:r>
        <w:tab/>
        <w:t>(b)</w:t>
      </w:r>
      <w:r>
        <w:tab/>
        <w:t>an application under section </w:t>
      </w:r>
      <w:bookmarkStart w:id="1214" w:name="_Hlt35838623"/>
      <w:r>
        <w:t>56</w:t>
      </w:r>
      <w:bookmarkEnd w:id="1214"/>
      <w:r>
        <w:t xml:space="preserve"> for the extension of a protection order (time</w:t>
      </w:r>
      <w:r>
        <w:noBreakHyphen/>
        <w:t>limited); or</w:t>
      </w:r>
    </w:p>
    <w:p>
      <w:pPr>
        <w:pStyle w:val="Indenta"/>
      </w:pPr>
      <w:r>
        <w:tab/>
        <w:t>(c)</w:t>
      </w:r>
      <w:r>
        <w:tab/>
        <w:t>an application under section </w:t>
      </w:r>
      <w:bookmarkStart w:id="1215" w:name="_Hlt39898738"/>
      <w:r>
        <w:t>68</w:t>
      </w:r>
      <w:bookmarkEnd w:id="1215"/>
      <w:r>
        <w:t xml:space="preserve"> for the replacement of a protection order by another protection order (other than a protection order (enduring parental responsibility)),</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1216" w:name="_Hlt39898760"/>
      <w:r>
        <w:t>67</w:t>
      </w:r>
      <w:bookmarkEnd w:id="1216"/>
      <w:r>
        <w:t>(1) for the revocation of a protection order; and</w:t>
      </w:r>
    </w:p>
    <w:p>
      <w:pPr>
        <w:pStyle w:val="Indenta"/>
        <w:keepNext/>
      </w:pPr>
      <w:r>
        <w:tab/>
        <w:t>(b)</w:t>
      </w:r>
      <w:r>
        <w:tab/>
        <w:t>the Court is considering making another protection order (other than a protection order (enduring parental responsibility))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Heading5"/>
      </w:pPr>
      <w:bookmarkStart w:id="1217" w:name="_Toc85881357"/>
      <w:bookmarkStart w:id="1218" w:name="_Toc128368790"/>
      <w:bookmarkStart w:id="1219" w:name="_Toc140893456"/>
      <w:bookmarkStart w:id="1220" w:name="_Toc140393988"/>
      <w:r>
        <w:rPr>
          <w:rStyle w:val="CharSectno"/>
        </w:rPr>
        <w:t>144</w:t>
      </w:r>
      <w:r>
        <w:t>.</w:t>
      </w:r>
      <w:r>
        <w:tab/>
        <w:t>Court to consider proposal</w:t>
      </w:r>
      <w:bookmarkEnd w:id="1217"/>
      <w:bookmarkEnd w:id="1218"/>
      <w:bookmarkEnd w:id="1219"/>
      <w:bookmarkEnd w:id="1220"/>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1221" w:name="_Toc128300917"/>
      <w:bookmarkStart w:id="1222" w:name="_Toc128302945"/>
      <w:bookmarkStart w:id="1223" w:name="_Toc128366877"/>
      <w:bookmarkStart w:id="1224" w:name="_Toc128368791"/>
      <w:bookmarkStart w:id="1225" w:name="_Toc128369171"/>
      <w:bookmarkStart w:id="1226" w:name="_Toc128969508"/>
      <w:bookmarkStart w:id="1227" w:name="_Toc132620419"/>
      <w:bookmarkStart w:id="1228" w:name="_Toc140378047"/>
      <w:bookmarkStart w:id="1229" w:name="_Toc140393989"/>
      <w:bookmarkStart w:id="1230" w:name="_Toc140893457"/>
      <w:r>
        <w:rPr>
          <w:rStyle w:val="CharDivNo"/>
        </w:rPr>
        <w:t>Division 6</w:t>
      </w:r>
      <w:r>
        <w:t> — </w:t>
      </w:r>
      <w:r>
        <w:rPr>
          <w:rStyle w:val="CharDivText"/>
        </w:rPr>
        <w:t>Procedural matters</w:t>
      </w:r>
      <w:bookmarkEnd w:id="1221"/>
      <w:bookmarkEnd w:id="1222"/>
      <w:bookmarkEnd w:id="1223"/>
      <w:bookmarkEnd w:id="1224"/>
      <w:bookmarkEnd w:id="1225"/>
      <w:bookmarkEnd w:id="1226"/>
      <w:bookmarkEnd w:id="1227"/>
      <w:bookmarkEnd w:id="1228"/>
      <w:bookmarkEnd w:id="1229"/>
      <w:bookmarkEnd w:id="1230"/>
    </w:p>
    <w:p>
      <w:pPr>
        <w:pStyle w:val="Heading5"/>
      </w:pPr>
      <w:bookmarkStart w:id="1231" w:name="_Toc85881358"/>
      <w:bookmarkStart w:id="1232" w:name="_Toc128368792"/>
      <w:bookmarkStart w:id="1233" w:name="_Toc140893458"/>
      <w:bookmarkStart w:id="1234" w:name="_Toc140393990"/>
      <w:r>
        <w:rPr>
          <w:rStyle w:val="CharSectno"/>
        </w:rPr>
        <w:t>145</w:t>
      </w:r>
      <w:r>
        <w:t>.</w:t>
      </w:r>
      <w:r>
        <w:tab/>
        <w:t>General conduct of protection proceedings</w:t>
      </w:r>
      <w:bookmarkEnd w:id="1231"/>
      <w:bookmarkEnd w:id="1232"/>
      <w:bookmarkEnd w:id="1233"/>
      <w:bookmarkEnd w:id="1234"/>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1235" w:name="_Toc85881359"/>
      <w:bookmarkStart w:id="1236" w:name="_Toc128368793"/>
      <w:bookmarkStart w:id="1237" w:name="_Toc140893459"/>
      <w:bookmarkStart w:id="1238" w:name="_Toc140393991"/>
      <w:r>
        <w:rPr>
          <w:rStyle w:val="CharSectno"/>
        </w:rPr>
        <w:t>146</w:t>
      </w:r>
      <w:r>
        <w:t>.</w:t>
      </w:r>
      <w:r>
        <w:tab/>
        <w:t>Court not bound by rules of evidence</w:t>
      </w:r>
      <w:bookmarkEnd w:id="1235"/>
      <w:bookmarkEnd w:id="1236"/>
      <w:bookmarkEnd w:id="1237"/>
      <w:bookmarkEnd w:id="1238"/>
    </w:p>
    <w:p>
      <w:pPr>
        <w:pStyle w:val="Subsection"/>
      </w:pPr>
      <w:r>
        <w:tab/>
        <w:t>(1)</w:t>
      </w:r>
      <w:r>
        <w:tab/>
        <w:t>In this section —</w:t>
      </w:r>
    </w:p>
    <w:p>
      <w:pPr>
        <w:pStyle w:val="Defstart"/>
      </w:pPr>
      <w:r>
        <w:tab/>
      </w:r>
      <w:r>
        <w:rPr>
          <w:b/>
        </w:rPr>
        <w:t>“</w:t>
      </w:r>
      <w:r>
        <w:rPr>
          <w:rStyle w:val="CharDefText"/>
        </w:rPr>
        <w:t>representation</w:t>
      </w:r>
      <w:r>
        <w:rPr>
          <w:b/>
        </w:rPr>
        <w:t>”</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1239" w:name="_Hlt521896335"/>
      <w:bookmarkStart w:id="1240" w:name="_Toc85881360"/>
      <w:bookmarkStart w:id="1241" w:name="_Toc128368794"/>
      <w:bookmarkStart w:id="1242" w:name="_Toc140893460"/>
      <w:bookmarkStart w:id="1243" w:name="_Toc140393992"/>
      <w:bookmarkEnd w:id="1239"/>
      <w:r>
        <w:rPr>
          <w:rStyle w:val="CharSectno"/>
        </w:rPr>
        <w:t>147</w:t>
      </w:r>
      <w:r>
        <w:t>.</w:t>
      </w:r>
      <w:r>
        <w:tab/>
        <w:t>Parties to the proceedings</w:t>
      </w:r>
      <w:bookmarkEnd w:id="1240"/>
      <w:bookmarkEnd w:id="1241"/>
      <w:bookmarkEnd w:id="1242"/>
      <w:bookmarkEnd w:id="1243"/>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(enduring parental responsibility)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Heading5"/>
      </w:pPr>
      <w:bookmarkStart w:id="1244" w:name="_Toc85881361"/>
      <w:bookmarkStart w:id="1245" w:name="_Toc128368795"/>
      <w:bookmarkStart w:id="1246" w:name="_Toc140893461"/>
      <w:bookmarkStart w:id="1247" w:name="_Toc140393993"/>
      <w:r>
        <w:rPr>
          <w:rStyle w:val="CharSectno"/>
        </w:rPr>
        <w:t>148</w:t>
      </w:r>
      <w:r>
        <w:t>.</w:t>
      </w:r>
      <w:r>
        <w:tab/>
        <w:t>Legal representation of child</w:t>
      </w:r>
      <w:bookmarkEnd w:id="1244"/>
      <w:bookmarkEnd w:id="1245"/>
      <w:bookmarkEnd w:id="1246"/>
      <w:bookmarkEnd w:id="1247"/>
    </w:p>
    <w:p>
      <w:pPr>
        <w:pStyle w:val="Subsection"/>
      </w:pPr>
      <w:r>
        <w:tab/>
        <w:t>(1)</w:t>
      </w:r>
      <w:r>
        <w:tab/>
        <w:t xml:space="preserve">In this section — </w:t>
      </w:r>
    </w:p>
    <w:p>
      <w:pPr>
        <w:pStyle w:val="Defstart"/>
      </w:pPr>
      <w:r>
        <w:rPr>
          <w:b/>
        </w:rPr>
        <w:tab/>
        <w:t>“</w:t>
      </w:r>
      <w:r>
        <w:rPr>
          <w:rStyle w:val="CharDefText"/>
        </w:rPr>
        <w:t>lawyer</w:t>
      </w:r>
      <w:r>
        <w:rPr>
          <w:b/>
        </w:rPr>
        <w:t>”</w:t>
      </w:r>
      <w:r>
        <w:t xml:space="preserve"> means a person who is admitted and entitled to practise as a barrister and solicitor of the Supreme Court.</w:t>
      </w:r>
    </w:p>
    <w:p>
      <w:pPr>
        <w:pStyle w:val="Subsection"/>
      </w:pPr>
      <w:r>
        <w:tab/>
        <w:t>(2)</w:t>
      </w:r>
      <w:r>
        <w:tab/>
        <w:t>If, in protection proceedings, it appears to the Court that the child ought to have separate legal representation, the Court may order that the child be separately represented by a lawyer.</w:t>
      </w:r>
    </w:p>
    <w:p>
      <w:pPr>
        <w:pStyle w:val="Subsection"/>
      </w:pPr>
      <w:r>
        <w:tab/>
        <w:t>(3)</w:t>
      </w:r>
      <w:r>
        <w:tab/>
        <w:t xml:space="preserve">The Court may make an order under subsection (2) — </w:t>
      </w:r>
    </w:p>
    <w:p>
      <w:pPr>
        <w:pStyle w:val="Indenta"/>
      </w:pPr>
      <w:r>
        <w:tab/>
        <w:t>(a)</w:t>
      </w:r>
      <w:r>
        <w:tab/>
        <w:t>on its own initiative; or</w:t>
      </w:r>
    </w:p>
    <w:p>
      <w:pPr>
        <w:pStyle w:val="Indenta"/>
      </w:pPr>
      <w:r>
        <w:tab/>
        <w:t>(b)</w:t>
      </w:r>
      <w:r>
        <w:tab/>
        <w:t xml:space="preserve">on the application of — </w:t>
      </w:r>
    </w:p>
    <w:p>
      <w:pPr>
        <w:pStyle w:val="Indenti"/>
      </w:pPr>
      <w:r>
        <w:tab/>
        <w:t>(i)</w:t>
      </w:r>
      <w:r>
        <w:tab/>
        <w:t xml:space="preserve">the child; </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lawyer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Heading5"/>
      </w:pPr>
      <w:bookmarkStart w:id="1248" w:name="_Toc85881362"/>
      <w:bookmarkStart w:id="1249" w:name="_Toc128368796"/>
      <w:bookmarkStart w:id="1250" w:name="_Toc140893462"/>
      <w:bookmarkStart w:id="1251" w:name="_Toc140393994"/>
      <w:r>
        <w:rPr>
          <w:rStyle w:val="CharSectno"/>
        </w:rPr>
        <w:t>149</w:t>
      </w:r>
      <w:r>
        <w:t>.</w:t>
      </w:r>
      <w:r>
        <w:tab/>
        <w:t>Presence of child in court</w:t>
      </w:r>
      <w:bookmarkEnd w:id="1248"/>
      <w:bookmarkEnd w:id="1249"/>
      <w:bookmarkEnd w:id="1250"/>
      <w:bookmarkEnd w:id="1251"/>
    </w:p>
    <w:p>
      <w:pPr>
        <w:pStyle w:val="Subsection"/>
      </w:pPr>
      <w:r>
        <w:tab/>
        <w:t>(1)</w:t>
      </w:r>
      <w:r>
        <w:tab/>
        <w:t>In protection proceedings the child may be present in court if the child so wishes.</w:t>
      </w:r>
    </w:p>
    <w:p>
      <w:pPr>
        <w:pStyle w:val="Subsection"/>
        <w:keepNext/>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1252" w:name="_Toc85881363"/>
      <w:bookmarkStart w:id="1253" w:name="_Toc128368797"/>
      <w:bookmarkStart w:id="1254" w:name="_Toc140893463"/>
      <w:bookmarkStart w:id="1255" w:name="_Toc140393995"/>
      <w:r>
        <w:rPr>
          <w:rStyle w:val="CharSectno"/>
        </w:rPr>
        <w:t>150</w:t>
      </w:r>
      <w:r>
        <w:t>.</w:t>
      </w:r>
      <w:r>
        <w:tab/>
        <w:t>Evidence of child</w:t>
      </w:r>
      <w:bookmarkEnd w:id="1252"/>
      <w:bookmarkEnd w:id="1253"/>
      <w:bookmarkEnd w:id="1254"/>
      <w:bookmarkEnd w:id="1255"/>
    </w:p>
    <w:p>
      <w:pPr>
        <w:pStyle w:val="Subsection"/>
      </w:pPr>
      <w:r>
        <w:tab/>
        <w:t>(1)</w:t>
      </w:r>
      <w:r>
        <w:tab/>
        <w:t>In this section —</w:t>
      </w:r>
    </w:p>
    <w:p>
      <w:pPr>
        <w:pStyle w:val="Defstart"/>
      </w:pPr>
      <w:r>
        <w:tab/>
      </w:r>
      <w:r>
        <w:rPr>
          <w:b/>
        </w:rPr>
        <w:t>“</w:t>
      </w:r>
      <w:r>
        <w:rPr>
          <w:rStyle w:val="CharDefText"/>
        </w:rPr>
        <w:t>child</w:t>
      </w:r>
      <w:r>
        <w:rPr>
          <w:b/>
        </w:rPr>
        <w:t>”</w:t>
      </w:r>
      <w:r>
        <w:t xml:space="preserve"> includes a child who is not the subject of the protection proceedings.</w:t>
      </w:r>
    </w:p>
    <w:p>
      <w:pPr>
        <w:pStyle w:val="Subsection"/>
      </w:pPr>
      <w:r>
        <w:tab/>
        <w:t>(2)</w:t>
      </w:r>
      <w:r>
        <w:tab/>
        <w:t>In protection proceedings a child may only be compelled to give evidence or be cross</w:t>
      </w:r>
      <w:r>
        <w:noBreakHyphen/>
        <w:t>examined with the leave of the Court.</w:t>
      </w:r>
    </w:p>
    <w:p>
      <w:pPr>
        <w:pStyle w:val="Subsection"/>
      </w:pPr>
      <w:r>
        <w:tab/>
        <w:t>(3)</w:t>
      </w:r>
      <w:r>
        <w:tab/>
        <w:t xml:space="preserve">The Court must not grant leave for the purposes of subsection (2) unless the Court is satisfied that the child is unlikely — </w:t>
      </w:r>
    </w:p>
    <w:p>
      <w:pPr>
        <w:pStyle w:val="Indenta"/>
      </w:pPr>
      <w:r>
        <w:tab/>
        <w:t>(a)</w:t>
      </w:r>
      <w:r>
        <w:tab/>
        <w:t>to suffer emotional trauma as a result of giving evidence or being cross</w:t>
      </w:r>
      <w:r>
        <w:noBreakHyphen/>
        <w:t>examined; or</w:t>
      </w:r>
    </w:p>
    <w:p>
      <w:pPr>
        <w:pStyle w:val="Indenta"/>
      </w:pPr>
      <w:r>
        <w:tab/>
        <w:t>(b)</w:t>
      </w:r>
      <w:r>
        <w:tab/>
        <w:t xml:space="preserve">to be so intimidated or distressed as to be unable — </w:t>
      </w:r>
    </w:p>
    <w:p>
      <w:pPr>
        <w:pStyle w:val="Indenti"/>
      </w:pPr>
      <w:r>
        <w:tab/>
        <w:t>(i)</w:t>
      </w:r>
      <w:r>
        <w:tab/>
        <w:t>to give evidence or be cross</w:t>
      </w:r>
      <w:r>
        <w:noBreakHyphen/>
        <w:t>examined; or</w:t>
      </w:r>
    </w:p>
    <w:p>
      <w:pPr>
        <w:pStyle w:val="Indenti"/>
      </w:pPr>
      <w:r>
        <w:tab/>
        <w:t>(ii)</w:t>
      </w:r>
      <w:r>
        <w:tab/>
        <w:t>to give evidence or be cross</w:t>
      </w:r>
      <w:r>
        <w:noBreakHyphen/>
        <w:t>examined satisfactorily.</w:t>
      </w:r>
    </w:p>
    <w:p>
      <w:pPr>
        <w:pStyle w:val="Heading5"/>
      </w:pPr>
      <w:bookmarkStart w:id="1256" w:name="_Toc85881364"/>
      <w:bookmarkStart w:id="1257" w:name="_Toc128368798"/>
      <w:bookmarkStart w:id="1258" w:name="_Toc140893464"/>
      <w:bookmarkStart w:id="1259" w:name="_Toc140393996"/>
      <w:r>
        <w:rPr>
          <w:rStyle w:val="CharSectno"/>
        </w:rPr>
        <w:t>151</w:t>
      </w:r>
      <w:r>
        <w:t>.</w:t>
      </w:r>
      <w:r>
        <w:tab/>
        <w:t>Standard of proof</w:t>
      </w:r>
      <w:bookmarkEnd w:id="1256"/>
      <w:bookmarkEnd w:id="1257"/>
      <w:bookmarkEnd w:id="1258"/>
      <w:bookmarkEnd w:id="1259"/>
    </w:p>
    <w:p>
      <w:pPr>
        <w:pStyle w:val="Subsection"/>
      </w:pPr>
      <w:r>
        <w:tab/>
      </w:r>
      <w:r>
        <w:tab/>
        <w:t>The standard of proof in protection proceedings is proof on the balance of probabilities.</w:t>
      </w:r>
    </w:p>
    <w:p>
      <w:pPr>
        <w:pStyle w:val="Heading5"/>
      </w:pPr>
      <w:bookmarkStart w:id="1260" w:name="_Toc85881365"/>
      <w:bookmarkStart w:id="1261" w:name="_Toc128368799"/>
      <w:bookmarkStart w:id="1262" w:name="_Toc140893465"/>
      <w:bookmarkStart w:id="1263" w:name="_Toc140393997"/>
      <w:r>
        <w:rPr>
          <w:rStyle w:val="CharSectno"/>
        </w:rPr>
        <w:t>152</w:t>
      </w:r>
      <w:r>
        <w:t>.</w:t>
      </w:r>
      <w:r>
        <w:tab/>
        <w:t>Intervention by Attorney General</w:t>
      </w:r>
      <w:bookmarkEnd w:id="1260"/>
      <w:bookmarkEnd w:id="1261"/>
      <w:bookmarkEnd w:id="1262"/>
      <w:bookmarkEnd w:id="1263"/>
    </w:p>
    <w:p>
      <w:pPr>
        <w:pStyle w:val="Subsection"/>
      </w:pPr>
      <w:r>
        <w:tab/>
        <w:t>(1)</w:t>
      </w:r>
      <w:r>
        <w:tab/>
        <w:t>The Attorney General may intervene in protection proceedings.</w:t>
      </w:r>
    </w:p>
    <w:p>
      <w:pPr>
        <w:pStyle w:val="Subsection"/>
      </w:pPr>
      <w:r>
        <w:tab/>
        <w:t>(2)</w:t>
      </w:r>
      <w:r>
        <w:tab/>
        <w:t>If the Attorney General intervenes in protection proceedings, the Attorney General is to be treated as a party with all the rights, duties, and liabilities of a party.</w:t>
      </w:r>
    </w:p>
    <w:p>
      <w:pPr>
        <w:pStyle w:val="Heading5"/>
      </w:pPr>
      <w:bookmarkStart w:id="1264" w:name="_Toc85881366"/>
      <w:bookmarkStart w:id="1265" w:name="_Toc128368800"/>
      <w:bookmarkStart w:id="1266" w:name="_Toc140893466"/>
      <w:bookmarkStart w:id="1267" w:name="_Toc140393998"/>
      <w:r>
        <w:rPr>
          <w:rStyle w:val="CharSectno"/>
        </w:rPr>
        <w:t>153</w:t>
      </w:r>
      <w:r>
        <w:t>.</w:t>
      </w:r>
      <w:r>
        <w:tab/>
        <w:t>Court to facilitate party’s participation in proceedings</w:t>
      </w:r>
      <w:bookmarkEnd w:id="1264"/>
      <w:bookmarkEnd w:id="1265"/>
      <w:bookmarkEnd w:id="1266"/>
      <w:bookmarkEnd w:id="1267"/>
    </w:p>
    <w:p>
      <w:pPr>
        <w:pStyle w:val="Subsection"/>
      </w:pPr>
      <w:r>
        <w:tab/>
        <w:t>(1)</w:t>
      </w:r>
      <w:r>
        <w:tab/>
        <w:t>In protection proceedings the Court must, as far as is practicable, ensure that each party understands the nature, purpose and legal implications of the proceedings and of any order or decision of the Court.</w:t>
      </w:r>
    </w:p>
    <w:p>
      <w:pPr>
        <w:pStyle w:val="Subsection"/>
      </w:pPr>
      <w:r>
        <w:tab/>
        <w:t>(2)</w:t>
      </w:r>
      <w:r>
        <w:tab/>
        <w:t>If the Court is satisfied that a party —</w:t>
      </w:r>
    </w:p>
    <w:p>
      <w:pPr>
        <w:pStyle w:val="Indenta"/>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1268" w:name="_Toc85881367"/>
      <w:bookmarkStart w:id="1269" w:name="_Toc128368801"/>
      <w:bookmarkStart w:id="1270" w:name="_Toc140893467"/>
      <w:bookmarkStart w:id="1271" w:name="_Toc140393999"/>
      <w:r>
        <w:rPr>
          <w:rStyle w:val="CharSectno"/>
        </w:rPr>
        <w:t>154</w:t>
      </w:r>
      <w:r>
        <w:t>.</w:t>
      </w:r>
      <w:r>
        <w:tab/>
        <w:t>Court may dispense with requirement for service</w:t>
      </w:r>
      <w:bookmarkEnd w:id="1268"/>
      <w:bookmarkEnd w:id="1269"/>
      <w:bookmarkEnd w:id="1270"/>
      <w:bookmarkEnd w:id="1271"/>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pPr>
      <w:bookmarkStart w:id="1272" w:name="_Toc85881368"/>
      <w:bookmarkStart w:id="1273" w:name="_Toc128368802"/>
      <w:bookmarkStart w:id="1274" w:name="_Toc140893468"/>
      <w:bookmarkStart w:id="1275" w:name="_Toc140394000"/>
      <w:r>
        <w:rPr>
          <w:rStyle w:val="CharSectno"/>
        </w:rPr>
        <w:t>155</w:t>
      </w:r>
      <w:r>
        <w:t>.</w:t>
      </w:r>
      <w:r>
        <w:tab/>
        <w:t>Frivolous or vexatious proceedings</w:t>
      </w:r>
      <w:bookmarkEnd w:id="1272"/>
      <w:bookmarkEnd w:id="1273"/>
      <w:bookmarkEnd w:id="1274"/>
      <w:bookmarkEnd w:id="1275"/>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1276" w:name="_Toc128300929"/>
      <w:bookmarkStart w:id="1277" w:name="_Toc128302957"/>
      <w:bookmarkStart w:id="1278" w:name="_Toc128366889"/>
      <w:bookmarkStart w:id="1279" w:name="_Toc128368803"/>
      <w:bookmarkStart w:id="1280" w:name="_Toc128369183"/>
      <w:bookmarkStart w:id="1281" w:name="_Toc128969520"/>
      <w:bookmarkStart w:id="1282" w:name="_Toc132620431"/>
      <w:bookmarkStart w:id="1283" w:name="_Toc140378059"/>
      <w:bookmarkStart w:id="1284" w:name="_Toc140394001"/>
      <w:bookmarkStart w:id="1285" w:name="_Toc140893469"/>
      <w:r>
        <w:rPr>
          <w:rStyle w:val="CharPartNo"/>
        </w:rPr>
        <w:t xml:space="preserve">Part </w:t>
      </w:r>
      <w:bookmarkStart w:id="1286" w:name="_Hlt39889064"/>
      <w:bookmarkEnd w:id="1286"/>
      <w:r>
        <w:rPr>
          <w:rStyle w:val="CharPartNo"/>
        </w:rPr>
        <w:t>6</w:t>
      </w:r>
      <w:r>
        <w:t xml:space="preserve"> — </w:t>
      </w:r>
      <w:r>
        <w:rPr>
          <w:rStyle w:val="CharPartText"/>
        </w:rPr>
        <w:t>Transfer of child protection orders and proceedings</w:t>
      </w:r>
      <w:bookmarkEnd w:id="1276"/>
      <w:bookmarkEnd w:id="1277"/>
      <w:bookmarkEnd w:id="1278"/>
      <w:bookmarkEnd w:id="1279"/>
      <w:bookmarkEnd w:id="1280"/>
      <w:bookmarkEnd w:id="1281"/>
      <w:bookmarkEnd w:id="1282"/>
      <w:bookmarkEnd w:id="1283"/>
      <w:bookmarkEnd w:id="1284"/>
      <w:bookmarkEnd w:id="1285"/>
    </w:p>
    <w:p>
      <w:pPr>
        <w:pStyle w:val="Heading3"/>
      </w:pPr>
      <w:bookmarkStart w:id="1287" w:name="_Toc128300930"/>
      <w:bookmarkStart w:id="1288" w:name="_Toc128302958"/>
      <w:bookmarkStart w:id="1289" w:name="_Toc128366890"/>
      <w:bookmarkStart w:id="1290" w:name="_Toc128368804"/>
      <w:bookmarkStart w:id="1291" w:name="_Toc128369184"/>
      <w:bookmarkStart w:id="1292" w:name="_Toc128969521"/>
      <w:bookmarkStart w:id="1293" w:name="_Toc132620432"/>
      <w:bookmarkStart w:id="1294" w:name="_Toc140378060"/>
      <w:bookmarkStart w:id="1295" w:name="_Toc140394002"/>
      <w:bookmarkStart w:id="1296" w:name="_Toc140893470"/>
      <w:r>
        <w:rPr>
          <w:rStyle w:val="CharDivNo"/>
        </w:rPr>
        <w:t>Division 1</w:t>
      </w:r>
      <w:r>
        <w:t xml:space="preserve"> — </w:t>
      </w:r>
      <w:r>
        <w:rPr>
          <w:rStyle w:val="CharDivText"/>
        </w:rPr>
        <w:t>Introductory matters</w:t>
      </w:r>
      <w:bookmarkEnd w:id="1287"/>
      <w:bookmarkEnd w:id="1288"/>
      <w:bookmarkEnd w:id="1289"/>
      <w:bookmarkEnd w:id="1290"/>
      <w:bookmarkEnd w:id="1291"/>
      <w:bookmarkEnd w:id="1292"/>
      <w:bookmarkEnd w:id="1293"/>
      <w:bookmarkEnd w:id="1294"/>
      <w:bookmarkEnd w:id="1295"/>
      <w:bookmarkEnd w:id="1296"/>
    </w:p>
    <w:p>
      <w:pPr>
        <w:pStyle w:val="Heading5"/>
      </w:pPr>
      <w:bookmarkStart w:id="1297" w:name="_Toc85881369"/>
      <w:bookmarkStart w:id="1298" w:name="_Toc128368805"/>
      <w:bookmarkStart w:id="1299" w:name="_Toc140893471"/>
      <w:bookmarkStart w:id="1300" w:name="_Toc140394003"/>
      <w:r>
        <w:rPr>
          <w:rStyle w:val="CharSectno"/>
        </w:rPr>
        <w:t>156</w:t>
      </w:r>
      <w:r>
        <w:t>.</w:t>
      </w:r>
      <w:r>
        <w:tab/>
        <w:t>Purpose of Part</w:t>
      </w:r>
      <w:bookmarkEnd w:id="1297"/>
      <w:bookmarkEnd w:id="1298"/>
      <w:bookmarkEnd w:id="1299"/>
      <w:bookmarkEnd w:id="1300"/>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1301" w:name="_Toc85881370"/>
      <w:bookmarkStart w:id="1302" w:name="_Toc128368806"/>
      <w:bookmarkStart w:id="1303" w:name="_Toc140893472"/>
      <w:bookmarkStart w:id="1304" w:name="_Toc140394004"/>
      <w:r>
        <w:rPr>
          <w:rStyle w:val="CharSectno"/>
        </w:rPr>
        <w:t>157</w:t>
      </w:r>
      <w:r>
        <w:t>.</w:t>
      </w:r>
      <w:r>
        <w:tab/>
        <w:t>Terms used in this Part</w:t>
      </w:r>
      <w:bookmarkEnd w:id="1301"/>
      <w:bookmarkEnd w:id="1302"/>
      <w:bookmarkEnd w:id="1303"/>
      <w:bookmarkEnd w:id="1304"/>
    </w:p>
    <w:p>
      <w:pPr>
        <w:pStyle w:val="Subsection"/>
      </w:pPr>
      <w:r>
        <w:tab/>
        <w:t>(1)</w:t>
      </w:r>
      <w:r>
        <w:tab/>
        <w:t>In this Part, unless the contrary intention appears —</w:t>
      </w:r>
    </w:p>
    <w:p>
      <w:pPr>
        <w:pStyle w:val="Defstart"/>
      </w:pPr>
      <w:r>
        <w:tab/>
      </w:r>
      <w:r>
        <w:rPr>
          <w:b/>
        </w:rPr>
        <w:t>“</w:t>
      </w:r>
      <w:r>
        <w:rPr>
          <w:rStyle w:val="CharDefText"/>
        </w:rPr>
        <w:t>child protection order</w:t>
      </w:r>
      <w:r>
        <w:rPr>
          <w:b/>
        </w:rPr>
        <w:t>”</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w:t>
      </w:r>
    </w:p>
    <w:p>
      <w:pPr>
        <w:pStyle w:val="Defpara"/>
      </w:pPr>
      <w:r>
        <w:tab/>
        <w:t>(b)</w:t>
      </w:r>
      <w:r>
        <w:tab/>
        <w:t>a government department or statutory authority;</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r>
      <w:r>
        <w:tab/>
        <w:t>responsibility in relation to the guardianship, custody or supervision of the child, however that responsibility is described;</w:t>
      </w:r>
    </w:p>
    <w:p>
      <w:pPr>
        <w:pStyle w:val="Defstart"/>
      </w:pPr>
      <w:r>
        <w:tab/>
      </w:r>
      <w:r>
        <w:rPr>
          <w:b/>
        </w:rPr>
        <w:t>“</w:t>
      </w:r>
      <w:r>
        <w:rPr>
          <w:rStyle w:val="CharDefText"/>
        </w:rPr>
        <w:t>child protection proceeding</w:t>
      </w:r>
      <w:r>
        <w:rPr>
          <w:b/>
        </w:rPr>
        <w:t>”</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b/>
        </w:rPr>
        <w:t>“</w:t>
      </w:r>
      <w:r>
        <w:rPr>
          <w:rStyle w:val="CharDefText"/>
        </w:rPr>
        <w:t>child welfare law</w:t>
      </w:r>
      <w:r>
        <w:rPr>
          <w:b/>
        </w:rPr>
        <w:t>”</w:t>
      </w:r>
      <w:r>
        <w:t xml:space="preserve"> means —</w:t>
      </w:r>
    </w:p>
    <w:p>
      <w:pPr>
        <w:pStyle w:val="Defpara"/>
      </w:pPr>
      <w:r>
        <w:tab/>
        <w:t>(a)</w:t>
      </w:r>
      <w:r>
        <w:tab/>
        <w:t>Part 4;</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keepNext/>
      </w:pPr>
      <w:r>
        <w:tab/>
      </w:r>
      <w:r>
        <w:rPr>
          <w:b/>
        </w:rPr>
        <w:t>“</w:t>
      </w:r>
      <w:r>
        <w:rPr>
          <w:rStyle w:val="CharDefText"/>
        </w:rPr>
        <w:t>Children’s Court</w:t>
      </w:r>
      <w:r>
        <w:rPr>
          <w:b/>
        </w:rPr>
        <w: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b/>
        </w:rPr>
        <w:t>“</w:t>
      </w:r>
      <w:r>
        <w:rPr>
          <w:rStyle w:val="CharDefText"/>
        </w:rPr>
        <w:t>home order</w:t>
      </w:r>
      <w:r>
        <w:rPr>
          <w:b/>
        </w:rPr>
        <w:t>”</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b/>
        </w:rPr>
        <w:t>“</w:t>
      </w:r>
      <w:r>
        <w:rPr>
          <w:rStyle w:val="CharDefText"/>
        </w:rPr>
        <w:t>interim order</w:t>
      </w:r>
      <w:r>
        <w:rPr>
          <w:b/>
        </w:rPr>
        <w:t>”</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b/>
        </w:rPr>
        <w:t>“</w:t>
      </w:r>
      <w:r>
        <w:rPr>
          <w:rStyle w:val="CharDefText"/>
        </w:rPr>
        <w:t>interstate law</w:t>
      </w:r>
      <w:r>
        <w:rPr>
          <w:b/>
        </w:rPr>
        <w:t>”</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b/>
        </w:rPr>
        <w:t>“</w:t>
      </w:r>
      <w:r>
        <w:rPr>
          <w:rStyle w:val="CharDefText"/>
        </w:rPr>
        <w:t>interstate officer</w:t>
      </w:r>
      <w:r>
        <w:rPr>
          <w:b/>
        </w:rPr>
        <w:t>”</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t>“</w:t>
      </w:r>
      <w:r>
        <w:rPr>
          <w:rStyle w:val="CharDefText"/>
        </w:rPr>
        <w:t>parent</w:t>
      </w:r>
      <w:r>
        <w:rPr>
          <w:b/>
        </w:rPr>
        <w:t>”</w:t>
      </w:r>
      <w:r>
        <w:t xml:space="preserve"> has the meaning given to that term in section 42;</w:t>
      </w:r>
    </w:p>
    <w:p>
      <w:pPr>
        <w:pStyle w:val="Defstart"/>
      </w:pPr>
      <w:r>
        <w:tab/>
      </w:r>
      <w:r>
        <w:rPr>
          <w:b/>
        </w:rPr>
        <w:t>“</w:t>
      </w:r>
      <w:r>
        <w:rPr>
          <w:rStyle w:val="CharDefText"/>
        </w:rPr>
        <w:t>participating State</w:t>
      </w:r>
      <w:r>
        <w:rPr>
          <w:b/>
        </w:rPr>
        <w:t>”</w:t>
      </w:r>
      <w:r>
        <w:t xml:space="preserve"> means a State in which an interstate law is in force;</w:t>
      </w:r>
    </w:p>
    <w:p>
      <w:pPr>
        <w:pStyle w:val="Defstart"/>
      </w:pPr>
      <w:r>
        <w:tab/>
      </w:r>
      <w:r>
        <w:rPr>
          <w:b/>
        </w:rPr>
        <w:t>“</w:t>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b/>
        </w:rPr>
        <w:t>“</w:t>
      </w:r>
      <w:r>
        <w:rPr>
          <w:rStyle w:val="CharDefText"/>
        </w:rPr>
        <w:t>sending State</w:t>
      </w:r>
      <w:r>
        <w:rPr>
          <w:b/>
        </w:rPr>
        <w:t>”</w:t>
      </w:r>
      <w:r>
        <w:t xml:space="preserve"> means the State from which a child protection order or proceeding is transferred under this Part or an interstate law;</w:t>
      </w:r>
    </w:p>
    <w:p>
      <w:pPr>
        <w:pStyle w:val="Defstart"/>
        <w:keepNext/>
      </w:pPr>
      <w:r>
        <w:tab/>
      </w:r>
      <w:r>
        <w:rPr>
          <w:b/>
        </w:rPr>
        <w:t>“</w:t>
      </w:r>
      <w:r>
        <w:rPr>
          <w:rStyle w:val="CharDefText"/>
        </w:rPr>
        <w:t>State</w:t>
      </w:r>
      <w:r>
        <w:rPr>
          <w:b/>
        </w:rPr>
        <w:t>”</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b/>
        </w:rPr>
        <w:t>“</w:t>
      </w:r>
      <w:r>
        <w:rPr>
          <w:rStyle w:val="CharDefText"/>
        </w:rPr>
        <w:t>working day</w:t>
      </w:r>
      <w:r>
        <w:rPr>
          <w:b/>
        </w:rPr>
        <w:t>”</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1305" w:name="_Toc128300933"/>
      <w:bookmarkStart w:id="1306" w:name="_Toc128302961"/>
      <w:bookmarkStart w:id="1307" w:name="_Toc128366893"/>
      <w:bookmarkStart w:id="1308" w:name="_Toc128368807"/>
      <w:bookmarkStart w:id="1309" w:name="_Toc128369187"/>
      <w:bookmarkStart w:id="1310" w:name="_Toc128969524"/>
      <w:bookmarkStart w:id="1311" w:name="_Toc132620435"/>
      <w:bookmarkStart w:id="1312" w:name="_Toc140378063"/>
      <w:bookmarkStart w:id="1313" w:name="_Toc140394005"/>
      <w:bookmarkStart w:id="1314" w:name="_Toc140893473"/>
      <w:r>
        <w:rPr>
          <w:rStyle w:val="CharDivNo"/>
        </w:rPr>
        <w:t>Division 2</w:t>
      </w:r>
      <w:r>
        <w:t xml:space="preserve"> — </w:t>
      </w:r>
      <w:r>
        <w:rPr>
          <w:rStyle w:val="CharDivText"/>
        </w:rPr>
        <w:t>Transfer of child protection orders</w:t>
      </w:r>
      <w:bookmarkEnd w:id="1305"/>
      <w:bookmarkEnd w:id="1306"/>
      <w:bookmarkEnd w:id="1307"/>
      <w:bookmarkEnd w:id="1308"/>
      <w:bookmarkEnd w:id="1309"/>
      <w:bookmarkEnd w:id="1310"/>
      <w:bookmarkEnd w:id="1311"/>
      <w:bookmarkEnd w:id="1312"/>
      <w:bookmarkEnd w:id="1313"/>
      <w:bookmarkEnd w:id="1314"/>
    </w:p>
    <w:p>
      <w:pPr>
        <w:pStyle w:val="Heading4"/>
      </w:pPr>
      <w:bookmarkStart w:id="1315" w:name="_Toc128300934"/>
      <w:bookmarkStart w:id="1316" w:name="_Toc128302962"/>
      <w:bookmarkStart w:id="1317" w:name="_Toc128366894"/>
      <w:bookmarkStart w:id="1318" w:name="_Toc128368808"/>
      <w:bookmarkStart w:id="1319" w:name="_Toc128369188"/>
      <w:bookmarkStart w:id="1320" w:name="_Toc128969525"/>
      <w:bookmarkStart w:id="1321" w:name="_Toc132620436"/>
      <w:bookmarkStart w:id="1322" w:name="_Toc140378064"/>
      <w:bookmarkStart w:id="1323" w:name="_Toc140394006"/>
      <w:bookmarkStart w:id="1324" w:name="_Toc140893474"/>
      <w:r>
        <w:t>Subdivision 1 — Administrative transfers</w:t>
      </w:r>
      <w:bookmarkEnd w:id="1315"/>
      <w:bookmarkEnd w:id="1316"/>
      <w:bookmarkEnd w:id="1317"/>
      <w:bookmarkEnd w:id="1318"/>
      <w:bookmarkEnd w:id="1319"/>
      <w:bookmarkEnd w:id="1320"/>
      <w:bookmarkEnd w:id="1321"/>
      <w:bookmarkEnd w:id="1322"/>
      <w:bookmarkEnd w:id="1323"/>
      <w:bookmarkEnd w:id="1324"/>
    </w:p>
    <w:p>
      <w:pPr>
        <w:pStyle w:val="Heading5"/>
      </w:pPr>
      <w:bookmarkStart w:id="1325" w:name="_Toc85881371"/>
      <w:bookmarkStart w:id="1326" w:name="_Toc128368809"/>
      <w:bookmarkStart w:id="1327" w:name="_Toc140893475"/>
      <w:bookmarkStart w:id="1328" w:name="_Toc140394007"/>
      <w:r>
        <w:rPr>
          <w:rStyle w:val="CharSectno"/>
        </w:rPr>
        <w:t>158</w:t>
      </w:r>
      <w:r>
        <w:t>.</w:t>
      </w:r>
      <w:r>
        <w:tab/>
        <w:t>When CEO may transfer order</w:t>
      </w:r>
      <w:bookmarkEnd w:id="1325"/>
      <w:bookmarkEnd w:id="1326"/>
      <w:bookmarkEnd w:id="1327"/>
      <w:bookmarkEnd w:id="1328"/>
    </w:p>
    <w:p>
      <w:pPr>
        <w:pStyle w:val="Subsection"/>
      </w:pPr>
      <w:r>
        <w:tab/>
      </w:r>
      <w:bookmarkStart w:id="1329" w:name="_Hlt39909814"/>
      <w:bookmarkEnd w:id="1329"/>
      <w:r>
        <w:t>(1)</w:t>
      </w:r>
      <w:r>
        <w:tab/>
        <w:t>The CEO may transfer a home order to a participating State if —</w:t>
      </w:r>
    </w:p>
    <w:p>
      <w:pPr>
        <w:pStyle w:val="Indenta"/>
      </w:pPr>
      <w:r>
        <w:tab/>
        <w:t>(a)</w:t>
      </w:r>
      <w:r>
        <w:tab/>
        <w:t>in his or her opinion a child protection order to the same or a similar effect as the home order could be made under the child welfare law of that State;</w:t>
      </w:r>
    </w:p>
    <w:p>
      <w:pPr>
        <w:pStyle w:val="Indenta"/>
      </w:pPr>
      <w:r>
        <w:tab/>
        <w:t>(b)</w:t>
      </w:r>
      <w:r>
        <w:tab/>
        <w:t>the home order is not subject to an appeal and the time for instituting an appeal has expired;</w:t>
      </w:r>
    </w:p>
    <w:p>
      <w:pPr>
        <w:pStyle w:val="Indenta"/>
      </w:pPr>
      <w:r>
        <w:tab/>
        <w:t>(c)</w:t>
      </w:r>
      <w:r>
        <w:tab/>
        <w:t xml:space="preserve">the relevant interstate officer has consented in writing to the transfer and to the proposed terms of the order to be transferred (the </w:t>
      </w:r>
      <w:r>
        <w:rPr>
          <w:b/>
        </w:rPr>
        <w:t>“</w:t>
      </w:r>
      <w:r>
        <w:rPr>
          <w:rStyle w:val="CharDefText"/>
        </w:rPr>
        <w:t>proposed interstate order</w:t>
      </w:r>
      <w:r>
        <w:rPr>
          <w:b/>
        </w:rPr>
        <w:t>”</w:t>
      </w:r>
      <w:r>
        <w:t>); and</w:t>
      </w:r>
    </w:p>
    <w:p>
      <w:pPr>
        <w:pStyle w:val="Indenta"/>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1330" w:name="_Toc85881372"/>
      <w:bookmarkStart w:id="1331" w:name="_Toc128368810"/>
      <w:bookmarkStart w:id="1332" w:name="_Toc140893476"/>
      <w:bookmarkStart w:id="1333" w:name="_Toc140394008"/>
      <w:r>
        <w:rPr>
          <w:rStyle w:val="CharSectno"/>
        </w:rPr>
        <w:t>159</w:t>
      </w:r>
      <w:r>
        <w:t>.</w:t>
      </w:r>
      <w:r>
        <w:tab/>
        <w:t>Persons whose consent is required</w:t>
      </w:r>
      <w:bookmarkEnd w:id="1330"/>
      <w:bookmarkEnd w:id="1331"/>
      <w:bookmarkEnd w:id="1332"/>
      <w:bookmarkEnd w:id="1333"/>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1334" w:name="_Toc85881373"/>
      <w:bookmarkStart w:id="1335" w:name="_Toc128368811"/>
      <w:bookmarkStart w:id="1336" w:name="_Toc140893477"/>
      <w:bookmarkStart w:id="1337" w:name="_Toc140394009"/>
      <w:r>
        <w:rPr>
          <w:rStyle w:val="CharSectno"/>
        </w:rPr>
        <w:t>160</w:t>
      </w:r>
      <w:r>
        <w:t>.</w:t>
      </w:r>
      <w:r>
        <w:tab/>
        <w:t>CEO to have regard to certain matters</w:t>
      </w:r>
      <w:bookmarkEnd w:id="1334"/>
      <w:bookmarkEnd w:id="1335"/>
      <w:bookmarkEnd w:id="1336"/>
      <w:bookmarkEnd w:id="1337"/>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1338" w:name="_Toc85881374"/>
      <w:bookmarkStart w:id="1339" w:name="_Toc128368812"/>
      <w:bookmarkStart w:id="1340" w:name="_Toc140893478"/>
      <w:bookmarkStart w:id="1341" w:name="_Toc140394010"/>
      <w:r>
        <w:rPr>
          <w:rStyle w:val="CharSectno"/>
        </w:rPr>
        <w:t>161</w:t>
      </w:r>
      <w:r>
        <w:t>.</w:t>
      </w:r>
      <w:r>
        <w:tab/>
        <w:t>Notification of decision to transfer</w:t>
      </w:r>
      <w:bookmarkEnd w:id="1338"/>
      <w:bookmarkEnd w:id="1339"/>
      <w:bookmarkEnd w:id="1340"/>
      <w:bookmarkEnd w:id="1341"/>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1342" w:name="_Toc85881375"/>
      <w:bookmarkStart w:id="1343" w:name="_Toc128368813"/>
      <w:bookmarkStart w:id="1344" w:name="_Toc140893479"/>
      <w:bookmarkStart w:id="1345" w:name="_Toc140394011"/>
      <w:r>
        <w:rPr>
          <w:rStyle w:val="CharSectno"/>
        </w:rPr>
        <w:t>162</w:t>
      </w:r>
      <w:r>
        <w:t>.</w:t>
      </w:r>
      <w:r>
        <w:tab/>
        <w:t>Limited period in which to apply for judicial review of decision</w:t>
      </w:r>
      <w:bookmarkEnd w:id="1342"/>
      <w:bookmarkEnd w:id="1343"/>
      <w:bookmarkEnd w:id="1344"/>
      <w:bookmarkEnd w:id="1345"/>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1346" w:name="_Toc51641784"/>
      <w:bookmarkStart w:id="1347" w:name="_Toc85881376"/>
      <w:bookmarkStart w:id="1348" w:name="_Toc128368814"/>
      <w:bookmarkStart w:id="1349" w:name="_Toc140893480"/>
      <w:bookmarkStart w:id="1350" w:name="_Toc140394012"/>
      <w:r>
        <w:rPr>
          <w:rStyle w:val="CharSectno"/>
        </w:rPr>
        <w:t>163</w:t>
      </w:r>
      <w:r>
        <w:t>.</w:t>
      </w:r>
      <w:r>
        <w:tab/>
        <w:t>Review by State Administrative Tribunal</w:t>
      </w:r>
      <w:bookmarkEnd w:id="1346"/>
      <w:bookmarkEnd w:id="1347"/>
      <w:bookmarkEnd w:id="1348"/>
      <w:bookmarkEnd w:id="1349"/>
      <w:bookmarkEnd w:id="1350"/>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1351" w:name="_Toc128300941"/>
      <w:bookmarkStart w:id="1352" w:name="_Toc128302969"/>
      <w:bookmarkStart w:id="1353" w:name="_Toc128366901"/>
      <w:bookmarkStart w:id="1354" w:name="_Toc128368815"/>
      <w:bookmarkStart w:id="1355" w:name="_Toc128369195"/>
      <w:bookmarkStart w:id="1356" w:name="_Toc128969532"/>
      <w:bookmarkStart w:id="1357" w:name="_Toc132620443"/>
      <w:bookmarkStart w:id="1358" w:name="_Toc140378071"/>
      <w:bookmarkStart w:id="1359" w:name="_Toc140394013"/>
      <w:bookmarkStart w:id="1360" w:name="_Toc140893481"/>
      <w:r>
        <w:t>Subdivision 2 — Judicial transfers</w:t>
      </w:r>
      <w:bookmarkEnd w:id="1351"/>
      <w:bookmarkEnd w:id="1352"/>
      <w:bookmarkEnd w:id="1353"/>
      <w:bookmarkEnd w:id="1354"/>
      <w:bookmarkEnd w:id="1355"/>
      <w:bookmarkEnd w:id="1356"/>
      <w:bookmarkEnd w:id="1357"/>
      <w:bookmarkEnd w:id="1358"/>
      <w:bookmarkEnd w:id="1359"/>
      <w:bookmarkEnd w:id="1360"/>
    </w:p>
    <w:p>
      <w:pPr>
        <w:pStyle w:val="Heading5"/>
      </w:pPr>
      <w:bookmarkStart w:id="1361" w:name="_Hlt39909819"/>
      <w:bookmarkStart w:id="1362" w:name="_Toc85881377"/>
      <w:bookmarkStart w:id="1363" w:name="_Toc128368816"/>
      <w:bookmarkStart w:id="1364" w:name="_Toc140893482"/>
      <w:bookmarkStart w:id="1365" w:name="_Toc140394014"/>
      <w:bookmarkEnd w:id="1361"/>
      <w:r>
        <w:rPr>
          <w:rStyle w:val="CharSectno"/>
        </w:rPr>
        <w:t>164</w:t>
      </w:r>
      <w:r>
        <w:t>.</w:t>
      </w:r>
      <w:r>
        <w:tab/>
        <w:t>When Court may transfer order</w:t>
      </w:r>
      <w:bookmarkEnd w:id="1362"/>
      <w:bookmarkEnd w:id="1363"/>
      <w:bookmarkEnd w:id="1364"/>
      <w:bookmarkEnd w:id="1365"/>
    </w:p>
    <w:p>
      <w:pPr>
        <w:pStyle w:val="Subsection"/>
      </w:pPr>
      <w:r>
        <w:tab/>
      </w:r>
      <w:r>
        <w:tab/>
        <w:t>The Court may make an order transferring a home order to a participating State if —</w:t>
      </w:r>
    </w:p>
    <w:p>
      <w:pPr>
        <w:pStyle w:val="Indenta"/>
      </w:pPr>
      <w:r>
        <w:tab/>
        <w:t>(a)</w:t>
      </w:r>
      <w:r>
        <w:tab/>
        <w:t>an application for the making of the order is made by the CEO;</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1366" w:name="_Toc85881378"/>
      <w:bookmarkStart w:id="1367" w:name="_Toc128368817"/>
      <w:bookmarkStart w:id="1368" w:name="_Toc140893483"/>
      <w:bookmarkStart w:id="1369" w:name="_Toc140394015"/>
      <w:r>
        <w:rPr>
          <w:rStyle w:val="CharSectno"/>
        </w:rPr>
        <w:t>165</w:t>
      </w:r>
      <w:r>
        <w:t>.</w:t>
      </w:r>
      <w:r>
        <w:tab/>
        <w:t>Service of application</w:t>
      </w:r>
      <w:bookmarkEnd w:id="1366"/>
      <w:bookmarkEnd w:id="1367"/>
      <w:bookmarkEnd w:id="1368"/>
      <w:bookmarkEnd w:id="1369"/>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1370" w:name="_Toc85881379"/>
      <w:bookmarkStart w:id="1371" w:name="_Toc128368818"/>
      <w:bookmarkStart w:id="1372" w:name="_Toc140893484"/>
      <w:bookmarkStart w:id="1373" w:name="_Toc140394016"/>
      <w:r>
        <w:rPr>
          <w:rStyle w:val="CharSectno"/>
        </w:rPr>
        <w:t>166</w:t>
      </w:r>
      <w:r>
        <w:t>.</w:t>
      </w:r>
      <w:r>
        <w:tab/>
        <w:t>Court to have regard to certain matters</w:t>
      </w:r>
      <w:bookmarkEnd w:id="1370"/>
      <w:bookmarkEnd w:id="1371"/>
      <w:bookmarkEnd w:id="1372"/>
      <w:bookmarkEnd w:id="1373"/>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1374" w:name="_Toc85881380"/>
      <w:bookmarkStart w:id="1375" w:name="_Toc128368819"/>
      <w:bookmarkStart w:id="1376" w:name="_Toc140893485"/>
      <w:bookmarkStart w:id="1377" w:name="_Toc140394017"/>
      <w:r>
        <w:rPr>
          <w:rStyle w:val="CharSectno"/>
        </w:rPr>
        <w:t>167</w:t>
      </w:r>
      <w:r>
        <w:t>.</w:t>
      </w:r>
      <w:r>
        <w:tab/>
        <w:t>Type of order</w:t>
      </w:r>
      <w:bookmarkEnd w:id="1374"/>
      <w:bookmarkEnd w:id="1375"/>
      <w:bookmarkEnd w:id="1376"/>
      <w:bookmarkEnd w:id="1377"/>
    </w:p>
    <w:p>
      <w:pPr>
        <w:pStyle w:val="Subsection"/>
      </w:pPr>
      <w:r>
        <w:tab/>
        <w:t>(1)</w:t>
      </w:r>
      <w:r>
        <w:tab/>
        <w:t xml:space="preserve">If the Court determines to transfer a home order to a participating State, the proposed terms of the order to be transferred (the </w:t>
      </w:r>
      <w:r>
        <w:rPr>
          <w:b/>
        </w:rPr>
        <w:t>“</w:t>
      </w:r>
      <w:r>
        <w:rPr>
          <w:rStyle w:val="CharDefText"/>
        </w:rPr>
        <w:t>proposed interstate order</w:t>
      </w:r>
      <w:r>
        <w:rPr>
          <w:b/>
        </w:rPr>
        <w:t>”</w:t>
      </w:r>
      <w:r>
        <w:t>) must be terms that could be the terms of a child protection order made under the child welfare law of the participating State and that the Court believes to be —</w:t>
      </w:r>
    </w:p>
    <w:p>
      <w:pPr>
        <w:pStyle w:val="Indenta"/>
      </w:pPr>
      <w:r>
        <w:tab/>
        <w:t>(a)</w:t>
      </w:r>
      <w:r>
        <w:tab/>
        <w:t>to the same or a similar effect as the terms of the home order; or</w:t>
      </w:r>
    </w:p>
    <w:p>
      <w:pPr>
        <w:pStyle w:val="Indenta"/>
      </w:pPr>
      <w:r>
        <w:tab/>
        <w:t>(b)</w:t>
      </w:r>
      <w:r>
        <w:tab/>
        <w:t>otherwise in the best interests of the child.</w:t>
      </w:r>
    </w:p>
    <w:p>
      <w:pPr>
        <w:pStyle w:val="Subsection"/>
      </w:pPr>
      <w:r>
        <w:tab/>
        <w:t>(2)</w:t>
      </w:r>
      <w:r>
        <w:tab/>
        <w:t>The Court may include in the proposed interstate order any conditions that could be included in a child protection order of that type made in the relevant participating State.</w:t>
      </w:r>
    </w:p>
    <w:p>
      <w:pPr>
        <w:pStyle w:val="Subsection"/>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pPr>
      <w:r>
        <w:tab/>
        <w:t>(4)</w:t>
      </w:r>
      <w:r>
        <w:tab/>
        <w:t>The Court must determine, and specify in the proposed interstate order, the period for which it is to remain in force.</w:t>
      </w:r>
    </w:p>
    <w:p>
      <w:pPr>
        <w:pStyle w:val="Subsection"/>
      </w:pPr>
      <w:r>
        <w:tab/>
        <w:t>(5)</w:t>
      </w:r>
      <w:r>
        <w:tab/>
        <w:t>The period must not be longer than the maximum period for which a child protection order of that type made in the relevant participating State could remain in force.</w:t>
      </w:r>
    </w:p>
    <w:p>
      <w:pPr>
        <w:pStyle w:val="Heading5"/>
      </w:pPr>
      <w:bookmarkStart w:id="1378" w:name="_Toc85881381"/>
      <w:bookmarkStart w:id="1379" w:name="_Toc128368820"/>
      <w:bookmarkStart w:id="1380" w:name="_Toc140893486"/>
      <w:bookmarkStart w:id="1381" w:name="_Toc140394018"/>
      <w:r>
        <w:rPr>
          <w:rStyle w:val="CharSectno"/>
        </w:rPr>
        <w:t>168</w:t>
      </w:r>
      <w:r>
        <w:t>.</w:t>
      </w:r>
      <w:r>
        <w:tab/>
        <w:t>Court must consider report from the CEO</w:t>
      </w:r>
      <w:bookmarkEnd w:id="1378"/>
      <w:bookmarkEnd w:id="1379"/>
      <w:bookmarkEnd w:id="1380"/>
      <w:bookmarkEnd w:id="1381"/>
    </w:p>
    <w:p>
      <w:pPr>
        <w:pStyle w:val="Subsection"/>
      </w:pPr>
      <w:r>
        <w:tab/>
      </w:r>
      <w:r>
        <w:tab/>
        <w:t>The Court must not make an order under section 164 unless it has received and considered a report from the CEO regarding the child.</w:t>
      </w:r>
    </w:p>
    <w:p>
      <w:pPr>
        <w:pStyle w:val="Heading5"/>
      </w:pPr>
      <w:bookmarkStart w:id="1382" w:name="_Toc85881382"/>
      <w:bookmarkStart w:id="1383" w:name="_Toc128368821"/>
      <w:bookmarkStart w:id="1384" w:name="_Toc140893487"/>
      <w:bookmarkStart w:id="1385" w:name="_Toc140394019"/>
      <w:r>
        <w:rPr>
          <w:rStyle w:val="CharSectno"/>
        </w:rPr>
        <w:t>169</w:t>
      </w:r>
      <w:r>
        <w:t>.</w:t>
      </w:r>
      <w:r>
        <w:tab/>
        <w:t>Appeals</w:t>
      </w:r>
      <w:bookmarkEnd w:id="1382"/>
      <w:bookmarkEnd w:id="1383"/>
      <w:bookmarkEnd w:id="1384"/>
      <w:bookmarkEnd w:id="1385"/>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1386" w:name="_Hlt517083517"/>
      <w:r>
        <w:t>133</w:t>
      </w:r>
      <w:bookmarkEnd w:id="1386"/>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1387" w:name="_Toc128300948"/>
      <w:bookmarkStart w:id="1388" w:name="_Toc128302976"/>
      <w:bookmarkStart w:id="1389" w:name="_Toc128366908"/>
      <w:bookmarkStart w:id="1390" w:name="_Toc128368822"/>
      <w:bookmarkStart w:id="1391" w:name="_Toc128369202"/>
      <w:bookmarkStart w:id="1392" w:name="_Toc128969539"/>
      <w:bookmarkStart w:id="1393" w:name="_Toc132620450"/>
      <w:bookmarkStart w:id="1394" w:name="_Toc140378078"/>
      <w:bookmarkStart w:id="1395" w:name="_Toc140394020"/>
      <w:bookmarkStart w:id="1396" w:name="_Toc140893488"/>
      <w:r>
        <w:rPr>
          <w:rStyle w:val="CharDivNo"/>
        </w:rPr>
        <w:t>Division 3</w:t>
      </w:r>
      <w:r>
        <w:t xml:space="preserve"> — </w:t>
      </w:r>
      <w:r>
        <w:rPr>
          <w:rStyle w:val="CharDivText"/>
        </w:rPr>
        <w:t>Transfer of child protection proceedings</w:t>
      </w:r>
      <w:bookmarkEnd w:id="1387"/>
      <w:bookmarkEnd w:id="1388"/>
      <w:bookmarkEnd w:id="1389"/>
      <w:bookmarkEnd w:id="1390"/>
      <w:bookmarkEnd w:id="1391"/>
      <w:bookmarkEnd w:id="1392"/>
      <w:bookmarkEnd w:id="1393"/>
      <w:bookmarkEnd w:id="1394"/>
      <w:bookmarkEnd w:id="1395"/>
      <w:bookmarkEnd w:id="1396"/>
    </w:p>
    <w:p>
      <w:pPr>
        <w:pStyle w:val="Heading5"/>
      </w:pPr>
      <w:bookmarkStart w:id="1397" w:name="_Toc85881383"/>
      <w:bookmarkStart w:id="1398" w:name="_Toc128368823"/>
      <w:bookmarkStart w:id="1399" w:name="_Toc140893489"/>
      <w:bookmarkStart w:id="1400" w:name="_Toc140394021"/>
      <w:r>
        <w:rPr>
          <w:rStyle w:val="CharSectno"/>
        </w:rPr>
        <w:t>170</w:t>
      </w:r>
      <w:r>
        <w:t>.</w:t>
      </w:r>
      <w:r>
        <w:tab/>
        <w:t>When Court may transfer child protection proceeding</w:t>
      </w:r>
      <w:bookmarkEnd w:id="1397"/>
      <w:bookmarkEnd w:id="1398"/>
      <w:bookmarkEnd w:id="1399"/>
      <w:bookmarkEnd w:id="1400"/>
    </w:p>
    <w:p>
      <w:pPr>
        <w:pStyle w:val="Subsection"/>
      </w:pPr>
      <w:r>
        <w:tab/>
      </w:r>
      <w:bookmarkStart w:id="1401" w:name="_Hlt39909522"/>
      <w:bookmarkEnd w:id="1401"/>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1402" w:name="_Toc85881384"/>
      <w:bookmarkStart w:id="1403" w:name="_Toc128368824"/>
      <w:bookmarkStart w:id="1404" w:name="_Toc140893490"/>
      <w:bookmarkStart w:id="1405" w:name="_Toc140394022"/>
      <w:r>
        <w:rPr>
          <w:rStyle w:val="CharSectno"/>
        </w:rPr>
        <w:t>171</w:t>
      </w:r>
      <w:r>
        <w:t>.</w:t>
      </w:r>
      <w:r>
        <w:tab/>
        <w:t>Service of application</w:t>
      </w:r>
      <w:bookmarkEnd w:id="1402"/>
      <w:bookmarkEnd w:id="1403"/>
      <w:bookmarkEnd w:id="1404"/>
      <w:bookmarkEnd w:id="1405"/>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1406" w:name="_Toc85881385"/>
      <w:bookmarkStart w:id="1407" w:name="_Toc128368825"/>
      <w:bookmarkStart w:id="1408" w:name="_Toc140893491"/>
      <w:bookmarkStart w:id="1409" w:name="_Toc140394023"/>
      <w:r>
        <w:rPr>
          <w:rStyle w:val="CharSectno"/>
        </w:rPr>
        <w:t>172</w:t>
      </w:r>
      <w:r>
        <w:t>.</w:t>
      </w:r>
      <w:r>
        <w:tab/>
        <w:t>Court to have regard to certain matters</w:t>
      </w:r>
      <w:bookmarkEnd w:id="1406"/>
      <w:bookmarkEnd w:id="1407"/>
      <w:bookmarkEnd w:id="1408"/>
      <w:bookmarkEnd w:id="1409"/>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w:t>
      </w:r>
    </w:p>
    <w:p>
      <w:pPr>
        <w:pStyle w:val="Indenta"/>
      </w:pPr>
      <w:r>
        <w:tab/>
        <w:t>(b)</w:t>
      </w:r>
      <w:r>
        <w:tab/>
        <w:t>the place where any of the matters giving rise to the proceeding in the Court arose;</w:t>
      </w:r>
    </w:p>
    <w:p>
      <w:pPr>
        <w:pStyle w:val="Indenta"/>
      </w:pPr>
      <w:r>
        <w:tab/>
        <w:t>(c)</w:t>
      </w:r>
      <w:r>
        <w:tab/>
        <w:t>the place of residence, or likely place of residence, of the child, the child’s parents and any other people who are significant to the child;</w:t>
      </w:r>
    </w:p>
    <w:p>
      <w:pPr>
        <w:pStyle w:val="Indenta"/>
      </w:pPr>
      <w:r>
        <w:tab/>
        <w:t>(d)</w:t>
      </w:r>
      <w:r>
        <w:tab/>
        <w:t>whether the CEO or an interstate officer is in the better position to exercise powers and responsibilities under a child protection order relating to the child;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pPr>
      <w:bookmarkStart w:id="1410" w:name="_Toc85881386"/>
      <w:bookmarkStart w:id="1411" w:name="_Toc128368826"/>
      <w:bookmarkStart w:id="1412" w:name="_Toc140893492"/>
      <w:bookmarkStart w:id="1413" w:name="_Toc140394024"/>
      <w:r>
        <w:rPr>
          <w:rStyle w:val="CharSectno"/>
        </w:rPr>
        <w:t>173</w:t>
      </w:r>
      <w:r>
        <w:t>.</w:t>
      </w:r>
      <w:r>
        <w:tab/>
        <w:t>Interim order</w:t>
      </w:r>
      <w:bookmarkEnd w:id="1410"/>
      <w:bookmarkEnd w:id="1411"/>
      <w:bookmarkEnd w:id="1412"/>
      <w:bookmarkEnd w:id="1413"/>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pPr>
      <w:r>
        <w:tab/>
        <w:t>(a)</w:t>
      </w:r>
      <w:r>
        <w:tab/>
        <w:t>may give responsibility for an aspect of parental responsibility for the child to a person, subject to any conditions that the Court considers to be appropriate; and</w:t>
      </w:r>
    </w:p>
    <w:p>
      <w:pPr>
        <w:pStyle w:val="Indenta"/>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pPr>
      <w:bookmarkStart w:id="1414" w:name="_Toc85881387"/>
      <w:bookmarkStart w:id="1415" w:name="_Toc128368827"/>
      <w:bookmarkStart w:id="1416" w:name="_Toc140893493"/>
      <w:bookmarkStart w:id="1417" w:name="_Toc140394025"/>
      <w:r>
        <w:rPr>
          <w:rStyle w:val="CharSectno"/>
        </w:rPr>
        <w:t>174</w:t>
      </w:r>
      <w:r>
        <w:t>.</w:t>
      </w:r>
      <w:r>
        <w:tab/>
        <w:t>Appeals</w:t>
      </w:r>
      <w:bookmarkEnd w:id="1414"/>
      <w:bookmarkEnd w:id="1415"/>
      <w:bookmarkEnd w:id="1416"/>
      <w:bookmarkEnd w:id="1417"/>
    </w:p>
    <w:p>
      <w:pPr>
        <w:pStyle w:val="Subsection"/>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1418" w:name="_Toc128300954"/>
      <w:bookmarkStart w:id="1419" w:name="_Toc128302982"/>
      <w:bookmarkStart w:id="1420" w:name="_Toc128366914"/>
      <w:bookmarkStart w:id="1421" w:name="_Toc128368828"/>
      <w:bookmarkStart w:id="1422" w:name="_Toc128369208"/>
      <w:bookmarkStart w:id="1423" w:name="_Toc128969545"/>
      <w:bookmarkStart w:id="1424" w:name="_Toc132620456"/>
      <w:bookmarkStart w:id="1425" w:name="_Toc140378084"/>
      <w:bookmarkStart w:id="1426" w:name="_Toc140394026"/>
      <w:bookmarkStart w:id="1427" w:name="_Toc140893494"/>
      <w:r>
        <w:rPr>
          <w:rStyle w:val="CharDivNo"/>
        </w:rPr>
        <w:t>Division 4</w:t>
      </w:r>
      <w:r>
        <w:t xml:space="preserve"> — </w:t>
      </w:r>
      <w:r>
        <w:rPr>
          <w:rStyle w:val="CharDivText"/>
        </w:rPr>
        <w:t>Registration</w:t>
      </w:r>
      <w:bookmarkEnd w:id="1418"/>
      <w:bookmarkEnd w:id="1419"/>
      <w:bookmarkEnd w:id="1420"/>
      <w:bookmarkEnd w:id="1421"/>
      <w:bookmarkEnd w:id="1422"/>
      <w:bookmarkEnd w:id="1423"/>
      <w:bookmarkEnd w:id="1424"/>
      <w:bookmarkEnd w:id="1425"/>
      <w:bookmarkEnd w:id="1426"/>
      <w:bookmarkEnd w:id="1427"/>
    </w:p>
    <w:p>
      <w:pPr>
        <w:pStyle w:val="Heading5"/>
      </w:pPr>
      <w:bookmarkStart w:id="1428" w:name="_Hlt501938944"/>
      <w:bookmarkStart w:id="1429" w:name="_Toc85881388"/>
      <w:bookmarkStart w:id="1430" w:name="_Toc128368829"/>
      <w:bookmarkStart w:id="1431" w:name="_Toc140893495"/>
      <w:bookmarkStart w:id="1432" w:name="_Toc140394027"/>
      <w:bookmarkEnd w:id="1428"/>
      <w:r>
        <w:rPr>
          <w:rStyle w:val="CharSectno"/>
        </w:rPr>
        <w:t>175</w:t>
      </w:r>
      <w:r>
        <w:t>.</w:t>
      </w:r>
      <w:r>
        <w:tab/>
        <w:t>Filing of interstate orders in the Court</w:t>
      </w:r>
      <w:bookmarkEnd w:id="1429"/>
      <w:bookmarkEnd w:id="1430"/>
      <w:bookmarkEnd w:id="1431"/>
      <w:bookmarkEnd w:id="1432"/>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pPr>
      <w:bookmarkStart w:id="1433" w:name="_Hlt39909765"/>
      <w:bookmarkStart w:id="1434" w:name="_Toc85881389"/>
      <w:bookmarkStart w:id="1435" w:name="_Toc128368830"/>
      <w:bookmarkStart w:id="1436" w:name="_Toc140893496"/>
      <w:bookmarkStart w:id="1437" w:name="_Toc140394028"/>
      <w:bookmarkEnd w:id="1433"/>
      <w:r>
        <w:rPr>
          <w:rStyle w:val="CharSectno"/>
        </w:rPr>
        <w:t>176</w:t>
      </w:r>
      <w:r>
        <w:t>.</w:t>
      </w:r>
      <w:r>
        <w:tab/>
        <w:t>Registration of interstate orders</w:t>
      </w:r>
      <w:bookmarkEnd w:id="1434"/>
      <w:bookmarkEnd w:id="1435"/>
      <w:bookmarkEnd w:id="1436"/>
      <w:bookmarkEnd w:id="1437"/>
    </w:p>
    <w:p>
      <w:pPr>
        <w:pStyle w:val="Subsection"/>
      </w:pPr>
      <w:r>
        <w:tab/>
      </w:r>
      <w:r>
        <w:tab/>
        <w:t>If the CEO files a copy of an order in the Court under section 175, the registrar of the Court must register the order.</w:t>
      </w:r>
    </w:p>
    <w:p>
      <w:pPr>
        <w:pStyle w:val="Heading5"/>
      </w:pPr>
      <w:bookmarkStart w:id="1438" w:name="_Toc85881390"/>
      <w:bookmarkStart w:id="1439" w:name="_Toc128368831"/>
      <w:bookmarkStart w:id="1440" w:name="_Toc140893497"/>
      <w:bookmarkStart w:id="1441" w:name="_Toc140394029"/>
      <w:r>
        <w:rPr>
          <w:rStyle w:val="CharSectno"/>
        </w:rPr>
        <w:t>177</w:t>
      </w:r>
      <w:r>
        <w:t>.</w:t>
      </w:r>
      <w:r>
        <w:tab/>
        <w:t>Notification by registrar of Court</w:t>
      </w:r>
      <w:bookmarkEnd w:id="1438"/>
      <w:bookmarkEnd w:id="1439"/>
      <w:bookmarkEnd w:id="1440"/>
      <w:bookmarkEnd w:id="1441"/>
    </w:p>
    <w:p>
      <w:pPr>
        <w:pStyle w:val="Subsection"/>
      </w:pPr>
      <w:r>
        <w:tab/>
      </w:r>
      <w:r>
        <w:tab/>
        <w:t>The registrar of the Court must immediately notify the appropriate officer of the Children’s Court in the sending State and the interstate officer in that State of —</w:t>
      </w:r>
    </w:p>
    <w:p>
      <w:pPr>
        <w:pStyle w:val="Indenta"/>
      </w:pPr>
      <w:r>
        <w:tab/>
        <w:t>(a)</w:t>
      </w:r>
      <w:r>
        <w:tab/>
        <w:t>the registration of an order under section 176; or</w:t>
      </w:r>
    </w:p>
    <w:p>
      <w:pPr>
        <w:pStyle w:val="Indenta"/>
      </w:pPr>
      <w:r>
        <w:tab/>
        <w:t>(b)</w:t>
      </w:r>
      <w:r>
        <w:tab/>
        <w:t>the revocation under section 179 of the registration of an order.</w:t>
      </w:r>
    </w:p>
    <w:p>
      <w:pPr>
        <w:pStyle w:val="Heading5"/>
      </w:pPr>
      <w:bookmarkStart w:id="1442" w:name="_Toc85881391"/>
      <w:bookmarkStart w:id="1443" w:name="_Toc128368832"/>
      <w:bookmarkStart w:id="1444" w:name="_Toc140893498"/>
      <w:bookmarkStart w:id="1445" w:name="_Toc140394030"/>
      <w:r>
        <w:rPr>
          <w:rStyle w:val="CharSectno"/>
        </w:rPr>
        <w:t>178</w:t>
      </w:r>
      <w:r>
        <w:t>.</w:t>
      </w:r>
      <w:r>
        <w:tab/>
        <w:t>Effect of registration</w:t>
      </w:r>
      <w:bookmarkEnd w:id="1442"/>
      <w:bookmarkEnd w:id="1443"/>
      <w:bookmarkEnd w:id="1444"/>
      <w:bookmarkEnd w:id="1445"/>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1446" w:name="_Hlt531579478"/>
      <w:r>
        <w:t>176</w:t>
      </w:r>
      <w:bookmarkEnd w:id="1446"/>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1447" w:name="_Toc85881392"/>
      <w:bookmarkStart w:id="1448" w:name="_Toc128368833"/>
      <w:bookmarkStart w:id="1449" w:name="_Toc140893499"/>
      <w:bookmarkStart w:id="1450" w:name="_Toc140394031"/>
      <w:r>
        <w:rPr>
          <w:rStyle w:val="CharSectno"/>
        </w:rPr>
        <w:t>179</w:t>
      </w:r>
      <w:r>
        <w:t>.</w:t>
      </w:r>
      <w:r>
        <w:tab/>
        <w:t>Revocation of registration</w:t>
      </w:r>
      <w:bookmarkEnd w:id="1447"/>
      <w:bookmarkEnd w:id="1448"/>
      <w:bookmarkEnd w:id="1449"/>
      <w:bookmarkEnd w:id="1450"/>
    </w:p>
    <w:p>
      <w:pPr>
        <w:pStyle w:val="Subsection"/>
      </w:pPr>
      <w:r>
        <w:tab/>
        <w:t>(1)</w:t>
      </w:r>
      <w:r>
        <w:tab/>
        <w:t>An application for the revocation of the registration of an order under section 176 may be made to the Court by —</w:t>
      </w:r>
    </w:p>
    <w:p>
      <w:pPr>
        <w:pStyle w:val="Indenta"/>
      </w:pPr>
      <w:r>
        <w:tab/>
        <w:t>(a)</w:t>
      </w:r>
      <w:r>
        <w:tab/>
        <w:t>the CEO;</w:t>
      </w:r>
    </w:p>
    <w:p>
      <w:pPr>
        <w:pStyle w:val="Indenta"/>
      </w:pPr>
      <w:r>
        <w:tab/>
        <w:t>(b)</w:t>
      </w:r>
      <w:r>
        <w:tab/>
        <w:t>the child concerned;</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1451" w:name="_Toc128300960"/>
      <w:bookmarkStart w:id="1452" w:name="_Toc128302988"/>
      <w:bookmarkStart w:id="1453" w:name="_Toc128366920"/>
      <w:bookmarkStart w:id="1454" w:name="_Toc128368834"/>
      <w:bookmarkStart w:id="1455" w:name="_Toc128369214"/>
      <w:bookmarkStart w:id="1456" w:name="_Toc128969551"/>
      <w:bookmarkStart w:id="1457" w:name="_Toc132620462"/>
      <w:bookmarkStart w:id="1458" w:name="_Toc140378090"/>
      <w:bookmarkStart w:id="1459" w:name="_Toc140394032"/>
      <w:bookmarkStart w:id="1460" w:name="_Toc140893500"/>
      <w:r>
        <w:rPr>
          <w:rStyle w:val="CharDivNo"/>
        </w:rPr>
        <w:t>Division 5</w:t>
      </w:r>
      <w:r>
        <w:t xml:space="preserve"> — </w:t>
      </w:r>
      <w:r>
        <w:rPr>
          <w:rStyle w:val="CharDivText"/>
        </w:rPr>
        <w:t>General</w:t>
      </w:r>
      <w:bookmarkEnd w:id="1451"/>
      <w:bookmarkEnd w:id="1452"/>
      <w:bookmarkEnd w:id="1453"/>
      <w:bookmarkEnd w:id="1454"/>
      <w:bookmarkEnd w:id="1455"/>
      <w:bookmarkEnd w:id="1456"/>
      <w:bookmarkEnd w:id="1457"/>
      <w:bookmarkEnd w:id="1458"/>
      <w:bookmarkEnd w:id="1459"/>
      <w:bookmarkEnd w:id="1460"/>
    </w:p>
    <w:p>
      <w:pPr>
        <w:pStyle w:val="Heading5"/>
      </w:pPr>
      <w:bookmarkStart w:id="1461" w:name="_Toc85881393"/>
      <w:bookmarkStart w:id="1462" w:name="_Toc128368835"/>
      <w:bookmarkStart w:id="1463" w:name="_Toc140893501"/>
      <w:bookmarkStart w:id="1464" w:name="_Toc140394033"/>
      <w:r>
        <w:rPr>
          <w:rStyle w:val="CharSectno"/>
        </w:rPr>
        <w:t>180</w:t>
      </w:r>
      <w:r>
        <w:t>.</w:t>
      </w:r>
      <w:r>
        <w:tab/>
        <w:t>Legal representation of child</w:t>
      </w:r>
      <w:bookmarkEnd w:id="1461"/>
      <w:bookmarkEnd w:id="1462"/>
      <w:bookmarkEnd w:id="1463"/>
      <w:bookmarkEnd w:id="1464"/>
    </w:p>
    <w:p>
      <w:pPr>
        <w:pStyle w:val="Subsection"/>
      </w:pPr>
      <w:r>
        <w:tab/>
      </w:r>
      <w:r>
        <w:tab/>
        <w:t>Section 148 applies in relation to proceedings on an application for an order under section 164 or 170(1) as if those proceedings were protection proceedings.</w:t>
      </w:r>
    </w:p>
    <w:p>
      <w:pPr>
        <w:pStyle w:val="Heading5"/>
      </w:pPr>
      <w:bookmarkStart w:id="1465" w:name="_Toc85881394"/>
      <w:bookmarkStart w:id="1466" w:name="_Toc128368836"/>
      <w:bookmarkStart w:id="1467" w:name="_Toc140893502"/>
      <w:bookmarkStart w:id="1468" w:name="_Toc140394034"/>
      <w:r>
        <w:rPr>
          <w:rStyle w:val="CharSectno"/>
        </w:rPr>
        <w:t>181</w:t>
      </w:r>
      <w:r>
        <w:t>.</w:t>
      </w:r>
      <w:r>
        <w:tab/>
        <w:t>Effect of registration of transferred order</w:t>
      </w:r>
      <w:bookmarkEnd w:id="1465"/>
      <w:bookmarkEnd w:id="1466"/>
      <w:bookmarkEnd w:id="1467"/>
      <w:bookmarkEnd w:id="1468"/>
    </w:p>
    <w:p>
      <w:pPr>
        <w:pStyle w:val="Subsection"/>
      </w:pPr>
      <w:r>
        <w:tab/>
        <w:t>(1)</w:t>
      </w:r>
      <w:r>
        <w:tab/>
        <w:t xml:space="preserve">In this section — </w:t>
      </w:r>
    </w:p>
    <w:p>
      <w:pPr>
        <w:pStyle w:val="Defstart"/>
      </w:pPr>
      <w:r>
        <w:tab/>
      </w:r>
      <w:r>
        <w:rPr>
          <w:b/>
        </w:rPr>
        <w:t>“</w:t>
      </w:r>
      <w:r>
        <w:rPr>
          <w:rStyle w:val="CharDefText"/>
        </w:rPr>
        <w:t>transferred order</w:t>
      </w:r>
      <w:r>
        <w:rPr>
          <w:b/>
        </w:rPr>
        <w:t>”</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1469" w:name="_Toc85881395"/>
      <w:bookmarkStart w:id="1470" w:name="_Toc128368837"/>
      <w:bookmarkStart w:id="1471" w:name="_Toc140893503"/>
      <w:bookmarkStart w:id="1472" w:name="_Toc140394035"/>
      <w:r>
        <w:rPr>
          <w:rStyle w:val="CharSectno"/>
        </w:rPr>
        <w:t>182</w:t>
      </w:r>
      <w:r>
        <w:t>.</w:t>
      </w:r>
      <w:r>
        <w:tab/>
        <w:t>Transfer of Court file</w:t>
      </w:r>
      <w:bookmarkEnd w:id="1469"/>
      <w:bookmarkEnd w:id="1470"/>
      <w:bookmarkEnd w:id="1471"/>
      <w:bookmarkEnd w:id="1472"/>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w:t>
      </w:r>
    </w:p>
    <w:p>
      <w:pPr>
        <w:pStyle w:val="Indenta"/>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1473" w:name="_Toc85881396"/>
      <w:bookmarkStart w:id="1474" w:name="_Toc128368838"/>
      <w:bookmarkStart w:id="1475" w:name="_Toc140893504"/>
      <w:bookmarkStart w:id="1476" w:name="_Toc140394036"/>
      <w:r>
        <w:rPr>
          <w:rStyle w:val="CharSectno"/>
        </w:rPr>
        <w:t>183</w:t>
      </w:r>
      <w:r>
        <w:t>.</w:t>
      </w:r>
      <w:r>
        <w:tab/>
        <w:t>Hearing and determination of transferred proceeding</w:t>
      </w:r>
      <w:bookmarkEnd w:id="1473"/>
      <w:bookmarkEnd w:id="1474"/>
      <w:bookmarkEnd w:id="1475"/>
      <w:bookmarkEnd w:id="1476"/>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1477" w:name="_Toc85881397"/>
      <w:bookmarkStart w:id="1478" w:name="_Toc128368839"/>
      <w:bookmarkStart w:id="1479" w:name="_Toc140893505"/>
      <w:bookmarkStart w:id="1480" w:name="_Toc140394037"/>
      <w:r>
        <w:rPr>
          <w:rStyle w:val="CharSectno"/>
        </w:rPr>
        <w:t>184</w:t>
      </w:r>
      <w:r>
        <w:t>.</w:t>
      </w:r>
      <w:r>
        <w:tab/>
        <w:t>Disclosure of information</w:t>
      </w:r>
      <w:bookmarkEnd w:id="1477"/>
      <w:bookmarkEnd w:id="1478"/>
      <w:bookmarkEnd w:id="1479"/>
      <w:bookmarkEnd w:id="1480"/>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1481" w:name="_Toc85881398"/>
      <w:bookmarkStart w:id="1482" w:name="_Toc128368840"/>
      <w:bookmarkStart w:id="1483" w:name="_Toc140893506"/>
      <w:bookmarkStart w:id="1484" w:name="_Toc140394038"/>
      <w:r>
        <w:rPr>
          <w:rStyle w:val="CharSectno"/>
        </w:rPr>
        <w:t>185</w:t>
      </w:r>
      <w:r>
        <w:t>.</w:t>
      </w:r>
      <w:r>
        <w:tab/>
        <w:t>Discretion of CEO to consent to transfer</w:t>
      </w:r>
      <w:bookmarkEnd w:id="1481"/>
      <w:bookmarkEnd w:id="1482"/>
      <w:bookmarkEnd w:id="1483"/>
      <w:bookmarkEnd w:id="1484"/>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spacing w:before="120"/>
      </w:pPr>
      <w:bookmarkStart w:id="1485" w:name="_Toc85881399"/>
      <w:bookmarkStart w:id="1486" w:name="_Toc128368841"/>
      <w:bookmarkStart w:id="1487" w:name="_Toc140893507"/>
      <w:bookmarkStart w:id="1488" w:name="_Toc140394039"/>
      <w:r>
        <w:rPr>
          <w:rStyle w:val="CharSectno"/>
        </w:rPr>
        <w:t>186</w:t>
      </w:r>
      <w:r>
        <w:t>.</w:t>
      </w:r>
      <w:r>
        <w:tab/>
        <w:t>Evidence of consent of relevant interstate officer</w:t>
      </w:r>
      <w:bookmarkEnd w:id="1485"/>
      <w:bookmarkEnd w:id="1486"/>
      <w:bookmarkEnd w:id="1487"/>
      <w:bookmarkEnd w:id="1488"/>
    </w:p>
    <w:p>
      <w:pPr>
        <w:pStyle w:val="Subsection"/>
      </w:pPr>
      <w:r>
        <w:tab/>
      </w:r>
      <w:r>
        <w:tab/>
        <w:t>A document or copy of a document —</w:t>
      </w:r>
    </w:p>
    <w:p>
      <w:pPr>
        <w:pStyle w:val="Indenta"/>
      </w:pPr>
      <w:r>
        <w:tab/>
        <w:t>(a)</w:t>
      </w:r>
      <w:r>
        <w:tab/>
        <w:t>purporting to be the written consent of the relevant interstate officer to —</w:t>
      </w:r>
    </w:p>
    <w:p>
      <w:pPr>
        <w:pStyle w:val="Indenti"/>
      </w:pPr>
      <w:r>
        <w:tab/>
        <w:t>(i)</w:t>
      </w:r>
      <w:r>
        <w:tab/>
        <w:t>the transfer of a child protection order to a participating State and to the proposed terms of the child protection order to be transferred; or</w:t>
      </w:r>
    </w:p>
    <w:p>
      <w:pPr>
        <w:pStyle w:val="Indenti"/>
      </w:pPr>
      <w:r>
        <w:tab/>
        <w:t>(ii)</w:t>
      </w:r>
      <w:r>
        <w:tab/>
        <w:t>the transfer of a child protection proceeding pending in the Court to the Children’s Court in a participating State;</w:t>
      </w:r>
    </w:p>
    <w:p>
      <w:pPr>
        <w:pStyle w:val="Indenta"/>
      </w:pPr>
      <w:r>
        <w:tab/>
      </w:r>
      <w:r>
        <w:tab/>
        <w:t>and</w:t>
      </w:r>
    </w:p>
    <w:p>
      <w:pPr>
        <w:pStyle w:val="Indenta"/>
      </w:pPr>
      <w:r>
        <w:tab/>
        <w:t>(b)</w:t>
      </w:r>
      <w:r>
        <w:tab/>
        <w:t>purporting to be signed by the relevant interstate officer or his or her delegate,</w:t>
      </w:r>
    </w:p>
    <w:p>
      <w:pPr>
        <w:pStyle w:val="Subsection"/>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spacing w:before="120"/>
      </w:pPr>
      <w:bookmarkStart w:id="1489" w:name="_Toc85881400"/>
      <w:bookmarkStart w:id="1490" w:name="_Toc128368842"/>
      <w:bookmarkStart w:id="1491" w:name="_Toc140893508"/>
      <w:bookmarkStart w:id="1492" w:name="_Toc140394040"/>
      <w:r>
        <w:rPr>
          <w:rStyle w:val="CharSectno"/>
        </w:rPr>
        <w:t>187</w:t>
      </w:r>
      <w:r>
        <w:t>.</w:t>
      </w:r>
      <w:r>
        <w:tab/>
        <w:t>Offence to remove child</w:t>
      </w:r>
      <w:bookmarkEnd w:id="1489"/>
      <w:bookmarkEnd w:id="1490"/>
      <w:bookmarkEnd w:id="1491"/>
      <w:bookmarkEnd w:id="1492"/>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1493" w:name="_Hlt531582229"/>
      <w:bookmarkEnd w:id="1493"/>
    </w:p>
    <w:p>
      <w:pPr>
        <w:pStyle w:val="Indenta"/>
      </w:pPr>
      <w:r>
        <w:tab/>
        <w:t>(b)</w:t>
      </w:r>
      <w:r>
        <w:tab/>
        <w:t>an interim order.</w:t>
      </w:r>
    </w:p>
    <w:p>
      <w:pPr>
        <w:pStyle w:val="Penstart"/>
        <w:rPr>
          <w:b/>
          <w:i/>
          <w:sz w:val="20"/>
        </w:rPr>
      </w:pPr>
      <w:r>
        <w:tab/>
        <w:t>Penalty: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Heading2"/>
      </w:pPr>
      <w:bookmarkStart w:id="1494" w:name="_Toc128300969"/>
      <w:bookmarkStart w:id="1495" w:name="_Toc128302997"/>
      <w:bookmarkStart w:id="1496" w:name="_Toc128366929"/>
      <w:bookmarkStart w:id="1497" w:name="_Toc128368843"/>
      <w:bookmarkStart w:id="1498" w:name="_Toc128369223"/>
      <w:bookmarkStart w:id="1499" w:name="_Toc128969560"/>
      <w:bookmarkStart w:id="1500" w:name="_Toc132620471"/>
      <w:bookmarkStart w:id="1501" w:name="_Toc140378099"/>
      <w:bookmarkStart w:id="1502" w:name="_Toc140394041"/>
      <w:bookmarkStart w:id="1503" w:name="_Toc140893509"/>
      <w:r>
        <w:rPr>
          <w:rStyle w:val="CharPartNo"/>
        </w:rPr>
        <w:t>Part 7</w:t>
      </w:r>
      <w:r>
        <w:rPr>
          <w:rStyle w:val="CharDivNo"/>
        </w:rPr>
        <w:t xml:space="preserve"> </w:t>
      </w:r>
      <w:r>
        <w:t>—</w:t>
      </w:r>
      <w:r>
        <w:rPr>
          <w:rStyle w:val="CharDivText"/>
        </w:rPr>
        <w:t xml:space="preserve"> </w:t>
      </w:r>
      <w:r>
        <w:rPr>
          <w:rStyle w:val="CharPartText"/>
        </w:rPr>
        <w:t>Employment of children</w:t>
      </w:r>
      <w:bookmarkEnd w:id="1494"/>
      <w:bookmarkEnd w:id="1495"/>
      <w:bookmarkEnd w:id="1496"/>
      <w:bookmarkEnd w:id="1497"/>
      <w:bookmarkEnd w:id="1498"/>
      <w:bookmarkEnd w:id="1499"/>
      <w:bookmarkEnd w:id="1500"/>
      <w:bookmarkEnd w:id="1501"/>
      <w:bookmarkEnd w:id="1502"/>
      <w:bookmarkEnd w:id="1503"/>
    </w:p>
    <w:p>
      <w:pPr>
        <w:pStyle w:val="Heading5"/>
      </w:pPr>
      <w:bookmarkStart w:id="1504" w:name="_Toc438114768"/>
      <w:bookmarkStart w:id="1505" w:name="_Toc454077880"/>
      <w:bookmarkStart w:id="1506" w:name="_Toc85881401"/>
      <w:bookmarkStart w:id="1507" w:name="_Toc128368844"/>
      <w:bookmarkStart w:id="1508" w:name="_Toc140893510"/>
      <w:bookmarkStart w:id="1509" w:name="_Toc140394042"/>
      <w:r>
        <w:rPr>
          <w:rStyle w:val="CharSectno"/>
        </w:rPr>
        <w:t>188</w:t>
      </w:r>
      <w:r>
        <w:t>.</w:t>
      </w:r>
      <w:r>
        <w:tab/>
      </w:r>
      <w:bookmarkEnd w:id="1504"/>
      <w:bookmarkEnd w:id="1505"/>
      <w:r>
        <w:t>Terms used in this Part</w:t>
      </w:r>
      <w:bookmarkEnd w:id="1506"/>
      <w:bookmarkEnd w:id="1507"/>
      <w:bookmarkEnd w:id="1508"/>
      <w:bookmarkEnd w:id="1509"/>
    </w:p>
    <w:p>
      <w:pPr>
        <w:pStyle w:val="Subsection"/>
      </w:pPr>
      <w:r>
        <w:tab/>
      </w:r>
      <w:r>
        <w:tab/>
        <w:t>In this Part, unless the contrary intention appears —</w:t>
      </w:r>
    </w:p>
    <w:p>
      <w:pPr>
        <w:pStyle w:val="Defstart"/>
      </w:pPr>
      <w:r>
        <w:rPr>
          <w:b/>
        </w:rPr>
        <w:tab/>
        <w:t>“</w:t>
      </w:r>
      <w:r>
        <w:rPr>
          <w:rStyle w:val="CharDefText"/>
        </w:rPr>
        <w:t>delivery work</w:t>
      </w:r>
      <w:r>
        <w:rPr>
          <w:b/>
        </w:rPr>
        <w:t>”</w:t>
      </w:r>
      <w:r>
        <w:t xml:space="preserve"> means work that involves delivering newspapers, pamphlets or advertising material;</w:t>
      </w:r>
    </w:p>
    <w:p>
      <w:pPr>
        <w:pStyle w:val="Defstart"/>
      </w:pPr>
      <w:r>
        <w:rPr>
          <w:b/>
        </w:rPr>
        <w:tab/>
        <w:t>“</w:t>
      </w:r>
      <w:r>
        <w:rPr>
          <w:rStyle w:val="CharDefText"/>
        </w:rPr>
        <w:t>employ</w:t>
      </w:r>
      <w:r>
        <w:rPr>
          <w:b/>
        </w:rPr>
        <w:t>”</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t>“</w:t>
      </w:r>
      <w:r>
        <w:rPr>
          <w:rStyle w:val="CharDefText"/>
        </w:rPr>
        <w:t>family business</w:t>
      </w:r>
      <w:r>
        <w:rPr>
          <w:b/>
        </w:rPr>
        <w:t>”</w:t>
      </w:r>
      <w:r>
        <w:t xml:space="preserve">, in relation to a child, means a business, trade or occupation carried on by a parent or other relative </w:t>
      </w:r>
      <w:r>
        <w:rPr>
          <w:snapToGrid/>
        </w:rPr>
        <w:t>of the child</w:t>
      </w:r>
      <w:r>
        <w:t>.</w:t>
      </w:r>
    </w:p>
    <w:p>
      <w:pPr>
        <w:pStyle w:val="Heading5"/>
      </w:pPr>
      <w:bookmarkStart w:id="1510" w:name="_Toc454077881"/>
      <w:bookmarkStart w:id="1511" w:name="_Toc85881402"/>
      <w:bookmarkStart w:id="1512" w:name="_Toc128368845"/>
      <w:bookmarkStart w:id="1513" w:name="_Toc140893511"/>
      <w:bookmarkStart w:id="1514" w:name="_Toc140394043"/>
      <w:r>
        <w:rPr>
          <w:rStyle w:val="CharSectno"/>
        </w:rPr>
        <w:t>189</w:t>
      </w:r>
      <w:r>
        <w:t>.</w:t>
      </w:r>
      <w:r>
        <w:tab/>
      </w:r>
      <w:r>
        <w:rPr>
          <w:i/>
        </w:rPr>
        <w:t>School Education Act 1999</w:t>
      </w:r>
      <w:r>
        <w:t xml:space="preserve"> not affected</w:t>
      </w:r>
      <w:bookmarkEnd w:id="1510"/>
      <w:bookmarkEnd w:id="1511"/>
      <w:bookmarkEnd w:id="1512"/>
      <w:bookmarkEnd w:id="1513"/>
      <w:bookmarkEnd w:id="1514"/>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1515" w:name="_Toc454077882"/>
      <w:bookmarkStart w:id="1516" w:name="_Toc85881403"/>
      <w:bookmarkStart w:id="1517" w:name="_Toc128368846"/>
      <w:bookmarkStart w:id="1518" w:name="_Toc140893512"/>
      <w:bookmarkStart w:id="1519" w:name="_Toc140394044"/>
      <w:r>
        <w:rPr>
          <w:rStyle w:val="CharSectno"/>
        </w:rPr>
        <w:t>190</w:t>
      </w:r>
      <w:r>
        <w:t>.</w:t>
      </w:r>
      <w:r>
        <w:tab/>
        <w:t>Prohibition on employment of child</w:t>
      </w:r>
      <w:bookmarkEnd w:id="1515"/>
      <w:r>
        <w:t xml:space="preserve"> under 15</w:t>
      </w:r>
      <w:bookmarkEnd w:id="1516"/>
      <w:bookmarkEnd w:id="1517"/>
      <w:bookmarkEnd w:id="1518"/>
      <w:bookmarkEnd w:id="1519"/>
    </w:p>
    <w:p>
      <w:pPr>
        <w:pStyle w:val="Subsection"/>
      </w:pPr>
      <w:r>
        <w:tab/>
        <w:t>(1)</w:t>
      </w:r>
      <w:r>
        <w:tab/>
        <w:t>A person must not employ a child under 15 years of age in a business, trade or occupation carried on for profit.</w:t>
      </w:r>
    </w:p>
    <w:p>
      <w:pPr>
        <w:pStyle w:val="Penstart"/>
      </w:pPr>
      <w:r>
        <w:tab/>
        <w:t>Penalty: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$24 000.</w:t>
      </w:r>
    </w:p>
    <w:p>
      <w:pPr>
        <w:pStyle w:val="Heading5"/>
      </w:pPr>
      <w:bookmarkStart w:id="1520" w:name="_Toc85881404"/>
      <w:bookmarkStart w:id="1521" w:name="_Toc128368847"/>
      <w:bookmarkStart w:id="1522" w:name="_Toc140893513"/>
      <w:bookmarkStart w:id="1523" w:name="_Toc140394045"/>
      <w:r>
        <w:rPr>
          <w:rStyle w:val="CharSectno"/>
        </w:rPr>
        <w:t>191</w:t>
      </w:r>
      <w:r>
        <w:t>.</w:t>
      </w:r>
      <w:r>
        <w:tab/>
        <w:t>Exceptions to section 190</w:t>
      </w:r>
      <w:bookmarkEnd w:id="1520"/>
      <w:bookmarkEnd w:id="1521"/>
      <w:bookmarkEnd w:id="1522"/>
      <w:bookmarkEnd w:id="1523"/>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1524" w:name="_Toc438114772"/>
      <w:bookmarkStart w:id="1525" w:name="_Toc454077885"/>
      <w:bookmarkStart w:id="1526" w:name="_Toc85881405"/>
      <w:bookmarkStart w:id="1527" w:name="_Toc128368848"/>
      <w:bookmarkStart w:id="1528" w:name="_Toc140893514"/>
      <w:bookmarkStart w:id="1529" w:name="_Toc140394046"/>
      <w:r>
        <w:rPr>
          <w:rStyle w:val="CharSectno"/>
        </w:rPr>
        <w:t>192</w:t>
      </w:r>
      <w:r>
        <w:t>.</w:t>
      </w:r>
      <w:r>
        <w:tab/>
        <w:t>Prohibition on employment of child to perform in indecent manner</w:t>
      </w:r>
      <w:bookmarkEnd w:id="1524"/>
      <w:bookmarkEnd w:id="1525"/>
      <w:bookmarkEnd w:id="1526"/>
      <w:bookmarkEnd w:id="1527"/>
      <w:bookmarkEnd w:id="1528"/>
      <w:bookmarkEnd w:id="1529"/>
    </w:p>
    <w:p>
      <w:pPr>
        <w:pStyle w:val="Subsection"/>
      </w:pPr>
      <w:r>
        <w:tab/>
      </w:r>
      <w:bookmarkStart w:id="1530" w:name="_Hlt55794374"/>
      <w:bookmarkEnd w:id="1530"/>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1531" w:name="_Hlt55794370"/>
      <w:bookmarkEnd w:id="1531"/>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w:t>
      </w:r>
    </w:p>
    <w:p>
      <w:pPr>
        <w:pStyle w:val="Indenti"/>
      </w:pPr>
      <w:r>
        <w:tab/>
        <w:t>(ii)</w:t>
      </w:r>
      <w:r>
        <w:tab/>
        <w:t>is only for the person employing the child or for some other particular person or a class of people;</w:t>
      </w:r>
    </w:p>
    <w:p>
      <w:pPr>
        <w:pStyle w:val="Indenti"/>
      </w:pPr>
      <w:r>
        <w:tab/>
        <w:t>(iii)</w:t>
      </w:r>
      <w:r>
        <w:tab/>
        <w:t>is communicated in any way to an audience of one or more people;</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Without limiting the definition of “employ”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1532" w:name="_Toc454077886"/>
      <w:bookmarkStart w:id="1533" w:name="_Toc85881406"/>
      <w:bookmarkStart w:id="1534" w:name="_Toc128368849"/>
      <w:bookmarkStart w:id="1535" w:name="_Toc140893515"/>
      <w:bookmarkStart w:id="1536" w:name="_Toc140394047"/>
      <w:r>
        <w:rPr>
          <w:rStyle w:val="CharSectno"/>
        </w:rPr>
        <w:t>193</w:t>
      </w:r>
      <w:r>
        <w:t>.</w:t>
      </w:r>
      <w:r>
        <w:tab/>
        <w:t>Power of CEO to prohibit or limit employment of child</w:t>
      </w:r>
      <w:bookmarkEnd w:id="1532"/>
      <w:bookmarkEnd w:id="1533"/>
      <w:bookmarkEnd w:id="1534"/>
      <w:bookmarkEnd w:id="1535"/>
      <w:bookmarkEnd w:id="1536"/>
    </w:p>
    <w:p>
      <w:pPr>
        <w:pStyle w:val="Subsection"/>
      </w:pPr>
      <w:r>
        <w:tab/>
        <w:t>(1)</w:t>
      </w:r>
      <w:r>
        <w:tab/>
        <w:t xml:space="preserve">In this section — </w:t>
      </w:r>
    </w:p>
    <w:p>
      <w:pPr>
        <w:pStyle w:val="Defstart"/>
      </w:pPr>
      <w:r>
        <w:rPr>
          <w:b/>
        </w:rPr>
        <w:tab/>
        <w:t>“</w:t>
      </w:r>
      <w:r>
        <w:rPr>
          <w:rStyle w:val="CharDefText"/>
        </w:rPr>
        <w:t>notice</w:t>
      </w:r>
      <w:r>
        <w:rPr>
          <w:b/>
        </w:rPr>
        <w:t>”</w:t>
      </w:r>
      <w:r>
        <w:t xml:space="preserve"> means a notice under subsection (2).</w:t>
      </w:r>
    </w:p>
    <w:p>
      <w:pPr>
        <w:pStyle w:val="Subsection"/>
      </w:pPr>
      <w:r>
        <w:tab/>
      </w:r>
      <w:bookmarkStart w:id="1537" w:name="_Hlt55640401"/>
      <w:bookmarkEnd w:id="1537"/>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$36 000 and imprisonment for 3 years.</w:t>
      </w:r>
    </w:p>
    <w:p>
      <w:pPr>
        <w:pStyle w:val="Subsection"/>
      </w:pPr>
      <w:r>
        <w:tab/>
        <w:t>(6)</w:t>
      </w:r>
      <w:r>
        <w:tab/>
        <w:t>A parent of a child must not permit the child to be employed in contravention of a notice.</w:t>
      </w:r>
    </w:p>
    <w:p>
      <w:pPr>
        <w:pStyle w:val="Penstart"/>
      </w:pPr>
      <w:r>
        <w:tab/>
        <w:t>Penalty: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Heading5"/>
      </w:pPr>
      <w:bookmarkStart w:id="1538" w:name="_Toc454077887"/>
      <w:bookmarkStart w:id="1539" w:name="_Toc85881407"/>
      <w:bookmarkStart w:id="1540" w:name="_Toc128368850"/>
      <w:bookmarkStart w:id="1541" w:name="_Toc140893516"/>
      <w:bookmarkStart w:id="1542" w:name="_Toc140394048"/>
      <w:r>
        <w:rPr>
          <w:rStyle w:val="CharSectno"/>
        </w:rPr>
        <w:t>194</w:t>
      </w:r>
      <w:r>
        <w:t>.</w:t>
      </w:r>
      <w:r>
        <w:tab/>
        <w:t>False information</w:t>
      </w:r>
      <w:bookmarkEnd w:id="1538"/>
      <w:bookmarkEnd w:id="1539"/>
      <w:bookmarkEnd w:id="1540"/>
      <w:bookmarkEnd w:id="1541"/>
      <w:bookmarkEnd w:id="1542"/>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$6 000.</w:t>
      </w:r>
    </w:p>
    <w:p>
      <w:pPr>
        <w:pStyle w:val="Heading5"/>
      </w:pPr>
      <w:bookmarkStart w:id="1543" w:name="_Toc438114774"/>
      <w:bookmarkStart w:id="1544" w:name="_Toc454077890"/>
      <w:bookmarkStart w:id="1545" w:name="_Toc85881408"/>
      <w:bookmarkStart w:id="1546" w:name="_Toc128368851"/>
      <w:bookmarkStart w:id="1547" w:name="_Toc140893517"/>
      <w:bookmarkStart w:id="1548" w:name="_Toc140394049"/>
      <w:r>
        <w:rPr>
          <w:rStyle w:val="CharSectno"/>
        </w:rPr>
        <w:t>195</w:t>
      </w:r>
      <w:r>
        <w:t>.</w:t>
      </w:r>
      <w:r>
        <w:tab/>
        <w:t>Powers of authorised officers</w:t>
      </w:r>
      <w:bookmarkEnd w:id="1543"/>
      <w:bookmarkEnd w:id="1544"/>
      <w:bookmarkEnd w:id="1545"/>
      <w:bookmarkEnd w:id="1546"/>
      <w:bookmarkEnd w:id="1547"/>
      <w:bookmarkEnd w:id="1548"/>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includes an industrial inspector appointed under the </w:t>
      </w:r>
      <w:r>
        <w:rPr>
          <w:i/>
        </w:rPr>
        <w:t>Industrial Relations Act 1979</w:t>
      </w:r>
      <w:r>
        <w:t>.</w:t>
      </w:r>
    </w:p>
    <w:p>
      <w:pPr>
        <w:pStyle w:val="Subsection"/>
      </w:pPr>
      <w:r>
        <w:tab/>
        <w:t>(2)</w:t>
      </w:r>
      <w:r>
        <w:tab/>
        <w:t>An authorised officer may, at any reasonable time, enter a place in which a child is employed, or in which the authorised officer believes on reasonable grounds a child is employed, for the purpose of inspecting the place and making such inquiries in relation to the employment of a child in the place as the authorised officer considers appropriate.</w:t>
      </w:r>
    </w:p>
    <w:p>
      <w:pPr>
        <w:pStyle w:val="Subsection"/>
      </w:pPr>
      <w:r>
        <w:tab/>
        <w:t>(3)</w:t>
      </w:r>
      <w:r>
        <w:tab/>
        <w:t>Without limiting subsection (2), an authorised officer may require any person in the place to answer any question put to that person in relation to the employment of a child in the place.</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1549" w:name="_Hlt49578091"/>
      <w:r>
        <w:t>(3)</w:t>
      </w:r>
      <w:bookmarkEnd w:id="1549"/>
      <w:r>
        <w:t>; or</w:t>
      </w:r>
    </w:p>
    <w:p>
      <w:pPr>
        <w:pStyle w:val="Indenta"/>
      </w:pPr>
      <w:r>
        <w:tab/>
        <w:t>(b)</w:t>
      </w:r>
      <w:r>
        <w:tab/>
        <w:t>in purporting to comply with a requirement under subsection (3), give an answer that the person knows is false or misleading.</w:t>
      </w:r>
    </w:p>
    <w:p>
      <w:pPr>
        <w:pStyle w:val="Penstart"/>
        <w:rPr>
          <w:b/>
          <w:i/>
          <w:sz w:val="20"/>
        </w:rPr>
      </w:pPr>
      <w:r>
        <w:tab/>
        <w:t>Penalty: $6 000.</w:t>
      </w:r>
    </w:p>
    <w:p>
      <w:pPr>
        <w:pStyle w:val="Subsection"/>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(5)(5)(b).</w:t>
      </w:r>
    </w:p>
    <w:p>
      <w:pPr>
        <w:pStyle w:val="Heading5"/>
        <w:rPr>
          <w:rStyle w:val="CharSectno"/>
        </w:rPr>
      </w:pPr>
      <w:bookmarkStart w:id="1550" w:name="_Toc140893518"/>
      <w:bookmarkStart w:id="1551" w:name="_Toc140394050"/>
      <w:r>
        <w:rPr>
          <w:rStyle w:val="CharSectno"/>
        </w:rPr>
        <w:t>196.</w:t>
      </w:r>
      <w:r>
        <w:rPr>
          <w:rStyle w:val="CharSectno"/>
        </w:rPr>
        <w:tab/>
        <w:t>Proceedings against employers may be taken by industrial inspectors</w:t>
      </w:r>
      <w:bookmarkEnd w:id="1550"/>
      <w:bookmarkEnd w:id="1551"/>
    </w:p>
    <w:p>
      <w:pPr>
        <w:pStyle w:val="Subsection"/>
      </w:pPr>
      <w:r>
        <w:tab/>
        <w:t>(1)</w:t>
      </w:r>
      <w:r>
        <w:tab/>
        <w:t xml:space="preserve">The powers of an industrial inspector appointed under the </w:t>
      </w:r>
      <w:r>
        <w:rPr>
          <w:i/>
        </w:rPr>
        <w:t>Industrial Relations Act 1979</w:t>
      </w:r>
      <w:r>
        <w:t xml:space="preserve"> extend to the prosecution of a person for an offence under section 190(1), 193(5) or 195(5).</w:t>
      </w:r>
    </w:p>
    <w:p>
      <w:pPr>
        <w:pStyle w:val="Subsection"/>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w:t>
      </w:r>
    </w:p>
    <w:p>
      <w:pPr>
        <w:pStyle w:val="Heading2"/>
      </w:pPr>
      <w:bookmarkStart w:id="1552" w:name="_Toc128300979"/>
      <w:bookmarkStart w:id="1553" w:name="_Toc128303007"/>
      <w:bookmarkStart w:id="1554" w:name="_Toc128366939"/>
      <w:bookmarkStart w:id="1555" w:name="_Toc128368853"/>
      <w:bookmarkStart w:id="1556" w:name="_Toc128369233"/>
      <w:bookmarkStart w:id="1557" w:name="_Toc128969570"/>
      <w:bookmarkStart w:id="1558" w:name="_Toc132620481"/>
      <w:bookmarkStart w:id="1559" w:name="_Toc140378109"/>
      <w:bookmarkStart w:id="1560" w:name="_Toc140394051"/>
      <w:bookmarkStart w:id="1561" w:name="_Toc140893519"/>
      <w:r>
        <w:rPr>
          <w:rStyle w:val="CharPartNo"/>
        </w:rPr>
        <w:t xml:space="preserve">Part </w:t>
      </w:r>
      <w:bookmarkStart w:id="1562" w:name="_Hlt39909162"/>
      <w:bookmarkEnd w:id="1562"/>
      <w:r>
        <w:rPr>
          <w:rStyle w:val="CharPartNo"/>
        </w:rPr>
        <w:t>8</w:t>
      </w:r>
      <w:r>
        <w:t xml:space="preserve"> — </w:t>
      </w:r>
      <w:r>
        <w:rPr>
          <w:rStyle w:val="CharPartText"/>
        </w:rPr>
        <w:t>Child care services</w:t>
      </w:r>
      <w:bookmarkEnd w:id="1552"/>
      <w:bookmarkEnd w:id="1553"/>
      <w:bookmarkEnd w:id="1554"/>
      <w:bookmarkEnd w:id="1555"/>
      <w:bookmarkEnd w:id="1556"/>
      <w:bookmarkEnd w:id="1557"/>
      <w:bookmarkEnd w:id="1558"/>
      <w:bookmarkEnd w:id="1559"/>
      <w:bookmarkEnd w:id="1560"/>
      <w:bookmarkEnd w:id="1561"/>
    </w:p>
    <w:p>
      <w:pPr>
        <w:pStyle w:val="Heading3"/>
      </w:pPr>
      <w:bookmarkStart w:id="1563" w:name="_Toc128300980"/>
      <w:bookmarkStart w:id="1564" w:name="_Toc128303008"/>
      <w:bookmarkStart w:id="1565" w:name="_Toc128366940"/>
      <w:bookmarkStart w:id="1566" w:name="_Toc128368854"/>
      <w:bookmarkStart w:id="1567" w:name="_Toc128369234"/>
      <w:bookmarkStart w:id="1568" w:name="_Toc128969571"/>
      <w:bookmarkStart w:id="1569" w:name="_Toc132620482"/>
      <w:bookmarkStart w:id="1570" w:name="_Toc140378110"/>
      <w:bookmarkStart w:id="1571" w:name="_Toc140394052"/>
      <w:bookmarkStart w:id="1572" w:name="_Toc140893520"/>
      <w:r>
        <w:rPr>
          <w:rStyle w:val="CharDivNo"/>
        </w:rPr>
        <w:t>Division 1</w:t>
      </w:r>
      <w:r>
        <w:t> — </w:t>
      </w:r>
      <w:r>
        <w:rPr>
          <w:rStyle w:val="CharDivText"/>
        </w:rPr>
        <w:t>Introductory matters</w:t>
      </w:r>
      <w:bookmarkEnd w:id="1563"/>
      <w:bookmarkEnd w:id="1564"/>
      <w:bookmarkEnd w:id="1565"/>
      <w:bookmarkEnd w:id="1566"/>
      <w:bookmarkEnd w:id="1567"/>
      <w:bookmarkEnd w:id="1568"/>
      <w:bookmarkEnd w:id="1569"/>
      <w:bookmarkEnd w:id="1570"/>
      <w:bookmarkEnd w:id="1571"/>
      <w:bookmarkEnd w:id="1572"/>
    </w:p>
    <w:p>
      <w:pPr>
        <w:pStyle w:val="Heading5"/>
      </w:pPr>
      <w:bookmarkStart w:id="1573" w:name="_Toc438114775"/>
      <w:bookmarkStart w:id="1574" w:name="_Toc85881410"/>
      <w:bookmarkStart w:id="1575" w:name="_Toc128368855"/>
      <w:bookmarkStart w:id="1576" w:name="_Toc140893521"/>
      <w:bookmarkStart w:id="1577" w:name="_Toc140394053"/>
      <w:r>
        <w:rPr>
          <w:rStyle w:val="CharSectno"/>
        </w:rPr>
        <w:t>197</w:t>
      </w:r>
      <w:r>
        <w:t>.</w:t>
      </w:r>
      <w:r>
        <w:tab/>
      </w:r>
      <w:bookmarkEnd w:id="1573"/>
      <w:r>
        <w:t>Terms used in this Part</w:t>
      </w:r>
      <w:bookmarkEnd w:id="1574"/>
      <w:bookmarkEnd w:id="1575"/>
      <w:bookmarkEnd w:id="1576"/>
      <w:bookmarkEnd w:id="1577"/>
    </w:p>
    <w:p>
      <w:pPr>
        <w:pStyle w:val="Subsection"/>
      </w:pPr>
      <w:r>
        <w:tab/>
      </w:r>
      <w:r>
        <w:tab/>
        <w:t>In this Part, unless the contrary intention appears —</w:t>
      </w:r>
    </w:p>
    <w:p>
      <w:pPr>
        <w:pStyle w:val="Defstart"/>
      </w:pPr>
      <w:r>
        <w:rPr>
          <w:b/>
        </w:rPr>
        <w:tab/>
        <w:t>“</w:t>
      </w:r>
      <w:r>
        <w:rPr>
          <w:rStyle w:val="CharDefText"/>
        </w:rPr>
        <w:t>applicant</w:t>
      </w:r>
      <w:r>
        <w:rPr>
          <w:b/>
        </w:rPr>
        <w:t>”</w:t>
      </w:r>
      <w:r>
        <w:t xml:space="preserve"> means — </w:t>
      </w:r>
    </w:p>
    <w:p>
      <w:pPr>
        <w:pStyle w:val="Defpara"/>
      </w:pPr>
      <w:r>
        <w:tab/>
        <w:t>(a)</w:t>
      </w:r>
      <w:r>
        <w:tab/>
        <w:t>if a licence is applied for on behalf of a public authority, the public authority; or</w:t>
      </w:r>
    </w:p>
    <w:p>
      <w:pPr>
        <w:pStyle w:val="Defpara"/>
      </w:pPr>
      <w:r>
        <w:tab/>
        <w:t>(b)</w:t>
      </w:r>
      <w:r>
        <w:tab/>
        <w:t>otherwise, a person who applies for a licence;</w:t>
      </w:r>
    </w:p>
    <w:p>
      <w:pPr>
        <w:pStyle w:val="Defstart"/>
      </w:pPr>
      <w:r>
        <w:rPr>
          <w:b/>
        </w:rPr>
        <w:tab/>
        <w:t>“</w:t>
      </w:r>
      <w:r>
        <w:rPr>
          <w:rStyle w:val="CharDefText"/>
        </w:rPr>
        <w:t>application</w:t>
      </w:r>
      <w:r>
        <w:rPr>
          <w:b/>
        </w:rPr>
        <w:t>”</w:t>
      </w:r>
      <w:r>
        <w:t xml:space="preserve"> means an application for a licence;</w:t>
      </w:r>
    </w:p>
    <w:p>
      <w:pPr>
        <w:pStyle w:val="Defstart"/>
      </w:pPr>
      <w:r>
        <w:tab/>
      </w:r>
      <w:r>
        <w:rPr>
          <w:b/>
        </w:rPr>
        <w:t>“</w:t>
      </w:r>
      <w:r>
        <w:rPr>
          <w:rStyle w:val="CharDefText"/>
        </w:rPr>
        <w:t>assessment notice</w:t>
      </w:r>
      <w:r>
        <w:rPr>
          <w:b/>
        </w:rPr>
        <w:t>”</w:t>
      </w:r>
      <w:r>
        <w:t xml:space="preserve"> has the meaning given to that term in the </w:t>
      </w:r>
      <w:r>
        <w:rPr>
          <w:i/>
        </w:rPr>
        <w:t>Working with Children (Criminal Record Checking) Act 2004</w:t>
      </w:r>
      <w:r>
        <w:t xml:space="preserve"> section 4;</w:t>
      </w:r>
    </w:p>
    <w:p>
      <w:pPr>
        <w:pStyle w:val="Defstart"/>
      </w:pPr>
      <w:r>
        <w:tab/>
      </w:r>
      <w:r>
        <w:rPr>
          <w:b/>
        </w:rPr>
        <w:t>“</w:t>
      </w:r>
      <w:r>
        <w:rPr>
          <w:rStyle w:val="CharDefText"/>
        </w:rPr>
        <w:t>child care service</w:t>
      </w:r>
      <w:r>
        <w:rPr>
          <w:b/>
        </w:rPr>
        <w:t>”</w:t>
      </w:r>
      <w:r>
        <w:t xml:space="preserve"> has the meaning given to that term in section 198;</w:t>
      </w:r>
    </w:p>
    <w:p>
      <w:pPr>
        <w:pStyle w:val="Defstart"/>
      </w:pPr>
      <w:r>
        <w:rPr>
          <w:b/>
        </w:rPr>
        <w:tab/>
        <w:t>“</w:t>
      </w:r>
      <w:r>
        <w:rPr>
          <w:rStyle w:val="CharDefText"/>
        </w:rPr>
        <w:t>corporate applicant</w:t>
      </w:r>
      <w:r>
        <w:rPr>
          <w:b/>
        </w:rPr>
        <w:t>”</w:t>
      </w:r>
      <w:r>
        <w:t xml:space="preserve"> means an applicant that is a body corporate other than a public authority;</w:t>
      </w:r>
    </w:p>
    <w:p>
      <w:pPr>
        <w:pStyle w:val="Defstart"/>
      </w:pPr>
      <w:r>
        <w:rPr>
          <w:b/>
        </w:rPr>
        <w:tab/>
        <w:t>“</w:t>
      </w:r>
      <w:r>
        <w:rPr>
          <w:rStyle w:val="CharDefText"/>
        </w:rPr>
        <w:t>criminal record check</w:t>
      </w:r>
      <w:r>
        <w:rPr>
          <w:b/>
        </w:rPr>
        <w:t>”</w:t>
      </w:r>
      <w:r>
        <w:t xml:space="preserve"> means a document issued by the Australian Federal Police or another body or agency approved by the CEO that sets out the criminal convictions of an individual for offences under the law of Western Australia, the Commonwealth, another State or a Territory;</w:t>
      </w:r>
    </w:p>
    <w:p>
      <w:pPr>
        <w:pStyle w:val="Defstart"/>
      </w:pPr>
      <w:r>
        <w:rPr>
          <w:b/>
        </w:rPr>
        <w:tab/>
        <w:t>“</w:t>
      </w:r>
      <w:r>
        <w:rPr>
          <w:rStyle w:val="CharDefText"/>
        </w:rPr>
        <w:t>equivalent authority</w:t>
      </w:r>
      <w:r>
        <w:rPr>
          <w:b/>
        </w:rPr>
        <w:t>”</w:t>
      </w:r>
      <w:r>
        <w:t xml:space="preserve"> means — </w:t>
      </w:r>
    </w:p>
    <w:p>
      <w:pPr>
        <w:pStyle w:val="Defpara"/>
      </w:pPr>
      <w:r>
        <w:tab/>
        <w:t>(a)</w:t>
      </w:r>
      <w:r>
        <w:tab/>
        <w:t xml:space="preserve">a licence or permit issued under the </w:t>
      </w:r>
      <w:r>
        <w:rPr>
          <w:i/>
        </w:rPr>
        <w:t>Community Services Act 1972</w:t>
      </w:r>
      <w:r>
        <w:t xml:space="preserve"> section 17B before its repeal by this Act; or</w:t>
      </w:r>
    </w:p>
    <w:p>
      <w:pPr>
        <w:pStyle w:val="Defpara"/>
      </w:pPr>
      <w:r>
        <w:tab/>
        <w:t>(b)</w:t>
      </w:r>
      <w:r>
        <w:tab/>
        <w:t>a licence, permit or other authority (however described) relating to the provision of a child care service or similar service in another State or a Territory;</w:t>
      </w:r>
    </w:p>
    <w:p>
      <w:pPr>
        <w:pStyle w:val="Defstart"/>
      </w:pPr>
      <w:r>
        <w:rPr>
          <w:b/>
        </w:rPr>
        <w:tab/>
        <w:t>“</w:t>
      </w:r>
      <w:r>
        <w:rPr>
          <w:rStyle w:val="CharDefText"/>
        </w:rPr>
        <w:t>family day care service</w:t>
      </w:r>
      <w:r>
        <w:rPr>
          <w:b/>
        </w:rPr>
        <w:t>”</w:t>
      </w:r>
      <w:r>
        <w:t xml:space="preserve"> means a child care service provided at a place where — </w:t>
      </w:r>
    </w:p>
    <w:p>
      <w:pPr>
        <w:pStyle w:val="Defpara"/>
      </w:pPr>
      <w:r>
        <w:tab/>
        <w:t>(a)</w:t>
      </w:r>
      <w:r>
        <w:tab/>
        <w:t>the person providing the service lives; and</w:t>
      </w:r>
    </w:p>
    <w:p>
      <w:pPr>
        <w:pStyle w:val="Defpara"/>
      </w:pPr>
      <w:r>
        <w:tab/>
        <w:t>(b)</w:t>
      </w:r>
      <w:r>
        <w:tab/>
        <w:t>none of the children to whom the service is provided live;</w:t>
      </w:r>
    </w:p>
    <w:p>
      <w:pPr>
        <w:pStyle w:val="Defstart"/>
      </w:pPr>
      <w:r>
        <w:rPr>
          <w:b/>
        </w:rPr>
        <w:tab/>
        <w:t>“</w:t>
      </w:r>
      <w:r>
        <w:rPr>
          <w:rStyle w:val="CharDefText"/>
        </w:rPr>
        <w:t>individual applicant</w:t>
      </w:r>
      <w:r>
        <w:rPr>
          <w:b/>
        </w:rPr>
        <w:t>”</w:t>
      </w:r>
      <w:r>
        <w:t xml:space="preserve"> means an applicant who is an individual;</w:t>
      </w:r>
    </w:p>
    <w:p>
      <w:pPr>
        <w:pStyle w:val="Defstart"/>
      </w:pPr>
      <w:r>
        <w:tab/>
      </w:r>
      <w:r>
        <w:rPr>
          <w:b/>
        </w:rPr>
        <w:t>“</w:t>
      </w:r>
      <w:r>
        <w:rPr>
          <w:rStyle w:val="CharDefText"/>
        </w:rPr>
        <w:t>interim negative notice</w:t>
      </w:r>
      <w:r>
        <w:rPr>
          <w:b/>
        </w:rPr>
        <w:t>”</w:t>
      </w:r>
      <w:r>
        <w:t xml:space="preserve"> has the meaning given to that term in the </w:t>
      </w:r>
      <w:r>
        <w:rPr>
          <w:i/>
        </w:rPr>
        <w:t>Working with Children (Criminal Record Checking) Act 2004</w:t>
      </w:r>
      <w:r>
        <w:t xml:space="preserve"> section 4;</w:t>
      </w:r>
    </w:p>
    <w:p>
      <w:pPr>
        <w:pStyle w:val="Defstart"/>
      </w:pPr>
      <w:r>
        <w:tab/>
      </w:r>
      <w:r>
        <w:rPr>
          <w:b/>
        </w:rPr>
        <w:t>“</w:t>
      </w:r>
      <w:r>
        <w:rPr>
          <w:rStyle w:val="CharDefText"/>
        </w:rPr>
        <w:t>licence</w:t>
      </w:r>
      <w:r>
        <w:rPr>
          <w:b/>
        </w:rPr>
        <w:t>”</w:t>
      </w:r>
      <w:r>
        <w:t xml:space="preserve"> means a licence under this Part;</w:t>
      </w:r>
    </w:p>
    <w:p>
      <w:pPr>
        <w:pStyle w:val="Defstart"/>
      </w:pPr>
      <w:r>
        <w:rPr>
          <w:b/>
        </w:rPr>
        <w:tab/>
        <w:t>“</w:t>
      </w:r>
      <w:r>
        <w:rPr>
          <w:rStyle w:val="CharDefText"/>
        </w:rPr>
        <w:t>licensee</w:t>
      </w:r>
      <w:r>
        <w:rPr>
          <w:b/>
        </w:rPr>
        <w:t>”</w:t>
      </w:r>
      <w:r>
        <w:t xml:space="preserve"> means a person who holds a licence;</w:t>
      </w:r>
    </w:p>
    <w:p>
      <w:pPr>
        <w:pStyle w:val="Defstart"/>
      </w:pPr>
      <w:r>
        <w:rPr>
          <w:b/>
        </w:rPr>
        <w:tab/>
        <w:t>“</w:t>
      </w:r>
      <w:r>
        <w:rPr>
          <w:rStyle w:val="CharDefText"/>
        </w:rPr>
        <w:t>managerial officer</w:t>
      </w:r>
      <w:r>
        <w:rPr>
          <w:b/>
        </w:rPr>
        <w:t>”</w:t>
      </w:r>
      <w:r>
        <w:t xml:space="preserve">, in relation to a body corporate other than a public authority, means — </w:t>
      </w:r>
    </w:p>
    <w:p>
      <w:pPr>
        <w:pStyle w:val="Defpara"/>
      </w:pPr>
      <w:r>
        <w:tab/>
        <w:t>(a)</w:t>
      </w:r>
      <w:r>
        <w:tab/>
        <w:t>a director or secretary of the body;</w:t>
      </w:r>
    </w:p>
    <w:p>
      <w:pPr>
        <w:pStyle w:val="Defpara"/>
      </w:pPr>
      <w:r>
        <w:tab/>
        <w:t>(b)</w:t>
      </w:r>
      <w:r>
        <w:tab/>
        <w:t xml:space="preserve">if the applicant is an incorporated association as defined in the </w:t>
      </w:r>
      <w:r>
        <w:rPr>
          <w:i/>
        </w:rPr>
        <w:t>Associations Incorporation Act 1987</w:t>
      </w:r>
      <w:r>
        <w:t xml:space="preserve"> section 3, a member of the committee of the association;</w:t>
      </w:r>
    </w:p>
    <w:p>
      <w:pPr>
        <w:pStyle w:val="Defpara"/>
      </w:pPr>
      <w:r>
        <w:tab/>
        <w:t>(c)</w:t>
      </w:r>
      <w:r>
        <w:tab/>
        <w:t>a person who holds 50% or more of the issued shares of the body; and</w:t>
      </w:r>
    </w:p>
    <w:p>
      <w:pPr>
        <w:pStyle w:val="Defpara"/>
      </w:pPr>
      <w:r>
        <w:tab/>
        <w:t>(d)</w:t>
      </w:r>
      <w:r>
        <w:tab/>
        <w:t>any other person who, in the opinion of the CEO, exercises or exerts control or influence over the body, or is in a position to do so;</w:t>
      </w:r>
    </w:p>
    <w:p>
      <w:pPr>
        <w:pStyle w:val="Defstart"/>
        <w:rPr>
          <w:b/>
        </w:rPr>
      </w:pPr>
      <w:r>
        <w:rPr>
          <w:b/>
        </w:rPr>
        <w:tab/>
        <w:t>“</w:t>
      </w:r>
      <w:r>
        <w:rPr>
          <w:rStyle w:val="CharDefText"/>
        </w:rPr>
        <w:t>negative notice</w:t>
      </w:r>
      <w:r>
        <w:rPr>
          <w:b/>
        </w:rPr>
        <w:t xml:space="preserve">” </w:t>
      </w:r>
      <w:r>
        <w:t xml:space="preserve">has the meaning given to that term in the </w:t>
      </w:r>
      <w:r>
        <w:rPr>
          <w:i/>
        </w:rPr>
        <w:t>Working with Children (Criminal Record Checking) Act 2004</w:t>
      </w:r>
      <w:r>
        <w:t xml:space="preserve"> section 4</w:t>
      </w:r>
      <w:r>
        <w:rPr>
          <w:b/>
        </w:rPr>
        <w:t>;</w:t>
      </w:r>
    </w:p>
    <w:p>
      <w:pPr>
        <w:pStyle w:val="Defstart"/>
      </w:pPr>
      <w:r>
        <w:rPr>
          <w:b/>
        </w:rPr>
        <w:tab/>
        <w:t>“</w:t>
      </w:r>
      <w:r>
        <w:rPr>
          <w:rStyle w:val="CharDefText"/>
        </w:rPr>
        <w:t>nominated supervising officer</w:t>
      </w:r>
      <w:r>
        <w:rPr>
          <w:b/>
        </w:rPr>
        <w:t>”</w:t>
      </w:r>
      <w:r>
        <w:t xml:space="preserve"> means the person nominated in an application made by a corporate applicant or a public authority as the person who will be responsible for the day</w:t>
      </w:r>
      <w:r>
        <w:noBreakHyphen/>
        <w:t>to</w:t>
      </w:r>
      <w:r>
        <w:noBreakHyphen/>
        <w:t>day supervision and control of the child care service to which the application relates;</w:t>
      </w:r>
    </w:p>
    <w:p>
      <w:pPr>
        <w:pStyle w:val="Defstart"/>
      </w:pPr>
      <w:r>
        <w:rPr>
          <w:b/>
        </w:rPr>
        <w:tab/>
        <w:t>“</w:t>
      </w:r>
      <w:r>
        <w:rPr>
          <w:rStyle w:val="CharDefText"/>
        </w:rPr>
        <w:t>prescribed offence</w:t>
      </w:r>
      <w:r>
        <w:rPr>
          <w:b/>
        </w:rPr>
        <w:t>”</w:t>
      </w:r>
      <w:r>
        <w:t xml:space="preserve"> means an offence prescribed, or of a class prescribed, in the regulations;</w:t>
      </w:r>
    </w:p>
    <w:p>
      <w:pPr>
        <w:pStyle w:val="Defstart"/>
      </w:pPr>
      <w:r>
        <w:tab/>
      </w:r>
      <w:r>
        <w:rPr>
          <w:b/>
        </w:rPr>
        <w:t>“</w:t>
      </w:r>
      <w:r>
        <w:rPr>
          <w:rStyle w:val="CharDefText"/>
        </w:rPr>
        <w:t>supervising officer</w:t>
      </w:r>
      <w:r>
        <w:rPr>
          <w:b/>
        </w:rPr>
        <w:t xml:space="preserve">” </w:t>
      </w:r>
      <w:r>
        <w:t xml:space="preserve">for a child care service means — </w:t>
      </w:r>
    </w:p>
    <w:p>
      <w:pPr>
        <w:pStyle w:val="Defpara"/>
      </w:pPr>
      <w:r>
        <w:tab/>
        <w:t>(a)</w:t>
      </w:r>
      <w:r>
        <w:tab/>
        <w:t xml:space="preserve">if a licence in respect of the service is granted to an individual — </w:t>
      </w:r>
    </w:p>
    <w:p>
      <w:pPr>
        <w:pStyle w:val="Defsubpara"/>
      </w:pPr>
      <w:r>
        <w:tab/>
        <w:t>(i)</w:t>
      </w:r>
      <w:r>
        <w:tab/>
        <w:t>the licensee; or</w:t>
      </w:r>
    </w:p>
    <w:p>
      <w:pPr>
        <w:pStyle w:val="Defsubpara"/>
      </w:pPr>
      <w:r>
        <w:tab/>
        <w:t>(ii)</w:t>
      </w:r>
      <w:r>
        <w:tab/>
        <w:t>a person appointed under the regulations to act in place of the licensee;</w:t>
      </w:r>
    </w:p>
    <w:p>
      <w:pPr>
        <w:pStyle w:val="Defpara"/>
        <w:keepNext/>
      </w:pPr>
      <w:r>
        <w:tab/>
        <w:t>(b)</w:t>
      </w:r>
      <w:r>
        <w:tab/>
        <w:t xml:space="preserve">if a licence in respect of the service is granted to a corporate applicant or a public authority — </w:t>
      </w:r>
    </w:p>
    <w:p>
      <w:pPr>
        <w:pStyle w:val="Defsubpara"/>
      </w:pPr>
      <w:r>
        <w:tab/>
        <w:t>(i)</w:t>
      </w:r>
      <w:r>
        <w:tab/>
        <w:t>the person specified in the licence document relating to the service as the person responsible for the day</w:t>
      </w:r>
      <w:r>
        <w:noBreakHyphen/>
        <w:t>to</w:t>
      </w:r>
      <w:r>
        <w:noBreakHyphen/>
        <w:t>day supervision and control of the service; or</w:t>
      </w:r>
    </w:p>
    <w:p>
      <w:pPr>
        <w:pStyle w:val="Defsubpara"/>
      </w:pPr>
      <w:r>
        <w:tab/>
        <w:t>(ii)</w:t>
      </w:r>
      <w:r>
        <w:tab/>
        <w:t>a person appointed under the regulations to act in place of the person referred to in subparagraph (i);</w:t>
      </w:r>
    </w:p>
    <w:p>
      <w:pPr>
        <w:pStyle w:val="Defstart"/>
      </w:pPr>
      <w:r>
        <w:rPr>
          <w:b/>
        </w:rPr>
        <w:tab/>
        <w:t>“</w:t>
      </w:r>
      <w:r>
        <w:rPr>
          <w:rStyle w:val="CharDefText"/>
        </w:rPr>
        <w:t>suspension notice</w:t>
      </w:r>
      <w:r>
        <w:rPr>
          <w:b/>
        </w:rPr>
        <w:t>”</w:t>
      </w:r>
      <w:r>
        <w:t xml:space="preserve"> means a notice under section 220(1);</w:t>
      </w:r>
    </w:p>
    <w:p>
      <w:pPr>
        <w:pStyle w:val="Defstart"/>
      </w:pPr>
      <w:r>
        <w:rPr>
          <w:b/>
        </w:rPr>
        <w:tab/>
        <w:t>“</w:t>
      </w:r>
      <w:r>
        <w:rPr>
          <w:rStyle w:val="CharDefText"/>
        </w:rPr>
        <w:t>usual occupant</w:t>
      </w:r>
      <w:r>
        <w:rPr>
          <w:b/>
        </w:rPr>
        <w:t>”</w:t>
      </w:r>
      <w:r>
        <w:t xml:space="preserve">, in relation to an application that relates to a family day care service, means — </w:t>
      </w:r>
    </w:p>
    <w:p>
      <w:pPr>
        <w:pStyle w:val="Defpara"/>
      </w:pPr>
      <w:r>
        <w:tab/>
        <w:t>(a)</w:t>
      </w:r>
      <w:r>
        <w:tab/>
        <w:t>a person other than the applicant who usually lives at the place where the service will be provided; or</w:t>
      </w:r>
    </w:p>
    <w:p>
      <w:pPr>
        <w:pStyle w:val="Defpara"/>
      </w:pPr>
      <w:r>
        <w:tab/>
        <w:t>(b)</w:t>
      </w:r>
      <w:r>
        <w:tab/>
        <w:t>any other person who is likely to be present at that place at the times when the service will be provided.</w:t>
      </w:r>
    </w:p>
    <w:p>
      <w:pPr>
        <w:pStyle w:val="Footnotesection"/>
      </w:pPr>
      <w:r>
        <w:tab/>
        <w:t>[Section 197 amended by No. 65 of 2004 s. 49.]</w:t>
      </w:r>
    </w:p>
    <w:p>
      <w:pPr>
        <w:pStyle w:val="Heading5"/>
      </w:pPr>
      <w:bookmarkStart w:id="1578" w:name="_Toc85881411"/>
      <w:bookmarkStart w:id="1579" w:name="_Toc128368856"/>
      <w:bookmarkStart w:id="1580" w:name="_Toc140893522"/>
      <w:bookmarkStart w:id="1581" w:name="_Toc140394054"/>
      <w:r>
        <w:rPr>
          <w:rStyle w:val="CharSectno"/>
        </w:rPr>
        <w:t>198</w:t>
      </w:r>
      <w:r>
        <w:t>.</w:t>
      </w:r>
      <w:r>
        <w:tab/>
        <w:t>Meaning of “child care service”</w:t>
      </w:r>
      <w:bookmarkEnd w:id="1578"/>
      <w:bookmarkEnd w:id="1579"/>
      <w:bookmarkEnd w:id="1580"/>
      <w:bookmarkEnd w:id="1581"/>
    </w:p>
    <w:p>
      <w:pPr>
        <w:pStyle w:val="Subsection"/>
      </w:pPr>
      <w:r>
        <w:tab/>
        <w:t>(1)</w:t>
      </w:r>
      <w:r>
        <w:tab/>
        <w:t xml:space="preserve">A </w:t>
      </w:r>
      <w:r>
        <w:rPr>
          <w:b/>
        </w:rPr>
        <w:t>“</w:t>
      </w:r>
      <w:r>
        <w:rPr>
          <w:rStyle w:val="CharDefText"/>
        </w:rPr>
        <w:t>child care service</w:t>
      </w:r>
      <w:r>
        <w:rPr>
          <w:b/>
        </w:rPr>
        <w:t>”</w:t>
      </w:r>
      <w:r>
        <w:t xml:space="preserve"> is a service for the casual, part</w:t>
      </w:r>
      <w:r>
        <w:noBreakHyphen/>
        <w:t>time or day</w:t>
      </w:r>
      <w:r>
        <w:noBreakHyphen/>
        <w:t>to</w:t>
      </w:r>
      <w:r>
        <w:noBreakHyphen/>
        <w:t xml:space="preserve">day care of a child or children under 13 years of age, or such other age as may be prescribed for the purposes of this subsection, that is provided — </w:t>
      </w:r>
    </w:p>
    <w:p>
      <w:pPr>
        <w:pStyle w:val="Indenta"/>
      </w:pPr>
      <w:r>
        <w:tab/>
        <w:t>(a)</w:t>
      </w:r>
      <w:r>
        <w:tab/>
        <w:t>for payment or reward, whether directly or indirectly through payment or reward for some other service;</w:t>
      </w:r>
    </w:p>
    <w:p>
      <w:pPr>
        <w:pStyle w:val="Indenta"/>
      </w:pPr>
      <w:r>
        <w:tab/>
        <w:t>(b)</w:t>
      </w:r>
      <w:r>
        <w:tab/>
        <w:t>as a benefit of employment; or</w:t>
      </w:r>
    </w:p>
    <w:p>
      <w:pPr>
        <w:pStyle w:val="Indenta"/>
      </w:pPr>
      <w:r>
        <w:tab/>
        <w:t>(c)</w:t>
      </w:r>
      <w:r>
        <w:tab/>
        <w:t>as an ancillary service to a commercial or recreational activity.</w:t>
      </w:r>
    </w:p>
    <w:p>
      <w:pPr>
        <w:pStyle w:val="Subsection"/>
      </w:pPr>
      <w:r>
        <w:tab/>
        <w:t>(2)</w:t>
      </w:r>
      <w:r>
        <w:tab/>
        <w:t xml:space="preserve">The term </w:t>
      </w:r>
      <w:r>
        <w:rPr>
          <w:b/>
        </w:rPr>
        <w:t>“</w:t>
      </w:r>
      <w:r>
        <w:rPr>
          <w:rStyle w:val="CharDefText"/>
        </w:rPr>
        <w:t>child care service</w:t>
      </w:r>
      <w:r>
        <w:rPr>
          <w:b/>
        </w:rPr>
        <w:t>”</w:t>
      </w:r>
      <w:r>
        <w:t xml:space="preserve"> does not include — </w:t>
      </w:r>
    </w:p>
    <w:p>
      <w:pPr>
        <w:pStyle w:val="Indenta"/>
      </w:pPr>
      <w:r>
        <w:tab/>
        <w:t>(a)</w:t>
      </w:r>
      <w:r>
        <w:tab/>
        <w:t>care provided to a child by a parent or other relative of the child or a carer of the child;</w:t>
      </w:r>
      <w:ins w:id="1582" w:author="svcMRProcess" w:date="2018-08-21T09:48:00Z">
        <w:r>
          <w:t xml:space="preserve"> or</w:t>
        </w:r>
      </w:ins>
    </w:p>
    <w:p>
      <w:pPr>
        <w:pStyle w:val="Indenta"/>
      </w:pPr>
      <w:r>
        <w:tab/>
        <w:t>(b)</w:t>
      </w:r>
      <w:r>
        <w:tab/>
        <w:t xml:space="preserve">care provided to a child by a person </w:t>
      </w:r>
      <w:del w:id="1583" w:author="svcMRProcess" w:date="2018-08-21T09:48:00Z">
        <w:r>
          <w:delText xml:space="preserve">having contact with the child </w:delText>
        </w:r>
      </w:del>
      <w:r>
        <w:t xml:space="preserve">in accordance with a </w:t>
      </w:r>
      <w:del w:id="1584" w:author="svcMRProcess" w:date="2018-08-21T09:48:00Z">
        <w:r>
          <w:delText>contact</w:delText>
        </w:r>
      </w:del>
      <w:ins w:id="1585" w:author="svcMRProcess" w:date="2018-08-21T09:48:00Z">
        <w:r>
          <w:t>parenting</w:t>
        </w:r>
      </w:ins>
      <w:r>
        <w:t xml:space="preserve"> order under the </w:t>
      </w:r>
      <w:r>
        <w:rPr>
          <w:i/>
        </w:rPr>
        <w:t xml:space="preserve">Family </w:t>
      </w:r>
      <w:ins w:id="1586" w:author="svcMRProcess" w:date="2018-08-21T09:48:00Z">
        <w:r>
          <w:rPr>
            <w:i/>
          </w:rPr>
          <w:t>Law Act 1975</w:t>
        </w:r>
        <w:r>
          <w:t xml:space="preserve"> of the Commonwealth or the </w:t>
        </w:r>
        <w:r>
          <w:rPr>
            <w:i/>
          </w:rPr>
          <w:t xml:space="preserve">Family </w:t>
        </w:r>
      </w:ins>
      <w:r>
        <w:rPr>
          <w:i/>
        </w:rPr>
        <w:t>Court Act 1997</w:t>
      </w:r>
      <w:r>
        <w:t>;</w:t>
      </w:r>
      <w:ins w:id="1587" w:author="svcMRProcess" w:date="2018-08-21T09:48:00Z">
        <w:r>
          <w:t xml:space="preserve"> or</w:t>
        </w:r>
      </w:ins>
    </w:p>
    <w:p>
      <w:pPr>
        <w:pStyle w:val="Indenta"/>
      </w:pPr>
      <w:r>
        <w:tab/>
        <w:t>(c)</w:t>
      </w:r>
      <w:r>
        <w:tab/>
        <w:t>care provided to a child in accordance with an approval under section 104(3);</w:t>
      </w:r>
      <w:ins w:id="1588" w:author="svcMRProcess" w:date="2018-08-21T09:48:00Z">
        <w:r>
          <w:t xml:space="preserve"> or</w:t>
        </w:r>
      </w:ins>
    </w:p>
    <w:p>
      <w:pPr>
        <w:pStyle w:val="Indenta"/>
      </w:pPr>
      <w:r>
        <w:tab/>
        <w:t>(d)</w:t>
      </w:r>
      <w:r>
        <w:tab/>
        <w:t xml:space="preserve">care provided to a child — </w:t>
      </w:r>
    </w:p>
    <w:p>
      <w:pPr>
        <w:pStyle w:val="Indenti"/>
      </w:pPr>
      <w:r>
        <w:tab/>
        <w:t>(i)</w:t>
      </w:r>
      <w:r>
        <w:tab/>
        <w:t>at the place where the child lives; or</w:t>
      </w:r>
    </w:p>
    <w:p>
      <w:pPr>
        <w:pStyle w:val="Indenti"/>
      </w:pPr>
      <w:r>
        <w:tab/>
        <w:t>(ii)</w:t>
      </w:r>
      <w:r>
        <w:tab/>
        <w:t>substantially at that place;</w:t>
      </w:r>
    </w:p>
    <w:p>
      <w:pPr>
        <w:pStyle w:val="Indenta"/>
        <w:rPr>
          <w:ins w:id="1589" w:author="svcMRProcess" w:date="2018-08-21T09:48:00Z"/>
        </w:rPr>
      </w:pPr>
      <w:ins w:id="1590" w:author="svcMRProcess" w:date="2018-08-21T09:48:00Z">
        <w:r>
          <w:tab/>
        </w:r>
        <w:r>
          <w:tab/>
          <w:t>or</w:t>
        </w:r>
      </w:ins>
    </w:p>
    <w:p>
      <w:pPr>
        <w:pStyle w:val="Indenta"/>
      </w:pPr>
      <w:r>
        <w:tab/>
        <w:t>(e)</w:t>
      </w:r>
      <w:r>
        <w:tab/>
        <w:t xml:space="preserve">care provided to a child enrolled at a school if — </w:t>
      </w:r>
    </w:p>
    <w:p>
      <w:pPr>
        <w:pStyle w:val="Indenti"/>
      </w:pPr>
      <w:r>
        <w:tab/>
        <w:t>(i)</w:t>
      </w:r>
      <w:r>
        <w:tab/>
        <w:t>the child has reached 3 years of age; and</w:t>
      </w:r>
    </w:p>
    <w:p>
      <w:pPr>
        <w:pStyle w:val="Indenti"/>
      </w:pPr>
      <w:r>
        <w:tab/>
        <w:t>(ii)</w:t>
      </w:r>
      <w:r>
        <w:tab/>
        <w:t xml:space="preserve">the care is provided in the course of the child’s participation in an educational programme under the </w:t>
      </w:r>
      <w:r>
        <w:rPr>
          <w:i/>
        </w:rPr>
        <w:t>School Education Act 1999</w:t>
      </w:r>
      <w:r>
        <w:t>;</w:t>
      </w:r>
    </w:p>
    <w:p>
      <w:pPr>
        <w:pStyle w:val="Indenta"/>
        <w:rPr>
          <w:ins w:id="1591" w:author="svcMRProcess" w:date="2018-08-21T09:48:00Z"/>
        </w:rPr>
      </w:pPr>
      <w:ins w:id="1592" w:author="svcMRProcess" w:date="2018-08-21T09:48:00Z">
        <w:r>
          <w:tab/>
        </w:r>
        <w:r>
          <w:tab/>
          <w:t>or</w:t>
        </w:r>
      </w:ins>
    </w:p>
    <w:p>
      <w:pPr>
        <w:pStyle w:val="Indenta"/>
      </w:pPr>
      <w:r>
        <w:tab/>
        <w:t>(f)</w:t>
      </w:r>
      <w:r>
        <w:tab/>
        <w:t>care provided to a child at a hospital or similar place while the child is a patient at that hospital or place; or</w:t>
      </w:r>
    </w:p>
    <w:p>
      <w:pPr>
        <w:pStyle w:val="Indenta"/>
      </w:pPr>
      <w:r>
        <w:tab/>
        <w:t>(g)</w:t>
      </w:r>
      <w:r>
        <w:tab/>
        <w:t>care of a kind that is excluded by the regulations from the application of subsection (1).</w:t>
      </w:r>
    </w:p>
    <w:p>
      <w:pPr>
        <w:pStyle w:val="Footnotesection"/>
        <w:rPr>
          <w:ins w:id="1593" w:author="svcMRProcess" w:date="2018-08-21T09:48:00Z"/>
        </w:rPr>
      </w:pPr>
      <w:ins w:id="1594" w:author="svcMRProcess" w:date="2018-08-21T09:48:00Z">
        <w:r>
          <w:tab/>
          <w:t>[Section 198 amended by No. 35 of 2006 s. 202.]</w:t>
        </w:r>
      </w:ins>
    </w:p>
    <w:p>
      <w:pPr>
        <w:pStyle w:val="Heading5"/>
      </w:pPr>
      <w:bookmarkStart w:id="1595" w:name="_Toc85881412"/>
      <w:bookmarkStart w:id="1596" w:name="_Toc128368857"/>
      <w:bookmarkStart w:id="1597" w:name="_Toc140893523"/>
      <w:bookmarkStart w:id="1598" w:name="_Toc140394055"/>
      <w:r>
        <w:rPr>
          <w:rStyle w:val="CharSectno"/>
        </w:rPr>
        <w:t>199</w:t>
      </w:r>
      <w:r>
        <w:t>.</w:t>
      </w:r>
      <w:r>
        <w:tab/>
        <w:t>Guiding principles</w:t>
      </w:r>
      <w:bookmarkEnd w:id="1595"/>
      <w:bookmarkEnd w:id="1596"/>
      <w:bookmarkEnd w:id="1597"/>
      <w:bookmarkEnd w:id="1598"/>
    </w:p>
    <w:p>
      <w:pPr>
        <w:pStyle w:val="Subsection"/>
      </w:pPr>
      <w:r>
        <w:tab/>
        <w:t>(1)</w:t>
      </w:r>
      <w:r>
        <w:tab/>
        <w:t xml:space="preserve">In the administration of this Part and regulations referred to in section 232 the following principles must be observed — </w:t>
      </w:r>
    </w:p>
    <w:p>
      <w:pPr>
        <w:pStyle w:val="Indenta"/>
      </w:pPr>
      <w:r>
        <w:tab/>
        <w:t>(a)</w:t>
      </w:r>
      <w:r>
        <w:tab/>
        <w:t xml:space="preserve">the principle that a child care service should be provided to a child in a way that — </w:t>
      </w:r>
    </w:p>
    <w:p>
      <w:pPr>
        <w:pStyle w:val="Indenti"/>
      </w:pPr>
      <w:r>
        <w:tab/>
        <w:t>(i)</w:t>
      </w:r>
      <w:r>
        <w:tab/>
        <w:t>protects the child from harm;</w:t>
      </w:r>
    </w:p>
    <w:p>
      <w:pPr>
        <w:pStyle w:val="Indenti"/>
      </w:pPr>
      <w:r>
        <w:tab/>
        <w:t>(ii)</w:t>
      </w:r>
      <w:r>
        <w:tab/>
        <w:t>respects the child’s dignity and privacy;</w:t>
      </w:r>
    </w:p>
    <w:p>
      <w:pPr>
        <w:pStyle w:val="Indenti"/>
      </w:pPr>
      <w:r>
        <w:tab/>
        <w:t>(iii)</w:t>
      </w:r>
      <w:r>
        <w:tab/>
        <w:t>safeguards and promotes the child’s wellbeing;</w:t>
      </w:r>
    </w:p>
    <w:p>
      <w:pPr>
        <w:pStyle w:val="Indenti"/>
      </w:pPr>
      <w:r>
        <w:tab/>
        <w:t>(iv)</w:t>
      </w:r>
      <w:r>
        <w:tab/>
        <w:t>provides positive experiences for the child; and</w:t>
      </w:r>
    </w:p>
    <w:p>
      <w:pPr>
        <w:pStyle w:val="Indenti"/>
      </w:pPr>
      <w:r>
        <w:tab/>
        <w:t>(v)</w:t>
      </w:r>
      <w:r>
        <w:tab/>
        <w:t>stimulates and develops the child’s creative, emotional, intellectual, physical, recreational and social potential;</w:t>
      </w:r>
    </w:p>
    <w:p>
      <w:pPr>
        <w:pStyle w:val="Indenta"/>
      </w:pPr>
      <w:r>
        <w:tab/>
        <w:t>(b)</w:t>
      </w:r>
      <w:r>
        <w:tab/>
        <w:t xml:space="preserve">the principle that child care services should be provided in a way that — </w:t>
      </w:r>
    </w:p>
    <w:p>
      <w:pPr>
        <w:pStyle w:val="Indenti"/>
      </w:pPr>
      <w:r>
        <w:tab/>
        <w:t>(i)</w:t>
      </w:r>
      <w:r>
        <w:tab/>
        <w:t>involves parents of the children to whom the services are provided and other members of the community;</w:t>
      </w:r>
    </w:p>
    <w:p>
      <w:pPr>
        <w:pStyle w:val="Indenti"/>
      </w:pPr>
      <w:r>
        <w:tab/>
        <w:t>(ii)</w:t>
      </w:r>
      <w:r>
        <w:tab/>
        <w:t>reflects best practice in the care, education and recreation of young children; and</w:t>
      </w:r>
    </w:p>
    <w:p>
      <w:pPr>
        <w:pStyle w:val="Indenti"/>
      </w:pPr>
      <w:r>
        <w:tab/>
        <w:t>(iii)</w:t>
      </w:r>
      <w:r>
        <w:tab/>
        <w:t>reflects the diverse nature of the community.</w:t>
      </w:r>
    </w:p>
    <w:p>
      <w:pPr>
        <w:pStyle w:val="Subsection"/>
      </w:pPr>
      <w:r>
        <w:tab/>
        <w:t>(2)</w:t>
      </w:r>
      <w:r>
        <w:tab/>
        <w:t>The principles set out in subsection (1) are in addition to, and do not derogate from, the principles set out in Part 2 Divisions 2 and 3.</w:t>
      </w:r>
    </w:p>
    <w:p>
      <w:pPr>
        <w:pStyle w:val="Heading5"/>
      </w:pPr>
      <w:bookmarkStart w:id="1599" w:name="_Toc85881413"/>
      <w:bookmarkStart w:id="1600" w:name="_Toc128368858"/>
      <w:bookmarkStart w:id="1601" w:name="_Toc140893524"/>
      <w:bookmarkStart w:id="1602" w:name="_Toc140394056"/>
      <w:r>
        <w:rPr>
          <w:rStyle w:val="CharSectno"/>
        </w:rPr>
        <w:t>200</w:t>
      </w:r>
      <w:r>
        <w:t>.</w:t>
      </w:r>
      <w:r>
        <w:tab/>
        <w:t>Crown bound</w:t>
      </w:r>
      <w:bookmarkEnd w:id="1599"/>
      <w:bookmarkEnd w:id="1600"/>
      <w:bookmarkEnd w:id="1601"/>
      <w:bookmarkEnd w:id="1602"/>
    </w:p>
    <w:p>
      <w:pPr>
        <w:pStyle w:val="Subsection"/>
      </w:pPr>
      <w:r>
        <w:tab/>
      </w:r>
      <w:r>
        <w:tab/>
        <w:t>This Part binds the Crown in right of the State and, so far as the legislative power of Parliament permits, the Crown in all its other capacities.</w:t>
      </w:r>
    </w:p>
    <w:p>
      <w:pPr>
        <w:pStyle w:val="Heading3"/>
      </w:pPr>
      <w:bookmarkStart w:id="1603" w:name="_Hlt39908687"/>
      <w:bookmarkStart w:id="1604" w:name="_Toc128300985"/>
      <w:bookmarkStart w:id="1605" w:name="_Toc128303013"/>
      <w:bookmarkStart w:id="1606" w:name="_Toc128366945"/>
      <w:bookmarkStart w:id="1607" w:name="_Toc128368859"/>
      <w:bookmarkStart w:id="1608" w:name="_Toc128369239"/>
      <w:bookmarkStart w:id="1609" w:name="_Toc128969576"/>
      <w:bookmarkStart w:id="1610" w:name="_Toc132620487"/>
      <w:bookmarkStart w:id="1611" w:name="_Toc140378115"/>
      <w:bookmarkStart w:id="1612" w:name="_Toc140394057"/>
      <w:bookmarkStart w:id="1613" w:name="_Toc140893525"/>
      <w:bookmarkEnd w:id="1603"/>
      <w:r>
        <w:rPr>
          <w:rStyle w:val="CharDivNo"/>
        </w:rPr>
        <w:t>Division 2</w:t>
      </w:r>
      <w:r>
        <w:t> — </w:t>
      </w:r>
      <w:r>
        <w:rPr>
          <w:rStyle w:val="CharDivText"/>
        </w:rPr>
        <w:t>Licensing requirement</w:t>
      </w:r>
      <w:bookmarkEnd w:id="1604"/>
      <w:bookmarkEnd w:id="1605"/>
      <w:bookmarkEnd w:id="1606"/>
      <w:bookmarkEnd w:id="1607"/>
      <w:bookmarkEnd w:id="1608"/>
      <w:bookmarkEnd w:id="1609"/>
      <w:bookmarkEnd w:id="1610"/>
      <w:bookmarkEnd w:id="1611"/>
      <w:bookmarkEnd w:id="1612"/>
      <w:bookmarkEnd w:id="1613"/>
    </w:p>
    <w:p>
      <w:pPr>
        <w:pStyle w:val="Heading5"/>
      </w:pPr>
      <w:bookmarkStart w:id="1614" w:name="_Toc438114777"/>
      <w:bookmarkStart w:id="1615" w:name="_Toc85881414"/>
      <w:bookmarkStart w:id="1616" w:name="_Toc128368860"/>
      <w:bookmarkStart w:id="1617" w:name="_Toc140893526"/>
      <w:bookmarkStart w:id="1618" w:name="_Toc140394058"/>
      <w:r>
        <w:rPr>
          <w:rStyle w:val="CharSectno"/>
        </w:rPr>
        <w:t>201</w:t>
      </w:r>
      <w:r>
        <w:t>.</w:t>
      </w:r>
      <w:r>
        <w:tab/>
        <w:t>Requirement for licence</w:t>
      </w:r>
      <w:bookmarkEnd w:id="1614"/>
      <w:bookmarkEnd w:id="1615"/>
      <w:bookmarkEnd w:id="1616"/>
      <w:bookmarkEnd w:id="1617"/>
      <w:bookmarkEnd w:id="1618"/>
    </w:p>
    <w:p>
      <w:pPr>
        <w:pStyle w:val="Subsection"/>
      </w:pPr>
      <w:r>
        <w:tab/>
      </w:r>
      <w:r>
        <w:tab/>
        <w:t>A person must not provide a child care service at a place except under and in accordance with a licence authorising the provision of the service at that place.</w:t>
      </w:r>
    </w:p>
    <w:p>
      <w:pPr>
        <w:pStyle w:val="Penstart"/>
      </w:pPr>
      <w:r>
        <w:tab/>
        <w:t>Penalty:</w:t>
      </w:r>
    </w:p>
    <w:p>
      <w:pPr>
        <w:pStyle w:val="Penpara"/>
      </w:pPr>
      <w:r>
        <w:tab/>
        <w:t>(a)</w:t>
      </w:r>
      <w:r>
        <w:tab/>
        <w:t>for a first offence, $12 000 and imprisonment for one year, and a daily penalty of $600;</w:t>
      </w:r>
    </w:p>
    <w:p>
      <w:pPr>
        <w:pStyle w:val="Penpara"/>
        <w:rPr>
          <w:b/>
          <w:i/>
          <w:sz w:val="20"/>
        </w:rPr>
      </w:pPr>
      <w:r>
        <w:tab/>
        <w:t>(b)</w:t>
      </w:r>
      <w:r>
        <w:tab/>
        <w:t>for a subsequent offence, $24 000 and imprisonment for 2 years, and a daily penalty of $1 200.</w:t>
      </w:r>
    </w:p>
    <w:p>
      <w:pPr>
        <w:pStyle w:val="Heading3"/>
      </w:pPr>
      <w:bookmarkStart w:id="1619" w:name="_Toc128300987"/>
      <w:bookmarkStart w:id="1620" w:name="_Toc128303015"/>
      <w:bookmarkStart w:id="1621" w:name="_Toc128366947"/>
      <w:bookmarkStart w:id="1622" w:name="_Toc128368861"/>
      <w:bookmarkStart w:id="1623" w:name="_Toc128369241"/>
      <w:bookmarkStart w:id="1624" w:name="_Toc128969578"/>
      <w:bookmarkStart w:id="1625" w:name="_Toc132620489"/>
      <w:bookmarkStart w:id="1626" w:name="_Toc140378117"/>
      <w:bookmarkStart w:id="1627" w:name="_Toc140394059"/>
      <w:bookmarkStart w:id="1628" w:name="_Toc140893527"/>
      <w:r>
        <w:rPr>
          <w:rStyle w:val="CharDivNo"/>
        </w:rPr>
        <w:t>Division 3</w:t>
      </w:r>
      <w:r>
        <w:t> — </w:t>
      </w:r>
      <w:r>
        <w:rPr>
          <w:rStyle w:val="CharDivText"/>
        </w:rPr>
        <w:t>Application for and grant of licence</w:t>
      </w:r>
      <w:bookmarkEnd w:id="1619"/>
      <w:bookmarkEnd w:id="1620"/>
      <w:bookmarkEnd w:id="1621"/>
      <w:bookmarkEnd w:id="1622"/>
      <w:bookmarkEnd w:id="1623"/>
      <w:bookmarkEnd w:id="1624"/>
      <w:bookmarkEnd w:id="1625"/>
      <w:bookmarkEnd w:id="1626"/>
      <w:bookmarkEnd w:id="1627"/>
      <w:bookmarkEnd w:id="1628"/>
    </w:p>
    <w:p>
      <w:pPr>
        <w:pStyle w:val="Heading5"/>
      </w:pPr>
      <w:bookmarkStart w:id="1629" w:name="_Toc85881415"/>
      <w:bookmarkStart w:id="1630" w:name="_Toc128368862"/>
      <w:bookmarkStart w:id="1631" w:name="_Toc140893528"/>
      <w:bookmarkStart w:id="1632" w:name="_Toc140394060"/>
      <w:r>
        <w:rPr>
          <w:rStyle w:val="CharSectno"/>
        </w:rPr>
        <w:t>202</w:t>
      </w:r>
      <w:r>
        <w:t>.</w:t>
      </w:r>
      <w:r>
        <w:tab/>
        <w:t>Who may apply for licence</w:t>
      </w:r>
      <w:bookmarkEnd w:id="1629"/>
      <w:bookmarkEnd w:id="1630"/>
      <w:bookmarkEnd w:id="1631"/>
      <w:bookmarkEnd w:id="1632"/>
    </w:p>
    <w:p>
      <w:pPr>
        <w:pStyle w:val="Subsection"/>
      </w:pPr>
      <w:r>
        <w:tab/>
      </w:r>
      <w:r>
        <w:tab/>
        <w:t xml:space="preserve">An application for a licence may be made to the CEO by — </w:t>
      </w:r>
    </w:p>
    <w:p>
      <w:pPr>
        <w:pStyle w:val="Indenta"/>
      </w:pPr>
      <w:r>
        <w:tab/>
        <w:t>(a)</w:t>
      </w:r>
      <w:r>
        <w:tab/>
        <w:t xml:space="preserve">an individual; </w:t>
      </w:r>
    </w:p>
    <w:p>
      <w:pPr>
        <w:pStyle w:val="Indenta"/>
      </w:pPr>
      <w:r>
        <w:tab/>
        <w:t>(b)</w:t>
      </w:r>
      <w:r>
        <w:tab/>
        <w:t>a body corporate; or</w:t>
      </w:r>
    </w:p>
    <w:p>
      <w:pPr>
        <w:pStyle w:val="Indenta"/>
      </w:pPr>
      <w:r>
        <w:tab/>
        <w:t>(c)</w:t>
      </w:r>
      <w:r>
        <w:tab/>
        <w:t>in the case of a public authority that is not a body corporate, the chief executive officer (however described) of the public authority on behalf of the authority.</w:t>
      </w:r>
    </w:p>
    <w:p>
      <w:pPr>
        <w:pStyle w:val="Heading5"/>
      </w:pPr>
      <w:bookmarkStart w:id="1633" w:name="_Toc85881416"/>
      <w:bookmarkStart w:id="1634" w:name="_Toc128368863"/>
      <w:bookmarkStart w:id="1635" w:name="_Toc140893529"/>
      <w:bookmarkStart w:id="1636" w:name="_Toc140394061"/>
      <w:r>
        <w:rPr>
          <w:rStyle w:val="CharSectno"/>
        </w:rPr>
        <w:t>203</w:t>
      </w:r>
      <w:r>
        <w:t>.</w:t>
      </w:r>
      <w:r>
        <w:tab/>
        <w:t>Application for licence</w:t>
      </w:r>
      <w:bookmarkEnd w:id="1633"/>
      <w:bookmarkEnd w:id="1634"/>
      <w:bookmarkEnd w:id="1635"/>
      <w:bookmarkEnd w:id="1636"/>
    </w:p>
    <w:p>
      <w:pPr>
        <w:pStyle w:val="Subsection"/>
      </w:pPr>
      <w:r>
        <w:tab/>
      </w:r>
      <w:r>
        <w:tab/>
        <w:t xml:space="preserve">An application must be — </w:t>
      </w:r>
    </w:p>
    <w:p>
      <w:pPr>
        <w:pStyle w:val="Indenta"/>
      </w:pPr>
      <w:r>
        <w:tab/>
        <w:t>(a)</w:t>
      </w:r>
      <w:r>
        <w:tab/>
        <w:t>in writing in a form approved by the CEO;</w:t>
      </w:r>
    </w:p>
    <w:p>
      <w:pPr>
        <w:pStyle w:val="Indenta"/>
      </w:pPr>
      <w:r>
        <w:tab/>
        <w:t>(b)</w:t>
      </w:r>
      <w:r>
        <w:tab/>
        <w:t>accompanied by any document or information that is prescribed; and</w:t>
      </w:r>
    </w:p>
    <w:p>
      <w:pPr>
        <w:pStyle w:val="Indenta"/>
      </w:pPr>
      <w:r>
        <w:tab/>
        <w:t>(c)</w:t>
      </w:r>
      <w:r>
        <w:tab/>
        <w:t>accompanied by the prescribed fee (if any).</w:t>
      </w:r>
    </w:p>
    <w:p>
      <w:pPr>
        <w:pStyle w:val="Heading5"/>
      </w:pPr>
      <w:bookmarkStart w:id="1637" w:name="_Toc85881417"/>
      <w:bookmarkStart w:id="1638" w:name="_Toc128368864"/>
      <w:bookmarkStart w:id="1639" w:name="_Toc140893530"/>
      <w:bookmarkStart w:id="1640" w:name="_Toc140394062"/>
      <w:r>
        <w:rPr>
          <w:rStyle w:val="CharSectno"/>
        </w:rPr>
        <w:t>204</w:t>
      </w:r>
      <w:r>
        <w:t>.</w:t>
      </w:r>
      <w:r>
        <w:tab/>
        <w:t>Further information relevant to application</w:t>
      </w:r>
      <w:bookmarkEnd w:id="1637"/>
      <w:bookmarkEnd w:id="1638"/>
      <w:bookmarkEnd w:id="1639"/>
      <w:bookmarkEnd w:id="1640"/>
    </w:p>
    <w:p>
      <w:pPr>
        <w:pStyle w:val="Subsection"/>
      </w:pPr>
      <w:r>
        <w:tab/>
        <w:t>(1)</w:t>
      </w:r>
      <w:r>
        <w:tab/>
        <w:t>The CEO may ask an applicant for any additional document or information that the CEO considers is or could be relevant to making a decision on the application.</w:t>
      </w:r>
    </w:p>
    <w:p>
      <w:pPr>
        <w:pStyle w:val="Subsection"/>
      </w:pPr>
      <w:r>
        <w:tab/>
        <w:t>(2)</w:t>
      </w:r>
      <w:r>
        <w:tab/>
        <w:t xml:space="preserve">Without limiting subsection (1), for the purpose of deciding whether or not an individual applicant or a nominated supervising officer is a fit and proper person to provide or be involved in the provision of a child care service, the CEO — </w:t>
      </w:r>
    </w:p>
    <w:p>
      <w:pPr>
        <w:pStyle w:val="Indenta"/>
      </w:pPr>
      <w:r>
        <w:tab/>
        <w:t>(a)</w:t>
      </w:r>
      <w:r>
        <w:tab/>
        <w:t xml:space="preserve">must ask the applicant or nominated supervising officer to undergo an oral or written assessment as to his or her knowledge and understanding of — </w:t>
      </w:r>
    </w:p>
    <w:p>
      <w:pPr>
        <w:pStyle w:val="Indenti"/>
      </w:pPr>
      <w:r>
        <w:tab/>
        <w:t>(i)</w:t>
      </w:r>
      <w:r>
        <w:tab/>
        <w:t>the operation of this Part and the regulations; and</w:t>
      </w:r>
    </w:p>
    <w:p>
      <w:pPr>
        <w:pStyle w:val="Indenti"/>
      </w:pPr>
      <w:r>
        <w:tab/>
        <w:t>(ii)</w:t>
      </w:r>
      <w:r>
        <w:tab/>
        <w:t>the field of child development;</w:t>
      </w:r>
    </w:p>
    <w:p>
      <w:pPr>
        <w:pStyle w:val="Indenta"/>
      </w:pPr>
      <w:r>
        <w:tab/>
        <w:t>(b)</w:t>
      </w:r>
      <w:r>
        <w:tab/>
        <w:t>may ask the applicant or nominated supervising officer to undergo a medical, psychiatric or psychological test or examination specified by the CEO;</w:t>
      </w:r>
    </w:p>
    <w:p>
      <w:pPr>
        <w:pStyle w:val="Indenta"/>
      </w:pPr>
      <w:r>
        <w:tab/>
        <w:t>(c)</w:t>
      </w:r>
      <w:r>
        <w:tab/>
        <w:t>must ask the applicant or nominated supervising officer to provide a reference or report specified by the CEO; and</w:t>
      </w:r>
    </w:p>
    <w:p>
      <w:pPr>
        <w:pStyle w:val="Indenta"/>
      </w:pPr>
      <w:r>
        <w:tab/>
        <w:t>(d)</w:t>
      </w:r>
      <w:r>
        <w:tab/>
        <w:t>must ask the applicant or nominated supervising officer to provide evidence that the person holds the qualifications prescribed in relation to the type of child care service to which the application relates.</w:t>
      </w:r>
    </w:p>
    <w:p>
      <w:pPr>
        <w:pStyle w:val="Subsection"/>
      </w:pPr>
      <w:r>
        <w:tab/>
        <w:t>(3)</w:t>
      </w:r>
      <w:r>
        <w:tab/>
        <w:t>If the CEO makes a request under subsection (1) or (2), the CEO does not have to consider the application, or consider it further, until the request is complied with.</w:t>
      </w:r>
    </w:p>
    <w:p>
      <w:pPr>
        <w:pStyle w:val="Subsection"/>
      </w:pPr>
      <w:r>
        <w:tab/>
        <w:t>(4)</w:t>
      </w:r>
      <w:r>
        <w:tab/>
        <w:t>Any costs incurred in complying with a request under subsection (1) or (2) are to be paid by the applicant unless the CEO determines otherwise.</w:t>
      </w:r>
    </w:p>
    <w:p>
      <w:pPr>
        <w:pStyle w:val="Heading5"/>
      </w:pPr>
      <w:bookmarkStart w:id="1641" w:name="_Toc85881418"/>
      <w:bookmarkStart w:id="1642" w:name="_Toc128368865"/>
      <w:bookmarkStart w:id="1643" w:name="_Toc140893531"/>
      <w:bookmarkStart w:id="1644" w:name="_Toc140394063"/>
      <w:r>
        <w:rPr>
          <w:rStyle w:val="CharSectno"/>
        </w:rPr>
        <w:t>205</w:t>
      </w:r>
      <w:r>
        <w:t>.</w:t>
      </w:r>
      <w:r>
        <w:tab/>
        <w:t>Grant of licence</w:t>
      </w:r>
      <w:bookmarkEnd w:id="1641"/>
      <w:bookmarkEnd w:id="1642"/>
      <w:bookmarkEnd w:id="1643"/>
      <w:bookmarkEnd w:id="1644"/>
    </w:p>
    <w:p>
      <w:pPr>
        <w:pStyle w:val="Subsection"/>
      </w:pPr>
      <w:r>
        <w:tab/>
        <w:t>(1)</w:t>
      </w:r>
      <w:r>
        <w:tab/>
        <w:t>The CEO may grant a licence to a person authorising the person to provide a specified type of child care service at a specified place.</w:t>
      </w:r>
    </w:p>
    <w:p>
      <w:pPr>
        <w:pStyle w:val="Subsection"/>
      </w:pPr>
      <w:r>
        <w:tab/>
        <w:t>(2)</w:t>
      </w:r>
      <w:r>
        <w:tab/>
        <w:t xml:space="preserve">In subsection (1) — </w:t>
      </w:r>
    </w:p>
    <w:p>
      <w:pPr>
        <w:pStyle w:val="Defstart"/>
      </w:pPr>
      <w:r>
        <w:rPr>
          <w:b/>
        </w:rPr>
        <w:tab/>
        <w:t>“</w:t>
      </w:r>
      <w:r>
        <w:rPr>
          <w:rStyle w:val="CharDefText"/>
        </w:rPr>
        <w:t>specified</w:t>
      </w:r>
      <w:r>
        <w:rPr>
          <w:b/>
        </w:rPr>
        <w:t>”</w:t>
      </w:r>
      <w:r>
        <w:t xml:space="preserve"> means specified in the licence document.</w:t>
      </w:r>
    </w:p>
    <w:p>
      <w:pPr>
        <w:pStyle w:val="Subsection"/>
      </w:pPr>
      <w:r>
        <w:tab/>
        <w:t>(3)</w:t>
      </w:r>
      <w:r>
        <w:tab/>
        <w:t>A licence cannot be granted in respect of more than one child care service.</w:t>
      </w:r>
    </w:p>
    <w:p>
      <w:pPr>
        <w:pStyle w:val="Subsection"/>
      </w:pPr>
      <w:r>
        <w:tab/>
        <w:t>(4)</w:t>
      </w:r>
      <w:r>
        <w:tab/>
        <w:t>A licence cannot be granted to 2 or more persons.</w:t>
      </w:r>
    </w:p>
    <w:p>
      <w:pPr>
        <w:pStyle w:val="Subsection"/>
      </w:pPr>
      <w:r>
        <w:tab/>
        <w:t>(5)</w:t>
      </w:r>
      <w:r>
        <w:tab/>
        <w:t>A person may be granted 2 or more licences whether for the same type of child care service or for different types of child care service.</w:t>
      </w:r>
    </w:p>
    <w:p>
      <w:pPr>
        <w:pStyle w:val="Heading5"/>
      </w:pPr>
      <w:bookmarkStart w:id="1645" w:name="_Toc85881419"/>
      <w:bookmarkStart w:id="1646" w:name="_Toc128368866"/>
      <w:bookmarkStart w:id="1647" w:name="_Toc140893532"/>
      <w:bookmarkStart w:id="1648" w:name="_Toc140394064"/>
      <w:r>
        <w:rPr>
          <w:rStyle w:val="CharSectno"/>
        </w:rPr>
        <w:t>206</w:t>
      </w:r>
      <w:r>
        <w:t>.</w:t>
      </w:r>
      <w:r>
        <w:tab/>
        <w:t>General restrictions on grant of licence</w:t>
      </w:r>
      <w:bookmarkEnd w:id="1645"/>
      <w:bookmarkEnd w:id="1646"/>
      <w:bookmarkEnd w:id="1647"/>
      <w:bookmarkEnd w:id="1648"/>
    </w:p>
    <w:p>
      <w:pPr>
        <w:pStyle w:val="Subsection"/>
      </w:pPr>
      <w:r>
        <w:tab/>
        <w:t>(1)</w:t>
      </w:r>
      <w:r>
        <w:tab/>
        <w:t>The CEO must not grant a licence if there are reasonable grounds for believing that the provision of the child care service to which the application relates would constitute an unacceptable risk to the wellbeing of children for whom the service would be provided.</w:t>
      </w:r>
    </w:p>
    <w:p>
      <w:pPr>
        <w:pStyle w:val="Subsection"/>
      </w:pPr>
      <w:r>
        <w:tab/>
        <w:t>(2)</w:t>
      </w:r>
      <w:r>
        <w:tab/>
        <w:t xml:space="preserve">The CEO must not grant a licence unless the CEO is satisfied that — </w:t>
      </w:r>
    </w:p>
    <w:p>
      <w:pPr>
        <w:pStyle w:val="Indenta"/>
      </w:pPr>
      <w:r>
        <w:tab/>
        <w:t>(a)</w:t>
      </w:r>
      <w:r>
        <w:tab/>
        <w:t>the applicant is capable of providing a child care service in accordance with the regulations and the terms and conditions of the licence;</w:t>
      </w:r>
    </w:p>
    <w:p>
      <w:pPr>
        <w:pStyle w:val="Indenta"/>
      </w:pPr>
      <w:r>
        <w:tab/>
        <w:t>(b)</w:t>
      </w:r>
      <w:r>
        <w:tab/>
        <w:t>the place at which the child care service is, or child care services are, to be provided is suitable for that purpose;</w:t>
      </w:r>
    </w:p>
    <w:p>
      <w:pPr>
        <w:pStyle w:val="Indenta"/>
      </w:pPr>
      <w:r>
        <w:tab/>
        <w:t>(c)</w:t>
      </w:r>
      <w:r>
        <w:tab/>
        <w:t>a licence or equivalent authority granted or issued to the applicant has not been cancelled in the period of 5 years before the application is made;</w:t>
      </w:r>
    </w:p>
    <w:p>
      <w:pPr>
        <w:pStyle w:val="Indenta"/>
      </w:pPr>
      <w:r>
        <w:tab/>
        <w:t>(d)</w:t>
      </w:r>
      <w:r>
        <w:tab/>
        <w:t>the applicant is of sound financial reputation and stable financial background; and</w:t>
      </w:r>
    </w:p>
    <w:p>
      <w:pPr>
        <w:pStyle w:val="Indenta"/>
      </w:pPr>
      <w:r>
        <w:tab/>
        <w:t>(e)</w:t>
      </w:r>
      <w:r>
        <w:tab/>
        <w:t>if the application relates to the provision of a family day care service, each usual occupant is a fit and proper person to associate with children.</w:t>
      </w:r>
    </w:p>
    <w:p>
      <w:pPr>
        <w:pStyle w:val="Heading5"/>
      </w:pPr>
      <w:bookmarkStart w:id="1649" w:name="_Toc85881420"/>
      <w:bookmarkStart w:id="1650" w:name="_Toc128368867"/>
      <w:bookmarkStart w:id="1651" w:name="_Toc140893533"/>
      <w:bookmarkStart w:id="1652" w:name="_Toc140394065"/>
      <w:r>
        <w:rPr>
          <w:rStyle w:val="CharSectno"/>
        </w:rPr>
        <w:t>207</w:t>
      </w:r>
      <w:r>
        <w:t>.</w:t>
      </w:r>
      <w:r>
        <w:tab/>
        <w:t>Restrictions on grant of licence: individual applicant</w:t>
      </w:r>
      <w:bookmarkEnd w:id="1649"/>
      <w:bookmarkEnd w:id="1650"/>
      <w:bookmarkEnd w:id="1651"/>
      <w:bookmarkEnd w:id="1652"/>
    </w:p>
    <w:p>
      <w:pPr>
        <w:pStyle w:val="Subsection"/>
      </w:pPr>
      <w:r>
        <w:tab/>
        <w:t>(1)</w:t>
      </w:r>
      <w:r>
        <w:tab/>
        <w:t>The CEO must not grant a licence to an individual applicant if the applicant has been found guilty of a prescribed offence unless the CEO is satisfied that there are exceptional reasons for doing so.</w:t>
      </w:r>
    </w:p>
    <w:p>
      <w:pPr>
        <w:pStyle w:val="Subsection"/>
      </w:pPr>
      <w:r>
        <w:tab/>
        <w:t>(2)</w:t>
      </w:r>
      <w:r>
        <w:tab/>
        <w:t xml:space="preserve">The CEO must not grant a licence to an individual applicant unless the CEO is satisfied that the applicant — </w:t>
      </w:r>
    </w:p>
    <w:p>
      <w:pPr>
        <w:pStyle w:val="Indenta"/>
      </w:pPr>
      <w:r>
        <w:tab/>
        <w:t>(a)</w:t>
      </w:r>
      <w:r>
        <w:tab/>
        <w:t>has the ability to supervise and control on a day</w:t>
      </w:r>
      <w:r>
        <w:noBreakHyphen/>
        <w:t>to</w:t>
      </w:r>
      <w:r>
        <w:noBreakHyphen/>
        <w:t>day basis the provision of the child care service to which the application relates; and</w:t>
      </w:r>
    </w:p>
    <w:p>
      <w:pPr>
        <w:pStyle w:val="Indenta"/>
      </w:pPr>
      <w:r>
        <w:tab/>
        <w:t>(b)</w:t>
      </w:r>
      <w:r>
        <w:tab/>
        <w:t>is otherwise a fit and proper person to provide a child care service.</w:t>
      </w:r>
    </w:p>
    <w:p>
      <w:pPr>
        <w:pStyle w:val="Heading5"/>
      </w:pPr>
      <w:bookmarkStart w:id="1653" w:name="_Toc85881421"/>
      <w:bookmarkStart w:id="1654" w:name="_Toc128368868"/>
      <w:bookmarkStart w:id="1655" w:name="_Toc140893534"/>
      <w:bookmarkStart w:id="1656" w:name="_Toc140394066"/>
      <w:r>
        <w:rPr>
          <w:rStyle w:val="CharSectno"/>
        </w:rPr>
        <w:t>208</w:t>
      </w:r>
      <w:r>
        <w:t>.</w:t>
      </w:r>
      <w:r>
        <w:tab/>
        <w:t>Restrictions on grant of licence: corporate applicant</w:t>
      </w:r>
      <w:bookmarkEnd w:id="1653"/>
      <w:bookmarkEnd w:id="1654"/>
      <w:bookmarkEnd w:id="1655"/>
      <w:bookmarkEnd w:id="1656"/>
    </w:p>
    <w:p>
      <w:pPr>
        <w:pStyle w:val="Subsection"/>
      </w:pPr>
      <w:r>
        <w:tab/>
        <w:t>(1)</w:t>
      </w:r>
      <w:r>
        <w:tab/>
        <w:t>The CEO must not grant a licence to a corporate applicant if the nominated supervising officer or a managerial officer has been found guilty of a prescribed offence unless the CEO is satisfied that there are exceptional reasons for doing so.</w:t>
      </w:r>
    </w:p>
    <w:p>
      <w:pPr>
        <w:pStyle w:val="Subsection"/>
      </w:pPr>
      <w:r>
        <w:tab/>
        <w:t>(2)</w:t>
      </w:r>
      <w:r>
        <w:tab/>
        <w:t xml:space="preserve">The CEO must not grant a licence to a corporate applicant unless the CEO is satisfied that — </w:t>
      </w:r>
    </w:p>
    <w:p>
      <w:pPr>
        <w:pStyle w:val="Indenta"/>
      </w:pPr>
      <w:r>
        <w:tab/>
        <w:t>(a)</w:t>
      </w:r>
      <w:r>
        <w:tab/>
        <w:t>a licence or equivalent authority granted or issued to the nominated supervising officer or a managerial officer has not been cancelled in the period of 5 years before the application is made;</w:t>
      </w:r>
    </w:p>
    <w:p>
      <w:pPr>
        <w:pStyle w:val="Indenta"/>
      </w:pPr>
      <w:r>
        <w:tab/>
        <w:t>(b)</w:t>
      </w:r>
      <w:r>
        <w:tab/>
        <w:t>the nominated supervising officer is not the supervising officer for another child care service that is or will be provided at a time when the child care service to which the application relates will be provided;</w:t>
      </w:r>
    </w:p>
    <w:p>
      <w:pPr>
        <w:pStyle w:val="Indenta"/>
      </w:pPr>
      <w:r>
        <w:tab/>
        <w:t>(c)</w:t>
      </w:r>
      <w:r>
        <w:tab/>
        <w:t>the nominated supervising officer has the ability to supervise and control on a day</w:t>
      </w:r>
      <w:r>
        <w:noBreakHyphen/>
        <w:t>to</w:t>
      </w:r>
      <w:r>
        <w:noBreakHyphen/>
        <w:t>day basis the provision of the child care service to which the application relates; and</w:t>
      </w:r>
    </w:p>
    <w:p>
      <w:pPr>
        <w:pStyle w:val="Indenta"/>
      </w:pPr>
      <w:r>
        <w:tab/>
        <w:t>(d)</w:t>
      </w:r>
      <w:r>
        <w:tab/>
        <w:t>the nominated supervising officer and each managerial officer are otherwise fit and proper people to be involved in the provision of a child care service.</w:t>
      </w:r>
    </w:p>
    <w:p>
      <w:pPr>
        <w:pStyle w:val="Heading5"/>
      </w:pPr>
      <w:bookmarkStart w:id="1657" w:name="_Toc85881422"/>
      <w:bookmarkStart w:id="1658" w:name="_Toc128368869"/>
      <w:bookmarkStart w:id="1659" w:name="_Toc140893535"/>
      <w:bookmarkStart w:id="1660" w:name="_Toc140394067"/>
      <w:r>
        <w:rPr>
          <w:rStyle w:val="CharSectno"/>
        </w:rPr>
        <w:t>209</w:t>
      </w:r>
      <w:r>
        <w:t>.</w:t>
      </w:r>
      <w:r>
        <w:tab/>
        <w:t>Restrictions on grant of licence: public authority</w:t>
      </w:r>
      <w:bookmarkEnd w:id="1657"/>
      <w:bookmarkEnd w:id="1658"/>
      <w:bookmarkEnd w:id="1659"/>
      <w:bookmarkEnd w:id="1660"/>
    </w:p>
    <w:p>
      <w:pPr>
        <w:pStyle w:val="Subsection"/>
      </w:pPr>
      <w:r>
        <w:tab/>
        <w:t>(1)</w:t>
      </w:r>
      <w:r>
        <w:tab/>
        <w:t>The CEO must not grant a licence to a public authority if the nominated supervising officer has been found guilty of a prescribed offence unless the CEO is satisfied that there are exceptional reasons for doing so.</w:t>
      </w:r>
    </w:p>
    <w:p>
      <w:pPr>
        <w:pStyle w:val="Subsection"/>
      </w:pPr>
      <w:r>
        <w:tab/>
        <w:t>(2)</w:t>
      </w:r>
      <w:r>
        <w:tab/>
        <w:t xml:space="preserve">The CEO must not grant a licence to a public authority unless the CEO is satisfied that — </w:t>
      </w:r>
    </w:p>
    <w:p>
      <w:pPr>
        <w:pStyle w:val="Indenta"/>
      </w:pPr>
      <w:r>
        <w:tab/>
        <w:t>(a)</w:t>
      </w:r>
      <w:r>
        <w:tab/>
        <w:t>a licence or equivalent authority granted or issued to the nominated supervising officer has not been cancelled in the period of 5 years before the application is made;</w:t>
      </w:r>
    </w:p>
    <w:p>
      <w:pPr>
        <w:pStyle w:val="Indenta"/>
      </w:pPr>
      <w:r>
        <w:tab/>
        <w:t>(b)</w:t>
      </w:r>
      <w:r>
        <w:tab/>
        <w:t>the nominated supervising officer is not the supervising officer for another child care service that is or will be provided at a time when the child care service to which the application relates will be provided;</w:t>
      </w:r>
    </w:p>
    <w:p>
      <w:pPr>
        <w:pStyle w:val="Indenta"/>
      </w:pPr>
      <w:r>
        <w:tab/>
        <w:t>(c)</w:t>
      </w:r>
      <w:r>
        <w:tab/>
        <w:t>the nominated supervising officer has the ability to supervise and control on a day</w:t>
      </w:r>
      <w:r>
        <w:noBreakHyphen/>
        <w:t>to</w:t>
      </w:r>
      <w:r>
        <w:noBreakHyphen/>
        <w:t>day basis the provision of the child care service to which the application relates; and</w:t>
      </w:r>
    </w:p>
    <w:p>
      <w:pPr>
        <w:pStyle w:val="Indenta"/>
      </w:pPr>
      <w:r>
        <w:tab/>
        <w:t>(d)</w:t>
      </w:r>
      <w:r>
        <w:tab/>
        <w:t>the nominated supervising officer is otherwise a fit and proper person to be involved in the provision of a child care service.</w:t>
      </w:r>
    </w:p>
    <w:p>
      <w:pPr>
        <w:pStyle w:val="Heading5"/>
      </w:pPr>
      <w:bookmarkStart w:id="1661" w:name="_Toc85881423"/>
      <w:bookmarkStart w:id="1662" w:name="_Toc128368870"/>
      <w:bookmarkStart w:id="1663" w:name="_Toc140893536"/>
      <w:bookmarkStart w:id="1664" w:name="_Toc140394068"/>
      <w:r>
        <w:rPr>
          <w:rStyle w:val="CharSectno"/>
        </w:rPr>
        <w:t>210</w:t>
      </w:r>
      <w:r>
        <w:t>.</w:t>
      </w:r>
      <w:r>
        <w:tab/>
        <w:t>Licence document</w:t>
      </w:r>
      <w:bookmarkEnd w:id="1661"/>
      <w:bookmarkEnd w:id="1662"/>
      <w:bookmarkEnd w:id="1663"/>
      <w:bookmarkEnd w:id="1664"/>
    </w:p>
    <w:p>
      <w:pPr>
        <w:pStyle w:val="Subsection"/>
        <w:spacing w:before="120"/>
      </w:pPr>
      <w:r>
        <w:tab/>
      </w:r>
      <w:r>
        <w:tab/>
        <w:t>If the CEO grants a licence to a person the CEO must issue to the person a licence document that contains the prescribed details.</w:t>
      </w:r>
    </w:p>
    <w:p>
      <w:pPr>
        <w:pStyle w:val="Heading5"/>
      </w:pPr>
      <w:bookmarkStart w:id="1665" w:name="_Toc85881424"/>
      <w:bookmarkStart w:id="1666" w:name="_Toc128368871"/>
      <w:bookmarkStart w:id="1667" w:name="_Toc140893537"/>
      <w:bookmarkStart w:id="1668" w:name="_Toc140394069"/>
      <w:r>
        <w:rPr>
          <w:rStyle w:val="CharSectno"/>
        </w:rPr>
        <w:t>211</w:t>
      </w:r>
      <w:r>
        <w:t>.</w:t>
      </w:r>
      <w:r>
        <w:tab/>
        <w:t>Licence not transferable</w:t>
      </w:r>
      <w:bookmarkEnd w:id="1665"/>
      <w:bookmarkEnd w:id="1666"/>
      <w:bookmarkEnd w:id="1667"/>
      <w:bookmarkEnd w:id="1668"/>
    </w:p>
    <w:p>
      <w:pPr>
        <w:pStyle w:val="Subsection"/>
        <w:spacing w:before="120"/>
      </w:pPr>
      <w:r>
        <w:tab/>
      </w:r>
      <w:r>
        <w:tab/>
        <w:t>A licence is not transferable.</w:t>
      </w:r>
    </w:p>
    <w:p>
      <w:pPr>
        <w:pStyle w:val="Heading3"/>
      </w:pPr>
      <w:bookmarkStart w:id="1669" w:name="_Toc128300998"/>
      <w:bookmarkStart w:id="1670" w:name="_Toc128303026"/>
      <w:bookmarkStart w:id="1671" w:name="_Toc128366958"/>
      <w:bookmarkStart w:id="1672" w:name="_Toc128368872"/>
      <w:bookmarkStart w:id="1673" w:name="_Toc128369252"/>
      <w:bookmarkStart w:id="1674" w:name="_Toc128969589"/>
      <w:bookmarkStart w:id="1675" w:name="_Toc132620500"/>
      <w:bookmarkStart w:id="1676" w:name="_Toc140378128"/>
      <w:bookmarkStart w:id="1677" w:name="_Toc140394070"/>
      <w:bookmarkStart w:id="1678" w:name="_Toc140893538"/>
      <w:r>
        <w:rPr>
          <w:rStyle w:val="CharDivNo"/>
        </w:rPr>
        <w:t>Division 4</w:t>
      </w:r>
      <w:r>
        <w:t> — </w:t>
      </w:r>
      <w:r>
        <w:rPr>
          <w:rStyle w:val="CharDivText"/>
        </w:rPr>
        <w:t>Licence conditions and amendment</w:t>
      </w:r>
      <w:bookmarkEnd w:id="1669"/>
      <w:bookmarkEnd w:id="1670"/>
      <w:bookmarkEnd w:id="1671"/>
      <w:bookmarkEnd w:id="1672"/>
      <w:bookmarkEnd w:id="1673"/>
      <w:bookmarkEnd w:id="1674"/>
      <w:bookmarkEnd w:id="1675"/>
      <w:bookmarkEnd w:id="1676"/>
      <w:bookmarkEnd w:id="1677"/>
      <w:bookmarkEnd w:id="1678"/>
    </w:p>
    <w:p>
      <w:pPr>
        <w:pStyle w:val="Heading5"/>
        <w:spacing w:before="180"/>
      </w:pPr>
      <w:bookmarkStart w:id="1679" w:name="_Toc85881425"/>
      <w:bookmarkStart w:id="1680" w:name="_Toc128368873"/>
      <w:bookmarkStart w:id="1681" w:name="_Toc140893539"/>
      <w:bookmarkStart w:id="1682" w:name="_Toc140394071"/>
      <w:r>
        <w:rPr>
          <w:rStyle w:val="CharSectno"/>
        </w:rPr>
        <w:t>212</w:t>
      </w:r>
      <w:r>
        <w:t>.</w:t>
      </w:r>
      <w:r>
        <w:tab/>
        <w:t>Condition as to supervision and control</w:t>
      </w:r>
      <w:bookmarkEnd w:id="1679"/>
      <w:bookmarkEnd w:id="1680"/>
      <w:bookmarkEnd w:id="1681"/>
      <w:bookmarkEnd w:id="1682"/>
    </w:p>
    <w:p>
      <w:pPr>
        <w:pStyle w:val="Subsection"/>
        <w:spacing w:before="120"/>
      </w:pPr>
      <w:r>
        <w:tab/>
      </w:r>
      <w:r>
        <w:tab/>
        <w:t>It is a condition of every licence that the supervising officer for the child care service is present at the place where the service is provided at the times when the service is provided except to the extent (if any) that the regulations otherwise provide.</w:t>
      </w:r>
    </w:p>
    <w:p>
      <w:pPr>
        <w:pStyle w:val="Heading5"/>
      </w:pPr>
      <w:bookmarkStart w:id="1683" w:name="_Toc85881426"/>
      <w:bookmarkStart w:id="1684" w:name="_Toc128368874"/>
      <w:bookmarkStart w:id="1685" w:name="_Toc140893540"/>
      <w:bookmarkStart w:id="1686" w:name="_Toc140394072"/>
      <w:r>
        <w:rPr>
          <w:rStyle w:val="CharSectno"/>
        </w:rPr>
        <w:t>213</w:t>
      </w:r>
      <w:r>
        <w:t>.</w:t>
      </w:r>
      <w:r>
        <w:tab/>
        <w:t>Other conditions</w:t>
      </w:r>
      <w:bookmarkEnd w:id="1683"/>
      <w:bookmarkEnd w:id="1684"/>
      <w:bookmarkEnd w:id="1685"/>
      <w:bookmarkEnd w:id="1686"/>
    </w:p>
    <w:p>
      <w:pPr>
        <w:pStyle w:val="Subsection"/>
        <w:spacing w:before="120"/>
      </w:pPr>
      <w:r>
        <w:tab/>
        <w:t>(1)</w:t>
      </w:r>
      <w:r>
        <w:tab/>
        <w:t>The CEO may grant a licence subject to any conditions that the CEO considers appropriate.</w:t>
      </w:r>
    </w:p>
    <w:p>
      <w:pPr>
        <w:pStyle w:val="Subsection"/>
      </w:pPr>
      <w:r>
        <w:tab/>
        <w:t>(2)</w:t>
      </w:r>
      <w:r>
        <w:tab/>
        <w:t xml:space="preserve">The regulations may prescribe conditions that are taken to be attached to — </w:t>
      </w:r>
    </w:p>
    <w:p>
      <w:pPr>
        <w:pStyle w:val="Indenta"/>
      </w:pPr>
      <w:r>
        <w:tab/>
        <w:t>(a)</w:t>
      </w:r>
      <w:r>
        <w:tab/>
        <w:t>all licences; or</w:t>
      </w:r>
    </w:p>
    <w:p>
      <w:pPr>
        <w:pStyle w:val="Indenta"/>
      </w:pPr>
      <w:r>
        <w:tab/>
        <w:t>(b)</w:t>
      </w:r>
      <w:r>
        <w:tab/>
        <w:t>all licences relating to a particular type of child care service,</w:t>
      </w:r>
    </w:p>
    <w:p>
      <w:pPr>
        <w:pStyle w:val="Subsection"/>
      </w:pPr>
      <w:r>
        <w:tab/>
      </w:r>
      <w:r>
        <w:tab/>
        <w:t>unless otherwise specified in the licence.</w:t>
      </w:r>
    </w:p>
    <w:p>
      <w:pPr>
        <w:pStyle w:val="Heading5"/>
      </w:pPr>
      <w:bookmarkStart w:id="1687" w:name="_Toc85881427"/>
      <w:bookmarkStart w:id="1688" w:name="_Toc128368875"/>
      <w:bookmarkStart w:id="1689" w:name="_Toc140893541"/>
      <w:bookmarkStart w:id="1690" w:name="_Toc140394073"/>
      <w:r>
        <w:rPr>
          <w:rStyle w:val="CharSectno"/>
        </w:rPr>
        <w:t>214</w:t>
      </w:r>
      <w:r>
        <w:t>.</w:t>
      </w:r>
      <w:r>
        <w:tab/>
        <w:t>Contravention of conditions</w:t>
      </w:r>
      <w:bookmarkEnd w:id="1687"/>
      <w:bookmarkEnd w:id="1688"/>
      <w:bookmarkEnd w:id="1689"/>
      <w:bookmarkEnd w:id="1690"/>
    </w:p>
    <w:p>
      <w:pPr>
        <w:pStyle w:val="Subsection"/>
        <w:spacing w:before="120"/>
      </w:pPr>
      <w:r>
        <w:tab/>
      </w:r>
      <w:r>
        <w:tab/>
        <w:t>A licensee who contravenes a condition of the licence commits an offence.</w:t>
      </w:r>
    </w:p>
    <w:p>
      <w:pPr>
        <w:pStyle w:val="Penstart"/>
        <w:rPr>
          <w:b/>
          <w:i/>
          <w:sz w:val="20"/>
        </w:rPr>
      </w:pPr>
      <w:r>
        <w:tab/>
        <w:t>Penalty: $12 000.</w:t>
      </w:r>
    </w:p>
    <w:p>
      <w:pPr>
        <w:pStyle w:val="Heading5"/>
      </w:pPr>
      <w:bookmarkStart w:id="1691" w:name="_Toc85881428"/>
      <w:bookmarkStart w:id="1692" w:name="_Toc128368876"/>
      <w:bookmarkStart w:id="1693" w:name="_Toc140893542"/>
      <w:bookmarkStart w:id="1694" w:name="_Toc140394074"/>
      <w:r>
        <w:rPr>
          <w:rStyle w:val="CharSectno"/>
        </w:rPr>
        <w:t>215</w:t>
      </w:r>
      <w:r>
        <w:t>.</w:t>
      </w:r>
      <w:r>
        <w:tab/>
        <w:t>Amendment of licence</w:t>
      </w:r>
      <w:bookmarkEnd w:id="1691"/>
      <w:bookmarkEnd w:id="1692"/>
      <w:bookmarkEnd w:id="1693"/>
      <w:bookmarkEnd w:id="1694"/>
    </w:p>
    <w:p>
      <w:pPr>
        <w:pStyle w:val="Subsection"/>
      </w:pPr>
      <w:r>
        <w:tab/>
        <w:t>(1)</w:t>
      </w:r>
      <w:r>
        <w:tab/>
        <w:t>The CEO may, by written notice given to the licensee, amend a licence.</w:t>
      </w:r>
    </w:p>
    <w:p>
      <w:pPr>
        <w:pStyle w:val="Subsection"/>
      </w:pPr>
      <w:r>
        <w:tab/>
        <w:t>(2)</w:t>
      </w:r>
      <w:r>
        <w:tab/>
        <w:t>An amendment may be made on application made by the licensee or on the CEO’s own initiative.</w:t>
      </w:r>
    </w:p>
    <w:p>
      <w:pPr>
        <w:pStyle w:val="Subsection"/>
        <w:keepNext/>
      </w:pPr>
      <w:r>
        <w:tab/>
        <w:t>(3)</w:t>
      </w:r>
      <w:r>
        <w:tab/>
        <w:t>For the purposes of this section —</w:t>
      </w:r>
    </w:p>
    <w:p>
      <w:pPr>
        <w:pStyle w:val="Defstart"/>
      </w:pPr>
      <w:r>
        <w:tab/>
      </w:r>
      <w:r>
        <w:rPr>
          <w:b/>
        </w:rPr>
        <w:t>“</w:t>
      </w:r>
      <w:r>
        <w:rPr>
          <w:rStyle w:val="CharDefText"/>
        </w:rPr>
        <w:t>amend</w:t>
      </w:r>
      <w:r>
        <w:rPr>
          <w:b/>
        </w:rPr>
        <w:t>”</w:t>
      </w:r>
      <w:r>
        <w:t xml:space="preserve"> includes —</w:t>
      </w:r>
    </w:p>
    <w:p>
      <w:pPr>
        <w:pStyle w:val="Defpara"/>
      </w:pPr>
      <w:r>
        <w:tab/>
        <w:t>(a)</w:t>
      </w:r>
      <w:r>
        <w:tab/>
        <w:t>impose any new condition; and</w:t>
      </w:r>
    </w:p>
    <w:p>
      <w:pPr>
        <w:pStyle w:val="Defpara"/>
      </w:pPr>
      <w:r>
        <w:tab/>
        <w:t>(b)</w:t>
      </w:r>
      <w:r>
        <w:tab/>
        <w:t>change or remove any existing condition (other than the condition referred to in section 212).</w:t>
      </w:r>
    </w:p>
    <w:p>
      <w:pPr>
        <w:pStyle w:val="Heading3"/>
      </w:pPr>
      <w:bookmarkStart w:id="1695" w:name="_Toc128301003"/>
      <w:bookmarkStart w:id="1696" w:name="_Toc128303031"/>
      <w:bookmarkStart w:id="1697" w:name="_Toc128366963"/>
      <w:bookmarkStart w:id="1698" w:name="_Toc128368877"/>
      <w:bookmarkStart w:id="1699" w:name="_Toc128369257"/>
      <w:bookmarkStart w:id="1700" w:name="_Toc128969594"/>
      <w:bookmarkStart w:id="1701" w:name="_Toc132620505"/>
      <w:bookmarkStart w:id="1702" w:name="_Toc140378133"/>
      <w:bookmarkStart w:id="1703" w:name="_Toc140394075"/>
      <w:bookmarkStart w:id="1704" w:name="_Toc140893543"/>
      <w:r>
        <w:rPr>
          <w:rStyle w:val="CharDivNo"/>
        </w:rPr>
        <w:t>Division 5</w:t>
      </w:r>
      <w:r>
        <w:t> — </w:t>
      </w:r>
      <w:r>
        <w:rPr>
          <w:rStyle w:val="CharDivText"/>
        </w:rPr>
        <w:t>Duration and renewal</w:t>
      </w:r>
      <w:bookmarkEnd w:id="1695"/>
      <w:bookmarkEnd w:id="1696"/>
      <w:bookmarkEnd w:id="1697"/>
      <w:bookmarkEnd w:id="1698"/>
      <w:bookmarkEnd w:id="1699"/>
      <w:bookmarkEnd w:id="1700"/>
      <w:bookmarkEnd w:id="1701"/>
      <w:bookmarkEnd w:id="1702"/>
      <w:bookmarkEnd w:id="1703"/>
      <w:bookmarkEnd w:id="1704"/>
    </w:p>
    <w:p>
      <w:pPr>
        <w:pStyle w:val="Heading5"/>
      </w:pPr>
      <w:bookmarkStart w:id="1705" w:name="_Toc85881429"/>
      <w:bookmarkStart w:id="1706" w:name="_Toc128368878"/>
      <w:bookmarkStart w:id="1707" w:name="_Toc140893544"/>
      <w:bookmarkStart w:id="1708" w:name="_Toc140394076"/>
      <w:r>
        <w:rPr>
          <w:rStyle w:val="CharSectno"/>
        </w:rPr>
        <w:t>216</w:t>
      </w:r>
      <w:r>
        <w:t>.</w:t>
      </w:r>
      <w:r>
        <w:tab/>
        <w:t>Duration of licence</w:t>
      </w:r>
      <w:bookmarkEnd w:id="1705"/>
      <w:bookmarkEnd w:id="1706"/>
      <w:bookmarkEnd w:id="1707"/>
      <w:bookmarkEnd w:id="1708"/>
    </w:p>
    <w:p>
      <w:pPr>
        <w:pStyle w:val="Subsection"/>
      </w:pPr>
      <w:r>
        <w:tab/>
        <w:t>(1)</w:t>
      </w:r>
      <w:r>
        <w:tab/>
        <w:t xml:space="preserve">A licence has effect for the period specified in the licence document unless — </w:t>
      </w:r>
    </w:p>
    <w:p>
      <w:pPr>
        <w:pStyle w:val="Indenta"/>
      </w:pPr>
      <w:r>
        <w:tab/>
        <w:t>(a)</w:t>
      </w:r>
      <w:r>
        <w:tab/>
        <w:t>section 217(3) applies;</w:t>
      </w:r>
    </w:p>
    <w:p>
      <w:pPr>
        <w:pStyle w:val="Indenta"/>
      </w:pPr>
      <w:r>
        <w:tab/>
        <w:t>(b)</w:t>
      </w:r>
      <w:r>
        <w:tab/>
        <w:t>it is suspended under section 220;</w:t>
      </w:r>
    </w:p>
    <w:p>
      <w:pPr>
        <w:pStyle w:val="Indenta"/>
      </w:pPr>
      <w:r>
        <w:tab/>
        <w:t>(c)</w:t>
      </w:r>
      <w:r>
        <w:tab/>
        <w:t>it is cancelled under section 224; or</w:t>
      </w:r>
    </w:p>
    <w:p>
      <w:pPr>
        <w:pStyle w:val="Indenta"/>
      </w:pPr>
      <w:r>
        <w:tab/>
        <w:t>(d)</w:t>
      </w:r>
      <w:r>
        <w:tab/>
        <w:t>it is surrendered in accordance with the regulations.</w:t>
      </w:r>
    </w:p>
    <w:p>
      <w:pPr>
        <w:pStyle w:val="Subsection"/>
      </w:pPr>
      <w:r>
        <w:tab/>
        <w:t>(2)</w:t>
      </w:r>
      <w:r>
        <w:tab/>
        <w:t>The period specified in the licence document must not exceed 3 years from the day on which the licence is granted or renewed.</w:t>
      </w:r>
    </w:p>
    <w:p>
      <w:pPr>
        <w:pStyle w:val="Heading5"/>
      </w:pPr>
      <w:bookmarkStart w:id="1709" w:name="_Toc85881430"/>
      <w:bookmarkStart w:id="1710" w:name="_Toc128368879"/>
      <w:bookmarkStart w:id="1711" w:name="_Toc140893545"/>
      <w:bookmarkStart w:id="1712" w:name="_Toc140394077"/>
      <w:r>
        <w:rPr>
          <w:rStyle w:val="CharSectno"/>
        </w:rPr>
        <w:t>217</w:t>
      </w:r>
      <w:r>
        <w:t>.</w:t>
      </w:r>
      <w:r>
        <w:tab/>
        <w:t>Application for renewal of licence</w:t>
      </w:r>
      <w:bookmarkEnd w:id="1709"/>
      <w:bookmarkEnd w:id="1710"/>
      <w:bookmarkEnd w:id="1711"/>
      <w:bookmarkEnd w:id="1712"/>
    </w:p>
    <w:p>
      <w:pPr>
        <w:pStyle w:val="Subsection"/>
      </w:pPr>
      <w:r>
        <w:tab/>
        <w:t>(1)</w:t>
      </w:r>
      <w:r>
        <w:tab/>
        <w:t>A licensee may apply to the CEO for the renewal of a licence.</w:t>
      </w:r>
    </w:p>
    <w:p>
      <w:pPr>
        <w:pStyle w:val="Subsection"/>
      </w:pPr>
      <w:r>
        <w:tab/>
        <w:t>(2)</w:t>
      </w:r>
      <w:r>
        <w:tab/>
        <w:t xml:space="preserve">An application for renewal must be — </w:t>
      </w:r>
    </w:p>
    <w:p>
      <w:pPr>
        <w:pStyle w:val="Indenta"/>
      </w:pPr>
      <w:r>
        <w:tab/>
        <w:t>(a)</w:t>
      </w:r>
      <w:r>
        <w:tab/>
        <w:t>in writing in a form approved by the CEO;</w:t>
      </w:r>
    </w:p>
    <w:p>
      <w:pPr>
        <w:pStyle w:val="Indenta"/>
      </w:pPr>
      <w:r>
        <w:tab/>
        <w:t>(b)</w:t>
      </w:r>
      <w:r>
        <w:tab/>
        <w:t>lodged with the CEO within the prescribed time or any further time that the CEO in a particular case allows;</w:t>
      </w:r>
    </w:p>
    <w:p>
      <w:pPr>
        <w:pStyle w:val="Indenta"/>
      </w:pPr>
      <w:r>
        <w:tab/>
        <w:t>(c)</w:t>
      </w:r>
      <w:r>
        <w:tab/>
        <w:t>accompanied by any document or information that is prescribed; and</w:t>
      </w:r>
    </w:p>
    <w:p>
      <w:pPr>
        <w:pStyle w:val="Indenta"/>
      </w:pPr>
      <w:r>
        <w:tab/>
        <w:t>(d)</w:t>
      </w:r>
      <w:r>
        <w:tab/>
        <w:t>accompanied by the prescribed fee (if any).</w:t>
      </w:r>
    </w:p>
    <w:p>
      <w:pPr>
        <w:pStyle w:val="Subsection"/>
      </w:pPr>
      <w:r>
        <w:tab/>
        <w:t>(3)</w:t>
      </w:r>
      <w:r>
        <w:tab/>
        <w:t>If an application for renewal is made in accordance with this section the licence continues to have effect until the application is determined unless the licence is suspended under section 220 or cancelled under section 224.</w:t>
      </w:r>
    </w:p>
    <w:p>
      <w:pPr>
        <w:pStyle w:val="Subsection"/>
      </w:pPr>
      <w:r>
        <w:tab/>
        <w:t>(4)</w:t>
      </w:r>
      <w:r>
        <w:tab/>
        <w:t>Section 204 applies as if the application for renewal were an application for a licence.</w:t>
      </w:r>
    </w:p>
    <w:p>
      <w:pPr>
        <w:pStyle w:val="Heading5"/>
      </w:pPr>
      <w:bookmarkStart w:id="1713" w:name="_Toc85881431"/>
      <w:bookmarkStart w:id="1714" w:name="_Toc128368880"/>
      <w:bookmarkStart w:id="1715" w:name="_Toc140893546"/>
      <w:bookmarkStart w:id="1716" w:name="_Toc140394078"/>
      <w:r>
        <w:rPr>
          <w:rStyle w:val="CharSectno"/>
        </w:rPr>
        <w:t>218</w:t>
      </w:r>
      <w:r>
        <w:t>.</w:t>
      </w:r>
      <w:r>
        <w:tab/>
        <w:t>Restrictions on renewal of licence</w:t>
      </w:r>
      <w:bookmarkEnd w:id="1713"/>
      <w:bookmarkEnd w:id="1714"/>
      <w:bookmarkEnd w:id="1715"/>
      <w:bookmarkEnd w:id="1716"/>
    </w:p>
    <w:p>
      <w:pPr>
        <w:pStyle w:val="Subsection"/>
      </w:pPr>
      <w:r>
        <w:tab/>
      </w:r>
      <w:r>
        <w:tab/>
        <w:t xml:space="preserve">The CEO must not renew a licence if — </w:t>
      </w:r>
    </w:p>
    <w:p>
      <w:pPr>
        <w:pStyle w:val="Indenta"/>
      </w:pPr>
      <w:r>
        <w:tab/>
        <w:t>(a)</w:t>
      </w:r>
      <w:r>
        <w:tab/>
        <w:t>the CEO is no longer satisfied as to any matter referred to in section 206(2), 207, 208 or 209 that was relevant to the decision to grant the licence;</w:t>
      </w:r>
    </w:p>
    <w:p>
      <w:pPr>
        <w:pStyle w:val="Indenta"/>
      </w:pPr>
      <w:r>
        <w:tab/>
        <w:t>(b)</w:t>
      </w:r>
      <w:r>
        <w:tab/>
        <w:t>the CEO is satisfied that the licensee has persistently or frequently contravened the regulations or a term or condition of the licence; or</w:t>
      </w:r>
    </w:p>
    <w:p>
      <w:pPr>
        <w:pStyle w:val="Indenta"/>
      </w:pPr>
      <w:r>
        <w:tab/>
        <w:t>(c)</w:t>
      </w:r>
      <w:r>
        <w:tab/>
        <w:t>there are reasonable grounds for believing that the continued provision of the child care service to which the application relates would constitute an unacceptable risk to the wellbeing of children for whom the service is provided.</w:t>
      </w:r>
    </w:p>
    <w:p>
      <w:pPr>
        <w:pStyle w:val="Heading5"/>
      </w:pPr>
      <w:bookmarkStart w:id="1717" w:name="_Toc85881432"/>
      <w:bookmarkStart w:id="1718" w:name="_Toc128368881"/>
      <w:bookmarkStart w:id="1719" w:name="_Toc140893547"/>
      <w:bookmarkStart w:id="1720" w:name="_Toc140394079"/>
      <w:r>
        <w:rPr>
          <w:rStyle w:val="CharSectno"/>
        </w:rPr>
        <w:t>219</w:t>
      </w:r>
      <w:r>
        <w:t>.</w:t>
      </w:r>
      <w:r>
        <w:tab/>
        <w:t>Renewal of licence</w:t>
      </w:r>
      <w:bookmarkEnd w:id="1717"/>
      <w:bookmarkEnd w:id="1718"/>
      <w:bookmarkEnd w:id="1719"/>
      <w:bookmarkEnd w:id="1720"/>
    </w:p>
    <w:p>
      <w:pPr>
        <w:pStyle w:val="Subsection"/>
      </w:pPr>
      <w:r>
        <w:tab/>
      </w:r>
      <w:r>
        <w:tab/>
        <w:t xml:space="preserve">If the CEO renews a licence the CEO may — </w:t>
      </w:r>
    </w:p>
    <w:p>
      <w:pPr>
        <w:pStyle w:val="Indenta"/>
      </w:pPr>
      <w:r>
        <w:tab/>
        <w:t>(a)</w:t>
      </w:r>
      <w:r>
        <w:tab/>
        <w:t>renew it subject to any existing condition;</w:t>
      </w:r>
    </w:p>
    <w:p>
      <w:pPr>
        <w:pStyle w:val="Indenta"/>
      </w:pPr>
      <w:r>
        <w:tab/>
        <w:t>(b)</w:t>
      </w:r>
      <w:r>
        <w:tab/>
        <w:t>impose any new condition; or</w:t>
      </w:r>
    </w:p>
    <w:p>
      <w:pPr>
        <w:pStyle w:val="Indenta"/>
      </w:pPr>
      <w:r>
        <w:tab/>
        <w:t>(c)</w:t>
      </w:r>
      <w:r>
        <w:tab/>
        <w:t>change or remove any existing condition (other than the condition referred to in section 212).</w:t>
      </w:r>
    </w:p>
    <w:p>
      <w:pPr>
        <w:pStyle w:val="Heading3"/>
      </w:pPr>
      <w:bookmarkStart w:id="1721" w:name="_Toc128301008"/>
      <w:bookmarkStart w:id="1722" w:name="_Toc128303036"/>
      <w:bookmarkStart w:id="1723" w:name="_Toc128366968"/>
      <w:bookmarkStart w:id="1724" w:name="_Toc128368882"/>
      <w:bookmarkStart w:id="1725" w:name="_Toc128369262"/>
      <w:bookmarkStart w:id="1726" w:name="_Toc128969599"/>
      <w:bookmarkStart w:id="1727" w:name="_Toc132620510"/>
      <w:bookmarkStart w:id="1728" w:name="_Toc140378138"/>
      <w:bookmarkStart w:id="1729" w:name="_Toc140394080"/>
      <w:bookmarkStart w:id="1730" w:name="_Toc140893548"/>
      <w:r>
        <w:rPr>
          <w:rStyle w:val="CharDivNo"/>
        </w:rPr>
        <w:t>Division 6</w:t>
      </w:r>
      <w:r>
        <w:t> — </w:t>
      </w:r>
      <w:r>
        <w:rPr>
          <w:rStyle w:val="CharDivText"/>
        </w:rPr>
        <w:t>Suspension and cancellation</w:t>
      </w:r>
      <w:bookmarkEnd w:id="1721"/>
      <w:bookmarkEnd w:id="1722"/>
      <w:bookmarkEnd w:id="1723"/>
      <w:bookmarkEnd w:id="1724"/>
      <w:bookmarkEnd w:id="1725"/>
      <w:bookmarkEnd w:id="1726"/>
      <w:bookmarkEnd w:id="1727"/>
      <w:bookmarkEnd w:id="1728"/>
      <w:bookmarkEnd w:id="1729"/>
      <w:bookmarkEnd w:id="1730"/>
    </w:p>
    <w:p>
      <w:pPr>
        <w:pStyle w:val="Heading5"/>
        <w:rPr>
          <w:rStyle w:val="CharSectno"/>
        </w:rPr>
      </w:pPr>
      <w:bookmarkStart w:id="1731" w:name="_Toc128368883"/>
      <w:bookmarkStart w:id="1732" w:name="_Toc140893549"/>
      <w:bookmarkStart w:id="1733" w:name="_Toc140394081"/>
      <w:bookmarkStart w:id="1734" w:name="_Toc85881434"/>
      <w:r>
        <w:rPr>
          <w:rStyle w:val="CharSectno"/>
        </w:rPr>
        <w:t>220.</w:t>
      </w:r>
      <w:r>
        <w:rPr>
          <w:rStyle w:val="CharSectno"/>
        </w:rPr>
        <w:tab/>
        <w:t>Suspension of licence</w:t>
      </w:r>
      <w:bookmarkEnd w:id="1731"/>
      <w:bookmarkEnd w:id="1732"/>
      <w:bookmarkEnd w:id="1733"/>
    </w:p>
    <w:p>
      <w:pPr>
        <w:pStyle w:val="Subsection"/>
      </w:pPr>
      <w:r>
        <w:tab/>
        <w:t>(1)</w:t>
      </w:r>
      <w:r>
        <w:tab/>
        <w:t xml:space="preserve">The CEO may, subject to section 221, by written notice given to the licensee, suspend a licence if there are reasonable grounds for believing that — </w:t>
      </w:r>
    </w:p>
    <w:p>
      <w:pPr>
        <w:pStyle w:val="Indenta"/>
      </w:pPr>
      <w:r>
        <w:tab/>
        <w:t>(a)</w:t>
      </w:r>
      <w:r>
        <w:tab/>
        <w:t>the licensee has contravened a term or condition of the licence;</w:t>
      </w:r>
    </w:p>
    <w:p>
      <w:pPr>
        <w:pStyle w:val="Indenta"/>
      </w:pPr>
      <w:r>
        <w:tab/>
        <w:t>(b)</w:t>
      </w:r>
      <w:r>
        <w:tab/>
        <w:t xml:space="preserve">the licensee has contravened a provision of the regulations; </w:t>
      </w:r>
    </w:p>
    <w:p>
      <w:pPr>
        <w:pStyle w:val="Indenta"/>
      </w:pPr>
      <w:r>
        <w:tab/>
        <w:t>(ba)</w:t>
      </w:r>
      <w:r>
        <w:tab/>
        <w:t xml:space="preserve">the licensee has contravened the </w:t>
      </w:r>
      <w:r>
        <w:rPr>
          <w:i/>
        </w:rPr>
        <w:t>Working with Children (Criminal Record Checking) Act 2004</w:t>
      </w:r>
      <w:r>
        <w:t xml:space="preserve"> section 22;</w:t>
      </w:r>
    </w:p>
    <w:p>
      <w:pPr>
        <w:pStyle w:val="Indenta"/>
      </w:pPr>
      <w:r>
        <w:tab/>
        <w:t>(bb)</w:t>
      </w:r>
      <w:r>
        <w:tab/>
        <w:t>if the licensee is an individual — the licensee has been issued with an interim negative notice;</w:t>
      </w:r>
    </w:p>
    <w:p>
      <w:pPr>
        <w:pStyle w:val="Indenta"/>
      </w:pPr>
      <w:r>
        <w:tab/>
        <w:t>(bc)</w:t>
      </w:r>
      <w:r>
        <w:tab/>
        <w:t>if the licensee is a body corporate other than a public authority — the supervising officer or a managerial officer has been issued with an interim negative notice;</w:t>
      </w:r>
    </w:p>
    <w:p>
      <w:pPr>
        <w:pStyle w:val="Indenta"/>
      </w:pPr>
      <w:r>
        <w:tab/>
        <w:t>(bd)</w:t>
      </w:r>
      <w:r>
        <w:tab/>
        <w:t>if the licensee is a public authority — the supervising officer has been issued with an interim negative notice; or</w:t>
      </w:r>
    </w:p>
    <w:p>
      <w:pPr>
        <w:pStyle w:val="Indenta"/>
      </w:pPr>
      <w:r>
        <w:tab/>
        <w:t>(c)</w:t>
      </w:r>
      <w:r>
        <w:tab/>
        <w:t>the continued provision of the child care service constitutes or would constitute an unacceptable risk to the wellbeing of the children for whom the service is provided.</w:t>
      </w:r>
    </w:p>
    <w:p>
      <w:pPr>
        <w:pStyle w:val="Subsection"/>
      </w:pPr>
      <w:r>
        <w:tab/>
        <w:t>(2)</w:t>
      </w:r>
      <w:r>
        <w:tab/>
        <w:t xml:space="preserve">The suspension notice must — </w:t>
      </w:r>
    </w:p>
    <w:p>
      <w:pPr>
        <w:pStyle w:val="Indenta"/>
      </w:pPr>
      <w:r>
        <w:tab/>
        <w:t>(a)</w:t>
      </w:r>
      <w:r>
        <w:tab/>
        <w:t>state the day, or the day and time, on or at which the suspension takes effect;</w:t>
      </w:r>
    </w:p>
    <w:p>
      <w:pPr>
        <w:pStyle w:val="Indenta"/>
      </w:pPr>
      <w:r>
        <w:tab/>
        <w:t>(b)</w:t>
      </w:r>
      <w:r>
        <w:tab/>
        <w:t>state the reasons for the CEO’s decision to suspend the licence;</w:t>
      </w:r>
    </w:p>
    <w:p>
      <w:pPr>
        <w:pStyle w:val="Indenta"/>
      </w:pPr>
      <w:r>
        <w:tab/>
        <w:t>(c)</w:t>
      </w:r>
      <w:r>
        <w:tab/>
        <w:t>where appropriate, indicate what steps need to be taken to ensure that there is compliance with the relevant provision, term or condition or that there is no longer a risk as described in subsection (1)(c); and</w:t>
      </w:r>
    </w:p>
    <w:p>
      <w:pPr>
        <w:pStyle w:val="Indenta"/>
      </w:pPr>
      <w:r>
        <w:tab/>
        <w:t>(d)</w:t>
      </w:r>
      <w:r>
        <w:tab/>
        <w:t>inform the licensee that the licensee has a right to apply under section 225 for a review of the CEO’s decision to suspend the licence.</w:t>
      </w:r>
    </w:p>
    <w:p>
      <w:pPr>
        <w:pStyle w:val="Footnotesection"/>
        <w:rPr>
          <w:rStyle w:val="CharSectno"/>
        </w:rPr>
      </w:pPr>
      <w:r>
        <w:tab/>
        <w:t>[Section 220 amended by No. 65 of 2004 s. 53.]</w:t>
      </w:r>
    </w:p>
    <w:p>
      <w:pPr>
        <w:pStyle w:val="Heading5"/>
      </w:pPr>
      <w:bookmarkStart w:id="1735" w:name="_Toc128368884"/>
      <w:bookmarkStart w:id="1736" w:name="_Toc140893550"/>
      <w:bookmarkStart w:id="1737" w:name="_Toc140394082"/>
      <w:r>
        <w:rPr>
          <w:rStyle w:val="CharSectno"/>
        </w:rPr>
        <w:t>221</w:t>
      </w:r>
      <w:r>
        <w:t>.</w:t>
      </w:r>
      <w:r>
        <w:tab/>
        <w:t>Notice of proposed suspension</w:t>
      </w:r>
      <w:bookmarkEnd w:id="1734"/>
      <w:bookmarkEnd w:id="1735"/>
      <w:bookmarkEnd w:id="1736"/>
      <w:bookmarkEnd w:id="1737"/>
    </w:p>
    <w:p>
      <w:pPr>
        <w:pStyle w:val="Subsection"/>
      </w:pPr>
      <w:r>
        <w:tab/>
        <w:t>(1)</w:t>
      </w:r>
      <w:r>
        <w:tab/>
        <w:t>If the CEO proposes to suspend a licence for a reason other than the reason mentioned in section 220(1)(ba), (bb), (bc), (bd) or (c), the CEO must give written notice to the licensee of the proposed suspension.</w:t>
      </w:r>
    </w:p>
    <w:p>
      <w:pPr>
        <w:pStyle w:val="Subsection"/>
      </w:pPr>
      <w:r>
        <w:tab/>
        <w:t>(2)</w:t>
      </w:r>
      <w:r>
        <w:tab/>
        <w:t xml:space="preserve">The notice must — </w:t>
      </w:r>
    </w:p>
    <w:p>
      <w:pPr>
        <w:pStyle w:val="Indenta"/>
      </w:pPr>
      <w:r>
        <w:tab/>
        <w:t>(a)</w:t>
      </w:r>
      <w:r>
        <w:tab/>
        <w:t>state that the CEO proposes to suspend the licence;</w:t>
      </w:r>
    </w:p>
    <w:p>
      <w:pPr>
        <w:pStyle w:val="Indenta"/>
      </w:pPr>
      <w:r>
        <w:tab/>
        <w:t>(b)</w:t>
      </w:r>
      <w:r>
        <w:tab/>
        <w:t>state the reasons for the proposed suspension; and</w:t>
      </w:r>
    </w:p>
    <w:p>
      <w:pPr>
        <w:pStyle w:val="Indenta"/>
      </w:pPr>
      <w:r>
        <w:tab/>
        <w:t>(c)</w:t>
      </w:r>
      <w:r>
        <w:tab/>
        <w:t>inform the licensee that the licensee is entitled to make representations to the CEO in respect of the proposed suspension within 21 days after the day on which the licensee is given the notice.</w:t>
      </w:r>
    </w:p>
    <w:p>
      <w:pPr>
        <w:pStyle w:val="Subsection"/>
      </w:pPr>
      <w:r>
        <w:tab/>
        <w:t>(3)</w:t>
      </w:r>
      <w:r>
        <w:tab/>
        <w:t>In considering whether to suspend the licence the CEO must have regard to any representations made by the licensee within the period referred to in subsection (2)(2)(c).</w:t>
      </w:r>
    </w:p>
    <w:p>
      <w:pPr>
        <w:pStyle w:val="Footnotesection"/>
      </w:pPr>
      <w:r>
        <w:tab/>
        <w:t>[Section 221 amended by No. 65 of 2004 s. 54.]</w:t>
      </w:r>
    </w:p>
    <w:p>
      <w:pPr>
        <w:pStyle w:val="Heading5"/>
      </w:pPr>
      <w:bookmarkStart w:id="1738" w:name="_Toc85881435"/>
      <w:bookmarkStart w:id="1739" w:name="_Toc128368885"/>
      <w:bookmarkStart w:id="1740" w:name="_Toc140893551"/>
      <w:bookmarkStart w:id="1741" w:name="_Toc140394083"/>
      <w:r>
        <w:rPr>
          <w:rStyle w:val="CharSectno"/>
        </w:rPr>
        <w:t>222</w:t>
      </w:r>
      <w:r>
        <w:t>.</w:t>
      </w:r>
      <w:r>
        <w:tab/>
        <w:t>Revocation of suspension</w:t>
      </w:r>
      <w:bookmarkEnd w:id="1738"/>
      <w:bookmarkEnd w:id="1739"/>
      <w:bookmarkEnd w:id="1740"/>
      <w:bookmarkEnd w:id="1741"/>
    </w:p>
    <w:p>
      <w:pPr>
        <w:pStyle w:val="Subsection"/>
      </w:pPr>
      <w:r>
        <w:tab/>
        <w:t>(1)</w:t>
      </w:r>
      <w:r>
        <w:tab/>
        <w:t>The CEO must, by written notice given to the licensee, revoke the suspension of a licence if the CEO is satisfied that the steps specified in the suspension notice have been taken.</w:t>
      </w:r>
    </w:p>
    <w:p>
      <w:pPr>
        <w:pStyle w:val="Subsection"/>
      </w:pPr>
      <w:r>
        <w:tab/>
        <w:t>(2)</w:t>
      </w:r>
      <w:r>
        <w:tab/>
        <w:t>The CEO may, by written notice given to the licensee, revoke the suspension of a licence if it is appropriate to do so in the circumstances of the particular case.</w:t>
      </w:r>
    </w:p>
    <w:p>
      <w:pPr>
        <w:pStyle w:val="Heading5"/>
      </w:pPr>
      <w:bookmarkStart w:id="1742" w:name="_Toc85881436"/>
      <w:bookmarkStart w:id="1743" w:name="_Toc128368886"/>
      <w:bookmarkStart w:id="1744" w:name="_Toc140893552"/>
      <w:bookmarkStart w:id="1745" w:name="_Toc140394084"/>
      <w:r>
        <w:rPr>
          <w:rStyle w:val="CharSectno"/>
        </w:rPr>
        <w:t>223</w:t>
      </w:r>
      <w:r>
        <w:t>.</w:t>
      </w:r>
      <w:r>
        <w:tab/>
        <w:t>Duration of suspension</w:t>
      </w:r>
      <w:bookmarkEnd w:id="1742"/>
      <w:bookmarkEnd w:id="1743"/>
      <w:bookmarkEnd w:id="1744"/>
      <w:bookmarkEnd w:id="1745"/>
    </w:p>
    <w:p>
      <w:pPr>
        <w:pStyle w:val="Subsection"/>
      </w:pPr>
      <w:r>
        <w:tab/>
      </w:r>
      <w:r>
        <w:tab/>
        <w:t xml:space="preserve">The suspension of a licence has effect on and from the day, or the day and time, specified in the suspension notice until one of the following happens — </w:t>
      </w:r>
    </w:p>
    <w:p>
      <w:pPr>
        <w:pStyle w:val="Indenta"/>
      </w:pPr>
      <w:r>
        <w:tab/>
        <w:t>(a)</w:t>
      </w:r>
      <w:r>
        <w:tab/>
        <w:t>the suspension is revoked under section 222;</w:t>
      </w:r>
    </w:p>
    <w:p>
      <w:pPr>
        <w:pStyle w:val="Indenta"/>
      </w:pPr>
      <w:r>
        <w:tab/>
        <w:t>(b)</w:t>
      </w:r>
      <w:r>
        <w:tab/>
        <w:t>the licence is cancelled under section 224 or expires; or</w:t>
      </w:r>
    </w:p>
    <w:p>
      <w:pPr>
        <w:pStyle w:val="Indenta"/>
      </w:pPr>
      <w:r>
        <w:tab/>
        <w:t>(c)</w:t>
      </w:r>
      <w:r>
        <w:tab/>
        <w:t>the licence is surrendered in accordance with the regulations.</w:t>
      </w:r>
    </w:p>
    <w:p>
      <w:pPr>
        <w:pStyle w:val="Heading5"/>
      </w:pPr>
      <w:bookmarkStart w:id="1746" w:name="_Toc51641844"/>
      <w:bookmarkStart w:id="1747" w:name="_Toc85881437"/>
      <w:bookmarkStart w:id="1748" w:name="_Toc128368887"/>
      <w:bookmarkStart w:id="1749" w:name="_Toc140893553"/>
      <w:bookmarkStart w:id="1750" w:name="_Toc140394085"/>
      <w:r>
        <w:rPr>
          <w:rStyle w:val="CharSectno"/>
        </w:rPr>
        <w:t>224</w:t>
      </w:r>
      <w:r>
        <w:t>.</w:t>
      </w:r>
      <w:r>
        <w:tab/>
        <w:t>Cancellation of licence</w:t>
      </w:r>
      <w:bookmarkEnd w:id="1746"/>
      <w:bookmarkEnd w:id="1747"/>
      <w:bookmarkEnd w:id="1748"/>
      <w:bookmarkEnd w:id="1749"/>
      <w:bookmarkEnd w:id="1750"/>
    </w:p>
    <w:p>
      <w:pPr>
        <w:pStyle w:val="Subsection"/>
      </w:pPr>
      <w:r>
        <w:tab/>
        <w:t>(1)</w:t>
      </w:r>
      <w:r>
        <w:tab/>
        <w:t xml:space="preserve">Grounds for the cancellation of a licence exist if — </w:t>
      </w:r>
    </w:p>
    <w:p>
      <w:pPr>
        <w:pStyle w:val="Indenta"/>
      </w:pPr>
      <w:r>
        <w:tab/>
        <w:t>(a)</w:t>
      </w:r>
      <w:r>
        <w:tab/>
        <w:t>the licence was obtained improperly;</w:t>
      </w:r>
    </w:p>
    <w:p>
      <w:pPr>
        <w:pStyle w:val="Indenta"/>
      </w:pPr>
      <w:r>
        <w:tab/>
        <w:t>(b)</w:t>
      </w:r>
      <w:r>
        <w:tab/>
        <w:t>the CEO can no longer be satisfied as to a matter referred to in section 206(2), 207, 208 or 209 that was relevant to the decision to grant the licence;</w:t>
      </w:r>
    </w:p>
    <w:p>
      <w:pPr>
        <w:pStyle w:val="Indenta"/>
      </w:pPr>
      <w:r>
        <w:tab/>
        <w:t>(c)</w:t>
      </w:r>
      <w:r>
        <w:tab/>
        <w:t xml:space="preserve">the licensee has persistently or frequently contravened a term or condition of the licence or a provision of the regulations, whether or not the licence is or has been suspended on the grounds of that contravention; </w:t>
      </w:r>
    </w:p>
    <w:p>
      <w:pPr>
        <w:pStyle w:val="Indenta"/>
      </w:pPr>
      <w:r>
        <w:tab/>
        <w:t>(ca)</w:t>
      </w:r>
      <w:r>
        <w:tab/>
        <w:t xml:space="preserve">the licensee has contravened the </w:t>
      </w:r>
      <w:r>
        <w:rPr>
          <w:i/>
        </w:rPr>
        <w:t>Working with Children (Criminal Record Checking) Act 2004</w:t>
      </w:r>
      <w:r>
        <w:t xml:space="preserve"> section 22, whether or not the licence is or has been suspended on the grounds of that contravention;</w:t>
      </w:r>
    </w:p>
    <w:p>
      <w:pPr>
        <w:pStyle w:val="Indenta"/>
      </w:pPr>
      <w:r>
        <w:tab/>
        <w:t>(cb)</w:t>
      </w:r>
      <w:r>
        <w:tab/>
        <w:t xml:space="preserve">there are reasonable grounds for believing that — </w:t>
      </w:r>
    </w:p>
    <w:p>
      <w:pPr>
        <w:pStyle w:val="Indenti"/>
      </w:pPr>
      <w:r>
        <w:tab/>
        <w:t>(i)</w:t>
      </w:r>
      <w:r>
        <w:tab/>
        <w:t>if the licensee is an individual — the licensee has been issued with a negative notice;</w:t>
      </w:r>
    </w:p>
    <w:p>
      <w:pPr>
        <w:pStyle w:val="Indenti"/>
      </w:pPr>
      <w:r>
        <w:tab/>
        <w:t>(ii)</w:t>
      </w:r>
      <w:r>
        <w:tab/>
        <w:t>if the licensee is a body corporate other than a public authority — the supervising officer or a managerial officer has been issued with a negative notice; or</w:t>
      </w:r>
    </w:p>
    <w:p>
      <w:pPr>
        <w:pStyle w:val="Indenti"/>
      </w:pPr>
      <w:r>
        <w:tab/>
        <w:t>(iii)</w:t>
      </w:r>
      <w:r>
        <w:tab/>
        <w:t>if the licensee is a public authority — the supervising officer has been issued with a negative notice;</w:t>
      </w:r>
    </w:p>
    <w:p>
      <w:pPr>
        <w:pStyle w:val="Indenta"/>
      </w:pPr>
      <w:r>
        <w:tab/>
      </w:r>
      <w:r>
        <w:tab/>
        <w:t>or</w:t>
      </w:r>
    </w:p>
    <w:p>
      <w:pPr>
        <w:pStyle w:val="Indenta"/>
      </w:pPr>
      <w:r>
        <w:tab/>
        <w:t>(d)</w:t>
      </w:r>
      <w:r>
        <w:tab/>
        <w:t>there are reasonable grounds for believing that the continued provision of the child care service constitutes or would constitute an unacceptable risk to the wellbeing of the children for whom the service is provided, whether or not the licence has been suspended on the grounds of that risk.</w:t>
      </w:r>
    </w:p>
    <w:p>
      <w:pPr>
        <w:pStyle w:val="Subsection"/>
      </w:pPr>
      <w:r>
        <w:tab/>
        <w:t>(2)</w:t>
      </w:r>
      <w:r>
        <w:tab/>
        <w:t>If the CEO considers that grounds for the cancellation of a licence exist the CEO may refer the matter to the State Administrative Tribunal.</w:t>
      </w:r>
    </w:p>
    <w:p>
      <w:pPr>
        <w:pStyle w:val="Subsection"/>
      </w:pPr>
      <w:r>
        <w:tab/>
        <w:t>(3)</w:t>
      </w:r>
      <w:r>
        <w:tab/>
        <w:t>The CEO must give written notice of a referral under subsection (2) to the licensee as soon as practicable after the referral is made.</w:t>
      </w:r>
    </w:p>
    <w:p>
      <w:pPr>
        <w:pStyle w:val="Subsection"/>
      </w:pPr>
      <w:r>
        <w:tab/>
        <w:t>(4)</w:t>
      </w:r>
      <w:r>
        <w:tab/>
        <w:t>In proceedings commenced by a referral under subsection (2) the State Administrative Tribunal may, if it is satisfied that grounds for the cancellation of the licence exist, cancel the licence.</w:t>
      </w:r>
    </w:p>
    <w:p>
      <w:pPr>
        <w:pStyle w:val="Footnotesection"/>
      </w:pPr>
      <w:r>
        <w:tab/>
        <w:t>[Section 224 amended by No. 65 of 2004 s. 55.]</w:t>
      </w:r>
    </w:p>
    <w:p>
      <w:pPr>
        <w:pStyle w:val="Heading3"/>
      </w:pPr>
      <w:bookmarkStart w:id="1751" w:name="_Toc128301014"/>
      <w:bookmarkStart w:id="1752" w:name="_Toc128303042"/>
      <w:bookmarkStart w:id="1753" w:name="_Toc128366974"/>
      <w:bookmarkStart w:id="1754" w:name="_Toc128368888"/>
      <w:bookmarkStart w:id="1755" w:name="_Toc128369268"/>
      <w:bookmarkStart w:id="1756" w:name="_Toc128969605"/>
      <w:bookmarkStart w:id="1757" w:name="_Toc132620516"/>
      <w:bookmarkStart w:id="1758" w:name="_Toc140378144"/>
      <w:bookmarkStart w:id="1759" w:name="_Toc140394086"/>
      <w:bookmarkStart w:id="1760" w:name="_Toc140893554"/>
      <w:r>
        <w:rPr>
          <w:rStyle w:val="CharDivNo"/>
        </w:rPr>
        <w:t>Division 7</w:t>
      </w:r>
      <w:r>
        <w:t> — </w:t>
      </w:r>
      <w:r>
        <w:rPr>
          <w:rStyle w:val="CharDivText"/>
        </w:rPr>
        <w:t>Review</w:t>
      </w:r>
      <w:bookmarkEnd w:id="1751"/>
      <w:bookmarkEnd w:id="1752"/>
      <w:bookmarkEnd w:id="1753"/>
      <w:bookmarkEnd w:id="1754"/>
      <w:bookmarkEnd w:id="1755"/>
      <w:bookmarkEnd w:id="1756"/>
      <w:bookmarkEnd w:id="1757"/>
      <w:bookmarkEnd w:id="1758"/>
      <w:bookmarkEnd w:id="1759"/>
      <w:bookmarkEnd w:id="1760"/>
    </w:p>
    <w:p>
      <w:pPr>
        <w:pStyle w:val="Heading5"/>
      </w:pPr>
      <w:bookmarkStart w:id="1761" w:name="_Toc51641845"/>
      <w:bookmarkStart w:id="1762" w:name="_Toc85881438"/>
      <w:bookmarkStart w:id="1763" w:name="_Toc128368889"/>
      <w:bookmarkStart w:id="1764" w:name="_Toc140893555"/>
      <w:bookmarkStart w:id="1765" w:name="_Toc140394087"/>
      <w:r>
        <w:rPr>
          <w:rStyle w:val="CharSectno"/>
        </w:rPr>
        <w:t>225</w:t>
      </w:r>
      <w:r>
        <w:t>.</w:t>
      </w:r>
      <w:r>
        <w:tab/>
        <w:t>Review by State Administrative Tribunal</w:t>
      </w:r>
      <w:bookmarkEnd w:id="1761"/>
      <w:bookmarkEnd w:id="1762"/>
      <w:bookmarkEnd w:id="1763"/>
      <w:bookmarkEnd w:id="1764"/>
      <w:bookmarkEnd w:id="1765"/>
    </w:p>
    <w:p>
      <w:pPr>
        <w:pStyle w:val="Subsection"/>
      </w:pPr>
      <w:r>
        <w:tab/>
        <w:t>(1)</w:t>
      </w:r>
      <w:r>
        <w:tab/>
        <w:t>A person aggrieved by a reviewable decision may apply to the State Administrative Tribunal for a review of the decision.</w:t>
      </w:r>
    </w:p>
    <w:p>
      <w:pPr>
        <w:pStyle w:val="Subsection"/>
      </w:pPr>
      <w:r>
        <w:tab/>
        <w:t>(2)</w:t>
      </w:r>
      <w:r>
        <w:tab/>
        <w:t xml:space="preserve">In subsection (1) — </w:t>
      </w:r>
    </w:p>
    <w:p>
      <w:pPr>
        <w:pStyle w:val="Defstart"/>
      </w:pPr>
      <w:r>
        <w:rPr>
          <w:b/>
        </w:rPr>
        <w:tab/>
        <w:t>“</w:t>
      </w:r>
      <w:r>
        <w:rPr>
          <w:rStyle w:val="CharDefText"/>
        </w:rPr>
        <w:t>person aggrieved</w:t>
      </w:r>
      <w:r>
        <w:rPr>
          <w:b/>
        </w:rPr>
        <w:t>”</w:t>
      </w:r>
      <w:r>
        <w:t xml:space="preserve"> means — </w:t>
      </w:r>
    </w:p>
    <w:p>
      <w:pPr>
        <w:pStyle w:val="Defpara"/>
      </w:pPr>
      <w:r>
        <w:tab/>
        <w:t>(a)</w:t>
      </w:r>
      <w:r>
        <w:tab/>
        <w:t>a person upon whose application a reviewable decision is made; or</w:t>
      </w:r>
    </w:p>
    <w:p>
      <w:pPr>
        <w:pStyle w:val="Defpara"/>
      </w:pPr>
      <w:r>
        <w:tab/>
        <w:t>(b)</w:t>
      </w:r>
      <w:r>
        <w:tab/>
        <w:t>the holder of the licence to which a reviewable decision relates;</w:t>
      </w:r>
    </w:p>
    <w:p>
      <w:pPr>
        <w:pStyle w:val="Defstart"/>
        <w:keepNext/>
      </w:pPr>
      <w:r>
        <w:rPr>
          <w:b/>
        </w:rPr>
        <w:tab/>
        <w:t>“</w:t>
      </w:r>
      <w:r>
        <w:rPr>
          <w:rStyle w:val="CharDefText"/>
        </w:rPr>
        <w:t>reviewable decision</w:t>
      </w:r>
      <w:r>
        <w:rPr>
          <w:b/>
        </w:rPr>
        <w:t>”</w:t>
      </w:r>
      <w:r>
        <w:t xml:space="preserve"> means a decision of the CEO — </w:t>
      </w:r>
    </w:p>
    <w:p>
      <w:pPr>
        <w:pStyle w:val="Defpara"/>
      </w:pPr>
      <w:r>
        <w:tab/>
        <w:t>(a)</w:t>
      </w:r>
      <w:r>
        <w:tab/>
        <w:t>to refuse to grant or renew a licence;</w:t>
      </w:r>
    </w:p>
    <w:p>
      <w:pPr>
        <w:pStyle w:val="Defpara"/>
      </w:pPr>
      <w:r>
        <w:tab/>
        <w:t>(b)</w:t>
      </w:r>
      <w:r>
        <w:tab/>
        <w:t>as to the period for which a licence is granted or renewed;</w:t>
      </w:r>
    </w:p>
    <w:p>
      <w:pPr>
        <w:pStyle w:val="Defpara"/>
      </w:pPr>
      <w:r>
        <w:tab/>
        <w:t>(c)</w:t>
      </w:r>
      <w:r>
        <w:tab/>
        <w:t>to grant or renew a licence subject to a particular condition;</w:t>
      </w:r>
    </w:p>
    <w:p>
      <w:pPr>
        <w:pStyle w:val="Defpara"/>
      </w:pPr>
      <w:r>
        <w:tab/>
        <w:t>(d)</w:t>
      </w:r>
      <w:r>
        <w:tab/>
        <w:t>to amend a licence under section 215; or</w:t>
      </w:r>
    </w:p>
    <w:p>
      <w:pPr>
        <w:pStyle w:val="Defpara"/>
      </w:pPr>
      <w:r>
        <w:tab/>
        <w:t>(e)</w:t>
      </w:r>
      <w:r>
        <w:tab/>
        <w:t>to suspend a licence under section 220.</w:t>
      </w:r>
    </w:p>
    <w:p>
      <w:pPr>
        <w:pStyle w:val="Heading3"/>
      </w:pPr>
      <w:bookmarkStart w:id="1766" w:name="_Toc128301016"/>
      <w:bookmarkStart w:id="1767" w:name="_Toc128303044"/>
      <w:bookmarkStart w:id="1768" w:name="_Toc128366976"/>
      <w:bookmarkStart w:id="1769" w:name="_Toc128368890"/>
      <w:bookmarkStart w:id="1770" w:name="_Toc128369270"/>
      <w:bookmarkStart w:id="1771" w:name="_Toc128969607"/>
      <w:bookmarkStart w:id="1772" w:name="_Toc132620518"/>
      <w:bookmarkStart w:id="1773" w:name="_Toc140378146"/>
      <w:bookmarkStart w:id="1774" w:name="_Toc140394088"/>
      <w:bookmarkStart w:id="1775" w:name="_Toc140893556"/>
      <w:r>
        <w:rPr>
          <w:rStyle w:val="CharDivNo"/>
        </w:rPr>
        <w:t>Division 8</w:t>
      </w:r>
      <w:r>
        <w:t> — </w:t>
      </w:r>
      <w:r>
        <w:rPr>
          <w:rStyle w:val="CharDivText"/>
        </w:rPr>
        <w:t>General</w:t>
      </w:r>
      <w:bookmarkEnd w:id="1766"/>
      <w:bookmarkEnd w:id="1767"/>
      <w:bookmarkEnd w:id="1768"/>
      <w:bookmarkEnd w:id="1769"/>
      <w:bookmarkEnd w:id="1770"/>
      <w:bookmarkEnd w:id="1771"/>
      <w:bookmarkEnd w:id="1772"/>
      <w:bookmarkEnd w:id="1773"/>
      <w:bookmarkEnd w:id="1774"/>
      <w:bookmarkEnd w:id="1775"/>
    </w:p>
    <w:p>
      <w:pPr>
        <w:pStyle w:val="Heading5"/>
      </w:pPr>
      <w:bookmarkStart w:id="1776" w:name="_Toc85881439"/>
      <w:bookmarkStart w:id="1777" w:name="_Toc128368891"/>
      <w:bookmarkStart w:id="1778" w:name="_Toc140893557"/>
      <w:bookmarkStart w:id="1779" w:name="_Toc140394089"/>
      <w:r>
        <w:rPr>
          <w:rStyle w:val="CharSectno"/>
        </w:rPr>
        <w:t>226</w:t>
      </w:r>
      <w:r>
        <w:t>.</w:t>
      </w:r>
      <w:r>
        <w:tab/>
        <w:t>Advertising</w:t>
      </w:r>
      <w:bookmarkEnd w:id="1776"/>
      <w:bookmarkEnd w:id="1777"/>
      <w:bookmarkEnd w:id="1778"/>
      <w:bookmarkEnd w:id="1779"/>
    </w:p>
    <w:p>
      <w:pPr>
        <w:pStyle w:val="Subsection"/>
      </w:pPr>
      <w:r>
        <w:tab/>
      </w:r>
      <w:r>
        <w:tab/>
        <w:t>A person must not advertise, or otherwise hold out in any way, that the person provides a child care service unless the person holds a licence authorising the provision of the service.</w:t>
      </w:r>
    </w:p>
    <w:p>
      <w:pPr>
        <w:pStyle w:val="Penstart"/>
        <w:rPr>
          <w:b/>
          <w:i/>
          <w:sz w:val="20"/>
        </w:rPr>
      </w:pPr>
      <w:r>
        <w:tab/>
        <w:t>Penalty: $6 000.</w:t>
      </w:r>
    </w:p>
    <w:p>
      <w:pPr>
        <w:pStyle w:val="Heading5"/>
      </w:pPr>
      <w:bookmarkStart w:id="1780" w:name="_Toc85881440"/>
      <w:bookmarkStart w:id="1781" w:name="_Toc128368892"/>
      <w:bookmarkStart w:id="1782" w:name="_Toc140893558"/>
      <w:bookmarkStart w:id="1783" w:name="_Toc140394090"/>
      <w:r>
        <w:rPr>
          <w:rStyle w:val="CharSectno"/>
        </w:rPr>
        <w:t>227</w:t>
      </w:r>
      <w:r>
        <w:t>.</w:t>
      </w:r>
      <w:r>
        <w:tab/>
        <w:t>Production of licence document for amendment</w:t>
      </w:r>
      <w:bookmarkEnd w:id="1780"/>
      <w:bookmarkEnd w:id="1781"/>
      <w:bookmarkEnd w:id="1782"/>
      <w:bookmarkEnd w:id="1783"/>
    </w:p>
    <w:p>
      <w:pPr>
        <w:pStyle w:val="Subsection"/>
      </w:pPr>
      <w:r>
        <w:tab/>
      </w:r>
      <w:r>
        <w:tab/>
        <w:t>If the CEO amends or renews a licence, the licensee must, if required by the CEO, produce the licence document to the CEO for amendment within the period specified by the CEO.</w:t>
      </w:r>
    </w:p>
    <w:p>
      <w:pPr>
        <w:pStyle w:val="Penstart"/>
        <w:rPr>
          <w:b/>
          <w:i/>
          <w:sz w:val="20"/>
        </w:rPr>
      </w:pPr>
      <w:r>
        <w:tab/>
        <w:t>Penalty: $6 000.</w:t>
      </w:r>
    </w:p>
    <w:p>
      <w:pPr>
        <w:pStyle w:val="Heading5"/>
      </w:pPr>
      <w:bookmarkStart w:id="1784" w:name="_Toc85881441"/>
      <w:bookmarkStart w:id="1785" w:name="_Toc128368893"/>
      <w:bookmarkStart w:id="1786" w:name="_Toc140893559"/>
      <w:bookmarkStart w:id="1787" w:name="_Toc140394091"/>
      <w:r>
        <w:rPr>
          <w:rStyle w:val="CharSectno"/>
        </w:rPr>
        <w:t>228</w:t>
      </w:r>
      <w:r>
        <w:t>.</w:t>
      </w:r>
      <w:r>
        <w:tab/>
        <w:t>Return of licence document if licence no longer in effect</w:t>
      </w:r>
      <w:bookmarkEnd w:id="1784"/>
      <w:bookmarkEnd w:id="1785"/>
      <w:bookmarkEnd w:id="1786"/>
      <w:bookmarkEnd w:id="1787"/>
    </w:p>
    <w:p>
      <w:pPr>
        <w:pStyle w:val="Subsection"/>
      </w:pPr>
      <w:r>
        <w:tab/>
      </w:r>
      <w:r>
        <w:tab/>
        <w:t xml:space="preserve">If a licence — </w:t>
      </w:r>
    </w:p>
    <w:p>
      <w:pPr>
        <w:pStyle w:val="Indenta"/>
      </w:pPr>
      <w:r>
        <w:tab/>
        <w:t>(a)</w:t>
      </w:r>
      <w:r>
        <w:tab/>
        <w:t>has expired and has not been renewed;</w:t>
      </w:r>
    </w:p>
    <w:p>
      <w:pPr>
        <w:pStyle w:val="Indenta"/>
      </w:pPr>
      <w:r>
        <w:tab/>
        <w:t>(b)</w:t>
      </w:r>
      <w:r>
        <w:tab/>
        <w:t>has been suspended or cancelled; or</w:t>
      </w:r>
    </w:p>
    <w:p>
      <w:pPr>
        <w:pStyle w:val="Indenta"/>
      </w:pPr>
      <w:r>
        <w:tab/>
        <w:t>(c)</w:t>
      </w:r>
      <w:r>
        <w:tab/>
        <w:t>has been surrendered in accordance with the regulations,</w:t>
      </w:r>
    </w:p>
    <w:p>
      <w:pPr>
        <w:pStyle w:val="Subsection"/>
      </w:pPr>
      <w:r>
        <w:tab/>
      </w:r>
      <w:r>
        <w:tab/>
        <w:t>the person who was the licensee must, as soon as practicable after the expiry, suspension, cancellation or surrender, return the licence document to the CEO.</w:t>
      </w:r>
    </w:p>
    <w:p>
      <w:pPr>
        <w:pStyle w:val="Penstart"/>
        <w:rPr>
          <w:b/>
          <w:i/>
          <w:sz w:val="20"/>
        </w:rPr>
      </w:pPr>
      <w:r>
        <w:tab/>
        <w:t>Penalty: $6 000.</w:t>
      </w:r>
    </w:p>
    <w:p>
      <w:pPr>
        <w:pStyle w:val="Heading5"/>
      </w:pPr>
      <w:bookmarkStart w:id="1788" w:name="_Toc438114778"/>
      <w:bookmarkStart w:id="1789" w:name="_Toc85881442"/>
      <w:bookmarkStart w:id="1790" w:name="_Toc128368894"/>
      <w:bookmarkStart w:id="1791" w:name="_Toc140893560"/>
      <w:bookmarkStart w:id="1792" w:name="_Toc140394092"/>
      <w:r>
        <w:rPr>
          <w:rStyle w:val="CharSectno"/>
        </w:rPr>
        <w:t>229</w:t>
      </w:r>
      <w:r>
        <w:t>.</w:t>
      </w:r>
      <w:r>
        <w:tab/>
        <w:t>Power to exempt</w:t>
      </w:r>
      <w:bookmarkEnd w:id="1788"/>
      <w:bookmarkEnd w:id="1789"/>
      <w:bookmarkEnd w:id="1790"/>
      <w:bookmarkEnd w:id="1791"/>
      <w:bookmarkEnd w:id="1792"/>
    </w:p>
    <w:p>
      <w:pPr>
        <w:pStyle w:val="Subsection"/>
      </w:pPr>
      <w:r>
        <w:tab/>
        <w:t>(1)</w:t>
      </w:r>
      <w:r>
        <w:tab/>
        <w:t xml:space="preserve">The Minister may, by order published in the </w:t>
      </w:r>
      <w:r>
        <w:rPr>
          <w:i/>
        </w:rPr>
        <w:t>Gazette</w:t>
      </w:r>
      <w:r>
        <w:t>, exempt a specified child care service or a child care service of a specified type from the application of —</w:t>
      </w:r>
    </w:p>
    <w:p>
      <w:pPr>
        <w:pStyle w:val="Indenta"/>
      </w:pPr>
      <w:r>
        <w:tab/>
        <w:t>(a)</w:t>
      </w:r>
      <w:r>
        <w:tab/>
        <w:t>section </w:t>
      </w:r>
      <w:bookmarkStart w:id="1793" w:name="_Hlt39908682"/>
      <w:r>
        <w:t>201</w:t>
      </w:r>
      <w:bookmarkEnd w:id="1793"/>
      <w:r>
        <w:t>;</w:t>
      </w:r>
    </w:p>
    <w:p>
      <w:pPr>
        <w:pStyle w:val="Indenta"/>
      </w:pPr>
      <w:r>
        <w:tab/>
        <w:t>(b)</w:t>
      </w:r>
      <w:r>
        <w:tab/>
        <w:t xml:space="preserve">the regulations; or </w:t>
      </w:r>
    </w:p>
    <w:p>
      <w:pPr>
        <w:pStyle w:val="Indenta"/>
      </w:pPr>
      <w:r>
        <w:tab/>
        <w:t>(c)</w:t>
      </w:r>
      <w:r>
        <w:tab/>
        <w:t>a specified provision of the regulations.</w:t>
      </w:r>
    </w:p>
    <w:p>
      <w:pPr>
        <w:pStyle w:val="Subsection"/>
        <w:keepNext/>
      </w:pPr>
      <w:r>
        <w:tab/>
        <w:t>(2)</w:t>
      </w:r>
      <w:r>
        <w:tab/>
        <w:t>In subsection (1) —</w:t>
      </w:r>
    </w:p>
    <w:p>
      <w:pPr>
        <w:pStyle w:val="Defstart"/>
      </w:pPr>
      <w:r>
        <w:tab/>
      </w:r>
      <w:r>
        <w:rPr>
          <w:b/>
        </w:rPr>
        <w:t>“</w:t>
      </w:r>
      <w:r>
        <w:rPr>
          <w:rStyle w:val="CharDefText"/>
        </w:rPr>
        <w:t>specified</w:t>
      </w:r>
      <w:r>
        <w:rPr>
          <w:b/>
        </w:rPr>
        <w:t>”</w:t>
      </w:r>
      <w:r>
        <w:t xml:space="preserve"> means specified in the order.</w:t>
      </w:r>
    </w:p>
    <w:p>
      <w:pPr>
        <w:pStyle w:val="Subsection"/>
      </w:pPr>
      <w:r>
        <w:tab/>
        <w:t>(3)</w:t>
      </w:r>
      <w:r>
        <w:tab/>
        <w:t xml:space="preserve">The Minister may, by order published in the </w:t>
      </w:r>
      <w:r>
        <w:rPr>
          <w:i/>
        </w:rPr>
        <w:t>Gazette</w:t>
      </w:r>
      <w:r>
        <w:t>, amend or revoke an order made under subsection (1).</w:t>
      </w:r>
    </w:p>
    <w:p>
      <w:pPr>
        <w:pStyle w:val="Subsection"/>
      </w:pPr>
      <w:r>
        <w:tab/>
        <w:t>(4)</w:t>
      </w:r>
      <w:r>
        <w:tab/>
        <w:t>In the exercise of the powers conferred by subsections (1) and (3), the Minister must have regard to — </w:t>
      </w:r>
    </w:p>
    <w:p>
      <w:pPr>
        <w:pStyle w:val="Indenta"/>
      </w:pPr>
      <w:r>
        <w:tab/>
        <w:t>(a)</w:t>
      </w:r>
      <w:r>
        <w:tab/>
        <w:t>the best interests of the children for whom the child care service is proposed to be provided and any special needs or interests of those children;</w:t>
      </w:r>
    </w:p>
    <w:p>
      <w:pPr>
        <w:pStyle w:val="Indenta"/>
      </w:pPr>
      <w:r>
        <w:tab/>
        <w:t>(b)</w:t>
      </w:r>
      <w:r>
        <w:tab/>
        <w:t>the views of parents of children for whom the service is intended;</w:t>
      </w:r>
    </w:p>
    <w:p>
      <w:pPr>
        <w:pStyle w:val="Indenta"/>
      </w:pPr>
      <w:r>
        <w:tab/>
        <w:t>(c)</w:t>
      </w:r>
      <w:r>
        <w:tab/>
        <w:t>the needs of the locality in which a child care service is proposed or the children for whom the child care service is proposed and the extent to which those needs are being met; and</w:t>
      </w:r>
    </w:p>
    <w:p>
      <w:pPr>
        <w:pStyle w:val="Indenta"/>
      </w:pPr>
      <w:r>
        <w:tab/>
        <w:t>(d)</w:t>
      </w:r>
      <w:r>
        <w:tab/>
        <w:t>the desirability of or need for short</w:t>
      </w:r>
      <w:r>
        <w:noBreakHyphen/>
        <w:t>term, special, innovative, experimental, culturally appropriate and culturally specific child care services.</w:t>
      </w:r>
    </w:p>
    <w:p>
      <w:pPr>
        <w:pStyle w:val="Heading5"/>
      </w:pPr>
      <w:bookmarkStart w:id="1794" w:name="_Toc85881443"/>
      <w:bookmarkStart w:id="1795" w:name="_Toc128368895"/>
      <w:bookmarkStart w:id="1796" w:name="_Toc140893561"/>
      <w:bookmarkStart w:id="1797" w:name="_Toc140394093"/>
      <w:r>
        <w:rPr>
          <w:rStyle w:val="CharSectno"/>
        </w:rPr>
        <w:t>230</w:t>
      </w:r>
      <w:r>
        <w:t>.</w:t>
      </w:r>
      <w:r>
        <w:tab/>
        <w:t>Evidentiary certificate</w:t>
      </w:r>
      <w:bookmarkEnd w:id="1794"/>
      <w:bookmarkEnd w:id="1795"/>
      <w:bookmarkEnd w:id="1796"/>
      <w:bookmarkEnd w:id="1797"/>
    </w:p>
    <w:p>
      <w:pPr>
        <w:pStyle w:val="Subsection"/>
      </w:pPr>
      <w:r>
        <w:tab/>
        <w:t>(1)</w:t>
      </w:r>
      <w:r>
        <w:tab/>
        <w:t>In proceedings for an offence under this Part production of a certificate containing a statement described in subsection (2) and purporting to be signed by the CEO is, without proof of any appointment or signature, evidence of the facts stated in the certificate.</w:t>
      </w:r>
    </w:p>
    <w:p>
      <w:pPr>
        <w:pStyle w:val="Subsection"/>
      </w:pPr>
      <w:r>
        <w:tab/>
        <w:t>(2)</w:t>
      </w:r>
      <w:r>
        <w:tab/>
        <w:t xml:space="preserve">The certificate may state any of the following — </w:t>
      </w:r>
    </w:p>
    <w:p>
      <w:pPr>
        <w:pStyle w:val="Indenta"/>
      </w:pPr>
      <w:r>
        <w:tab/>
        <w:t>(a)</w:t>
      </w:r>
      <w:r>
        <w:tab/>
        <w:t>that a person has or had, or does not or did not have, a licence in relation to a particular child care service;</w:t>
      </w:r>
    </w:p>
    <w:p>
      <w:pPr>
        <w:pStyle w:val="Indenta"/>
      </w:pPr>
      <w:r>
        <w:tab/>
        <w:t>(b)</w:t>
      </w:r>
      <w:r>
        <w:tab/>
        <w:t>that a licence did or did not specify a particular place;</w:t>
      </w:r>
    </w:p>
    <w:p>
      <w:pPr>
        <w:pStyle w:val="Indenta"/>
      </w:pPr>
      <w:r>
        <w:tab/>
        <w:t>(c)</w:t>
      </w:r>
      <w:r>
        <w:tab/>
        <w:t>the conditions to which a licence is or was subject;</w:t>
      </w:r>
    </w:p>
    <w:p>
      <w:pPr>
        <w:pStyle w:val="Indenta"/>
      </w:pPr>
      <w:r>
        <w:tab/>
        <w:t>(d)</w:t>
      </w:r>
      <w:r>
        <w:tab/>
        <w:t>the day, days or period on or during which anything referred to in any of paragraphs (a) to (c) applied.</w:t>
      </w:r>
    </w:p>
    <w:p>
      <w:pPr>
        <w:pStyle w:val="Heading5"/>
      </w:pPr>
      <w:bookmarkStart w:id="1798" w:name="_Toc438114781"/>
      <w:bookmarkStart w:id="1799" w:name="_Toc85881444"/>
      <w:bookmarkStart w:id="1800" w:name="_Toc128368896"/>
      <w:bookmarkStart w:id="1801" w:name="_Toc140893562"/>
      <w:bookmarkStart w:id="1802" w:name="_Toc140394094"/>
      <w:r>
        <w:rPr>
          <w:rStyle w:val="CharSectno"/>
        </w:rPr>
        <w:t>231</w:t>
      </w:r>
      <w:r>
        <w:t>.</w:t>
      </w:r>
      <w:r>
        <w:tab/>
        <w:t>Powers of entry and inspection</w:t>
      </w:r>
      <w:bookmarkEnd w:id="1798"/>
      <w:bookmarkEnd w:id="1799"/>
      <w:bookmarkEnd w:id="1800"/>
      <w:bookmarkEnd w:id="1801"/>
      <w:bookmarkEnd w:id="1802"/>
    </w:p>
    <w:p>
      <w:pPr>
        <w:pStyle w:val="Subsection"/>
      </w:pPr>
      <w:r>
        <w:tab/>
        <w:t>(1)</w:t>
      </w:r>
      <w:r>
        <w:tab/>
        <w:t>In this section —</w:t>
      </w:r>
    </w:p>
    <w:p>
      <w:pPr>
        <w:pStyle w:val="Defstart"/>
      </w:pPr>
      <w:r>
        <w:rPr>
          <w:b/>
        </w:rPr>
        <w:tab/>
        <w:t>“</w:t>
      </w:r>
      <w:r>
        <w:rPr>
          <w:rStyle w:val="CharDefText"/>
        </w:rPr>
        <w:t>licensing officer</w:t>
      </w:r>
      <w:r>
        <w:rPr>
          <w:b/>
        </w:rPr>
        <w:t>”</w:t>
      </w:r>
      <w:r>
        <w:t xml:space="preserve"> means an officer appointed under section 25 for the purposes of this Part.</w:t>
      </w:r>
    </w:p>
    <w:p>
      <w:pPr>
        <w:pStyle w:val="Subsection"/>
      </w:pPr>
      <w:r>
        <w:tab/>
        <w:t>(2)</w:t>
      </w:r>
      <w:r>
        <w:tab/>
        <w:t>A licensing officer may — </w:t>
      </w:r>
    </w:p>
    <w:p>
      <w:pPr>
        <w:pStyle w:val="Indenta"/>
      </w:pPr>
      <w:r>
        <w:tab/>
        <w:t>(a)</w:t>
      </w:r>
      <w:r>
        <w:tab/>
        <w:t>enter at any reasonable time any place specified in a licence as a place at which a child care service may be provided and inspect that place and any equipment or other thing at that place;</w:t>
      </w:r>
    </w:p>
    <w:p>
      <w:pPr>
        <w:pStyle w:val="Indenta"/>
      </w:pPr>
      <w:r>
        <w:tab/>
        <w:t>(b)</w:t>
      </w:r>
      <w:r>
        <w:tab/>
        <w:t>require any person who is at a place entered in accordance with this section to provide any information that is necessary for the purpose of investigating compliance with the licence or the regulations; and</w:t>
      </w:r>
    </w:p>
    <w:p>
      <w:pPr>
        <w:pStyle w:val="Indenta"/>
      </w:pPr>
      <w:r>
        <w:tab/>
        <w:t>(c)</w:t>
      </w:r>
      <w:r>
        <w:tab/>
        <w:t>inspect and for that purpose require the production of, any register, record or other document that any person is required by the regulations to keep and copy or take extracts from any such register, record or other document.</w:t>
      </w:r>
    </w:p>
    <w:p>
      <w:pPr>
        <w:pStyle w:val="Subsection"/>
      </w:pPr>
      <w:r>
        <w:tab/>
        <w:t>(3)</w:t>
      </w:r>
      <w:r>
        <w:tab/>
        <w:t>A person must not, without lawful excuse, fail to comply with a requirement under subsection (2)(b) or (c).</w:t>
      </w:r>
    </w:p>
    <w:p>
      <w:pPr>
        <w:pStyle w:val="Penstart"/>
      </w:pPr>
      <w:r>
        <w:tab/>
        <w:t>Penalty: $6 000.</w:t>
      </w:r>
    </w:p>
    <w:p>
      <w:pPr>
        <w:pStyle w:val="Subsection"/>
      </w:pPr>
      <w:r>
        <w:tab/>
        <w:t>(4)</w:t>
      </w:r>
      <w:r>
        <w:tab/>
        <w:t>If a magistrate is satisfied by evidence on oath that there are reasonable grounds to suspect that a child care service is being provided at a place other than a place at which such a service may be provided under a licence, the magistrate may issue a warrant to a licensing officer or a police officer authorising the officer to enter and inspect that place.</w:t>
      </w:r>
    </w:p>
    <w:p>
      <w:pPr>
        <w:pStyle w:val="Heading5"/>
      </w:pPr>
      <w:bookmarkStart w:id="1803" w:name="_Toc438114782"/>
      <w:bookmarkStart w:id="1804" w:name="_Toc85881445"/>
      <w:bookmarkStart w:id="1805" w:name="_Toc128368897"/>
      <w:bookmarkStart w:id="1806" w:name="_Toc140893563"/>
      <w:bookmarkStart w:id="1807" w:name="_Toc140394095"/>
      <w:r>
        <w:rPr>
          <w:rStyle w:val="CharSectno"/>
        </w:rPr>
        <w:t>232</w:t>
      </w:r>
      <w:r>
        <w:t>.</w:t>
      </w:r>
      <w:r>
        <w:tab/>
        <w:t>Regulations</w:t>
      </w:r>
      <w:bookmarkEnd w:id="1803"/>
      <w:bookmarkEnd w:id="1804"/>
      <w:bookmarkEnd w:id="1805"/>
      <w:bookmarkEnd w:id="1806"/>
      <w:bookmarkEnd w:id="1807"/>
    </w:p>
    <w:p>
      <w:pPr>
        <w:pStyle w:val="Subsection"/>
      </w:pPr>
      <w:r>
        <w:tab/>
      </w:r>
      <w:r>
        <w:tab/>
        <w:t>Without limiting section 248(1), the regulations may —</w:t>
      </w:r>
    </w:p>
    <w:p>
      <w:pPr>
        <w:pStyle w:val="Indenta"/>
      </w:pPr>
      <w:r>
        <w:tab/>
        <w:t>(a)</w:t>
      </w:r>
      <w:r>
        <w:tab/>
        <w:t>prescribe types of child care service and make different provisions for or in respect of each of those types;</w:t>
      </w:r>
    </w:p>
    <w:p>
      <w:pPr>
        <w:pStyle w:val="Indenta"/>
      </w:pPr>
      <w:r>
        <w:tab/>
        <w:t>(b)</w:t>
      </w:r>
      <w:r>
        <w:tab/>
        <w:t>regulate applications for licences, objections to the grant of licences, the amendment of licences, and the surrender of licences;</w:t>
      </w:r>
    </w:p>
    <w:p>
      <w:pPr>
        <w:pStyle w:val="Indenta"/>
      </w:pPr>
      <w:r>
        <w:tab/>
        <w:t>(c)</w:t>
      </w:r>
      <w:r>
        <w:tab/>
        <w:t>confer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p>
    <w:p>
      <w:pPr>
        <w:pStyle w:val="Indenta"/>
      </w:pPr>
      <w:r>
        <w:tab/>
        <w:t>(d)</w:t>
      </w:r>
      <w:r>
        <w:tab/>
        <w:t>prescribe matters to which the CEO must have regard in determining whether a particular person is a fit and proper person to provide or be involved in the provision of a child care service or to associate with children, as the case requires;</w:t>
      </w:r>
    </w:p>
    <w:p>
      <w:pPr>
        <w:pStyle w:val="Indenta"/>
      </w:pPr>
      <w:r>
        <w:tab/>
        <w:t>(e)</w:t>
      </w:r>
      <w:r>
        <w:tab/>
        <w:t>without limiting section 203(b), prescribe the documents (including a criminal record check) and information to be provided by an applicant or licensee in connection with an application or the provision of a child care service, as the case requires;</w:t>
      </w:r>
    </w:p>
    <w:p>
      <w:pPr>
        <w:pStyle w:val="Indenta"/>
      </w:pPr>
      <w:r>
        <w:tab/>
        <w:t>(f)</w:t>
      </w:r>
      <w:r>
        <w:tab/>
        <w:t>require a licensee to notify the CEO of changes in circumstances relating to or affecting the provision of a child care service including, without limitation, a change of supervising officer or managerial officer;</w:t>
      </w:r>
    </w:p>
    <w:p>
      <w:pPr>
        <w:pStyle w:val="Indenta"/>
      </w:pPr>
      <w:r>
        <w:tab/>
        <w:t>(g)</w:t>
      </w:r>
      <w:r>
        <w:tab/>
        <w:t>provide for and in relation to the appointment of supervising officers and persons to act in their place;</w:t>
      </w:r>
    </w:p>
    <w:p>
      <w:pPr>
        <w:pStyle w:val="Indenta"/>
      </w:pPr>
      <w:r>
        <w:tab/>
        <w:t>(h)</w:t>
      </w:r>
      <w:r>
        <w:tab/>
        <w:t>provide for the powers and duties of licensing officers;</w:t>
      </w:r>
    </w:p>
    <w:p>
      <w:pPr>
        <w:pStyle w:val="Indenta"/>
      </w:pPr>
      <w:r>
        <w:tab/>
        <w:t>(i)</w:t>
      </w:r>
      <w:r>
        <w:tab/>
        <w:t>regulate the staffing requirements for the provision of child care services;</w:t>
      </w:r>
    </w:p>
    <w:p>
      <w:pPr>
        <w:pStyle w:val="Indenta"/>
      </w:pPr>
      <w:r>
        <w:tab/>
        <w:t>(j)</w:t>
      </w:r>
      <w:r>
        <w:tab/>
        <w:t>confer power on the CEO to conduct a criminal record check of any member of the staff of a child care service;</w:t>
      </w:r>
    </w:p>
    <w:p>
      <w:pPr>
        <w:pStyle w:val="Indenta"/>
      </w:pPr>
      <w:r>
        <w:tab/>
        <w:t>(k)</w:t>
      </w:r>
      <w:r>
        <w:tab/>
        <w:t>prescribe requirements as to the health and safety of children during the provision of child care services;</w:t>
      </w:r>
    </w:p>
    <w:p>
      <w:pPr>
        <w:pStyle w:val="Indenta"/>
      </w:pPr>
      <w:r>
        <w:tab/>
        <w:t>(l)</w:t>
      </w:r>
      <w:r>
        <w:tab/>
        <w:t>require a licensee or a member of the staff of a child care service from time to time to undergo medical examinations or to provide any documents (including a criminal record check) or information relevant to the health and safety of children during the provision of the child care service;</w:t>
      </w:r>
    </w:p>
    <w:p>
      <w:pPr>
        <w:pStyle w:val="Indenta"/>
      </w:pPr>
      <w:r>
        <w:tab/>
        <w:t>(m)</w:t>
      </w:r>
      <w:r>
        <w:tab/>
        <w:t>regulate the building and other physical environment requirements for the provision of child care services;</w:t>
      </w:r>
    </w:p>
    <w:p>
      <w:pPr>
        <w:pStyle w:val="Indenta"/>
      </w:pPr>
      <w:r>
        <w:tab/>
        <w:t>(n)</w:t>
      </w:r>
      <w:r>
        <w:tab/>
        <w:t>regulate programmes of activities and equipment to be provided for child care services;</w:t>
      </w:r>
    </w:p>
    <w:p>
      <w:pPr>
        <w:pStyle w:val="Indenta"/>
      </w:pPr>
      <w:r>
        <w:tab/>
        <w:t>(o)</w:t>
      </w:r>
      <w:r>
        <w:tab/>
        <w:t>regulate the administration of child care services, the records to be maintained and the returns to be made;</w:t>
      </w:r>
    </w:p>
    <w:p>
      <w:pPr>
        <w:pStyle w:val="Indenta"/>
        <w:rPr>
          <w:spacing w:val="-4"/>
        </w:rPr>
      </w:pPr>
      <w:r>
        <w:rPr>
          <w:spacing w:val="-4"/>
        </w:rPr>
        <w:tab/>
        <w:t>(p)</w:t>
      </w:r>
      <w:r>
        <w:rPr>
          <w:spacing w:val="-4"/>
        </w:rPr>
        <w:tab/>
        <w:t>provide for the continued operation of a child care service in an emergency situation or in circumstances where the licence relating to the service is suspended or cancelled;</w:t>
      </w:r>
    </w:p>
    <w:p>
      <w:pPr>
        <w:pStyle w:val="Indenta"/>
        <w:rPr>
          <w:spacing w:val="-4"/>
        </w:rPr>
      </w:pPr>
      <w:r>
        <w:rPr>
          <w:spacing w:val="-4"/>
        </w:rPr>
        <w:tab/>
        <w:t>(q)</w:t>
      </w:r>
      <w:r>
        <w:rPr>
          <w:spacing w:val="-4"/>
        </w:rPr>
        <w:tab/>
        <w:t>confer power on the CEO in special circumstances in particular cases to grant exemptions from provisions of the regulations for periods specified in the exemptions and to impose conditions subject to which an exemption applies;</w:t>
      </w:r>
    </w:p>
    <w:p>
      <w:pPr>
        <w:pStyle w:val="Indenta"/>
      </w:pPr>
      <w:r>
        <w:tab/>
        <w:t>(r)</w:t>
      </w:r>
      <w:r>
        <w:tab/>
        <w:t>confer power on, or require, the CEO to notify the parents of children for whom a child care service is provided of any prescribed matter relating to or affecting the provision of the service;</w:t>
      </w:r>
    </w:p>
    <w:p>
      <w:pPr>
        <w:pStyle w:val="Indenta"/>
      </w:pPr>
      <w:r>
        <w:tab/>
        <w:t>(s)</w:t>
      </w:r>
      <w:r>
        <w:tab/>
        <w:t xml:space="preserve">prescribe fees payable — </w:t>
      </w:r>
    </w:p>
    <w:p>
      <w:pPr>
        <w:pStyle w:val="Indenti"/>
      </w:pPr>
      <w:r>
        <w:tab/>
        <w:t>(i)</w:t>
      </w:r>
      <w:r>
        <w:tab/>
        <w:t>in respect of applications for the grant or renewal of licences, including fees by way of penalty for late lodgment of applications; and</w:t>
      </w:r>
    </w:p>
    <w:p>
      <w:pPr>
        <w:pStyle w:val="Indenti"/>
      </w:pPr>
      <w:r>
        <w:tab/>
        <w:t>(ii)</w:t>
      </w:r>
      <w:r>
        <w:tab/>
        <w:t>for the grant or renewal of licences;</w:t>
      </w:r>
    </w:p>
    <w:p>
      <w:pPr>
        <w:pStyle w:val="Indenta"/>
      </w:pPr>
      <w:r>
        <w:tab/>
        <w:t>(t)</w:t>
      </w:r>
      <w:r>
        <w:tab/>
        <w:t>require any document or information provided by an applicant or a licensee to be verified by statutory declaration;</w:t>
      </w:r>
    </w:p>
    <w:p>
      <w:pPr>
        <w:pStyle w:val="Indenta"/>
      </w:pPr>
      <w:r>
        <w:tab/>
        <w:t>(u)</w:t>
      </w:r>
      <w:r>
        <w:tab/>
        <w:t>provide for transitional matters; and</w:t>
      </w:r>
    </w:p>
    <w:p>
      <w:pPr>
        <w:pStyle w:val="Indenta"/>
      </w:pPr>
      <w:r>
        <w:tab/>
        <w:t>(v)</w:t>
      </w:r>
      <w:r>
        <w:tab/>
        <w:t>establish a mechanism for the review of the regulations.</w:t>
      </w:r>
    </w:p>
    <w:p>
      <w:pPr>
        <w:pStyle w:val="Heading2"/>
      </w:pPr>
      <w:bookmarkStart w:id="1808" w:name="_Toc128301024"/>
      <w:bookmarkStart w:id="1809" w:name="_Toc128303052"/>
      <w:bookmarkStart w:id="1810" w:name="_Toc128366984"/>
      <w:bookmarkStart w:id="1811" w:name="_Toc128368898"/>
      <w:bookmarkStart w:id="1812" w:name="_Toc128369278"/>
      <w:bookmarkStart w:id="1813" w:name="_Toc128969615"/>
      <w:bookmarkStart w:id="1814" w:name="_Toc132620526"/>
      <w:bookmarkStart w:id="1815" w:name="_Toc140378154"/>
      <w:bookmarkStart w:id="1816" w:name="_Toc140394096"/>
      <w:bookmarkStart w:id="1817" w:name="_Toc140893564"/>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1808"/>
      <w:bookmarkEnd w:id="1809"/>
      <w:bookmarkEnd w:id="1810"/>
      <w:bookmarkEnd w:id="1811"/>
      <w:bookmarkEnd w:id="1812"/>
      <w:bookmarkEnd w:id="1813"/>
      <w:bookmarkEnd w:id="1814"/>
      <w:bookmarkEnd w:id="1815"/>
      <w:bookmarkEnd w:id="1816"/>
      <w:bookmarkEnd w:id="1817"/>
    </w:p>
    <w:p>
      <w:pPr>
        <w:pStyle w:val="Heading5"/>
      </w:pPr>
      <w:bookmarkStart w:id="1818" w:name="_Hlt55643988"/>
      <w:bookmarkStart w:id="1819" w:name="_Toc461254503"/>
      <w:bookmarkStart w:id="1820" w:name="_Toc85881446"/>
      <w:bookmarkStart w:id="1821" w:name="_Toc128368899"/>
      <w:bookmarkStart w:id="1822" w:name="_Toc140893565"/>
      <w:bookmarkStart w:id="1823" w:name="_Toc140394097"/>
      <w:bookmarkEnd w:id="1818"/>
      <w:r>
        <w:rPr>
          <w:rStyle w:val="CharSectno"/>
        </w:rPr>
        <w:t>233</w:t>
      </w:r>
      <w:r>
        <w:t>.</w:t>
      </w:r>
      <w:r>
        <w:tab/>
        <w:t>Power to provide financial or other assistance</w:t>
      </w:r>
      <w:bookmarkEnd w:id="1819"/>
      <w:bookmarkEnd w:id="1820"/>
      <w:bookmarkEnd w:id="1821"/>
      <w:bookmarkEnd w:id="1822"/>
      <w:bookmarkEnd w:id="1823"/>
    </w:p>
    <w:p>
      <w:pPr>
        <w:pStyle w:val="Subsection"/>
      </w:pPr>
      <w:r>
        <w:tab/>
      </w:r>
      <w:bookmarkStart w:id="1824" w:name="_Hlt39908906"/>
      <w:bookmarkEnd w:id="1824"/>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1825" w:name="_Toc461254504"/>
      <w:bookmarkStart w:id="1826" w:name="_Toc85881447"/>
      <w:bookmarkStart w:id="1827" w:name="_Toc128368900"/>
      <w:bookmarkStart w:id="1828" w:name="_Toc140893566"/>
      <w:bookmarkStart w:id="1829" w:name="_Toc140394098"/>
      <w:r>
        <w:rPr>
          <w:rStyle w:val="CharSectno"/>
        </w:rPr>
        <w:t>234</w:t>
      </w:r>
      <w:r>
        <w:t>.</w:t>
      </w:r>
      <w:r>
        <w:tab/>
        <w:t>Power to assist with funeral expenses</w:t>
      </w:r>
      <w:bookmarkEnd w:id="1825"/>
      <w:bookmarkEnd w:id="1826"/>
      <w:bookmarkEnd w:id="1827"/>
      <w:bookmarkEnd w:id="1828"/>
      <w:bookmarkEnd w:id="1829"/>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1830" w:name="_Toc461254506"/>
      <w:bookmarkStart w:id="1831" w:name="_Toc85881448"/>
      <w:bookmarkStart w:id="1832" w:name="_Toc128368901"/>
      <w:bookmarkStart w:id="1833" w:name="_Toc140893567"/>
      <w:bookmarkStart w:id="1834" w:name="_Toc140394099"/>
      <w:r>
        <w:rPr>
          <w:rStyle w:val="CharSectno"/>
        </w:rPr>
        <w:t>235</w:t>
      </w:r>
      <w:r>
        <w:t>.</w:t>
      </w:r>
      <w:r>
        <w:tab/>
        <w:t>Application for assistance</w:t>
      </w:r>
      <w:bookmarkEnd w:id="1830"/>
      <w:bookmarkEnd w:id="1831"/>
      <w:bookmarkEnd w:id="1832"/>
      <w:bookmarkEnd w:id="1833"/>
      <w:bookmarkEnd w:id="1834"/>
    </w:p>
    <w:p>
      <w:pPr>
        <w:pStyle w:val="Subsection"/>
      </w:pPr>
      <w:r>
        <w:tab/>
        <w:t>(1)</w:t>
      </w:r>
      <w:r>
        <w:tab/>
        <w:t xml:space="preserve">In this section and section 236 — </w:t>
      </w:r>
    </w:p>
    <w:p>
      <w:pPr>
        <w:pStyle w:val="Defstart"/>
      </w:pPr>
      <w:r>
        <w:rPr>
          <w:b/>
        </w:rPr>
        <w:tab/>
        <w:t>“</w:t>
      </w:r>
      <w:r>
        <w:rPr>
          <w:rStyle w:val="CharDefText"/>
        </w:rPr>
        <w:t>application for assistance</w:t>
      </w:r>
      <w:r>
        <w:rPr>
          <w:b/>
        </w:rPr>
        <w:t>”</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1835" w:name="_Toc85881449"/>
      <w:bookmarkStart w:id="1836" w:name="_Toc128368902"/>
      <w:bookmarkStart w:id="1837" w:name="_Toc140893568"/>
      <w:bookmarkStart w:id="1838" w:name="_Toc140394100"/>
      <w:r>
        <w:rPr>
          <w:rStyle w:val="CharSectno"/>
        </w:rPr>
        <w:t>236</w:t>
      </w:r>
      <w:r>
        <w:t>.</w:t>
      </w:r>
      <w:r>
        <w:tab/>
        <w:t>Recovery of overpayments in certain circumstances</w:t>
      </w:r>
      <w:bookmarkEnd w:id="1835"/>
      <w:bookmarkEnd w:id="1836"/>
      <w:bookmarkEnd w:id="1837"/>
      <w:bookmarkEnd w:id="1838"/>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1839" w:name="_Toc128301029"/>
      <w:bookmarkStart w:id="1840" w:name="_Toc128303057"/>
      <w:bookmarkStart w:id="1841" w:name="_Toc128366989"/>
      <w:bookmarkStart w:id="1842" w:name="_Toc128368903"/>
      <w:bookmarkStart w:id="1843" w:name="_Toc128369283"/>
      <w:bookmarkStart w:id="1844" w:name="_Toc128969620"/>
      <w:bookmarkStart w:id="1845" w:name="_Toc132620531"/>
      <w:bookmarkStart w:id="1846" w:name="_Toc140378159"/>
      <w:bookmarkStart w:id="1847" w:name="_Toc140394101"/>
      <w:bookmarkStart w:id="1848" w:name="_Toc140893569"/>
      <w:r>
        <w:rPr>
          <w:rStyle w:val="CharPartNo"/>
        </w:rPr>
        <w:t>Part 10</w:t>
      </w:r>
      <w:r>
        <w:rPr>
          <w:rStyle w:val="CharDivNo"/>
        </w:rPr>
        <w:t xml:space="preserve"> </w:t>
      </w:r>
      <w:r>
        <w:t>—</w:t>
      </w:r>
      <w:r>
        <w:rPr>
          <w:rStyle w:val="CharDivText"/>
        </w:rPr>
        <w:t xml:space="preserve"> </w:t>
      </w:r>
      <w:r>
        <w:rPr>
          <w:rStyle w:val="CharPartText"/>
        </w:rPr>
        <w:t>Confidentiality provisions</w:t>
      </w:r>
      <w:bookmarkEnd w:id="1839"/>
      <w:bookmarkEnd w:id="1840"/>
      <w:bookmarkEnd w:id="1841"/>
      <w:bookmarkEnd w:id="1842"/>
      <w:bookmarkEnd w:id="1843"/>
      <w:bookmarkEnd w:id="1844"/>
      <w:bookmarkEnd w:id="1845"/>
      <w:bookmarkEnd w:id="1846"/>
      <w:bookmarkEnd w:id="1847"/>
      <w:bookmarkEnd w:id="1848"/>
    </w:p>
    <w:p>
      <w:pPr>
        <w:pStyle w:val="Heading5"/>
      </w:pPr>
      <w:bookmarkStart w:id="1849" w:name="_Toc85881450"/>
      <w:bookmarkStart w:id="1850" w:name="_Toc128368904"/>
      <w:bookmarkStart w:id="1851" w:name="_Toc140893570"/>
      <w:bookmarkStart w:id="1852" w:name="_Toc140394102"/>
      <w:r>
        <w:rPr>
          <w:rStyle w:val="CharSectno"/>
        </w:rPr>
        <w:t>237</w:t>
      </w:r>
      <w:r>
        <w:t>.</w:t>
      </w:r>
      <w:r>
        <w:tab/>
        <w:t>Restriction on publication of certain information or material</w:t>
      </w:r>
      <w:bookmarkEnd w:id="1849"/>
      <w:bookmarkEnd w:id="1850"/>
      <w:bookmarkEnd w:id="1851"/>
      <w:bookmarkEnd w:id="1852"/>
    </w:p>
    <w:p>
      <w:pPr>
        <w:pStyle w:val="Subsection"/>
      </w:pPr>
      <w:r>
        <w:tab/>
        <w:t>(1)</w:t>
      </w:r>
      <w:r>
        <w:tab/>
        <w:t>In this section —</w:t>
      </w:r>
    </w:p>
    <w:p>
      <w:pPr>
        <w:pStyle w:val="Defstart"/>
      </w:pPr>
      <w:r>
        <w:rPr>
          <w:b/>
        </w:rPr>
        <w:tab/>
        <w:t>“</w:t>
      </w:r>
      <w:r>
        <w:rPr>
          <w:rStyle w:val="CharDefText"/>
        </w:rPr>
        <w:t>old order</w:t>
      </w:r>
      <w:r>
        <w:rPr>
          <w:b/>
        </w:rPr>
        <w:t>”</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b/>
        </w:rPr>
        <w:t>“</w:t>
      </w:r>
      <w:r>
        <w:rPr>
          <w:rStyle w:val="CharDefText"/>
        </w:rPr>
        <w:t>publish</w:t>
      </w:r>
      <w:r>
        <w:rPr>
          <w:b/>
        </w:rPr>
        <w:t>”</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b/>
        </w:rPr>
        <w:t>“</w:t>
      </w:r>
      <w:r>
        <w:rPr>
          <w:rStyle w:val="CharDefText"/>
        </w:rPr>
        <w:t>identified person</w:t>
      </w:r>
      <w:r>
        <w:rPr>
          <w:b/>
          <w:snapToGrid w:val="0"/>
        </w:rPr>
        <w:t>”</w:t>
      </w:r>
      <w:r>
        <w:t>) as —</w:t>
      </w:r>
    </w:p>
    <w:p>
      <w:pPr>
        <w:pStyle w:val="Indenta"/>
      </w:pPr>
      <w:r>
        <w:tab/>
        <w:t>(a)</w:t>
      </w:r>
      <w:r>
        <w:tab/>
        <w:t>a person who is or was a child the subject of an investigation referred to in section </w:t>
      </w:r>
      <w:bookmarkStart w:id="1853" w:name="_Hlt39909907"/>
      <w:r>
        <w:t>32(1)(d)</w:t>
      </w:r>
      <w:bookmarkEnd w:id="1853"/>
      <w:r>
        <w:t>;</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rPr>
          <w:b/>
          <w:i/>
          <w:sz w:val="20"/>
        </w:rPr>
      </w:pPr>
      <w:r>
        <w:tab/>
        <w:t>Penalty: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pPr>
      <w:r>
        <w:tab/>
        <w:t>(a)</w:t>
      </w:r>
      <w:r>
        <w:tab/>
        <w:t>by the identified person; or</w:t>
      </w:r>
    </w:p>
    <w:p>
      <w:pPr>
        <w:pStyle w:val="Indenta"/>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Heading5"/>
      </w:pPr>
      <w:bookmarkStart w:id="1854" w:name="_Toc85881451"/>
      <w:bookmarkStart w:id="1855" w:name="_Toc128368905"/>
      <w:bookmarkStart w:id="1856" w:name="_Toc140893571"/>
      <w:bookmarkStart w:id="1857" w:name="_Toc140394103"/>
      <w:r>
        <w:rPr>
          <w:rStyle w:val="CharSectno"/>
        </w:rPr>
        <w:t>238</w:t>
      </w:r>
      <w:r>
        <w:t>.</w:t>
      </w:r>
      <w:r>
        <w:tab/>
        <w:t>Production of departmental records</w:t>
      </w:r>
      <w:bookmarkEnd w:id="1854"/>
      <w:bookmarkEnd w:id="1855"/>
      <w:bookmarkEnd w:id="1856"/>
      <w:bookmarkEnd w:id="1857"/>
    </w:p>
    <w:p>
      <w:pPr>
        <w:pStyle w:val="Subsection"/>
      </w:pPr>
      <w:r>
        <w:tab/>
        <w:t>(1)</w:t>
      </w:r>
      <w:r>
        <w:tab/>
        <w:t>In this section —</w:t>
      </w:r>
    </w:p>
    <w:p>
      <w:pPr>
        <w:pStyle w:val="Defstart"/>
      </w:pPr>
      <w:r>
        <w:tab/>
      </w:r>
      <w:r>
        <w:rPr>
          <w:b/>
        </w:rPr>
        <w:t>“</w:t>
      </w:r>
      <w:r>
        <w:rPr>
          <w:rStyle w:val="CharDefText"/>
        </w:rPr>
        <w:t>departmental record</w:t>
      </w:r>
      <w:r>
        <w:rPr>
          <w:b/>
        </w:rPr>
        <w:t>”</w:t>
      </w:r>
      <w:r>
        <w:t xml:space="preserve"> means a document in the records of the Department that relates to a child, a child’s parent or a child’s carer.</w:t>
      </w:r>
    </w:p>
    <w:p>
      <w:pPr>
        <w:pStyle w:val="Subsection"/>
      </w:pPr>
      <w:r>
        <w:tab/>
        <w:t>(2)</w:t>
      </w:r>
      <w:r>
        <w:tab/>
        <w:t>This section applies if a party to any legal proceedings lawfully requires —</w:t>
      </w:r>
    </w:p>
    <w:p>
      <w:pPr>
        <w:pStyle w:val="Indenta"/>
      </w:pPr>
      <w:r>
        <w:tab/>
        <w:t>(a)</w:t>
      </w:r>
      <w:r>
        <w:tab/>
        <w:t>the CEO or another officer to produce to the party, or the court or tribunal concerned, a departmental record; or</w:t>
      </w:r>
    </w:p>
    <w:p>
      <w:pPr>
        <w:pStyle w:val="Indenta"/>
      </w:pPr>
      <w:r>
        <w:tab/>
        <w:t>(b)</w:t>
      </w:r>
      <w:r>
        <w:tab/>
        <w:t>an officer or employee of a public authority to produce to the party, or the court or tribunal concerned, a departmental record to which that public authority has been given access.</w:t>
      </w:r>
    </w:p>
    <w:p>
      <w:pPr>
        <w:pStyle w:val="Subsection"/>
      </w:pPr>
      <w:r>
        <w:tab/>
        <w:t>(3)</w:t>
      </w:r>
      <w:r>
        <w:tab/>
        <w:t>The party requiring production of the departmental record must describe the record —</w:t>
      </w:r>
    </w:p>
    <w:p>
      <w:pPr>
        <w:pStyle w:val="Indenta"/>
      </w:pPr>
      <w:r>
        <w:tab/>
        <w:t>(a)</w:t>
      </w:r>
      <w:r>
        <w:tab/>
        <w:t>by reference to the person or people to whom it relates;</w:t>
      </w:r>
    </w:p>
    <w:p>
      <w:pPr>
        <w:pStyle w:val="Indenta"/>
      </w:pPr>
      <w:r>
        <w:tab/>
        <w:t>(b)</w:t>
      </w:r>
      <w:r>
        <w:tab/>
        <w:t>by reference to the period to which it relates; and</w:t>
      </w:r>
    </w:p>
    <w:p>
      <w:pPr>
        <w:pStyle w:val="Indenta"/>
      </w:pPr>
      <w:r>
        <w:tab/>
        <w:t>(c)</w:t>
      </w:r>
      <w:r>
        <w:tab/>
        <w:t>by general reference to the circumstances to which it relates.</w:t>
      </w:r>
    </w:p>
    <w:p>
      <w:pPr>
        <w:pStyle w:val="Subsection"/>
      </w:pPr>
      <w:r>
        <w:tab/>
        <w:t>(4)</w:t>
      </w:r>
      <w:r>
        <w:tab/>
        <w:t>The party requiring production of the departmental record must show that the circumstances to which the departmental record relates are relevant to the proceedings.</w:t>
      </w:r>
    </w:p>
    <w:p>
      <w:pPr>
        <w:pStyle w:val="Subsection"/>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rPr>
          <w:b/>
          <w:i/>
          <w:sz w:val="20"/>
        </w:rPr>
      </w:pPr>
      <w:r>
        <w:tab/>
        <w:t>Penalty: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if the proceedings are in the Family Court —</w:t>
      </w:r>
      <w:ins w:id="1858" w:author="svcMRProcess" w:date="2018-08-21T09:48:00Z">
        <w:r>
          <w:t xml:space="preserve"> </w:t>
        </w:r>
      </w:ins>
    </w:p>
    <w:p>
      <w:pPr>
        <w:pStyle w:val="Indenti"/>
      </w:pPr>
      <w:r>
        <w:tab/>
        <w:t>(i)</w:t>
      </w:r>
      <w:r>
        <w:tab/>
        <w:t xml:space="preserve">a family </w:t>
      </w:r>
      <w:del w:id="1859" w:author="svcMRProcess" w:date="2018-08-21T09:48:00Z">
        <w:r>
          <w:delText>and child counsellor</w:delText>
        </w:r>
      </w:del>
      <w:ins w:id="1860" w:author="svcMRProcess" w:date="2018-08-21T09:48:00Z">
        <w:r>
          <w:t>consultant,</w:t>
        </w:r>
      </w:ins>
      <w:r>
        <w:t xml:space="preserve"> as defined in the </w:t>
      </w:r>
      <w:r>
        <w:rPr>
          <w:i/>
        </w:rPr>
        <w:t>Family Court Act 1997</w:t>
      </w:r>
      <w:r>
        <w:t>;</w:t>
      </w:r>
      <w:ins w:id="1861" w:author="svcMRProcess" w:date="2018-08-21T09:48:00Z">
        <w:r>
          <w:t xml:space="preserve"> or</w:t>
        </w:r>
      </w:ins>
    </w:p>
    <w:p>
      <w:pPr>
        <w:pStyle w:val="Indenti"/>
        <w:rPr>
          <w:del w:id="1862" w:author="svcMRProcess" w:date="2018-08-21T09:48:00Z"/>
        </w:rPr>
      </w:pPr>
      <w:r>
        <w:tab/>
        <w:t>(ii)</w:t>
      </w:r>
      <w:r>
        <w:tab/>
      </w:r>
      <w:del w:id="1863" w:author="svcMRProcess" w:date="2018-08-21T09:48:00Z">
        <w:r>
          <w:delText>a welfare officer as defined in that Act; or</w:delText>
        </w:r>
      </w:del>
    </w:p>
    <w:p>
      <w:pPr>
        <w:pStyle w:val="Indenti"/>
      </w:pPr>
      <w:del w:id="1864" w:author="svcMRProcess" w:date="2018-08-21T09:48:00Z">
        <w:r>
          <w:tab/>
          <w:delText>(iii)</w:delText>
        </w:r>
        <w:r>
          <w:tab/>
        </w:r>
      </w:del>
      <w:r>
        <w:t xml:space="preserve">any other person required or directed </w:t>
      </w:r>
      <w:del w:id="1865" w:author="svcMRProcess" w:date="2018-08-21T09:48:00Z">
        <w:r>
          <w:delText xml:space="preserve">under that Act </w:delText>
        </w:r>
      </w:del>
      <w:r>
        <w:t>to prepare a report on matters relevant to the proceedings</w:t>
      </w:r>
      <w:ins w:id="1866" w:author="svcMRProcess" w:date="2018-08-21T09:48:00Z">
        <w:r>
          <w:t xml:space="preserve">, under that Act or the </w:t>
        </w:r>
        <w:r>
          <w:rPr>
            <w:i/>
          </w:rPr>
          <w:t>Family Law Act 1975</w:t>
        </w:r>
        <w:r>
          <w:t xml:space="preserve"> of the Commonwealth</w:t>
        </w:r>
      </w:ins>
      <w:r>
        <w:t>;</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Footnotesection"/>
        <w:rPr>
          <w:ins w:id="1867" w:author="svcMRProcess" w:date="2018-08-21T09:48:00Z"/>
        </w:rPr>
      </w:pPr>
      <w:ins w:id="1868" w:author="svcMRProcess" w:date="2018-08-21T09:48:00Z">
        <w:r>
          <w:tab/>
          <w:t>[Section 238 amended by No. 35 of 2006 s. 203.]</w:t>
        </w:r>
      </w:ins>
    </w:p>
    <w:p>
      <w:pPr>
        <w:pStyle w:val="Heading5"/>
      </w:pPr>
      <w:bookmarkStart w:id="1869" w:name="_Toc85881452"/>
      <w:bookmarkStart w:id="1870" w:name="_Toc128368906"/>
      <w:bookmarkStart w:id="1871" w:name="_Toc140893572"/>
      <w:bookmarkStart w:id="1872" w:name="_Toc140394104"/>
      <w:r>
        <w:rPr>
          <w:rStyle w:val="CharSectno"/>
        </w:rPr>
        <w:t>239</w:t>
      </w:r>
      <w:r>
        <w:t>.</w:t>
      </w:r>
      <w:r>
        <w:tab/>
        <w:t>Objection to disclosure of certain information during proceedings</w:t>
      </w:r>
      <w:bookmarkEnd w:id="1869"/>
      <w:bookmarkEnd w:id="1870"/>
      <w:bookmarkEnd w:id="1871"/>
      <w:bookmarkEnd w:id="1872"/>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1873" w:name="_Hlt501936246"/>
      <w:bookmarkStart w:id="1874" w:name="_Toc85881453"/>
      <w:bookmarkStart w:id="1875" w:name="_Toc128368907"/>
      <w:bookmarkStart w:id="1876" w:name="_Toc140893573"/>
      <w:bookmarkStart w:id="1877" w:name="_Toc140394105"/>
      <w:bookmarkEnd w:id="1873"/>
      <w:r>
        <w:rPr>
          <w:rStyle w:val="CharSectno"/>
        </w:rPr>
        <w:t>240</w:t>
      </w:r>
      <w:r>
        <w:t>.</w:t>
      </w:r>
      <w:r>
        <w:tab/>
        <w:t>Confidentiality of notifier’s identity</w:t>
      </w:r>
      <w:bookmarkEnd w:id="1874"/>
      <w:bookmarkEnd w:id="1875"/>
      <w:bookmarkEnd w:id="1876"/>
      <w:bookmarkEnd w:id="1877"/>
    </w:p>
    <w:p>
      <w:pPr>
        <w:pStyle w:val="Subsection"/>
      </w:pPr>
      <w:r>
        <w:tab/>
        <w:t>(1)</w:t>
      </w:r>
      <w:r>
        <w:tab/>
        <w:t>In this section —</w:t>
      </w:r>
    </w:p>
    <w:p>
      <w:pPr>
        <w:pStyle w:val="Defstart"/>
      </w:pPr>
      <w:r>
        <w:tab/>
      </w:r>
      <w:r>
        <w:rPr>
          <w:b/>
        </w:rPr>
        <w:t>“</w:t>
      </w:r>
      <w:r>
        <w:rPr>
          <w:rStyle w:val="CharDefText"/>
        </w:rPr>
        <w:t>identifying information</w:t>
      </w:r>
      <w:r>
        <w:rPr>
          <w:b/>
        </w:rPr>
        <w:t>”</w:t>
      </w:r>
      <w:r>
        <w:t>, in relation to a notifier, means information —</w:t>
      </w:r>
    </w:p>
    <w:p>
      <w:pPr>
        <w:pStyle w:val="Defpara"/>
      </w:pPr>
      <w:r>
        <w:tab/>
        <w:t>(a)</w:t>
      </w:r>
      <w:r>
        <w:tab/>
        <w:t>that identifies the notifier;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t>“</w:t>
      </w:r>
      <w:r>
        <w:rPr>
          <w:rStyle w:val="CharDefText"/>
        </w:rPr>
        <w:t>notifier</w:t>
      </w:r>
      <w:r>
        <w:rPr>
          <w:b/>
        </w:rPr>
        <w:t>”</w:t>
      </w:r>
      <w:r>
        <w:t xml:space="preserve"> means a person who in good faith gives information, or causes information to be given, to the CEO or another officer that raises concerns about the wellbeing of a child.</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for the purpose of, or in connection with, performing functions under this Act;</w:t>
      </w:r>
    </w:p>
    <w:p>
      <w:pPr>
        <w:pStyle w:val="Indenti"/>
      </w:pPr>
      <w:r>
        <w:tab/>
        <w:t>(ii)</w:t>
      </w:r>
      <w:r>
        <w:tab/>
        <w:t>with the written consent of the notifier; or</w:t>
      </w:r>
    </w:p>
    <w:p>
      <w:pPr>
        <w:pStyle w:val="Indenti"/>
      </w:pPr>
      <w:r>
        <w:tab/>
        <w:t>(iii)</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rPr>
          <w:b/>
          <w:i/>
          <w:sz w:val="20"/>
        </w:rPr>
      </w:pPr>
      <w:r>
        <w:tab/>
        <w:t>Penalty: $24 000 and imprisonment for 2 years.</w:t>
      </w:r>
    </w:p>
    <w:p>
      <w:pPr>
        <w:pStyle w:val="Subsection"/>
      </w:pPr>
      <w:r>
        <w:tab/>
        <w:t>(3)</w:t>
      </w:r>
      <w:r>
        <w:tab/>
        <w:t>In any legal proceedings a person must not disclose, or be asked to disclose, identifying information in respect of a notifier unless leave of the court or tribunal concerned has first been obtained.</w:t>
      </w:r>
    </w:p>
    <w:p>
      <w:pPr>
        <w:pStyle w:val="Subsection"/>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Heading5"/>
      </w:pPr>
      <w:bookmarkStart w:id="1878" w:name="_Toc85881454"/>
      <w:bookmarkStart w:id="1879" w:name="_Toc128368908"/>
      <w:bookmarkStart w:id="1880" w:name="_Toc140893574"/>
      <w:bookmarkStart w:id="1881" w:name="_Toc140394106"/>
      <w:r>
        <w:rPr>
          <w:rStyle w:val="CharSectno"/>
        </w:rPr>
        <w:t>241</w:t>
      </w:r>
      <w:r>
        <w:t>.</w:t>
      </w:r>
      <w:r>
        <w:tab/>
        <w:t>Confidentiality of information</w:t>
      </w:r>
      <w:bookmarkEnd w:id="1878"/>
      <w:bookmarkEnd w:id="1879"/>
      <w:bookmarkEnd w:id="1880"/>
      <w:bookmarkEnd w:id="1881"/>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w:t>
      </w:r>
    </w:p>
    <w:p>
      <w:pPr>
        <w:pStyle w:val="Indenta"/>
      </w:pPr>
      <w:r>
        <w:tab/>
        <w:t>(b)</w:t>
      </w:r>
      <w:r>
        <w:tab/>
        <w:t>for the purpose of, or in connection with, providing social services under an agreement referred to in section 15(1);</w:t>
      </w:r>
    </w:p>
    <w:p>
      <w:pPr>
        <w:pStyle w:val="Indenta"/>
      </w:pPr>
      <w:r>
        <w:tab/>
        <w:t>(c)</w:t>
      </w:r>
      <w:r>
        <w:tab/>
        <w:t>for the purpose of the investigation of any suspected offence under this Act or the conduct of proceedings against any person for an offence under this Act;</w:t>
      </w:r>
    </w:p>
    <w:p>
      <w:pPr>
        <w:pStyle w:val="Indenta"/>
      </w:pPr>
      <w:r>
        <w:tab/>
        <w:t>(d)</w:t>
      </w:r>
      <w:r>
        <w:tab/>
        <w:t>for the purpose of protection proceedings;</w:t>
      </w:r>
    </w:p>
    <w:p>
      <w:pPr>
        <w:pStyle w:val="Indenta"/>
      </w:pPr>
      <w:r>
        <w:tab/>
        <w:t>(e)</w:t>
      </w:r>
      <w:r>
        <w:tab/>
        <w:t>as required or allowed under this Act or another written law;</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rPr>
          <w:b/>
          <w:i/>
          <w:sz w:val="20"/>
        </w:rPr>
      </w:pPr>
      <w:r>
        <w:tab/>
        <w:t>Penalty: $12 000 and imprisonment for one year.</w:t>
      </w:r>
    </w:p>
    <w:p>
      <w:pPr>
        <w:pStyle w:val="Subsection"/>
      </w:pPr>
      <w:r>
        <w:tab/>
        <w:t>(3)</w:t>
      </w:r>
      <w:r>
        <w:tab/>
        <w:t>Subsection (2) is not to be taken to permit the disclosure of identifying information as defined in section </w:t>
      </w:r>
      <w:bookmarkStart w:id="1882" w:name="_Hlt39910231"/>
      <w:r>
        <w:t>240</w:t>
      </w:r>
      <w:bookmarkEnd w:id="1882"/>
      <w:r>
        <w:t xml:space="preserve"> if its disclosure is prohibited under that section.</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Heading2"/>
      </w:pPr>
      <w:bookmarkStart w:id="1883" w:name="_Toc128301035"/>
      <w:bookmarkStart w:id="1884" w:name="_Toc128303063"/>
      <w:bookmarkStart w:id="1885" w:name="_Toc128366995"/>
      <w:bookmarkStart w:id="1886" w:name="_Toc128368909"/>
      <w:bookmarkStart w:id="1887" w:name="_Toc128369289"/>
      <w:bookmarkStart w:id="1888" w:name="_Toc128969626"/>
      <w:bookmarkStart w:id="1889" w:name="_Toc132620537"/>
      <w:bookmarkStart w:id="1890" w:name="_Toc140378165"/>
      <w:bookmarkStart w:id="1891" w:name="_Toc140394107"/>
      <w:bookmarkStart w:id="1892" w:name="_Toc140893575"/>
      <w:r>
        <w:rPr>
          <w:rStyle w:val="CharPartNo"/>
        </w:rPr>
        <w:t>Part 11</w:t>
      </w:r>
      <w:r>
        <w:rPr>
          <w:rStyle w:val="CharDivNo"/>
        </w:rPr>
        <w:t> </w:t>
      </w:r>
      <w:r>
        <w:t>—</w:t>
      </w:r>
      <w:r>
        <w:rPr>
          <w:rStyle w:val="CharDivText"/>
        </w:rPr>
        <w:t> </w:t>
      </w:r>
      <w:r>
        <w:rPr>
          <w:rStyle w:val="CharPartText"/>
        </w:rPr>
        <w:t>Other matters</w:t>
      </w:r>
      <w:bookmarkEnd w:id="1883"/>
      <w:bookmarkEnd w:id="1884"/>
      <w:bookmarkEnd w:id="1885"/>
      <w:bookmarkEnd w:id="1886"/>
      <w:bookmarkEnd w:id="1887"/>
      <w:bookmarkEnd w:id="1888"/>
      <w:bookmarkEnd w:id="1889"/>
      <w:bookmarkEnd w:id="1890"/>
      <w:bookmarkEnd w:id="1891"/>
      <w:bookmarkEnd w:id="1892"/>
    </w:p>
    <w:p>
      <w:pPr>
        <w:pStyle w:val="Heading5"/>
      </w:pPr>
      <w:bookmarkStart w:id="1893" w:name="_Toc438114783"/>
      <w:bookmarkStart w:id="1894" w:name="_Toc85881455"/>
      <w:bookmarkStart w:id="1895" w:name="_Toc128368910"/>
      <w:bookmarkStart w:id="1896" w:name="_Toc140893576"/>
      <w:bookmarkStart w:id="1897" w:name="_Toc140394108"/>
      <w:r>
        <w:rPr>
          <w:rStyle w:val="CharSectno"/>
        </w:rPr>
        <w:t>242</w:t>
      </w:r>
      <w:r>
        <w:t>.</w:t>
      </w:r>
      <w:r>
        <w:tab/>
        <w:t>Obstruction</w:t>
      </w:r>
      <w:bookmarkEnd w:id="1893"/>
      <w:bookmarkEnd w:id="1894"/>
      <w:bookmarkEnd w:id="1895"/>
      <w:bookmarkEnd w:id="1896"/>
      <w:bookmarkEnd w:id="1897"/>
    </w:p>
    <w:p>
      <w:pPr>
        <w:pStyle w:val="Subsection"/>
      </w:pPr>
      <w:r>
        <w:tab/>
      </w:r>
      <w:r>
        <w:tab/>
        <w:t>A person must not obstruct or hinder a person who is performing or attempting to perform a function under this Act.</w:t>
      </w:r>
    </w:p>
    <w:p>
      <w:pPr>
        <w:pStyle w:val="Penstart"/>
        <w:rPr>
          <w:b/>
          <w:i/>
          <w:sz w:val="20"/>
        </w:rPr>
      </w:pPr>
      <w:r>
        <w:tab/>
        <w:t>Penalty: $12 000 and imprisonment for one year.</w:t>
      </w:r>
    </w:p>
    <w:p>
      <w:pPr>
        <w:pStyle w:val="Heading5"/>
      </w:pPr>
      <w:bookmarkStart w:id="1898" w:name="_Toc438114784"/>
      <w:bookmarkStart w:id="1899" w:name="_Toc85881456"/>
      <w:bookmarkStart w:id="1900" w:name="_Toc128368911"/>
      <w:bookmarkStart w:id="1901" w:name="_Toc140893577"/>
      <w:bookmarkStart w:id="1902" w:name="_Toc140394109"/>
      <w:r>
        <w:rPr>
          <w:rStyle w:val="CharSectno"/>
        </w:rPr>
        <w:t>243</w:t>
      </w:r>
      <w:r>
        <w:t>.</w:t>
      </w:r>
      <w:r>
        <w:tab/>
        <w:t>Impersonating an officer</w:t>
      </w:r>
      <w:bookmarkEnd w:id="1898"/>
      <w:bookmarkEnd w:id="1899"/>
      <w:bookmarkEnd w:id="1900"/>
      <w:bookmarkEnd w:id="1901"/>
      <w:bookmarkEnd w:id="1902"/>
    </w:p>
    <w:p>
      <w:pPr>
        <w:pStyle w:val="Subsection"/>
      </w:pPr>
      <w:r>
        <w:tab/>
      </w:r>
      <w:r>
        <w:tab/>
        <w:t>A person must not falsely represent, by words or conduct, that a person is an authorised officer.</w:t>
      </w:r>
    </w:p>
    <w:p>
      <w:pPr>
        <w:pStyle w:val="Penstart"/>
        <w:rPr>
          <w:b/>
          <w:i/>
          <w:sz w:val="20"/>
        </w:rPr>
      </w:pPr>
      <w:r>
        <w:tab/>
        <w:t>Penalty: $12 000 and imprisonment for one year.</w:t>
      </w:r>
    </w:p>
    <w:p>
      <w:pPr>
        <w:pStyle w:val="Heading5"/>
      </w:pPr>
      <w:bookmarkStart w:id="1903" w:name="_Toc438114785"/>
      <w:bookmarkStart w:id="1904" w:name="_Toc85881457"/>
      <w:bookmarkStart w:id="1905" w:name="_Toc128368912"/>
      <w:bookmarkStart w:id="1906" w:name="_Toc140893578"/>
      <w:bookmarkStart w:id="1907" w:name="_Toc140394110"/>
      <w:r>
        <w:rPr>
          <w:rStyle w:val="CharSectno"/>
        </w:rPr>
        <w:t>244</w:t>
      </w:r>
      <w:r>
        <w:t>.</w:t>
      </w:r>
      <w:r>
        <w:tab/>
        <w:t>False information</w:t>
      </w:r>
      <w:bookmarkEnd w:id="1903"/>
      <w:bookmarkEnd w:id="1904"/>
      <w:bookmarkEnd w:id="1905"/>
      <w:bookmarkEnd w:id="1906"/>
      <w:bookmarkEnd w:id="1907"/>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$6 000.</w:t>
      </w:r>
    </w:p>
    <w:p>
      <w:pPr>
        <w:pStyle w:val="Heading5"/>
        <w:rPr>
          <w:rStyle w:val="CharSectno"/>
        </w:rPr>
      </w:pPr>
      <w:bookmarkStart w:id="1908" w:name="_Toc140893579"/>
      <w:bookmarkStart w:id="1909" w:name="_Toc140394111"/>
      <w:r>
        <w:rPr>
          <w:rStyle w:val="CharSectno"/>
        </w:rPr>
        <w:t>245.</w:t>
      </w:r>
      <w:r>
        <w:rPr>
          <w:rStyle w:val="CharSectno"/>
        </w:rPr>
        <w:tab/>
        <w:t>Legal proceedings</w:t>
      </w:r>
      <w:bookmarkEnd w:id="1908"/>
      <w:bookmarkEnd w:id="1909"/>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1910" w:name="_Toc85881459"/>
      <w:bookmarkStart w:id="1911" w:name="_Toc128368914"/>
      <w:bookmarkStart w:id="1912" w:name="_Toc140893580"/>
      <w:bookmarkStart w:id="1913" w:name="_Toc140394112"/>
      <w:r>
        <w:rPr>
          <w:rStyle w:val="CharSectno"/>
        </w:rPr>
        <w:t>246</w:t>
      </w:r>
      <w:r>
        <w:t>.</w:t>
      </w:r>
      <w:r>
        <w:tab/>
        <w:t>Protection from liability for wrongdoing</w:t>
      </w:r>
      <w:bookmarkEnd w:id="1910"/>
      <w:bookmarkEnd w:id="1911"/>
      <w:bookmarkEnd w:id="1912"/>
      <w:bookmarkEnd w:id="1913"/>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1914" w:name="_Hlt521896370"/>
      <w:bookmarkStart w:id="1915" w:name="_Toc85881460"/>
      <w:bookmarkStart w:id="1916" w:name="_Toc128368915"/>
      <w:bookmarkStart w:id="1917" w:name="_Toc140893581"/>
      <w:bookmarkStart w:id="1918" w:name="_Toc140394113"/>
      <w:bookmarkEnd w:id="1914"/>
      <w:r>
        <w:rPr>
          <w:rStyle w:val="CharSectno"/>
        </w:rPr>
        <w:t>247</w:t>
      </w:r>
      <w:r>
        <w:t>.</w:t>
      </w:r>
      <w:r>
        <w:tab/>
        <w:t>Effect of provision requiring document to be given to particular person or child</w:t>
      </w:r>
      <w:bookmarkEnd w:id="1915"/>
      <w:bookmarkEnd w:id="1916"/>
      <w:bookmarkEnd w:id="1917"/>
      <w:bookmarkEnd w:id="1918"/>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 xml:space="preserve">Section 154 </w:t>
      </w:r>
      <w:r>
        <w:rPr>
          <w:sz w:val="16"/>
        </w:rPr>
        <w:t>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1919" w:name="_Toc438114787"/>
      <w:bookmarkStart w:id="1920" w:name="_Toc85881461"/>
      <w:bookmarkStart w:id="1921" w:name="_Toc128368916"/>
      <w:bookmarkStart w:id="1922" w:name="_Toc140893582"/>
      <w:bookmarkStart w:id="1923" w:name="_Toc140394114"/>
      <w:r>
        <w:rPr>
          <w:rStyle w:val="CharSectno"/>
        </w:rPr>
        <w:t>248</w:t>
      </w:r>
      <w:r>
        <w:t>.</w:t>
      </w:r>
      <w:r>
        <w:tab/>
        <w:t>Regulations</w:t>
      </w:r>
      <w:bookmarkEnd w:id="1919"/>
      <w:bookmarkEnd w:id="1920"/>
      <w:bookmarkEnd w:id="1921"/>
      <w:bookmarkEnd w:id="1922"/>
      <w:bookmarkEnd w:id="1923"/>
    </w:p>
    <w:p>
      <w:pPr>
        <w:pStyle w:val="Subsection"/>
      </w:pPr>
      <w:r>
        <w:tab/>
      </w:r>
      <w:bookmarkStart w:id="1924" w:name="_Hlt39908760"/>
      <w:bookmarkEnd w:id="1924"/>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1925" w:name="_Toc438114788"/>
      <w:bookmarkStart w:id="1926" w:name="_Toc85881462"/>
      <w:bookmarkStart w:id="1927" w:name="_Toc128368917"/>
      <w:bookmarkStart w:id="1928" w:name="_Toc140893583"/>
      <w:bookmarkStart w:id="1929" w:name="_Toc140394115"/>
      <w:r>
        <w:rPr>
          <w:rStyle w:val="CharSectno"/>
        </w:rPr>
        <w:t>249</w:t>
      </w:r>
      <w:r>
        <w:t>.</w:t>
      </w:r>
      <w:r>
        <w:tab/>
        <w:t>Review of Act</w:t>
      </w:r>
      <w:bookmarkEnd w:id="1925"/>
      <w:bookmarkEnd w:id="1926"/>
      <w:bookmarkEnd w:id="1927"/>
      <w:bookmarkEnd w:id="1928"/>
      <w:bookmarkEnd w:id="1929"/>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each review under subsection (1) and, as soon as is practicable after the report is prepared (and in any event not more than 12 months after the relevant anniversary or expiry), must cause it to be laid before each House of Parliament.</w:t>
      </w:r>
    </w:p>
    <w:p>
      <w:pPr>
        <w:pStyle w:val="Heading5"/>
      </w:pPr>
      <w:bookmarkStart w:id="1930" w:name="_Hlt55633017"/>
      <w:bookmarkStart w:id="1931" w:name="_Toc85881463"/>
      <w:bookmarkStart w:id="1932" w:name="_Toc128368918"/>
      <w:bookmarkStart w:id="1933" w:name="_Toc140893584"/>
      <w:bookmarkStart w:id="1934" w:name="_Toc140394116"/>
      <w:bookmarkEnd w:id="1930"/>
      <w:r>
        <w:rPr>
          <w:rStyle w:val="CharSectno"/>
        </w:rPr>
        <w:t>250</w:t>
      </w:r>
      <w:r>
        <w:t>.</w:t>
      </w:r>
      <w:r>
        <w:tab/>
        <w:t>Repeal, transitional and savings provisions</w:t>
      </w:r>
      <w:bookmarkEnd w:id="1931"/>
      <w:bookmarkEnd w:id="1932"/>
      <w:bookmarkEnd w:id="1933"/>
      <w:bookmarkEnd w:id="1934"/>
    </w:p>
    <w:p>
      <w:pPr>
        <w:pStyle w:val="Subsection"/>
      </w:pPr>
      <w:r>
        <w:tab/>
      </w:r>
      <w:bookmarkStart w:id="1935" w:name="_Hlt55630119"/>
      <w:bookmarkEnd w:id="1935"/>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has effect in relation to the repeals effected by subsection (1).</w:t>
      </w:r>
    </w:p>
    <w:p>
      <w:pPr>
        <w:pStyle w:val="Heading5"/>
      </w:pPr>
      <w:bookmarkStart w:id="1936" w:name="_Toc85881464"/>
      <w:bookmarkStart w:id="1937" w:name="_Toc128368919"/>
      <w:bookmarkStart w:id="1938" w:name="_Toc140893585"/>
      <w:bookmarkStart w:id="1939" w:name="_Toc140394117"/>
      <w:r>
        <w:rPr>
          <w:rStyle w:val="CharSectno"/>
        </w:rPr>
        <w:t>251</w:t>
      </w:r>
      <w:r>
        <w:t>.</w:t>
      </w:r>
      <w:r>
        <w:tab/>
      </w:r>
      <w:bookmarkStart w:id="1940" w:name="_Toc55275771"/>
      <w:r>
        <w:t>Other Acts amended</w:t>
      </w:r>
      <w:bookmarkEnd w:id="1936"/>
      <w:bookmarkEnd w:id="1937"/>
      <w:bookmarkEnd w:id="1938"/>
      <w:bookmarkEnd w:id="1940"/>
      <w:bookmarkEnd w:id="1939"/>
    </w:p>
    <w:p>
      <w:pPr>
        <w:pStyle w:val="Subsection"/>
      </w:pPr>
      <w:r>
        <w:tab/>
      </w:r>
      <w:r>
        <w:tab/>
        <w:t>Other Acts are amended as set out in Schedule </w:t>
      </w:r>
      <w:bookmarkStart w:id="1941" w:name="_Hlt55630175"/>
      <w:r>
        <w:t>2</w:t>
      </w:r>
      <w:bookmarkEnd w:id="1941"/>
      <w:r>
        <w:t>.</w:t>
      </w:r>
    </w:p>
    <w:p>
      <w:pPr>
        <w:pStyle w:val="Subsection"/>
        <w:sectPr>
          <w:headerReference w:type="even" r:id="rId15"/>
          <w:headerReference w:type="default" r:id="rId16"/>
          <w:footerReference w:type="even" r:id="rId17"/>
          <w:footerReference w:type="default" r:id="rId18"/>
          <w:footerReference w:type="first" r:id="rId19"/>
          <w:pgSz w:w="11907" w:h="16840" w:code="9"/>
          <w:pgMar w:top="2381" w:right="2410" w:bottom="3544" w:left="2410" w:header="720" w:footer="3380" w:gutter="0"/>
          <w:pgNumType w:start="1"/>
          <w:cols w:space="720"/>
          <w:titlePg/>
          <w:docGrid w:linePitch="326"/>
        </w:sectPr>
      </w:pPr>
    </w:p>
    <w:p>
      <w:pPr>
        <w:pStyle w:val="yScheduleHeading"/>
      </w:pPr>
      <w:bookmarkStart w:id="1942" w:name="_Toc128368920"/>
      <w:bookmarkStart w:id="1943" w:name="_Toc128369300"/>
      <w:bookmarkStart w:id="1944" w:name="_Toc128969637"/>
      <w:bookmarkStart w:id="1945" w:name="_Toc132620548"/>
      <w:bookmarkStart w:id="1946" w:name="_Toc140378176"/>
      <w:bookmarkStart w:id="1947" w:name="_Toc140394118"/>
      <w:bookmarkStart w:id="1948" w:name="_Toc140893586"/>
      <w:r>
        <w:rPr>
          <w:rStyle w:val="CharSchNo"/>
        </w:rPr>
        <w:t xml:space="preserve">Schedule </w:t>
      </w:r>
      <w:bookmarkStart w:id="1949" w:name="_Hlt55630156"/>
      <w:bookmarkEnd w:id="1949"/>
      <w:r>
        <w:rPr>
          <w:rStyle w:val="CharSchNo"/>
        </w:rPr>
        <w:t>1</w:t>
      </w:r>
      <w:r>
        <w:t xml:space="preserve"> — </w:t>
      </w:r>
      <w:r>
        <w:rPr>
          <w:rStyle w:val="CharSchText"/>
        </w:rPr>
        <w:t>Transitional and savings provisions</w:t>
      </w:r>
      <w:bookmarkEnd w:id="1942"/>
      <w:bookmarkEnd w:id="1943"/>
      <w:bookmarkEnd w:id="1944"/>
      <w:bookmarkEnd w:id="1945"/>
      <w:bookmarkEnd w:id="1946"/>
      <w:bookmarkEnd w:id="1947"/>
      <w:bookmarkEnd w:id="1948"/>
    </w:p>
    <w:p>
      <w:pPr>
        <w:pStyle w:val="yShoulderClause"/>
      </w:pPr>
      <w:r>
        <w:t>[s. 250(3)]</w:t>
      </w:r>
    </w:p>
    <w:p>
      <w:pPr>
        <w:pStyle w:val="yHeading3"/>
      </w:pPr>
      <w:bookmarkStart w:id="1950" w:name="_Toc55626264"/>
      <w:bookmarkStart w:id="1951" w:name="_Toc128368921"/>
      <w:bookmarkStart w:id="1952" w:name="_Toc128369301"/>
      <w:bookmarkStart w:id="1953" w:name="_Toc128969638"/>
      <w:bookmarkStart w:id="1954" w:name="_Toc132620549"/>
      <w:bookmarkStart w:id="1955" w:name="_Toc140378177"/>
      <w:bookmarkStart w:id="1956" w:name="_Toc140394119"/>
      <w:bookmarkStart w:id="1957" w:name="_Toc140893587"/>
      <w:r>
        <w:rPr>
          <w:rStyle w:val="CharSDivNo"/>
        </w:rPr>
        <w:t>Division 1</w:t>
      </w:r>
      <w:r>
        <w:rPr>
          <w:b w:val="0"/>
        </w:rPr>
        <w:t> — </w:t>
      </w:r>
      <w:r>
        <w:rPr>
          <w:rStyle w:val="CharSDivText"/>
        </w:rPr>
        <w:t>Introductory matters</w:t>
      </w:r>
      <w:bookmarkEnd w:id="1950"/>
      <w:bookmarkEnd w:id="1951"/>
      <w:bookmarkEnd w:id="1952"/>
      <w:bookmarkEnd w:id="1953"/>
      <w:bookmarkEnd w:id="1954"/>
      <w:bookmarkEnd w:id="1955"/>
      <w:bookmarkEnd w:id="1956"/>
      <w:bookmarkEnd w:id="1957"/>
    </w:p>
    <w:p>
      <w:pPr>
        <w:pStyle w:val="yHeading5"/>
        <w:outlineLvl w:val="9"/>
      </w:pPr>
      <w:bookmarkStart w:id="1958" w:name="_Toc55626265"/>
      <w:bookmarkStart w:id="1959" w:name="_Toc85881465"/>
      <w:bookmarkStart w:id="1960" w:name="_Toc128368922"/>
      <w:bookmarkStart w:id="1961" w:name="_Toc140893588"/>
      <w:bookmarkStart w:id="1962" w:name="_Toc140394120"/>
      <w:r>
        <w:rPr>
          <w:rStyle w:val="CharSClsNo"/>
        </w:rPr>
        <w:t>1</w:t>
      </w:r>
      <w:r>
        <w:t>.</w:t>
      </w:r>
      <w:r>
        <w:tab/>
        <w:t>Meaning of terms used in this Schedule</w:t>
      </w:r>
      <w:bookmarkEnd w:id="1958"/>
      <w:bookmarkEnd w:id="1959"/>
      <w:bookmarkEnd w:id="1960"/>
      <w:bookmarkEnd w:id="1961"/>
      <w:bookmarkEnd w:id="1962"/>
    </w:p>
    <w:p>
      <w:pPr>
        <w:pStyle w:val="ySubsection"/>
      </w:pPr>
      <w:r>
        <w:tab/>
      </w:r>
      <w:r>
        <w:tab/>
        <w:t xml:space="preserve">In this Schedule, unless the contrary intention appears — </w:t>
      </w:r>
    </w:p>
    <w:p>
      <w:pPr>
        <w:pStyle w:val="yDefstart"/>
      </w:pPr>
      <w:r>
        <w:rPr>
          <w:b/>
        </w:rPr>
        <w:tab/>
        <w:t>“</w:t>
      </w:r>
      <w:r>
        <w:rPr>
          <w:rStyle w:val="CharDefText"/>
        </w:rPr>
        <w:t>authorisation</w:t>
      </w:r>
      <w:r>
        <w:rPr>
          <w:b/>
        </w:rPr>
        <w:t>”</w:t>
      </w:r>
      <w:r>
        <w:t xml:space="preserve"> means — </w:t>
      </w:r>
    </w:p>
    <w:p>
      <w:pPr>
        <w:pStyle w:val="yDefpara"/>
      </w:pPr>
      <w:r>
        <w:tab/>
        <w:t>(a)</w:t>
      </w:r>
      <w:r>
        <w:tab/>
        <w:t xml:space="preserve">an approval under the </w:t>
      </w:r>
      <w:r>
        <w:rPr>
          <w:i/>
        </w:rPr>
        <w:t>Child Welfare Act 1947</w:t>
      </w:r>
      <w:r>
        <w:t xml:space="preserve"> section 111; or</w:t>
      </w:r>
    </w:p>
    <w:p>
      <w:pPr>
        <w:pStyle w:val="yDefpara"/>
      </w:pPr>
      <w:r>
        <w:tab/>
        <w:t>(b)</w:t>
      </w:r>
      <w:r>
        <w:tab/>
        <w:t xml:space="preserve">a licence under the </w:t>
      </w:r>
      <w:r>
        <w:rPr>
          <w:i/>
        </w:rPr>
        <w:t>Child Welfare Act 1947</w:t>
      </w:r>
      <w:r>
        <w:t xml:space="preserve"> section 112;</w:t>
      </w:r>
    </w:p>
    <w:p>
      <w:pPr>
        <w:pStyle w:val="yDefstart"/>
      </w:pPr>
      <w:r>
        <w:rPr>
          <w:b/>
        </w:rPr>
        <w:tab/>
        <w:t>“</w:t>
      </w:r>
      <w:r>
        <w:rPr>
          <w:rStyle w:val="CharDefText"/>
        </w:rPr>
        <w:t>commencement day</w:t>
      </w:r>
      <w:r>
        <w:rPr>
          <w:b/>
        </w:rPr>
        <w:t>”</w:t>
      </w:r>
      <w:r>
        <w:t xml:space="preserve"> means the day on which section 250 comes into operation;</w:t>
      </w:r>
    </w:p>
    <w:p>
      <w:pPr>
        <w:pStyle w:val="yDefstart"/>
      </w:pPr>
      <w:r>
        <w:rPr>
          <w:b/>
        </w:rPr>
        <w:tab/>
        <w:t>“</w:t>
      </w:r>
      <w:r>
        <w:rPr>
          <w:rStyle w:val="CharDefText"/>
        </w:rPr>
        <w:t>existing appeal</w:t>
      </w:r>
      <w:r>
        <w:rPr>
          <w:b/>
        </w:rPr>
        <w:t>”</w:t>
      </w:r>
      <w:r>
        <w:t xml:space="preserve"> means an appeal under the </w:t>
      </w:r>
      <w:r>
        <w:rPr>
          <w:i/>
        </w:rPr>
        <w:t>Children’s Court of Western Australia Act 1988</w:t>
      </w:r>
      <w:r>
        <w:t xml:space="preserve"> section 42(1) or 43(4) that has not been finally determined before commencement day;</w:t>
      </w:r>
    </w:p>
    <w:p>
      <w:pPr>
        <w:pStyle w:val="yDefstart"/>
      </w:pPr>
      <w:r>
        <w:rPr>
          <w:b/>
        </w:rPr>
        <w:tab/>
        <w:t>“</w:t>
      </w:r>
      <w:r>
        <w:rPr>
          <w:rStyle w:val="CharDefText"/>
        </w:rPr>
        <w:t>existing order</w:t>
      </w:r>
      <w:r>
        <w:rPr>
          <w:b/>
        </w:rPr>
        <w:t>”</w:t>
      </w:r>
      <w:r>
        <w:t xml:space="preserve"> means an order made under the </w:t>
      </w:r>
      <w:r>
        <w:rPr>
          <w:i/>
        </w:rPr>
        <w:t>Child Welfare Act 1947</w:t>
      </w:r>
      <w:r>
        <w:t xml:space="preserve"> section 30 that is in force immediately before commencement day;</w:t>
      </w:r>
    </w:p>
    <w:p>
      <w:pPr>
        <w:pStyle w:val="yDefstart"/>
      </w:pPr>
      <w:r>
        <w:rPr>
          <w:b/>
        </w:rPr>
        <w:tab/>
        <w:t>“</w:t>
      </w:r>
      <w:r>
        <w:rPr>
          <w:rStyle w:val="CharDefText"/>
        </w:rPr>
        <w:t>existing proceedings</w:t>
      </w:r>
      <w:r>
        <w:rPr>
          <w:b/>
        </w:rPr>
        <w:t>”</w:t>
      </w:r>
      <w:r>
        <w:t xml:space="preserve"> means proceedings under the </w:t>
      </w:r>
      <w:r>
        <w:rPr>
          <w:i/>
        </w:rPr>
        <w:t>Child Welfare Act 1947</w:t>
      </w:r>
      <w:r>
        <w:t xml:space="preserve"> section 30 that have not been finally determined before commencement day;</w:t>
      </w:r>
    </w:p>
    <w:p>
      <w:pPr>
        <w:pStyle w:val="yDefstart"/>
      </w:pPr>
      <w:r>
        <w:rPr>
          <w:b/>
        </w:rPr>
        <w:tab/>
        <w:t>“</w:t>
      </w:r>
      <w:r>
        <w:rPr>
          <w:rStyle w:val="CharDefText"/>
        </w:rPr>
        <w:t>extended order</w:t>
      </w:r>
      <w:r>
        <w:rPr>
          <w:b/>
        </w:rPr>
        <w:t>”</w:t>
      </w:r>
      <w:r>
        <w:t xml:space="preserve"> means an existing order that applies to a child after the child reaches 18 years of age because of an extension under the </w:t>
      </w:r>
      <w:r>
        <w:rPr>
          <w:i/>
        </w:rPr>
        <w:t>Child Welfare Act 1947</w:t>
      </w:r>
      <w:r>
        <w:t xml:space="preserve"> section 49(1);</w:t>
      </w:r>
    </w:p>
    <w:p>
      <w:pPr>
        <w:pStyle w:val="yDefstart"/>
      </w:pPr>
      <w:r>
        <w:rPr>
          <w:b/>
        </w:rPr>
        <w:tab/>
        <w:t>“</w:t>
      </w:r>
      <w:r>
        <w:rPr>
          <w:rStyle w:val="CharDefText"/>
        </w:rPr>
        <w:t>repealed Act</w:t>
      </w:r>
      <w:r>
        <w:rPr>
          <w:b/>
        </w:rPr>
        <w:t>”</w:t>
      </w:r>
      <w:r>
        <w:t xml:space="preserve"> means an Act repealed by section 250.</w:t>
      </w:r>
    </w:p>
    <w:p>
      <w:pPr>
        <w:pStyle w:val="yHeading5"/>
      </w:pPr>
      <w:bookmarkStart w:id="1963" w:name="_Toc55626266"/>
      <w:bookmarkStart w:id="1964" w:name="_Toc85881466"/>
      <w:bookmarkStart w:id="1965" w:name="_Toc128368923"/>
      <w:bookmarkStart w:id="1966" w:name="_Toc140893589"/>
      <w:bookmarkStart w:id="1967" w:name="_Toc140394121"/>
      <w:r>
        <w:rPr>
          <w:rStyle w:val="CharSClsNo"/>
        </w:rPr>
        <w:t>2</w:t>
      </w:r>
      <w:r>
        <w:t>.</w:t>
      </w:r>
      <w:r>
        <w:tab/>
      </w:r>
      <w:r>
        <w:rPr>
          <w:i/>
        </w:rPr>
        <w:t>Interpretation Act 1984</w:t>
      </w:r>
      <w:r>
        <w:t xml:space="preserve"> not affected</w:t>
      </w:r>
      <w:bookmarkEnd w:id="1963"/>
      <w:bookmarkEnd w:id="1964"/>
      <w:bookmarkEnd w:id="1965"/>
      <w:bookmarkEnd w:id="1966"/>
      <w:bookmarkEnd w:id="1967"/>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1968" w:name="_Toc55626267"/>
      <w:bookmarkStart w:id="1969" w:name="_Toc128368924"/>
      <w:bookmarkStart w:id="1970" w:name="_Toc128369304"/>
      <w:bookmarkStart w:id="1971" w:name="_Toc128969641"/>
      <w:bookmarkStart w:id="1972" w:name="_Toc132620552"/>
      <w:bookmarkStart w:id="1973" w:name="_Toc140378180"/>
      <w:bookmarkStart w:id="1974" w:name="_Toc140394122"/>
      <w:bookmarkStart w:id="1975" w:name="_Toc140893590"/>
      <w:r>
        <w:rPr>
          <w:rStyle w:val="CharSDivNo"/>
        </w:rPr>
        <w:t>Division 2 </w:t>
      </w:r>
      <w:r>
        <w:rPr>
          <w:b w:val="0"/>
        </w:rPr>
        <w:t>— </w:t>
      </w:r>
      <w:r>
        <w:rPr>
          <w:rStyle w:val="CharSDivText"/>
        </w:rPr>
        <w:t xml:space="preserve">Provisions related to repeal of </w:t>
      </w:r>
      <w:r>
        <w:rPr>
          <w:rStyle w:val="CharSDivText"/>
          <w:i/>
        </w:rPr>
        <w:t>Child Welfare Act 1947</w:t>
      </w:r>
      <w:bookmarkEnd w:id="1968"/>
      <w:bookmarkEnd w:id="1969"/>
      <w:bookmarkEnd w:id="1970"/>
      <w:bookmarkEnd w:id="1971"/>
      <w:bookmarkEnd w:id="1972"/>
      <w:bookmarkEnd w:id="1973"/>
      <w:bookmarkEnd w:id="1974"/>
      <w:bookmarkEnd w:id="1975"/>
    </w:p>
    <w:p>
      <w:pPr>
        <w:pStyle w:val="yHeading5"/>
      </w:pPr>
      <w:bookmarkStart w:id="1976" w:name="_Toc55626268"/>
      <w:bookmarkStart w:id="1977" w:name="_Toc85881467"/>
      <w:bookmarkStart w:id="1978" w:name="_Toc128368925"/>
      <w:bookmarkStart w:id="1979" w:name="_Toc140893591"/>
      <w:bookmarkStart w:id="1980" w:name="_Toc140394123"/>
      <w:r>
        <w:rPr>
          <w:rStyle w:val="CharSClsNo"/>
        </w:rPr>
        <w:t>3</w:t>
      </w:r>
      <w:r>
        <w:t>.</w:t>
      </w:r>
      <w:r>
        <w:tab/>
        <w:t>Existing orders</w:t>
      </w:r>
      <w:bookmarkEnd w:id="1976"/>
      <w:bookmarkEnd w:id="1977"/>
      <w:bookmarkEnd w:id="1978"/>
      <w:bookmarkEnd w:id="1979"/>
      <w:bookmarkEnd w:id="1980"/>
    </w:p>
    <w:p>
      <w:pPr>
        <w:pStyle w:val="ySubsection"/>
      </w:pPr>
      <w:r>
        <w:tab/>
      </w:r>
      <w:bookmarkStart w:id="1981" w:name="_Hlt55633086"/>
      <w:bookmarkEnd w:id="1981"/>
      <w:r>
        <w:t>(1)</w:t>
      </w:r>
      <w:r>
        <w:tab/>
        <w:t>On and after commencement day an existing order that applies to a child until the child reaches 18 years of age has effect as if it were a protection order (until 18).</w:t>
      </w:r>
    </w:p>
    <w:p>
      <w:pPr>
        <w:pStyle w:val="ySubsection"/>
      </w:pPr>
      <w:r>
        <w:tab/>
      </w:r>
      <w:bookmarkStart w:id="1982" w:name="_Hlt55633120"/>
      <w:bookmarkEnd w:id="1982"/>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1983" w:name="_Toc55626269"/>
      <w:bookmarkStart w:id="1984" w:name="_Toc85881468"/>
      <w:bookmarkStart w:id="1985" w:name="_Toc128368926"/>
      <w:bookmarkStart w:id="1986" w:name="_Toc140893592"/>
      <w:bookmarkStart w:id="1987" w:name="_Toc140394124"/>
      <w:r>
        <w:rPr>
          <w:rStyle w:val="CharSClsNo"/>
        </w:rPr>
        <w:t>4</w:t>
      </w:r>
      <w:r>
        <w:t>.</w:t>
      </w:r>
      <w:r>
        <w:tab/>
        <w:t>Extended orders</w:t>
      </w:r>
      <w:bookmarkEnd w:id="1983"/>
      <w:bookmarkEnd w:id="1984"/>
      <w:bookmarkEnd w:id="1985"/>
      <w:bookmarkEnd w:id="1986"/>
      <w:bookmarkEnd w:id="1987"/>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1988" w:name="_Toc55626270"/>
      <w:bookmarkStart w:id="1989" w:name="_Toc85881469"/>
      <w:bookmarkStart w:id="1990" w:name="_Toc128368927"/>
      <w:bookmarkStart w:id="1991" w:name="_Toc140893593"/>
      <w:bookmarkStart w:id="1992" w:name="_Toc140394125"/>
      <w:r>
        <w:rPr>
          <w:rStyle w:val="CharSClsNo"/>
        </w:rPr>
        <w:t>5</w:t>
      </w:r>
      <w:r>
        <w:rPr>
          <w:rStyle w:val="CharSectno"/>
        </w:rPr>
        <w:t>.</w:t>
      </w:r>
      <w:r>
        <w:rPr>
          <w:rStyle w:val="CharSectno"/>
        </w:rPr>
        <w:tab/>
      </w:r>
      <w:r>
        <w:t>Existing proceedings</w:t>
      </w:r>
      <w:bookmarkEnd w:id="1988"/>
      <w:bookmarkEnd w:id="1989"/>
      <w:bookmarkEnd w:id="1990"/>
      <w:bookmarkEnd w:id="1991"/>
      <w:bookmarkEnd w:id="1992"/>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1993" w:name="_Hlt55633221"/>
      <w:bookmarkEnd w:id="1993"/>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1994" w:name="_Toc55626271"/>
      <w:bookmarkStart w:id="1995" w:name="_Toc85881470"/>
      <w:bookmarkStart w:id="1996" w:name="_Toc128368928"/>
      <w:bookmarkStart w:id="1997" w:name="_Toc140893594"/>
      <w:bookmarkStart w:id="1998" w:name="_Toc140394126"/>
      <w:r>
        <w:rPr>
          <w:rStyle w:val="CharSClsNo"/>
        </w:rPr>
        <w:t>6</w:t>
      </w:r>
      <w:r>
        <w:t>.</w:t>
      </w:r>
      <w:r>
        <w:tab/>
        <w:t>Existing appeals</w:t>
      </w:r>
      <w:bookmarkEnd w:id="1994"/>
      <w:bookmarkEnd w:id="1995"/>
      <w:bookmarkEnd w:id="1996"/>
      <w:bookmarkEnd w:id="1997"/>
      <w:bookmarkEnd w:id="1998"/>
    </w:p>
    <w:p>
      <w:pPr>
        <w:pStyle w:val="ySubsection"/>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1999" w:name="_Hlt55633322"/>
      <w:bookmarkEnd w:id="1999"/>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2000" w:name="_Toc55626272"/>
      <w:bookmarkStart w:id="2001" w:name="_Toc85881471"/>
      <w:bookmarkStart w:id="2002" w:name="_Toc128368929"/>
      <w:bookmarkStart w:id="2003" w:name="_Toc140893595"/>
      <w:bookmarkStart w:id="2004" w:name="_Toc140394127"/>
      <w:r>
        <w:rPr>
          <w:rStyle w:val="CharSClsNo"/>
        </w:rPr>
        <w:t>7</w:t>
      </w:r>
      <w:r>
        <w:t>.</w:t>
      </w:r>
      <w:r>
        <w:tab/>
        <w:t>Records under s. 11</w:t>
      </w:r>
      <w:bookmarkEnd w:id="2000"/>
      <w:bookmarkEnd w:id="2001"/>
      <w:bookmarkEnd w:id="2002"/>
      <w:bookmarkEnd w:id="2003"/>
      <w:bookmarkEnd w:id="2004"/>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2005" w:name="_Toc55626273"/>
      <w:bookmarkStart w:id="2006" w:name="_Toc85881472"/>
      <w:bookmarkStart w:id="2007" w:name="_Toc128368930"/>
      <w:bookmarkStart w:id="2008" w:name="_Toc140893596"/>
      <w:bookmarkStart w:id="2009" w:name="_Toc140394128"/>
      <w:r>
        <w:rPr>
          <w:rStyle w:val="CharSClsNo"/>
        </w:rPr>
        <w:t>8</w:t>
      </w:r>
      <w:r>
        <w:t>.</w:t>
      </w:r>
      <w:r>
        <w:tab/>
        <w:t>Operation of orders under s. 13 or 14</w:t>
      </w:r>
      <w:bookmarkEnd w:id="2005"/>
      <w:bookmarkEnd w:id="2006"/>
      <w:bookmarkEnd w:id="2007"/>
      <w:bookmarkEnd w:id="2008"/>
      <w:bookmarkEnd w:id="2009"/>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2010" w:name="_Toc55626276"/>
      <w:bookmarkStart w:id="2011" w:name="_Toc85881473"/>
      <w:bookmarkStart w:id="2012" w:name="_Toc128368931"/>
      <w:bookmarkStart w:id="2013" w:name="_Toc140893597"/>
      <w:bookmarkStart w:id="2014" w:name="_Toc140394129"/>
      <w:r>
        <w:rPr>
          <w:rStyle w:val="CharSClsNo"/>
        </w:rPr>
        <w:t>9</w:t>
      </w:r>
      <w:r>
        <w:t>.</w:t>
      </w:r>
      <w:r>
        <w:tab/>
        <w:t>Children detained under s. 29(3a)</w:t>
      </w:r>
      <w:bookmarkEnd w:id="2010"/>
      <w:bookmarkEnd w:id="2011"/>
      <w:bookmarkEnd w:id="2012"/>
      <w:bookmarkEnd w:id="2013"/>
      <w:bookmarkEnd w:id="2014"/>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2015" w:name="_Toc55626277"/>
      <w:bookmarkStart w:id="2016" w:name="_Toc85881474"/>
      <w:bookmarkStart w:id="2017" w:name="_Toc128368932"/>
      <w:bookmarkStart w:id="2018" w:name="_Toc140893598"/>
      <w:bookmarkStart w:id="2019" w:name="_Toc140394130"/>
      <w:r>
        <w:rPr>
          <w:rStyle w:val="CharSClsNo"/>
        </w:rPr>
        <w:t>10</w:t>
      </w:r>
      <w:r>
        <w:t>.</w:t>
      </w:r>
      <w:r>
        <w:tab/>
        <w:t>Orders under s. 40A</w:t>
      </w:r>
      <w:bookmarkEnd w:id="2015"/>
      <w:bookmarkEnd w:id="2016"/>
      <w:bookmarkEnd w:id="2017"/>
      <w:bookmarkEnd w:id="2018"/>
      <w:bookmarkEnd w:id="2019"/>
    </w:p>
    <w:p>
      <w:pPr>
        <w:pStyle w:val="ySubsection"/>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2020" w:name="_Toc55626278"/>
      <w:bookmarkStart w:id="2021" w:name="_Toc85881475"/>
      <w:bookmarkStart w:id="2022" w:name="_Toc128368933"/>
      <w:bookmarkStart w:id="2023" w:name="_Toc140893599"/>
      <w:bookmarkStart w:id="2024" w:name="_Toc140394131"/>
      <w:r>
        <w:rPr>
          <w:rStyle w:val="CharSClsNo"/>
        </w:rPr>
        <w:t>11</w:t>
      </w:r>
      <w:r>
        <w:t>.</w:t>
      </w:r>
      <w:r>
        <w:tab/>
        <w:t>Applications under s. 47</w:t>
      </w:r>
      <w:bookmarkEnd w:id="2020"/>
      <w:bookmarkEnd w:id="2021"/>
      <w:bookmarkEnd w:id="2022"/>
      <w:bookmarkEnd w:id="2023"/>
      <w:bookmarkEnd w:id="2024"/>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pPr>
      <w:bookmarkStart w:id="2025" w:name="_Toc55626279"/>
      <w:bookmarkStart w:id="2026" w:name="_Toc85881476"/>
      <w:bookmarkStart w:id="2027" w:name="_Toc128368934"/>
      <w:bookmarkStart w:id="2028" w:name="_Toc140893600"/>
      <w:bookmarkStart w:id="2029" w:name="_Toc140394132"/>
      <w:r>
        <w:rPr>
          <w:rStyle w:val="CharSClsNo"/>
        </w:rPr>
        <w:t>12</w:t>
      </w:r>
      <w:r>
        <w:t>.</w:t>
      </w:r>
      <w:r>
        <w:tab/>
        <w:t>Notices under s. 107A or 107B</w:t>
      </w:r>
      <w:bookmarkEnd w:id="2025"/>
      <w:bookmarkEnd w:id="2026"/>
      <w:bookmarkEnd w:id="2027"/>
      <w:bookmarkEnd w:id="2028"/>
      <w:bookmarkEnd w:id="2029"/>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2030" w:name="_Toc55626280"/>
      <w:bookmarkStart w:id="2031" w:name="_Toc85881477"/>
      <w:bookmarkStart w:id="2032" w:name="_Toc128368935"/>
      <w:bookmarkStart w:id="2033" w:name="_Toc140893601"/>
      <w:bookmarkStart w:id="2034" w:name="_Toc140394133"/>
      <w:r>
        <w:rPr>
          <w:rStyle w:val="CharSClsNo"/>
        </w:rPr>
        <w:t>13</w:t>
      </w:r>
      <w:r>
        <w:t>.</w:t>
      </w:r>
      <w:r>
        <w:tab/>
        <w:t>Warrants</w:t>
      </w:r>
      <w:bookmarkEnd w:id="2030"/>
      <w:bookmarkEnd w:id="2031"/>
      <w:bookmarkEnd w:id="2032"/>
      <w:bookmarkEnd w:id="2033"/>
      <w:bookmarkEnd w:id="2034"/>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pPr>
      <w:bookmarkStart w:id="2035" w:name="_Toc55626281"/>
      <w:bookmarkStart w:id="2036" w:name="_Toc85881478"/>
      <w:bookmarkStart w:id="2037" w:name="_Toc128368936"/>
      <w:bookmarkStart w:id="2038" w:name="_Toc140893602"/>
      <w:bookmarkStart w:id="2039" w:name="_Toc140394134"/>
      <w:r>
        <w:rPr>
          <w:rStyle w:val="CharSClsNo"/>
        </w:rPr>
        <w:t>14</w:t>
      </w:r>
      <w:r>
        <w:t>.</w:t>
      </w:r>
      <w:r>
        <w:tab/>
        <w:t>Authorisations under s. 111 or 112</w:t>
      </w:r>
      <w:bookmarkEnd w:id="2035"/>
      <w:bookmarkEnd w:id="2036"/>
      <w:bookmarkEnd w:id="2037"/>
      <w:bookmarkEnd w:id="2038"/>
      <w:bookmarkEnd w:id="2039"/>
    </w:p>
    <w:p>
      <w:pPr>
        <w:pStyle w:val="ySubsection"/>
      </w:pPr>
      <w:r>
        <w:tab/>
        <w:t>(1)</w:t>
      </w:r>
      <w:r>
        <w:tab/>
        <w:t>An authorisation that is in force immediately before commencement day has effect on and after that day as if it were an approval under section 104(3).</w:t>
      </w:r>
    </w:p>
    <w:p>
      <w:pPr>
        <w:pStyle w:val="ySubsection"/>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2040" w:name="_Toc55626282"/>
      <w:bookmarkStart w:id="2041" w:name="_Toc85881479"/>
      <w:bookmarkStart w:id="2042" w:name="_Toc128368937"/>
      <w:bookmarkStart w:id="2043" w:name="_Toc140893603"/>
      <w:bookmarkStart w:id="2044" w:name="_Toc140394135"/>
      <w:r>
        <w:rPr>
          <w:rStyle w:val="CharSClsNo"/>
        </w:rPr>
        <w:t>15</w:t>
      </w:r>
      <w:r>
        <w:t>.</w:t>
      </w:r>
      <w:r>
        <w:tab/>
        <w:t>Orders and proceedings under Part VIIIA</w:t>
      </w:r>
      <w:bookmarkEnd w:id="2040"/>
      <w:bookmarkEnd w:id="2041"/>
      <w:bookmarkEnd w:id="2042"/>
      <w:bookmarkEnd w:id="2043"/>
      <w:bookmarkEnd w:id="2044"/>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2045" w:name="_Toc55626283"/>
      <w:bookmarkStart w:id="2046" w:name="_Toc85881480"/>
      <w:bookmarkStart w:id="2047" w:name="_Toc128368938"/>
      <w:bookmarkStart w:id="2048" w:name="_Toc140893604"/>
      <w:bookmarkStart w:id="2049" w:name="_Toc140394136"/>
      <w:r>
        <w:rPr>
          <w:rStyle w:val="CharSClsNo"/>
        </w:rPr>
        <w:t>16</w:t>
      </w:r>
      <w:r>
        <w:t>.</w:t>
      </w:r>
      <w:r>
        <w:tab/>
        <w:t>Orders under s. 146A</w:t>
      </w:r>
      <w:bookmarkEnd w:id="2045"/>
      <w:bookmarkEnd w:id="2046"/>
      <w:bookmarkEnd w:id="2047"/>
      <w:bookmarkEnd w:id="2048"/>
      <w:bookmarkEnd w:id="2049"/>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2050" w:name="_Toc55626284"/>
      <w:bookmarkStart w:id="2051" w:name="_Toc128368939"/>
      <w:bookmarkStart w:id="2052" w:name="_Toc128369319"/>
      <w:bookmarkStart w:id="2053" w:name="_Toc128969656"/>
      <w:bookmarkStart w:id="2054" w:name="_Toc132620567"/>
      <w:bookmarkStart w:id="2055" w:name="_Toc140378195"/>
      <w:bookmarkStart w:id="2056" w:name="_Toc140394137"/>
      <w:bookmarkStart w:id="2057" w:name="_Toc140893605"/>
      <w:r>
        <w:rPr>
          <w:rStyle w:val="CharSDivNo"/>
        </w:rPr>
        <w:t>Division 3</w:t>
      </w:r>
      <w:r>
        <w:rPr>
          <w:b w:val="0"/>
        </w:rPr>
        <w:t> — </w:t>
      </w:r>
      <w:r>
        <w:rPr>
          <w:rStyle w:val="CharSDivText"/>
        </w:rPr>
        <w:t xml:space="preserve">Provisions related to repeal of </w:t>
      </w:r>
      <w:r>
        <w:rPr>
          <w:rStyle w:val="CharSDivText"/>
          <w:i/>
        </w:rPr>
        <w:t>Community Services Act 1972</w:t>
      </w:r>
      <w:bookmarkEnd w:id="2050"/>
      <w:bookmarkEnd w:id="2051"/>
      <w:bookmarkEnd w:id="2052"/>
      <w:bookmarkEnd w:id="2053"/>
      <w:bookmarkEnd w:id="2054"/>
      <w:bookmarkEnd w:id="2055"/>
      <w:bookmarkEnd w:id="2056"/>
      <w:bookmarkEnd w:id="2057"/>
    </w:p>
    <w:p>
      <w:pPr>
        <w:pStyle w:val="yHeading5"/>
      </w:pPr>
      <w:bookmarkStart w:id="2058" w:name="_Toc55626285"/>
      <w:bookmarkStart w:id="2059" w:name="_Toc85881481"/>
      <w:bookmarkStart w:id="2060" w:name="_Toc128368940"/>
      <w:bookmarkStart w:id="2061" w:name="_Toc140893606"/>
      <w:bookmarkStart w:id="2062" w:name="_Toc140394138"/>
      <w:r>
        <w:rPr>
          <w:rStyle w:val="CharSClsNo"/>
        </w:rPr>
        <w:t>17</w:t>
      </w:r>
      <w:r>
        <w:t>.</w:t>
      </w:r>
      <w:r>
        <w:tab/>
        <w:t>Status of Ministerial Body</w:t>
      </w:r>
      <w:bookmarkEnd w:id="2058"/>
      <w:bookmarkEnd w:id="2059"/>
      <w:bookmarkEnd w:id="2060"/>
      <w:bookmarkEnd w:id="2061"/>
      <w:bookmarkEnd w:id="2062"/>
    </w:p>
    <w:p>
      <w:pPr>
        <w:pStyle w:val="ySubsection"/>
      </w:pPr>
      <w:r>
        <w:tab/>
      </w:r>
      <w:r>
        <w:tab/>
        <w:t>The Community Development Ministerial Body established by section </w:t>
      </w:r>
      <w:bookmarkStart w:id="2063" w:name="_Hlt55642304"/>
      <w:r>
        <w:t>18</w:t>
      </w:r>
      <w:bookmarkEnd w:id="2063"/>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2064" w:name="_Toc55626286"/>
      <w:bookmarkStart w:id="2065" w:name="_Toc85881482"/>
      <w:bookmarkStart w:id="2066" w:name="_Toc128368941"/>
      <w:bookmarkStart w:id="2067" w:name="_Toc140893607"/>
      <w:bookmarkStart w:id="2068" w:name="_Toc140394139"/>
      <w:r>
        <w:rPr>
          <w:rStyle w:val="CharSClsNo"/>
        </w:rPr>
        <w:t>18</w:t>
      </w:r>
      <w:r>
        <w:t>.</w:t>
      </w:r>
      <w:r>
        <w:tab/>
        <w:t>Licences and permits under s. 17B</w:t>
      </w:r>
      <w:bookmarkEnd w:id="2064"/>
      <w:bookmarkEnd w:id="2065"/>
      <w:bookmarkEnd w:id="2066"/>
      <w:bookmarkEnd w:id="2067"/>
      <w:bookmarkEnd w:id="2068"/>
    </w:p>
    <w:p>
      <w:pPr>
        <w:pStyle w:val="ySubsection"/>
      </w:pPr>
      <w:r>
        <w:tab/>
      </w:r>
      <w:bookmarkStart w:id="2069" w:name="_Hlt55642454"/>
      <w:bookmarkEnd w:id="2069"/>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2070" w:name="_Hlt55642410"/>
      <w:r>
        <w:t>8</w:t>
      </w:r>
      <w:bookmarkEnd w:id="2070"/>
      <w:r>
        <w:t>.</w:t>
      </w:r>
    </w:p>
    <w:p>
      <w:pPr>
        <w:pStyle w:val="ySubsection"/>
      </w:pPr>
      <w:r>
        <w:tab/>
        <w:t>(2)</w:t>
      </w:r>
      <w:r>
        <w:tab/>
        <w:t>A licence or permit referred to in subclause (1) has effect, under and subject to this Act, for the remainder of the period specified in the licence or permit.</w:t>
      </w:r>
    </w:p>
    <w:p>
      <w:pPr>
        <w:pStyle w:val="yHeading5"/>
      </w:pPr>
      <w:bookmarkStart w:id="2071" w:name="_Toc55626287"/>
      <w:bookmarkStart w:id="2072" w:name="_Toc85881483"/>
      <w:bookmarkStart w:id="2073" w:name="_Toc128368942"/>
      <w:bookmarkStart w:id="2074" w:name="_Toc140893608"/>
      <w:bookmarkStart w:id="2075" w:name="_Toc140394140"/>
      <w:r>
        <w:rPr>
          <w:rStyle w:val="CharSClsNo"/>
        </w:rPr>
        <w:t>19</w:t>
      </w:r>
      <w:r>
        <w:t>.</w:t>
      </w:r>
      <w:r>
        <w:tab/>
        <w:t>Existing applications</w:t>
      </w:r>
      <w:bookmarkEnd w:id="2071"/>
      <w:bookmarkEnd w:id="2072"/>
      <w:bookmarkEnd w:id="2073"/>
      <w:bookmarkEnd w:id="2074"/>
      <w:bookmarkEnd w:id="2075"/>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2076" w:name="_Hlt55642510"/>
      <w:r>
        <w:t>8</w:t>
      </w:r>
      <w:bookmarkEnd w:id="2076"/>
      <w:r>
        <w:t>.</w:t>
      </w:r>
    </w:p>
    <w:p>
      <w:pPr>
        <w:pStyle w:val="yHeading5"/>
      </w:pPr>
      <w:bookmarkStart w:id="2077" w:name="_Toc55641354"/>
      <w:bookmarkStart w:id="2078" w:name="_Toc85881484"/>
      <w:bookmarkStart w:id="2079" w:name="_Toc128368943"/>
      <w:bookmarkStart w:id="2080" w:name="_Toc140893609"/>
      <w:bookmarkStart w:id="2081" w:name="_Toc140394141"/>
      <w:r>
        <w:rPr>
          <w:rStyle w:val="CharSClsNo"/>
        </w:rPr>
        <w:t>20</w:t>
      </w:r>
      <w:r>
        <w:t>.</w:t>
      </w:r>
      <w:r>
        <w:tab/>
        <w:t>Appeals under s. 17C</w:t>
      </w:r>
      <w:bookmarkEnd w:id="2077"/>
      <w:bookmarkEnd w:id="2078"/>
      <w:bookmarkEnd w:id="2079"/>
      <w:bookmarkEnd w:id="2080"/>
      <w:bookmarkEnd w:id="2081"/>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2082" w:name="_Toc55626288"/>
      <w:bookmarkStart w:id="2083" w:name="_Toc85881485"/>
      <w:bookmarkStart w:id="2084" w:name="_Toc128368944"/>
      <w:bookmarkStart w:id="2085" w:name="_Toc140893610"/>
      <w:bookmarkStart w:id="2086" w:name="_Toc140394142"/>
      <w:r>
        <w:rPr>
          <w:rStyle w:val="CharSClsNo"/>
        </w:rPr>
        <w:t>21</w:t>
      </w:r>
      <w:r>
        <w:t>.</w:t>
      </w:r>
      <w:r>
        <w:tab/>
        <w:t>Bodies established under s. 22</w:t>
      </w:r>
      <w:bookmarkEnd w:id="2082"/>
      <w:bookmarkEnd w:id="2083"/>
      <w:bookmarkEnd w:id="2084"/>
      <w:bookmarkEnd w:id="2085"/>
      <w:bookmarkEnd w:id="2086"/>
    </w:p>
    <w:p>
      <w:pPr>
        <w:pStyle w:val="ySubsection"/>
      </w:pPr>
      <w:r>
        <w:tab/>
      </w:r>
      <w:bookmarkStart w:id="2087" w:name="_Hlt55643644"/>
      <w:bookmarkEnd w:id="2087"/>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spacing w:before="180"/>
      </w:pPr>
      <w:bookmarkStart w:id="2088" w:name="_Toc55631792"/>
      <w:bookmarkStart w:id="2089" w:name="_Toc128368945"/>
      <w:bookmarkStart w:id="2090" w:name="_Toc128369325"/>
      <w:bookmarkStart w:id="2091" w:name="_Toc128969662"/>
      <w:bookmarkStart w:id="2092" w:name="_Toc132620573"/>
      <w:bookmarkStart w:id="2093" w:name="_Toc140378201"/>
      <w:bookmarkStart w:id="2094" w:name="_Toc140394143"/>
      <w:bookmarkStart w:id="2095" w:name="_Toc140893611"/>
      <w:r>
        <w:rPr>
          <w:rStyle w:val="CharSDivNo"/>
        </w:rPr>
        <w:t>Division 4</w:t>
      </w:r>
      <w:r>
        <w:rPr>
          <w:b w:val="0"/>
        </w:rPr>
        <w:t> — </w:t>
      </w:r>
      <w:r>
        <w:rPr>
          <w:rStyle w:val="CharSDivText"/>
        </w:rPr>
        <w:t xml:space="preserve">Provisions related to repeal of </w:t>
      </w:r>
      <w:r>
        <w:rPr>
          <w:rStyle w:val="CharSDivText"/>
          <w:i/>
        </w:rPr>
        <w:t>Welfare and Assistance Act 1961</w:t>
      </w:r>
      <w:bookmarkEnd w:id="2088"/>
      <w:bookmarkEnd w:id="2089"/>
      <w:bookmarkEnd w:id="2090"/>
      <w:bookmarkEnd w:id="2091"/>
      <w:bookmarkEnd w:id="2092"/>
      <w:bookmarkEnd w:id="2093"/>
      <w:bookmarkEnd w:id="2094"/>
      <w:bookmarkEnd w:id="2095"/>
    </w:p>
    <w:p>
      <w:pPr>
        <w:pStyle w:val="yHeading5"/>
      </w:pPr>
      <w:bookmarkStart w:id="2096" w:name="_Toc55631793"/>
      <w:bookmarkStart w:id="2097" w:name="_Toc85881486"/>
      <w:bookmarkStart w:id="2098" w:name="_Toc128368946"/>
      <w:bookmarkStart w:id="2099" w:name="_Toc140893612"/>
      <w:bookmarkStart w:id="2100" w:name="_Toc140394144"/>
      <w:r>
        <w:rPr>
          <w:rStyle w:val="CharSClsNo"/>
        </w:rPr>
        <w:t>22</w:t>
      </w:r>
      <w:r>
        <w:t>.</w:t>
      </w:r>
      <w:r>
        <w:tab/>
        <w:t>Advances and grants of assistance</w:t>
      </w:r>
      <w:bookmarkEnd w:id="2096"/>
      <w:bookmarkEnd w:id="2097"/>
      <w:bookmarkEnd w:id="2098"/>
      <w:bookmarkEnd w:id="2099"/>
      <w:bookmarkEnd w:id="2100"/>
    </w:p>
    <w:p>
      <w:pPr>
        <w:pStyle w:val="ySubsection"/>
        <w:rPr>
          <w:rStyle w:val="CharDivText"/>
        </w:rPr>
      </w:pPr>
      <w:r>
        <w:tab/>
      </w:r>
      <w:bookmarkStart w:id="2101" w:name="_Hlt55643865"/>
      <w:bookmarkEnd w:id="2101"/>
      <w:r>
        <w:t>(1)</w:t>
      </w:r>
      <w:r>
        <w:tab/>
        <w:t xml:space="preserve">An advance or grant of assistance under the </w:t>
      </w:r>
      <w:r>
        <w:rPr>
          <w:rStyle w:val="CharDivText"/>
          <w:i/>
        </w:rPr>
        <w:t xml:space="preserve">Welfare and Assistance Act 1961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pPr>
      <w:bookmarkStart w:id="2102" w:name="_Toc55631794"/>
      <w:bookmarkStart w:id="2103" w:name="_Toc85881487"/>
      <w:bookmarkStart w:id="2104" w:name="_Toc128368947"/>
      <w:bookmarkStart w:id="2105" w:name="_Toc140893613"/>
      <w:bookmarkStart w:id="2106" w:name="_Toc140394145"/>
      <w:r>
        <w:rPr>
          <w:rStyle w:val="CharSClsNo"/>
        </w:rPr>
        <w:t>23</w:t>
      </w:r>
      <w:r>
        <w:t>.</w:t>
      </w:r>
      <w:r>
        <w:tab/>
        <w:t>Applications for assistance</w:t>
      </w:r>
      <w:bookmarkEnd w:id="2102"/>
      <w:bookmarkEnd w:id="2103"/>
      <w:bookmarkEnd w:id="2104"/>
      <w:bookmarkEnd w:id="2105"/>
      <w:bookmarkEnd w:id="2106"/>
    </w:p>
    <w:p>
      <w:pPr>
        <w:pStyle w:val="ySubsection"/>
        <w:outlineLvl w:val="4"/>
        <w:rPr>
          <w:color w:val="000000"/>
        </w:rPr>
      </w:pPr>
      <w:r>
        <w:tab/>
      </w:r>
      <w:r>
        <w:tab/>
        <w:t xml:space="preserve">An application for assistance under the </w:t>
      </w:r>
      <w:r>
        <w:rPr>
          <w:rStyle w:val="CharDivText"/>
          <w:i/>
        </w:rPr>
        <w:t xml:space="preserve">Welfare and Assistance Act 1961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2107" w:name="_Toc55626289"/>
      <w:bookmarkStart w:id="2108" w:name="_Toc128368948"/>
      <w:bookmarkStart w:id="2109" w:name="_Toc128369328"/>
      <w:bookmarkStart w:id="2110" w:name="_Toc128969665"/>
      <w:bookmarkStart w:id="2111" w:name="_Toc132620576"/>
      <w:bookmarkStart w:id="2112" w:name="_Toc140378204"/>
      <w:bookmarkStart w:id="2113" w:name="_Toc140394146"/>
      <w:bookmarkStart w:id="2114" w:name="_Toc140893614"/>
      <w:r>
        <w:rPr>
          <w:rStyle w:val="CharSDivNo"/>
        </w:rPr>
        <w:t>Division 5</w:t>
      </w:r>
      <w:r>
        <w:rPr>
          <w:b w:val="0"/>
        </w:rPr>
        <w:t> — </w:t>
      </w:r>
      <w:r>
        <w:rPr>
          <w:rStyle w:val="CharSDivText"/>
        </w:rPr>
        <w:t>General</w:t>
      </w:r>
      <w:bookmarkEnd w:id="2107"/>
      <w:bookmarkEnd w:id="2108"/>
      <w:bookmarkEnd w:id="2109"/>
      <w:bookmarkEnd w:id="2110"/>
      <w:bookmarkEnd w:id="2111"/>
      <w:bookmarkEnd w:id="2112"/>
      <w:bookmarkEnd w:id="2113"/>
      <w:bookmarkEnd w:id="2114"/>
    </w:p>
    <w:p>
      <w:pPr>
        <w:pStyle w:val="yHeading5"/>
      </w:pPr>
      <w:bookmarkStart w:id="2115" w:name="_Toc55626290"/>
      <w:bookmarkStart w:id="2116" w:name="_Toc85881488"/>
      <w:bookmarkStart w:id="2117" w:name="_Toc128368949"/>
      <w:bookmarkStart w:id="2118" w:name="_Toc140893615"/>
      <w:bookmarkStart w:id="2119" w:name="_Toc140394147"/>
      <w:r>
        <w:rPr>
          <w:rStyle w:val="CharSClsNo"/>
        </w:rPr>
        <w:t>24</w:t>
      </w:r>
      <w:r>
        <w:t>.</w:t>
      </w:r>
      <w:r>
        <w:tab/>
        <w:t>References to repealed Acts</w:t>
      </w:r>
      <w:bookmarkEnd w:id="2115"/>
      <w:bookmarkEnd w:id="2116"/>
      <w:bookmarkEnd w:id="2117"/>
      <w:bookmarkEnd w:id="2118"/>
      <w:bookmarkEnd w:id="2119"/>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2120" w:name="_Toc55626291"/>
      <w:bookmarkStart w:id="2121" w:name="_Toc85881489"/>
      <w:bookmarkStart w:id="2122" w:name="_Toc128368950"/>
      <w:bookmarkStart w:id="2123" w:name="_Toc140893616"/>
      <w:bookmarkStart w:id="2124" w:name="_Toc140394148"/>
      <w:r>
        <w:rPr>
          <w:rStyle w:val="CharSClsNo"/>
        </w:rPr>
        <w:t>25</w:t>
      </w:r>
      <w:r>
        <w:t>.</w:t>
      </w:r>
      <w:r>
        <w:tab/>
        <w:t>Powers in relation to transitional matters</w:t>
      </w:r>
      <w:bookmarkEnd w:id="2120"/>
      <w:bookmarkEnd w:id="2121"/>
      <w:bookmarkEnd w:id="2122"/>
      <w:bookmarkEnd w:id="2123"/>
      <w:bookmarkEnd w:id="2124"/>
    </w:p>
    <w:p>
      <w:pPr>
        <w:pStyle w:val="ySubsection"/>
      </w:pPr>
      <w:r>
        <w:tab/>
      </w:r>
      <w:bookmarkStart w:id="2125" w:name="_Hlt55644044"/>
      <w:bookmarkEnd w:id="2125"/>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2126" w:name="_Hlt55644179"/>
      <w:bookmarkEnd w:id="2126"/>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t>“</w:t>
      </w:r>
      <w:r>
        <w:rPr>
          <w:rStyle w:val="CharDefText"/>
        </w:rPr>
        <w:t>specified</w:t>
      </w:r>
      <w:r>
        <w:rPr>
          <w:b/>
        </w:rPr>
        <w:t>”</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2127" w:name="_Toc55113541"/>
      <w:bookmarkStart w:id="2128" w:name="_Toc128368951"/>
      <w:bookmarkStart w:id="2129" w:name="_Toc128369331"/>
      <w:bookmarkStart w:id="2130" w:name="_Toc128969668"/>
      <w:bookmarkStart w:id="2131" w:name="_Toc132620579"/>
      <w:bookmarkStart w:id="2132" w:name="_Toc140378207"/>
      <w:bookmarkStart w:id="2133" w:name="_Toc140394149"/>
      <w:bookmarkStart w:id="2134" w:name="_Toc140893617"/>
      <w:r>
        <w:rPr>
          <w:rStyle w:val="CharSchNo"/>
        </w:rPr>
        <w:t xml:space="preserve">Schedule </w:t>
      </w:r>
      <w:bookmarkStart w:id="2135" w:name="_Hlt55630179"/>
      <w:bookmarkEnd w:id="2135"/>
      <w:r>
        <w:rPr>
          <w:rStyle w:val="CharSchNo"/>
        </w:rPr>
        <w:t>2</w:t>
      </w:r>
      <w:r>
        <w:t> — </w:t>
      </w:r>
      <w:bookmarkEnd w:id="2127"/>
      <w:r>
        <w:rPr>
          <w:rStyle w:val="CharSchText"/>
        </w:rPr>
        <w:t>Amendments to other Acts</w:t>
      </w:r>
      <w:bookmarkEnd w:id="2128"/>
      <w:bookmarkEnd w:id="2129"/>
      <w:bookmarkEnd w:id="2130"/>
      <w:bookmarkEnd w:id="2131"/>
      <w:bookmarkEnd w:id="2132"/>
      <w:bookmarkEnd w:id="2133"/>
      <w:bookmarkEnd w:id="2134"/>
    </w:p>
    <w:p>
      <w:pPr>
        <w:pStyle w:val="yShoulderClause"/>
      </w:pPr>
      <w:r>
        <w:t>[s. 251]</w:t>
      </w:r>
    </w:p>
    <w:p>
      <w:pPr>
        <w:pStyle w:val="yHeading5"/>
      </w:pPr>
      <w:bookmarkStart w:id="2136" w:name="_Toc85881490"/>
      <w:bookmarkStart w:id="2137" w:name="_Toc128368952"/>
      <w:bookmarkStart w:id="2138" w:name="_Toc140893618"/>
      <w:bookmarkStart w:id="2139" w:name="_Toc140394150"/>
      <w:r>
        <w:rPr>
          <w:rStyle w:val="CharSClsNo"/>
        </w:rPr>
        <w:t>1</w:t>
      </w:r>
      <w:r>
        <w:t>.</w:t>
      </w:r>
      <w:r>
        <w:tab/>
      </w:r>
      <w:r>
        <w:rPr>
          <w:i/>
        </w:rPr>
        <w:t>Aboriginal Affairs Planning Authority Act 1972</w:t>
      </w:r>
      <w:r>
        <w:t xml:space="preserve"> amended</w:t>
      </w:r>
      <w:bookmarkEnd w:id="2136"/>
      <w:bookmarkEnd w:id="2137"/>
      <w:bookmarkEnd w:id="2138"/>
      <w:bookmarkEnd w:id="2139"/>
    </w:p>
    <w:p>
      <w:pPr>
        <w:pStyle w:val="ySubsection"/>
      </w:pPr>
      <w:r>
        <w:tab/>
        <w:t>(1)</w:t>
      </w:r>
      <w:r>
        <w:tab/>
        <w:t xml:space="preserve">The amendments in this clause are to the </w:t>
      </w:r>
      <w:r>
        <w:rPr>
          <w:i/>
        </w:rPr>
        <w:t>Aboriginal Affairs Planning Authority Act 1972</w:t>
      </w:r>
      <w:r>
        <w:t>.</w:t>
      </w:r>
    </w:p>
    <w:p>
      <w:pPr>
        <w:pStyle w:val="ySubsection"/>
      </w:pPr>
      <w:r>
        <w:tab/>
        <w:t>(2)</w:t>
      </w:r>
      <w:r>
        <w:tab/>
        <w:t xml:space="preserve">Section 19(1)(c) is amended by deleting “for Community Services” and inserting instead — </w:t>
      </w:r>
    </w:p>
    <w:p>
      <w:pPr>
        <w:pStyle w:val="MiscOpen"/>
        <w:ind w:left="880" w:firstLine="821"/>
      </w:pPr>
      <w:r>
        <w:t xml:space="preserve">“    </w:t>
      </w:r>
    </w:p>
    <w:p>
      <w:pPr>
        <w:pStyle w:val="zIndenta"/>
      </w:pPr>
      <w:r>
        <w:tab/>
      </w:r>
      <w:r>
        <w:tab/>
        <w:t xml:space="preserve">as defined in section 3 of the </w:t>
      </w:r>
      <w:r>
        <w:rPr>
          <w:i/>
        </w:rPr>
        <w:t>Children and Community Services Act 2004</w:t>
      </w:r>
    </w:p>
    <w:p>
      <w:pPr>
        <w:pStyle w:val="MiscClose"/>
      </w:pPr>
      <w:r>
        <w:t xml:space="preserve">    ”.</w:t>
      </w:r>
    </w:p>
    <w:p>
      <w:pPr>
        <w:pStyle w:val="ySubsection"/>
      </w:pPr>
      <w:r>
        <w:tab/>
        <w:t>(3)</w:t>
      </w:r>
      <w:r>
        <w:tab/>
        <w:t>Section 35(4) is repealed.</w:t>
      </w:r>
    </w:p>
    <w:p>
      <w:pPr>
        <w:pStyle w:val="ySubsection"/>
      </w:pPr>
      <w:r>
        <w:tab/>
        <w:t>(4)</w:t>
      </w:r>
      <w:r>
        <w:tab/>
        <w:t>Section 35(5) is amended by deleting “, the Director</w:t>
      </w:r>
      <w:r>
        <w:noBreakHyphen/>
        <w:t xml:space="preserve">General of the department established under section 4 of the </w:t>
      </w:r>
      <w:r>
        <w:rPr>
          <w:i/>
        </w:rPr>
        <w:t>Community Services Act 1972</w:t>
      </w:r>
      <w:r>
        <w:t>”.</w:t>
      </w:r>
    </w:p>
    <w:p>
      <w:pPr>
        <w:pStyle w:val="ySubsection"/>
      </w:pPr>
      <w:r>
        <w:tab/>
        <w:t>(5)</w:t>
      </w:r>
      <w:r>
        <w:tab/>
        <w:t xml:space="preserve">Section 48 is amended by deleting “officer of the department established under section 4 of the </w:t>
      </w:r>
      <w:r>
        <w:rPr>
          <w:i/>
        </w:rPr>
        <w:t>Community Services Act 1972</w:t>
      </w:r>
      <w:r>
        <w:t>, or any”.</w:t>
      </w:r>
    </w:p>
    <w:p>
      <w:pPr>
        <w:pStyle w:val="yHeading5"/>
      </w:pPr>
      <w:bookmarkStart w:id="2140" w:name="_Toc85881491"/>
      <w:bookmarkStart w:id="2141" w:name="_Toc128368953"/>
      <w:bookmarkStart w:id="2142" w:name="_Toc140893619"/>
      <w:bookmarkStart w:id="2143" w:name="_Toc140394151"/>
      <w:r>
        <w:rPr>
          <w:rStyle w:val="CharSClsNo"/>
        </w:rPr>
        <w:t>2</w:t>
      </w:r>
      <w:r>
        <w:t>.</w:t>
      </w:r>
      <w:r>
        <w:tab/>
      </w:r>
      <w:r>
        <w:rPr>
          <w:i/>
        </w:rPr>
        <w:t>Adoption Act 1994</w:t>
      </w:r>
      <w:r>
        <w:t xml:space="preserve"> amended</w:t>
      </w:r>
      <w:bookmarkEnd w:id="2140"/>
      <w:bookmarkEnd w:id="2141"/>
      <w:bookmarkEnd w:id="2142"/>
      <w:bookmarkEnd w:id="2143"/>
    </w:p>
    <w:p>
      <w:pPr>
        <w:pStyle w:val="ySubsection"/>
        <w:rPr>
          <w:i/>
        </w:rPr>
      </w:pPr>
      <w:r>
        <w:tab/>
        <w:t>(1)</w:t>
      </w:r>
      <w:r>
        <w:tab/>
        <w:t xml:space="preserve">The amendments in this clause are to the </w:t>
      </w:r>
      <w:r>
        <w:rPr>
          <w:i/>
        </w:rPr>
        <w:t>Adoption Act 1994.</w:t>
      </w:r>
    </w:p>
    <w:p>
      <w:pPr>
        <w:pStyle w:val="ySubsection"/>
      </w:pPr>
      <w:r>
        <w:tab/>
        <w:t>(2)</w:t>
      </w:r>
      <w:r>
        <w:tab/>
        <w:t>Section 4 is amended as follows:</w:t>
      </w:r>
    </w:p>
    <w:p>
      <w:pPr>
        <w:pStyle w:val="yIndenta"/>
      </w:pPr>
      <w:r>
        <w:tab/>
        <w:t>(a)</w:t>
      </w:r>
      <w:r>
        <w:tab/>
        <w:t>by deleting the definitions of “Department” and “Director</w:t>
      </w:r>
      <w:r>
        <w:noBreakHyphen/>
        <w:t>General”;</w:t>
      </w:r>
    </w:p>
    <w:p>
      <w:pPr>
        <w:pStyle w:val="yIndenta"/>
        <w:keepNext/>
      </w:pPr>
      <w:r>
        <w:tab/>
        <w:t>(b)</w:t>
      </w:r>
      <w:r>
        <w:tab/>
        <w:t xml:space="preserve">by inserting in the appropriate alphabetical positions the following definitions — </w:t>
      </w:r>
    </w:p>
    <w:p>
      <w:pPr>
        <w:pStyle w:val="MiscOpen"/>
        <w:spacing w:before="80"/>
        <w:ind w:left="879"/>
      </w:pPr>
      <w:r>
        <w:t xml:space="preserve">“    </w:t>
      </w:r>
    </w:p>
    <w:p>
      <w:pPr>
        <w:pStyle w:val="zDefstart"/>
      </w:pPr>
      <w:r>
        <w:rPr>
          <w:b/>
        </w:rPr>
        <w:tab/>
        <w:t>“CEO”</w:t>
      </w:r>
      <w:r>
        <w:t xml:space="preserve"> means the chief executive officer of the Department;</w:t>
      </w:r>
    </w:p>
    <w:p>
      <w:pPr>
        <w:pStyle w:val="zDefstart"/>
      </w:pPr>
      <w:r>
        <w:rPr>
          <w:b/>
        </w:rPr>
        <w:tab/>
        <w:t>“Department”</w:t>
      </w:r>
      <w:r>
        <w:t xml:space="preserve"> means the department of the Public Service principally assisting the Minister in the administration of this Act;</w:t>
      </w:r>
    </w:p>
    <w:p>
      <w:pPr>
        <w:pStyle w:val="MiscClose"/>
      </w:pPr>
      <w:r>
        <w:t xml:space="preserve">    ”.</w:t>
      </w:r>
    </w:p>
    <w:p>
      <w:pPr>
        <w:pStyle w:val="ySubsection"/>
      </w:pPr>
      <w:r>
        <w:tab/>
        <w:t>(3)</w:t>
      </w:r>
      <w:r>
        <w:tab/>
        <w:t>Section 27(6) is amended as follows:</w:t>
      </w:r>
    </w:p>
    <w:p>
      <w:pPr>
        <w:pStyle w:val="yIndenta"/>
      </w:pPr>
      <w:r>
        <w:tab/>
        <w:t>(a)</w:t>
      </w:r>
      <w:r>
        <w:tab/>
        <w:t xml:space="preserve">by deleting paragraph (a) and “or” after it and inserting instead — </w:t>
      </w:r>
    </w:p>
    <w:p>
      <w:pPr>
        <w:pStyle w:val="MiscOpen"/>
        <w:spacing w:before="80"/>
        <w:ind w:left="1338"/>
      </w:pPr>
      <w:r>
        <w:t xml:space="preserve">“    </w:t>
      </w:r>
    </w:p>
    <w:p>
      <w:pPr>
        <w:pStyle w:val="z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MiscClose"/>
      </w:pPr>
      <w:r>
        <w:t xml:space="preserve">    ”;</w:t>
      </w:r>
    </w:p>
    <w:p>
      <w:pPr>
        <w:pStyle w:val="yIndenta"/>
      </w:pPr>
      <w:r>
        <w:tab/>
        <w:t>(b)</w:t>
      </w:r>
      <w:r>
        <w:tab/>
        <w:t xml:space="preserve">in paragraph (b) by deleting “the </w:t>
      </w:r>
      <w:r>
        <w:rPr>
          <w:i/>
        </w:rPr>
        <w:t>Child Welfare Act 1947</w:t>
      </w:r>
      <w:r>
        <w:t xml:space="preserve"> in relation to wardship,” and inserting instead — </w:t>
      </w:r>
    </w:p>
    <w:p>
      <w:pPr>
        <w:pStyle w:val="MiscOpen"/>
        <w:ind w:left="1620"/>
      </w:pPr>
      <w:r>
        <w:t xml:space="preserve">“    </w:t>
      </w:r>
    </w:p>
    <w:p>
      <w:pPr>
        <w:pStyle w:val="zIndenta"/>
      </w:pPr>
      <w:r>
        <w:tab/>
      </w:r>
      <w:r>
        <w:tab/>
        <w:t>Part</w:t>
      </w:r>
      <w:bookmarkStart w:id="2144" w:name="_Hlt57715401"/>
      <w:r>
        <w:t> 4</w:t>
      </w:r>
      <w:bookmarkEnd w:id="2144"/>
      <w:r>
        <w:t xml:space="preserve"> of the </w:t>
      </w:r>
      <w:r>
        <w:rPr>
          <w:i/>
        </w:rPr>
        <w:t>Children and Community Services Act 2004</w:t>
      </w:r>
      <w:r>
        <w:t>,</w:t>
      </w:r>
    </w:p>
    <w:p>
      <w:pPr>
        <w:pStyle w:val="MiscClose"/>
      </w:pPr>
      <w:r>
        <w:t xml:space="preserve">    ”;</w:t>
      </w:r>
    </w:p>
    <w:p>
      <w:pPr>
        <w:pStyle w:val="yIndenta"/>
      </w:pPr>
      <w:r>
        <w:tab/>
        <w:t>(c)</w:t>
      </w:r>
      <w:r>
        <w:tab/>
        <w:t>by deleting “by reason of the child’s wardship status”.</w:t>
      </w:r>
    </w:p>
    <w:p>
      <w:pPr>
        <w:pStyle w:val="ySubsection"/>
      </w:pPr>
      <w:r>
        <w:tab/>
        <w:t>(4)</w:t>
      </w:r>
      <w:r>
        <w:tab/>
        <w:t xml:space="preserve">Section 28 is repealed and the following section is inserted instead — </w:t>
      </w:r>
    </w:p>
    <w:p>
      <w:pPr>
        <w:pStyle w:val="MiscOpen"/>
      </w:pPr>
      <w:r>
        <w:t xml:space="preserve">“    </w:t>
      </w:r>
    </w:p>
    <w:p>
      <w:pPr>
        <w:pStyle w:val="zHeading5"/>
      </w:pPr>
      <w:bookmarkStart w:id="2145" w:name="_Toc140893620"/>
      <w:bookmarkStart w:id="2146" w:name="_Toc140394152"/>
      <w:r>
        <w:t>28.</w:t>
      </w:r>
      <w:r>
        <w:tab/>
        <w:t>Guardianship of children awaiting adoption where not all consents finalised</w:t>
      </w:r>
      <w:bookmarkEnd w:id="2145"/>
      <w:bookmarkEnd w:id="2146"/>
    </w:p>
    <w:p>
      <w:pPr>
        <w:pStyle w:val="zSubsection"/>
      </w:pPr>
      <w:r>
        <w:tab/>
        <w:t>(1)</w:t>
      </w:r>
      <w:r>
        <w:tab/>
        <w:t xml:space="preserve">This section applies to a child if the child — </w:t>
      </w:r>
    </w:p>
    <w:p>
      <w:pPr>
        <w:pStyle w:val="zIndenta"/>
      </w:pPr>
      <w:r>
        <w:tab/>
        <w:t>(a)</w:t>
      </w:r>
      <w:r>
        <w:tab/>
        <w:t xml:space="preserve">has been relinquished for adoption but where not all the consents to the child’s adoption required by section 17(1) have been — </w:t>
      </w:r>
    </w:p>
    <w:p>
      <w:pPr>
        <w:pStyle w:val="zIndenti"/>
      </w:pPr>
      <w:r>
        <w:tab/>
        <w:t>(i)</w:t>
      </w:r>
      <w:r>
        <w:tab/>
        <w:t>delivered under section 18(1)(e); or</w:t>
      </w:r>
    </w:p>
    <w:p>
      <w:pPr>
        <w:pStyle w:val="zIndenti"/>
      </w:pPr>
      <w:r>
        <w:tab/>
        <w:t>(ii)</w:t>
      </w:r>
      <w:r>
        <w:tab/>
        <w:t>dispensed with under section 24(2);</w:t>
      </w:r>
    </w:p>
    <w:p>
      <w:pPr>
        <w:pStyle w:val="zIndenta"/>
      </w:pPr>
      <w:r>
        <w:tab/>
      </w:r>
      <w:r>
        <w:tab/>
        <w:t>or</w:t>
      </w:r>
    </w:p>
    <w:p>
      <w:pPr>
        <w:pStyle w:val="zIndenta"/>
      </w:pPr>
      <w:r>
        <w:tab/>
        <w:t>(b)</w:t>
      </w:r>
      <w:r>
        <w:tab/>
        <w:t>is in the care and control of a birth parent who has consented to the child’s adoption and then revoked the consent for such number of times as to jeopardise, or be likely to jeopardise, the child’s welfare.</w:t>
      </w:r>
    </w:p>
    <w:p>
      <w:pPr>
        <w:pStyle w:val="z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zSubsection"/>
      </w:pPr>
      <w:r>
        <w:tab/>
        <w:t>(3)</w:t>
      </w:r>
      <w:r>
        <w:tab/>
        <w:t>For the purposes of Part</w:t>
      </w:r>
      <w:bookmarkStart w:id="2147" w:name="_Hlt57715462"/>
      <w:r>
        <w:t> 4</w:t>
      </w:r>
      <w:bookmarkEnd w:id="2147"/>
      <w:r>
        <w:t xml:space="preserve"> of the </w:t>
      </w:r>
      <w:r>
        <w:rPr>
          <w:i/>
        </w:rPr>
        <w:t>Children and Community Services Act 2004</w:t>
      </w:r>
      <w:r>
        <w:t>, but without limiting section 28(2) of that Act, a child is in need of protection if the child is a child to whom this section applies.</w:t>
      </w:r>
    </w:p>
    <w:p>
      <w:pPr>
        <w:pStyle w:val="MiscClose"/>
      </w:pPr>
      <w:r>
        <w:t xml:space="preserve">    ”.</w:t>
      </w:r>
    </w:p>
    <w:p>
      <w:pPr>
        <w:pStyle w:val="ySubsection"/>
        <w:keepNext/>
        <w:spacing w:before="100"/>
      </w:pPr>
      <w:r>
        <w:tab/>
        <w:t>(5)</w:t>
      </w:r>
      <w:r>
        <w:tab/>
        <w:t xml:space="preserve">Section 36(2)(c) is deleted and the following paragraph is inserted instead — </w:t>
      </w:r>
    </w:p>
    <w:p>
      <w:pPr>
        <w:pStyle w:val="MiscOpen"/>
        <w:ind w:left="1340"/>
      </w:pPr>
      <w:r>
        <w:t xml:space="preserve">“    </w:t>
      </w:r>
    </w:p>
    <w:p>
      <w:pPr>
        <w:pStyle w:val="zIndenta"/>
      </w:pPr>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MiscClose"/>
      </w:pPr>
      <w:r>
        <w:t xml:space="preserve">    ”.</w:t>
      </w:r>
    </w:p>
    <w:p>
      <w:pPr>
        <w:pStyle w:val="ySubsection"/>
        <w:spacing w:before="100"/>
      </w:pPr>
      <w:r>
        <w:tab/>
        <w:t>(6)</w:t>
      </w:r>
      <w:r>
        <w:tab/>
        <w:t xml:space="preserve">After section 36(2) the following subsection is inserted — </w:t>
      </w:r>
    </w:p>
    <w:p>
      <w:pPr>
        <w:pStyle w:val="MiscOpen"/>
        <w:ind w:left="600"/>
      </w:pPr>
      <w:r>
        <w:t xml:space="preserve">“    </w:t>
      </w:r>
    </w:p>
    <w:p>
      <w:pPr>
        <w:pStyle w:val="z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MiscClose"/>
      </w:pPr>
      <w:r>
        <w:t xml:space="preserve">    ”.</w:t>
      </w:r>
    </w:p>
    <w:p>
      <w:pPr>
        <w:pStyle w:val="ySubsection"/>
      </w:pPr>
      <w:r>
        <w:tab/>
        <w:t>(7)</w:t>
      </w:r>
      <w:r>
        <w:tab/>
        <w:t>The heading to Part 5 Division 1 is amended by deleting “Director</w:t>
      </w:r>
      <w:r>
        <w:noBreakHyphen/>
        <w:t xml:space="preserve">General” and inserting instead — </w:t>
      </w:r>
    </w:p>
    <w:p>
      <w:pPr>
        <w:pStyle w:val="zHeading2"/>
        <w:ind w:firstLine="312"/>
        <w:jc w:val="left"/>
      </w:pPr>
      <w:bookmarkStart w:id="2148" w:name="_Toc128369335"/>
      <w:bookmarkStart w:id="2149" w:name="_Toc128969672"/>
      <w:bookmarkStart w:id="2150" w:name="_Toc132620583"/>
      <w:bookmarkStart w:id="2151" w:name="_Toc140378211"/>
      <w:bookmarkStart w:id="2152" w:name="_Toc140394153"/>
      <w:bookmarkStart w:id="2153" w:name="_Toc140893621"/>
      <w:r>
        <w:t xml:space="preserve">“    </w:t>
      </w:r>
      <w:r>
        <w:rPr>
          <w:sz w:val="26"/>
        </w:rPr>
        <w:t>CEO</w:t>
      </w:r>
      <w:r>
        <w:t xml:space="preserve">    ”.</w:t>
      </w:r>
      <w:bookmarkEnd w:id="2148"/>
      <w:bookmarkEnd w:id="2149"/>
      <w:bookmarkEnd w:id="2150"/>
      <w:bookmarkEnd w:id="2151"/>
      <w:bookmarkEnd w:id="2152"/>
      <w:bookmarkEnd w:id="2153"/>
    </w:p>
    <w:p>
      <w:pPr>
        <w:pStyle w:val="ySubsection"/>
      </w:pPr>
      <w:r>
        <w:tab/>
        <w:t>(8)</w:t>
      </w:r>
      <w:r>
        <w:tab/>
        <w:t>Each provision listed in the Table to this subclause is amended by deleting “Director</w:t>
      </w:r>
      <w:r>
        <w:noBreakHyphen/>
        <w:t>General” in each place where it occurs and inserting instead —</w:t>
      </w:r>
    </w:p>
    <w:p>
      <w:pPr>
        <w:pStyle w:val="zSubsection"/>
      </w:pPr>
      <w:r>
        <w:tab/>
      </w:r>
      <w:r>
        <w:tab/>
        <w:t>“    CEO    ”.</w:t>
      </w:r>
    </w:p>
    <w:p>
      <w:pPr>
        <w:pStyle w:val="yMiscellaneousHeading"/>
        <w:rPr>
          <w:b/>
        </w:rPr>
      </w:pPr>
      <w:r>
        <w:rPr>
          <w:b/>
        </w:rPr>
        <w:t>Table</w:t>
      </w:r>
    </w:p>
    <w:tbl>
      <w:tblPr>
        <w:tblW w:w="0" w:type="auto"/>
        <w:tblInd w:w="959" w:type="dxa"/>
        <w:tblLayout w:type="fixed"/>
        <w:tblLook w:val="0000" w:firstRow="0" w:lastRow="0" w:firstColumn="0" w:lastColumn="0" w:noHBand="0" w:noVBand="0"/>
      </w:tblPr>
      <w:tblGrid>
        <w:gridCol w:w="2079"/>
        <w:gridCol w:w="2079"/>
        <w:gridCol w:w="2079"/>
      </w:tblGrid>
      <w:tr>
        <w:trPr>
          <w:cantSplit/>
        </w:trPr>
        <w:tc>
          <w:tcPr>
            <w:tcW w:w="2079" w:type="dxa"/>
          </w:tcPr>
          <w:p>
            <w:pPr>
              <w:pStyle w:val="yTable"/>
            </w:pPr>
            <w:r>
              <w:t>s. 4 (definition of “adoption certificate”)</w:t>
            </w:r>
          </w:p>
        </w:tc>
        <w:tc>
          <w:tcPr>
            <w:tcW w:w="2079" w:type="dxa"/>
          </w:tcPr>
          <w:p>
            <w:pPr>
              <w:pStyle w:val="yTable"/>
            </w:pPr>
            <w:r>
              <w:t>s. 46(3)(a)</w:t>
            </w:r>
          </w:p>
        </w:tc>
        <w:tc>
          <w:tcPr>
            <w:tcW w:w="2079" w:type="dxa"/>
          </w:tcPr>
          <w:p>
            <w:pPr>
              <w:pStyle w:val="yTable"/>
            </w:pPr>
            <w:r>
              <w:t>s. 108(1)</w:t>
            </w:r>
          </w:p>
        </w:tc>
      </w:tr>
      <w:tr>
        <w:trPr>
          <w:cantSplit/>
        </w:trPr>
        <w:tc>
          <w:tcPr>
            <w:tcW w:w="2079" w:type="dxa"/>
          </w:tcPr>
          <w:p>
            <w:pPr>
              <w:pStyle w:val="yTable"/>
            </w:pPr>
            <w:r>
              <w:t>s. 6(1)</w:t>
            </w:r>
          </w:p>
        </w:tc>
        <w:tc>
          <w:tcPr>
            <w:tcW w:w="2079" w:type="dxa"/>
          </w:tcPr>
          <w:p>
            <w:pPr>
              <w:pStyle w:val="yTable"/>
            </w:pPr>
            <w:r>
              <w:t>s. 47(1)</w:t>
            </w:r>
          </w:p>
        </w:tc>
        <w:tc>
          <w:tcPr>
            <w:tcW w:w="2079" w:type="dxa"/>
          </w:tcPr>
          <w:p>
            <w:pPr>
              <w:pStyle w:val="yTable"/>
            </w:pPr>
            <w:r>
              <w:t>s. 108(2)</w:t>
            </w:r>
          </w:p>
        </w:tc>
      </w:tr>
      <w:tr>
        <w:trPr>
          <w:cantSplit/>
        </w:trPr>
        <w:tc>
          <w:tcPr>
            <w:tcW w:w="2079" w:type="dxa"/>
          </w:tcPr>
          <w:p>
            <w:pPr>
              <w:pStyle w:val="yTable"/>
            </w:pPr>
            <w:r>
              <w:t>s. 6(2)</w:t>
            </w:r>
          </w:p>
        </w:tc>
        <w:tc>
          <w:tcPr>
            <w:tcW w:w="2079" w:type="dxa"/>
          </w:tcPr>
          <w:p>
            <w:pPr>
              <w:pStyle w:val="yTable"/>
            </w:pPr>
            <w:r>
              <w:t>s. 47(2)</w:t>
            </w:r>
          </w:p>
        </w:tc>
        <w:tc>
          <w:tcPr>
            <w:tcW w:w="2079" w:type="dxa"/>
          </w:tcPr>
          <w:p>
            <w:pPr>
              <w:pStyle w:val="yTable"/>
            </w:pPr>
            <w:r>
              <w:t>s. 108(3)</w:t>
            </w:r>
          </w:p>
        </w:tc>
      </w:tr>
      <w:tr>
        <w:trPr>
          <w:cantSplit/>
        </w:trPr>
        <w:tc>
          <w:tcPr>
            <w:tcW w:w="2079" w:type="dxa"/>
          </w:tcPr>
          <w:p>
            <w:pPr>
              <w:pStyle w:val="yTable"/>
            </w:pPr>
            <w:r>
              <w:t>s. 8(2)(a)</w:t>
            </w:r>
          </w:p>
        </w:tc>
        <w:tc>
          <w:tcPr>
            <w:tcW w:w="2079" w:type="dxa"/>
          </w:tcPr>
          <w:p>
            <w:pPr>
              <w:pStyle w:val="yTable"/>
            </w:pPr>
            <w:r>
              <w:t>s. 48(1)</w:t>
            </w:r>
          </w:p>
        </w:tc>
        <w:tc>
          <w:tcPr>
            <w:tcW w:w="2079" w:type="dxa"/>
          </w:tcPr>
          <w:p>
            <w:pPr>
              <w:pStyle w:val="yTable"/>
            </w:pPr>
            <w:r>
              <w:t>s. 109(1)</w:t>
            </w:r>
          </w:p>
        </w:tc>
      </w:tr>
      <w:tr>
        <w:trPr>
          <w:cantSplit/>
        </w:trPr>
        <w:tc>
          <w:tcPr>
            <w:tcW w:w="2079" w:type="dxa"/>
          </w:tcPr>
          <w:p>
            <w:pPr>
              <w:pStyle w:val="yTable"/>
            </w:pPr>
            <w:r>
              <w:t>s. 10(1)</w:t>
            </w:r>
          </w:p>
        </w:tc>
        <w:tc>
          <w:tcPr>
            <w:tcW w:w="2079" w:type="dxa"/>
          </w:tcPr>
          <w:p>
            <w:pPr>
              <w:pStyle w:val="yTable"/>
            </w:pPr>
            <w:r>
              <w:t>s. 49</w:t>
            </w:r>
          </w:p>
        </w:tc>
        <w:tc>
          <w:tcPr>
            <w:tcW w:w="2079" w:type="dxa"/>
          </w:tcPr>
          <w:p>
            <w:pPr>
              <w:pStyle w:val="yTable"/>
            </w:pPr>
            <w:r>
              <w:t>s. 109(2)</w:t>
            </w:r>
          </w:p>
        </w:tc>
      </w:tr>
      <w:tr>
        <w:trPr>
          <w:cantSplit/>
        </w:trPr>
        <w:tc>
          <w:tcPr>
            <w:tcW w:w="2079" w:type="dxa"/>
          </w:tcPr>
          <w:p>
            <w:pPr>
              <w:pStyle w:val="yTable"/>
            </w:pPr>
            <w:r>
              <w:t>s. 12</w:t>
            </w:r>
          </w:p>
        </w:tc>
        <w:tc>
          <w:tcPr>
            <w:tcW w:w="2079" w:type="dxa"/>
          </w:tcPr>
          <w:p>
            <w:pPr>
              <w:pStyle w:val="yTable"/>
            </w:pPr>
            <w:r>
              <w:t>s. 50(1)</w:t>
            </w:r>
          </w:p>
        </w:tc>
        <w:tc>
          <w:tcPr>
            <w:tcW w:w="2079" w:type="dxa"/>
          </w:tcPr>
          <w:p>
            <w:pPr>
              <w:pStyle w:val="yTable"/>
            </w:pPr>
            <w:r>
              <w:t>s. 110(1)</w:t>
            </w:r>
          </w:p>
        </w:tc>
      </w:tr>
      <w:tr>
        <w:trPr>
          <w:cantSplit/>
        </w:trPr>
        <w:tc>
          <w:tcPr>
            <w:tcW w:w="2079" w:type="dxa"/>
          </w:tcPr>
          <w:p>
            <w:pPr>
              <w:pStyle w:val="yTable"/>
            </w:pPr>
            <w:r>
              <w:t>s. 13(1)(a)</w:t>
            </w:r>
          </w:p>
        </w:tc>
        <w:tc>
          <w:tcPr>
            <w:tcW w:w="2079" w:type="dxa"/>
          </w:tcPr>
          <w:p>
            <w:pPr>
              <w:pStyle w:val="yTable"/>
            </w:pPr>
            <w:r>
              <w:t>s. 51</w:t>
            </w:r>
          </w:p>
        </w:tc>
        <w:tc>
          <w:tcPr>
            <w:tcW w:w="2079" w:type="dxa"/>
          </w:tcPr>
          <w:p>
            <w:pPr>
              <w:pStyle w:val="yTable"/>
            </w:pPr>
            <w:r>
              <w:t>s. 111(1)</w:t>
            </w:r>
          </w:p>
        </w:tc>
      </w:tr>
      <w:tr>
        <w:trPr>
          <w:cantSplit/>
        </w:trPr>
        <w:tc>
          <w:tcPr>
            <w:tcW w:w="2079" w:type="dxa"/>
          </w:tcPr>
          <w:p>
            <w:pPr>
              <w:pStyle w:val="yTable"/>
            </w:pPr>
            <w:r>
              <w:t>s. 14(2)</w:t>
            </w:r>
          </w:p>
        </w:tc>
        <w:tc>
          <w:tcPr>
            <w:tcW w:w="2079" w:type="dxa"/>
          </w:tcPr>
          <w:p>
            <w:pPr>
              <w:pStyle w:val="yTable"/>
            </w:pPr>
            <w:r>
              <w:t>s. 52(1)</w:t>
            </w:r>
          </w:p>
        </w:tc>
        <w:tc>
          <w:tcPr>
            <w:tcW w:w="2079" w:type="dxa"/>
          </w:tcPr>
          <w:p>
            <w:pPr>
              <w:pStyle w:val="yTable"/>
            </w:pPr>
            <w:r>
              <w:t>s. 111(2)</w:t>
            </w:r>
          </w:p>
        </w:tc>
      </w:tr>
      <w:tr>
        <w:trPr>
          <w:cantSplit/>
        </w:trPr>
        <w:tc>
          <w:tcPr>
            <w:tcW w:w="2079" w:type="dxa"/>
          </w:tcPr>
          <w:p>
            <w:pPr>
              <w:pStyle w:val="yTable"/>
            </w:pPr>
            <w:r>
              <w:t>s. 16(1)</w:t>
            </w:r>
          </w:p>
        </w:tc>
        <w:tc>
          <w:tcPr>
            <w:tcW w:w="2079" w:type="dxa"/>
          </w:tcPr>
          <w:p>
            <w:pPr>
              <w:pStyle w:val="yTable"/>
            </w:pPr>
            <w:r>
              <w:t>s. 53</w:t>
            </w:r>
          </w:p>
        </w:tc>
        <w:tc>
          <w:tcPr>
            <w:tcW w:w="2079" w:type="dxa"/>
          </w:tcPr>
          <w:p>
            <w:pPr>
              <w:pStyle w:val="yTable"/>
            </w:pPr>
            <w:r>
              <w:t>s. 112(1)</w:t>
            </w:r>
          </w:p>
        </w:tc>
      </w:tr>
      <w:tr>
        <w:trPr>
          <w:cantSplit/>
        </w:trPr>
        <w:tc>
          <w:tcPr>
            <w:tcW w:w="2079" w:type="dxa"/>
          </w:tcPr>
          <w:p>
            <w:pPr>
              <w:pStyle w:val="yTable"/>
            </w:pPr>
            <w:r>
              <w:t>s. 16(2)</w:t>
            </w:r>
          </w:p>
        </w:tc>
        <w:tc>
          <w:tcPr>
            <w:tcW w:w="2079" w:type="dxa"/>
          </w:tcPr>
          <w:p>
            <w:pPr>
              <w:pStyle w:val="yTable"/>
            </w:pPr>
            <w:r>
              <w:t>s. 54</w:t>
            </w:r>
          </w:p>
        </w:tc>
        <w:tc>
          <w:tcPr>
            <w:tcW w:w="2079" w:type="dxa"/>
          </w:tcPr>
          <w:p>
            <w:pPr>
              <w:pStyle w:val="yTable"/>
            </w:pPr>
            <w:r>
              <w:t>s. 112(2)</w:t>
            </w:r>
          </w:p>
        </w:tc>
      </w:tr>
      <w:tr>
        <w:trPr>
          <w:cantSplit/>
        </w:trPr>
        <w:tc>
          <w:tcPr>
            <w:tcW w:w="2079" w:type="dxa"/>
          </w:tcPr>
          <w:p>
            <w:pPr>
              <w:pStyle w:val="yTable"/>
            </w:pPr>
            <w:r>
              <w:t>s. 16A(1)</w:t>
            </w:r>
          </w:p>
        </w:tc>
        <w:tc>
          <w:tcPr>
            <w:tcW w:w="2079" w:type="dxa"/>
          </w:tcPr>
          <w:p>
            <w:pPr>
              <w:pStyle w:val="yTable"/>
            </w:pPr>
            <w:r>
              <w:t>s. 55(1)(c)</w:t>
            </w:r>
          </w:p>
        </w:tc>
        <w:tc>
          <w:tcPr>
            <w:tcW w:w="2079" w:type="dxa"/>
          </w:tcPr>
          <w:p>
            <w:pPr>
              <w:pStyle w:val="yTable"/>
            </w:pPr>
            <w:r>
              <w:t>s. 113(1)</w:t>
            </w:r>
          </w:p>
        </w:tc>
      </w:tr>
      <w:tr>
        <w:trPr>
          <w:cantSplit/>
        </w:trPr>
        <w:tc>
          <w:tcPr>
            <w:tcW w:w="2079" w:type="dxa"/>
          </w:tcPr>
          <w:p>
            <w:pPr>
              <w:pStyle w:val="yTable"/>
            </w:pPr>
            <w:r>
              <w:t>s. 16A(2)</w:t>
            </w:r>
          </w:p>
        </w:tc>
        <w:tc>
          <w:tcPr>
            <w:tcW w:w="2079" w:type="dxa"/>
          </w:tcPr>
          <w:p>
            <w:pPr>
              <w:pStyle w:val="yTable"/>
            </w:pPr>
            <w:r>
              <w:t>s. 56</w:t>
            </w:r>
          </w:p>
        </w:tc>
        <w:tc>
          <w:tcPr>
            <w:tcW w:w="2079" w:type="dxa"/>
          </w:tcPr>
          <w:p>
            <w:pPr>
              <w:pStyle w:val="yTable"/>
            </w:pPr>
            <w:r>
              <w:t>s. 113(2)</w:t>
            </w:r>
          </w:p>
        </w:tc>
      </w:tr>
      <w:tr>
        <w:trPr>
          <w:cantSplit/>
        </w:trPr>
        <w:tc>
          <w:tcPr>
            <w:tcW w:w="2079" w:type="dxa"/>
          </w:tcPr>
          <w:p>
            <w:pPr>
              <w:pStyle w:val="yTable"/>
            </w:pPr>
            <w:r>
              <w:t>s. 18(1)</w:t>
            </w:r>
          </w:p>
        </w:tc>
        <w:tc>
          <w:tcPr>
            <w:tcW w:w="2079" w:type="dxa"/>
          </w:tcPr>
          <w:p>
            <w:pPr>
              <w:pStyle w:val="yTable"/>
            </w:pPr>
            <w:r>
              <w:t>s. 58(1)</w:t>
            </w:r>
          </w:p>
        </w:tc>
        <w:tc>
          <w:tcPr>
            <w:tcW w:w="2079" w:type="dxa"/>
          </w:tcPr>
          <w:p>
            <w:pPr>
              <w:pStyle w:val="yTable"/>
            </w:pPr>
            <w:r>
              <w:t>s. 113(4)</w:t>
            </w:r>
          </w:p>
        </w:tc>
      </w:tr>
      <w:tr>
        <w:trPr>
          <w:cantSplit/>
        </w:trPr>
        <w:tc>
          <w:tcPr>
            <w:tcW w:w="2079" w:type="dxa"/>
          </w:tcPr>
          <w:p>
            <w:pPr>
              <w:pStyle w:val="yTable"/>
            </w:pPr>
            <w:r>
              <w:t>s. 18(3)</w:t>
            </w:r>
          </w:p>
        </w:tc>
        <w:tc>
          <w:tcPr>
            <w:tcW w:w="2079" w:type="dxa"/>
          </w:tcPr>
          <w:p>
            <w:pPr>
              <w:pStyle w:val="yTable"/>
            </w:pPr>
            <w:r>
              <w:t>s. 58(2)</w:t>
            </w:r>
          </w:p>
        </w:tc>
        <w:tc>
          <w:tcPr>
            <w:tcW w:w="2079" w:type="dxa"/>
          </w:tcPr>
          <w:p>
            <w:pPr>
              <w:pStyle w:val="yTable"/>
            </w:pPr>
            <w:r>
              <w:t>s. 114(1)</w:t>
            </w:r>
          </w:p>
        </w:tc>
      </w:tr>
      <w:tr>
        <w:trPr>
          <w:cantSplit/>
        </w:trPr>
        <w:tc>
          <w:tcPr>
            <w:tcW w:w="2079" w:type="dxa"/>
          </w:tcPr>
          <w:p>
            <w:pPr>
              <w:pStyle w:val="yTable"/>
            </w:pPr>
            <w:r>
              <w:t>s. 18(7)(b)</w:t>
            </w:r>
          </w:p>
        </w:tc>
        <w:tc>
          <w:tcPr>
            <w:tcW w:w="2079" w:type="dxa"/>
          </w:tcPr>
          <w:p>
            <w:pPr>
              <w:pStyle w:val="yTable"/>
            </w:pPr>
            <w:r>
              <w:t>s. 61(1)</w:t>
            </w:r>
          </w:p>
        </w:tc>
        <w:tc>
          <w:tcPr>
            <w:tcW w:w="2079" w:type="dxa"/>
          </w:tcPr>
          <w:p>
            <w:pPr>
              <w:pStyle w:val="yTable"/>
            </w:pPr>
            <w:r>
              <w:t>s. 116</w:t>
            </w:r>
          </w:p>
        </w:tc>
      </w:tr>
      <w:tr>
        <w:trPr>
          <w:cantSplit/>
        </w:trPr>
        <w:tc>
          <w:tcPr>
            <w:tcW w:w="2079" w:type="dxa"/>
          </w:tcPr>
          <w:p>
            <w:pPr>
              <w:pStyle w:val="yTable"/>
            </w:pPr>
            <w:r>
              <w:t>s. 21(1)</w:t>
            </w:r>
          </w:p>
        </w:tc>
        <w:tc>
          <w:tcPr>
            <w:tcW w:w="2079" w:type="dxa"/>
          </w:tcPr>
          <w:p>
            <w:pPr>
              <w:pStyle w:val="yTable"/>
            </w:pPr>
            <w:r>
              <w:t>s. 63(2)</w:t>
            </w:r>
          </w:p>
        </w:tc>
        <w:tc>
          <w:tcPr>
            <w:tcW w:w="2079" w:type="dxa"/>
          </w:tcPr>
          <w:p>
            <w:pPr>
              <w:pStyle w:val="yTable"/>
            </w:pPr>
            <w:r>
              <w:t>s. 122(2)</w:t>
            </w:r>
          </w:p>
        </w:tc>
      </w:tr>
      <w:tr>
        <w:trPr>
          <w:cantSplit/>
        </w:trPr>
        <w:tc>
          <w:tcPr>
            <w:tcW w:w="2079" w:type="dxa"/>
          </w:tcPr>
          <w:p>
            <w:pPr>
              <w:pStyle w:val="yTable"/>
            </w:pPr>
            <w:r>
              <w:t>s. 21(2b)</w:t>
            </w:r>
          </w:p>
        </w:tc>
        <w:tc>
          <w:tcPr>
            <w:tcW w:w="2079" w:type="dxa"/>
          </w:tcPr>
          <w:p>
            <w:pPr>
              <w:pStyle w:val="yTable"/>
            </w:pPr>
            <w:r>
              <w:t>s. 69(2)</w:t>
            </w:r>
          </w:p>
        </w:tc>
        <w:tc>
          <w:tcPr>
            <w:tcW w:w="2079" w:type="dxa"/>
          </w:tcPr>
          <w:p>
            <w:pPr>
              <w:pStyle w:val="yTable"/>
            </w:pPr>
            <w:r>
              <w:t>s. 122(4)</w:t>
            </w:r>
          </w:p>
        </w:tc>
      </w:tr>
      <w:tr>
        <w:trPr>
          <w:cantSplit/>
        </w:trPr>
        <w:tc>
          <w:tcPr>
            <w:tcW w:w="2079" w:type="dxa"/>
          </w:tcPr>
          <w:p>
            <w:pPr>
              <w:pStyle w:val="yTable"/>
            </w:pPr>
            <w:r>
              <w:t>s. 21(3)</w:t>
            </w:r>
          </w:p>
        </w:tc>
        <w:tc>
          <w:tcPr>
            <w:tcW w:w="2079" w:type="dxa"/>
          </w:tcPr>
          <w:p>
            <w:pPr>
              <w:pStyle w:val="yTable"/>
            </w:pPr>
            <w:r>
              <w:t>s. 69(3)</w:t>
            </w:r>
          </w:p>
        </w:tc>
        <w:tc>
          <w:tcPr>
            <w:tcW w:w="2079" w:type="dxa"/>
          </w:tcPr>
          <w:p>
            <w:pPr>
              <w:pStyle w:val="yTable"/>
            </w:pPr>
            <w:r>
              <w:t>s. 123(2)</w:t>
            </w:r>
          </w:p>
        </w:tc>
      </w:tr>
      <w:tr>
        <w:trPr>
          <w:cantSplit/>
        </w:trPr>
        <w:tc>
          <w:tcPr>
            <w:tcW w:w="2079" w:type="dxa"/>
          </w:tcPr>
          <w:p>
            <w:pPr>
              <w:pStyle w:val="yTable"/>
            </w:pPr>
            <w:r>
              <w:t>s. 23(1)</w:t>
            </w:r>
          </w:p>
        </w:tc>
        <w:tc>
          <w:tcPr>
            <w:tcW w:w="2079" w:type="dxa"/>
          </w:tcPr>
          <w:p>
            <w:pPr>
              <w:pStyle w:val="yTable"/>
            </w:pPr>
            <w:r>
              <w:t>s. 76(2)</w:t>
            </w:r>
          </w:p>
        </w:tc>
        <w:tc>
          <w:tcPr>
            <w:tcW w:w="2079" w:type="dxa"/>
          </w:tcPr>
          <w:p>
            <w:pPr>
              <w:pStyle w:val="yTable"/>
            </w:pPr>
            <w:r>
              <w:t>s. 124(2)(a)</w:t>
            </w:r>
          </w:p>
        </w:tc>
      </w:tr>
      <w:tr>
        <w:trPr>
          <w:cantSplit/>
        </w:trPr>
        <w:tc>
          <w:tcPr>
            <w:tcW w:w="2079" w:type="dxa"/>
          </w:tcPr>
          <w:p>
            <w:pPr>
              <w:pStyle w:val="yTable"/>
            </w:pPr>
            <w:r>
              <w:t>s. 23(2)</w:t>
            </w:r>
          </w:p>
        </w:tc>
        <w:tc>
          <w:tcPr>
            <w:tcW w:w="2079" w:type="dxa"/>
          </w:tcPr>
          <w:p>
            <w:pPr>
              <w:pStyle w:val="yTable"/>
            </w:pPr>
            <w:r>
              <w:t>s. 77(1)</w:t>
            </w:r>
          </w:p>
        </w:tc>
        <w:tc>
          <w:tcPr>
            <w:tcW w:w="2079" w:type="dxa"/>
          </w:tcPr>
          <w:p>
            <w:pPr>
              <w:pStyle w:val="yTable"/>
            </w:pPr>
            <w:r>
              <w:t>s. 127(2)(ba)</w:t>
            </w:r>
          </w:p>
        </w:tc>
      </w:tr>
      <w:tr>
        <w:trPr>
          <w:cantSplit/>
        </w:trPr>
        <w:tc>
          <w:tcPr>
            <w:tcW w:w="2079" w:type="dxa"/>
          </w:tcPr>
          <w:p>
            <w:pPr>
              <w:pStyle w:val="yTable"/>
            </w:pPr>
            <w:r>
              <w:t>s. 23(3)</w:t>
            </w:r>
          </w:p>
        </w:tc>
        <w:tc>
          <w:tcPr>
            <w:tcW w:w="2079" w:type="dxa"/>
          </w:tcPr>
          <w:p>
            <w:pPr>
              <w:pStyle w:val="yTable"/>
            </w:pPr>
            <w:r>
              <w:t>s. 79(1)</w:t>
            </w:r>
          </w:p>
        </w:tc>
        <w:tc>
          <w:tcPr>
            <w:tcW w:w="2079" w:type="dxa"/>
          </w:tcPr>
          <w:p>
            <w:pPr>
              <w:pStyle w:val="yTable"/>
            </w:pPr>
            <w:r>
              <w:t>s. 128(1)(a)(ii)</w:t>
            </w:r>
          </w:p>
        </w:tc>
      </w:tr>
      <w:tr>
        <w:trPr>
          <w:cantSplit/>
        </w:trPr>
        <w:tc>
          <w:tcPr>
            <w:tcW w:w="2079" w:type="dxa"/>
          </w:tcPr>
          <w:p>
            <w:pPr>
              <w:pStyle w:val="yTable"/>
            </w:pPr>
            <w:r>
              <w:t>s. 24(1)</w:t>
            </w:r>
          </w:p>
        </w:tc>
        <w:tc>
          <w:tcPr>
            <w:tcW w:w="2079" w:type="dxa"/>
          </w:tcPr>
          <w:p>
            <w:pPr>
              <w:pStyle w:val="yTable"/>
            </w:pPr>
            <w:r>
              <w:t>s. 79(2)</w:t>
            </w:r>
          </w:p>
        </w:tc>
        <w:tc>
          <w:tcPr>
            <w:tcW w:w="2079" w:type="dxa"/>
          </w:tcPr>
          <w:p>
            <w:pPr>
              <w:pStyle w:val="yTable"/>
            </w:pPr>
            <w:r>
              <w:t>s. 129(1)</w:t>
            </w:r>
          </w:p>
        </w:tc>
      </w:tr>
      <w:tr>
        <w:trPr>
          <w:cantSplit/>
        </w:trPr>
        <w:tc>
          <w:tcPr>
            <w:tcW w:w="2079" w:type="dxa"/>
          </w:tcPr>
          <w:p>
            <w:pPr>
              <w:pStyle w:val="yTable"/>
            </w:pPr>
            <w:r>
              <w:t>s. 25(1)</w:t>
            </w:r>
          </w:p>
        </w:tc>
        <w:tc>
          <w:tcPr>
            <w:tcW w:w="2079" w:type="dxa"/>
          </w:tcPr>
          <w:p>
            <w:pPr>
              <w:pStyle w:val="yTable"/>
            </w:pPr>
            <w:r>
              <w:t>s. 79(3)</w:t>
            </w:r>
          </w:p>
        </w:tc>
        <w:tc>
          <w:tcPr>
            <w:tcW w:w="2079" w:type="dxa"/>
          </w:tcPr>
          <w:p>
            <w:pPr>
              <w:pStyle w:val="yTable"/>
            </w:pPr>
            <w:r>
              <w:t>s. 129(2)</w:t>
            </w:r>
          </w:p>
        </w:tc>
      </w:tr>
      <w:tr>
        <w:trPr>
          <w:cantSplit/>
        </w:trPr>
        <w:tc>
          <w:tcPr>
            <w:tcW w:w="2079" w:type="dxa"/>
          </w:tcPr>
          <w:p>
            <w:pPr>
              <w:pStyle w:val="yTable"/>
            </w:pPr>
            <w:r>
              <w:t>s. 26C(1)(c)</w:t>
            </w:r>
          </w:p>
        </w:tc>
        <w:tc>
          <w:tcPr>
            <w:tcW w:w="2079" w:type="dxa"/>
          </w:tcPr>
          <w:p>
            <w:pPr>
              <w:pStyle w:val="yTable"/>
            </w:pPr>
            <w:r>
              <w:t>s. 80(1)</w:t>
            </w:r>
          </w:p>
        </w:tc>
        <w:tc>
          <w:tcPr>
            <w:tcW w:w="2079" w:type="dxa"/>
          </w:tcPr>
          <w:p>
            <w:pPr>
              <w:pStyle w:val="yTable"/>
            </w:pPr>
            <w:r>
              <w:t>s. 130</w:t>
            </w:r>
          </w:p>
        </w:tc>
      </w:tr>
      <w:tr>
        <w:trPr>
          <w:cantSplit/>
        </w:trPr>
        <w:tc>
          <w:tcPr>
            <w:tcW w:w="2079" w:type="dxa"/>
          </w:tcPr>
          <w:p>
            <w:pPr>
              <w:pStyle w:val="yTable"/>
            </w:pPr>
            <w:r>
              <w:t>s. 27(5)</w:t>
            </w:r>
          </w:p>
        </w:tc>
        <w:tc>
          <w:tcPr>
            <w:tcW w:w="2079" w:type="dxa"/>
          </w:tcPr>
          <w:p>
            <w:pPr>
              <w:pStyle w:val="yTable"/>
            </w:pPr>
            <w:r>
              <w:t>s. 80(2)</w:t>
            </w:r>
          </w:p>
        </w:tc>
        <w:tc>
          <w:tcPr>
            <w:tcW w:w="2079" w:type="dxa"/>
          </w:tcPr>
          <w:p>
            <w:pPr>
              <w:pStyle w:val="yTable"/>
            </w:pPr>
            <w:r>
              <w:t>s. 130A</w:t>
            </w:r>
          </w:p>
        </w:tc>
      </w:tr>
      <w:tr>
        <w:trPr>
          <w:cantSplit/>
        </w:trPr>
        <w:tc>
          <w:tcPr>
            <w:tcW w:w="2079" w:type="dxa"/>
          </w:tcPr>
          <w:p>
            <w:pPr>
              <w:pStyle w:val="yTable"/>
            </w:pPr>
            <w:r>
              <w:t>s. 29(1)(c)</w:t>
            </w:r>
          </w:p>
        </w:tc>
        <w:tc>
          <w:tcPr>
            <w:tcW w:w="2079" w:type="dxa"/>
          </w:tcPr>
          <w:p>
            <w:pPr>
              <w:pStyle w:val="yTable"/>
            </w:pPr>
            <w:r>
              <w:t>s. 80(3)</w:t>
            </w:r>
          </w:p>
        </w:tc>
        <w:tc>
          <w:tcPr>
            <w:tcW w:w="2079" w:type="dxa"/>
          </w:tcPr>
          <w:p>
            <w:pPr>
              <w:pStyle w:val="yTable"/>
            </w:pPr>
            <w:r>
              <w:t>s. 131(1)(b)</w:t>
            </w:r>
          </w:p>
        </w:tc>
      </w:tr>
      <w:tr>
        <w:trPr>
          <w:cantSplit/>
        </w:trPr>
        <w:tc>
          <w:tcPr>
            <w:tcW w:w="2079" w:type="dxa"/>
          </w:tcPr>
          <w:p>
            <w:pPr>
              <w:pStyle w:val="yTable"/>
            </w:pPr>
            <w:r>
              <w:t>s. 30</w:t>
            </w:r>
          </w:p>
        </w:tc>
        <w:tc>
          <w:tcPr>
            <w:tcW w:w="2079" w:type="dxa"/>
          </w:tcPr>
          <w:p>
            <w:pPr>
              <w:pStyle w:val="yTable"/>
            </w:pPr>
            <w:r>
              <w:t>s. 82(1)</w:t>
            </w:r>
          </w:p>
        </w:tc>
        <w:tc>
          <w:tcPr>
            <w:tcW w:w="2079" w:type="dxa"/>
          </w:tcPr>
          <w:p>
            <w:pPr>
              <w:pStyle w:val="yTable"/>
            </w:pPr>
            <w:r>
              <w:t>s. 134(1)</w:t>
            </w:r>
          </w:p>
        </w:tc>
      </w:tr>
      <w:tr>
        <w:trPr>
          <w:cantSplit/>
        </w:trPr>
        <w:tc>
          <w:tcPr>
            <w:tcW w:w="2079" w:type="dxa"/>
          </w:tcPr>
          <w:p>
            <w:pPr>
              <w:pStyle w:val="yTable"/>
            </w:pPr>
            <w:r>
              <w:t>s. 31</w:t>
            </w:r>
          </w:p>
        </w:tc>
        <w:tc>
          <w:tcPr>
            <w:tcW w:w="2079" w:type="dxa"/>
          </w:tcPr>
          <w:p>
            <w:pPr>
              <w:pStyle w:val="yTable"/>
            </w:pPr>
            <w:r>
              <w:t>s. 82(2)</w:t>
            </w:r>
          </w:p>
        </w:tc>
        <w:tc>
          <w:tcPr>
            <w:tcW w:w="2079" w:type="dxa"/>
          </w:tcPr>
          <w:p>
            <w:pPr>
              <w:pStyle w:val="yTable"/>
            </w:pPr>
            <w:r>
              <w:t>s. 134(1a)</w:t>
            </w:r>
          </w:p>
        </w:tc>
      </w:tr>
      <w:tr>
        <w:trPr>
          <w:cantSplit/>
        </w:trPr>
        <w:tc>
          <w:tcPr>
            <w:tcW w:w="2079" w:type="dxa"/>
          </w:tcPr>
          <w:p>
            <w:pPr>
              <w:pStyle w:val="yTable"/>
            </w:pPr>
            <w:r>
              <w:t>s. 33(1)</w:t>
            </w:r>
          </w:p>
        </w:tc>
        <w:tc>
          <w:tcPr>
            <w:tcW w:w="2079" w:type="dxa"/>
          </w:tcPr>
          <w:p>
            <w:pPr>
              <w:pStyle w:val="yTable"/>
            </w:pPr>
            <w:r>
              <w:t>s. 82(3)</w:t>
            </w:r>
          </w:p>
        </w:tc>
        <w:tc>
          <w:tcPr>
            <w:tcW w:w="2079" w:type="dxa"/>
          </w:tcPr>
          <w:p>
            <w:pPr>
              <w:pStyle w:val="yTable"/>
            </w:pPr>
            <w:r>
              <w:t>s. 134(1b)</w:t>
            </w:r>
          </w:p>
        </w:tc>
      </w:tr>
      <w:tr>
        <w:trPr>
          <w:cantSplit/>
        </w:trPr>
        <w:tc>
          <w:tcPr>
            <w:tcW w:w="2079" w:type="dxa"/>
          </w:tcPr>
          <w:p>
            <w:pPr>
              <w:pStyle w:val="yTable"/>
            </w:pPr>
            <w:r>
              <w:t>s. 33(2)</w:t>
            </w:r>
          </w:p>
        </w:tc>
        <w:tc>
          <w:tcPr>
            <w:tcW w:w="2079" w:type="dxa"/>
          </w:tcPr>
          <w:p>
            <w:pPr>
              <w:pStyle w:val="yTable"/>
            </w:pPr>
            <w:r>
              <w:t>s. 83(1)</w:t>
            </w:r>
          </w:p>
        </w:tc>
        <w:tc>
          <w:tcPr>
            <w:tcW w:w="2079" w:type="dxa"/>
          </w:tcPr>
          <w:p>
            <w:pPr>
              <w:pStyle w:val="yTable"/>
            </w:pPr>
            <w:r>
              <w:t>s. 134(2)</w:t>
            </w:r>
          </w:p>
        </w:tc>
      </w:tr>
      <w:tr>
        <w:trPr>
          <w:cantSplit/>
        </w:trPr>
        <w:tc>
          <w:tcPr>
            <w:tcW w:w="2079" w:type="dxa"/>
          </w:tcPr>
          <w:p>
            <w:pPr>
              <w:pStyle w:val="yTable"/>
            </w:pPr>
            <w:r>
              <w:t>s. 33(3)</w:t>
            </w:r>
          </w:p>
        </w:tc>
        <w:tc>
          <w:tcPr>
            <w:tcW w:w="2079" w:type="dxa"/>
          </w:tcPr>
          <w:p>
            <w:pPr>
              <w:pStyle w:val="yTable"/>
            </w:pPr>
            <w:r>
              <w:t>s. 83(3)</w:t>
            </w:r>
          </w:p>
        </w:tc>
        <w:tc>
          <w:tcPr>
            <w:tcW w:w="2079" w:type="dxa"/>
          </w:tcPr>
          <w:p>
            <w:pPr>
              <w:pStyle w:val="yTable"/>
            </w:pPr>
            <w:r>
              <w:t>s. 134(4)</w:t>
            </w:r>
          </w:p>
        </w:tc>
      </w:tr>
      <w:tr>
        <w:trPr>
          <w:cantSplit/>
        </w:trPr>
        <w:tc>
          <w:tcPr>
            <w:tcW w:w="2079" w:type="dxa"/>
          </w:tcPr>
          <w:p>
            <w:pPr>
              <w:pStyle w:val="yTable"/>
            </w:pPr>
            <w:r>
              <w:t>s. 33(4)</w:t>
            </w:r>
          </w:p>
        </w:tc>
        <w:tc>
          <w:tcPr>
            <w:tcW w:w="2079" w:type="dxa"/>
          </w:tcPr>
          <w:p>
            <w:pPr>
              <w:pStyle w:val="yTable"/>
            </w:pPr>
            <w:r>
              <w:t>s. 88</w:t>
            </w:r>
          </w:p>
        </w:tc>
        <w:tc>
          <w:tcPr>
            <w:tcW w:w="2079" w:type="dxa"/>
          </w:tcPr>
          <w:p>
            <w:pPr>
              <w:pStyle w:val="yTable"/>
            </w:pPr>
            <w:r>
              <w:t>s. 138(1)(b)(ii)</w:t>
            </w:r>
          </w:p>
        </w:tc>
      </w:tr>
      <w:tr>
        <w:trPr>
          <w:cantSplit/>
        </w:trPr>
        <w:tc>
          <w:tcPr>
            <w:tcW w:w="2079" w:type="dxa"/>
          </w:tcPr>
          <w:p>
            <w:pPr>
              <w:pStyle w:val="yTable"/>
            </w:pPr>
            <w:r>
              <w:t>s. 33(5)</w:t>
            </w:r>
          </w:p>
        </w:tc>
        <w:tc>
          <w:tcPr>
            <w:tcW w:w="2079" w:type="dxa"/>
          </w:tcPr>
          <w:p>
            <w:pPr>
              <w:pStyle w:val="yTable"/>
            </w:pPr>
            <w:r>
              <w:t>s. 90(1)</w:t>
            </w:r>
          </w:p>
        </w:tc>
        <w:tc>
          <w:tcPr>
            <w:tcW w:w="2079" w:type="dxa"/>
          </w:tcPr>
          <w:p>
            <w:pPr>
              <w:pStyle w:val="yTable"/>
            </w:pPr>
            <w:r>
              <w:t>s. 138(4)</w:t>
            </w:r>
          </w:p>
        </w:tc>
      </w:tr>
      <w:tr>
        <w:trPr>
          <w:cantSplit/>
        </w:trPr>
        <w:tc>
          <w:tcPr>
            <w:tcW w:w="2079" w:type="dxa"/>
          </w:tcPr>
          <w:p>
            <w:pPr>
              <w:pStyle w:val="yTable"/>
            </w:pPr>
            <w:r>
              <w:t>s. 34(1)</w:t>
            </w:r>
          </w:p>
        </w:tc>
        <w:tc>
          <w:tcPr>
            <w:tcW w:w="2079" w:type="dxa"/>
          </w:tcPr>
          <w:p>
            <w:pPr>
              <w:pStyle w:val="yTable"/>
            </w:pPr>
            <w:r>
              <w:t>s. 90(4)</w:t>
            </w:r>
          </w:p>
        </w:tc>
        <w:tc>
          <w:tcPr>
            <w:tcW w:w="2079" w:type="dxa"/>
          </w:tcPr>
          <w:p>
            <w:pPr>
              <w:pStyle w:val="yTable"/>
            </w:pPr>
            <w:r>
              <w:t>s. 138(6)</w:t>
            </w:r>
          </w:p>
        </w:tc>
      </w:tr>
      <w:tr>
        <w:trPr>
          <w:cantSplit/>
        </w:trPr>
        <w:tc>
          <w:tcPr>
            <w:tcW w:w="2079" w:type="dxa"/>
          </w:tcPr>
          <w:p>
            <w:pPr>
              <w:pStyle w:val="yTable"/>
            </w:pPr>
            <w:r>
              <w:t>s. 34(2)</w:t>
            </w:r>
          </w:p>
        </w:tc>
        <w:tc>
          <w:tcPr>
            <w:tcW w:w="2079" w:type="dxa"/>
          </w:tcPr>
          <w:p>
            <w:pPr>
              <w:pStyle w:val="yTable"/>
            </w:pPr>
            <w:r>
              <w:t>s. 91</w:t>
            </w:r>
          </w:p>
        </w:tc>
        <w:tc>
          <w:tcPr>
            <w:tcW w:w="2079" w:type="dxa"/>
          </w:tcPr>
          <w:p>
            <w:pPr>
              <w:pStyle w:val="yTable"/>
            </w:pPr>
            <w:r>
              <w:t>s. 138D</w:t>
            </w:r>
          </w:p>
        </w:tc>
      </w:tr>
      <w:tr>
        <w:trPr>
          <w:cantSplit/>
        </w:trPr>
        <w:tc>
          <w:tcPr>
            <w:tcW w:w="2079" w:type="dxa"/>
          </w:tcPr>
          <w:p>
            <w:pPr>
              <w:pStyle w:val="yTable"/>
            </w:pPr>
            <w:r>
              <w:t>s. 34(3)</w:t>
            </w:r>
          </w:p>
        </w:tc>
        <w:tc>
          <w:tcPr>
            <w:tcW w:w="2079" w:type="dxa"/>
          </w:tcPr>
          <w:p>
            <w:pPr>
              <w:pStyle w:val="yTable"/>
            </w:pPr>
            <w:r>
              <w:t>s. 92(1)</w:t>
            </w:r>
          </w:p>
        </w:tc>
        <w:tc>
          <w:tcPr>
            <w:tcW w:w="2079" w:type="dxa"/>
          </w:tcPr>
          <w:p>
            <w:pPr>
              <w:pStyle w:val="yTable"/>
            </w:pPr>
            <w:r>
              <w:t>s. 139(1)</w:t>
            </w:r>
          </w:p>
        </w:tc>
      </w:tr>
      <w:tr>
        <w:trPr>
          <w:cantSplit/>
        </w:trPr>
        <w:tc>
          <w:tcPr>
            <w:tcW w:w="2079" w:type="dxa"/>
          </w:tcPr>
          <w:p>
            <w:pPr>
              <w:pStyle w:val="yTable"/>
            </w:pPr>
            <w:r>
              <w:t>s. 37(1)</w:t>
            </w:r>
          </w:p>
        </w:tc>
        <w:tc>
          <w:tcPr>
            <w:tcW w:w="2079" w:type="dxa"/>
          </w:tcPr>
          <w:p>
            <w:pPr>
              <w:pStyle w:val="yTable"/>
            </w:pPr>
            <w:r>
              <w:t>s. 92(2)</w:t>
            </w:r>
          </w:p>
        </w:tc>
        <w:tc>
          <w:tcPr>
            <w:tcW w:w="2079" w:type="dxa"/>
          </w:tcPr>
          <w:p>
            <w:pPr>
              <w:pStyle w:val="yTable"/>
            </w:pPr>
            <w:r>
              <w:t>s. 140(1)</w:t>
            </w:r>
          </w:p>
        </w:tc>
      </w:tr>
      <w:tr>
        <w:trPr>
          <w:cantSplit/>
        </w:trPr>
        <w:tc>
          <w:tcPr>
            <w:tcW w:w="2079" w:type="dxa"/>
          </w:tcPr>
          <w:p>
            <w:pPr>
              <w:pStyle w:val="yTable"/>
            </w:pPr>
            <w:r>
              <w:t>s. 37(2)</w:t>
            </w:r>
          </w:p>
        </w:tc>
        <w:tc>
          <w:tcPr>
            <w:tcW w:w="2079" w:type="dxa"/>
          </w:tcPr>
          <w:p>
            <w:pPr>
              <w:pStyle w:val="yTable"/>
            </w:pPr>
            <w:r>
              <w:t>s. 93(1)</w:t>
            </w:r>
          </w:p>
        </w:tc>
        <w:tc>
          <w:tcPr>
            <w:tcW w:w="2079" w:type="dxa"/>
          </w:tcPr>
          <w:p>
            <w:pPr>
              <w:pStyle w:val="yTable"/>
            </w:pPr>
            <w:r>
              <w:t>s. 140(2)</w:t>
            </w:r>
          </w:p>
        </w:tc>
      </w:tr>
      <w:tr>
        <w:trPr>
          <w:cantSplit/>
        </w:trPr>
        <w:tc>
          <w:tcPr>
            <w:tcW w:w="2079" w:type="dxa"/>
          </w:tcPr>
          <w:p>
            <w:pPr>
              <w:pStyle w:val="yTable"/>
            </w:pPr>
            <w:r>
              <w:t>s. 37(3)</w:t>
            </w:r>
          </w:p>
        </w:tc>
        <w:tc>
          <w:tcPr>
            <w:tcW w:w="2079" w:type="dxa"/>
          </w:tcPr>
          <w:p>
            <w:pPr>
              <w:pStyle w:val="yTable"/>
            </w:pPr>
            <w:r>
              <w:t>s. 93(2)</w:t>
            </w:r>
          </w:p>
        </w:tc>
        <w:tc>
          <w:tcPr>
            <w:tcW w:w="2079" w:type="dxa"/>
          </w:tcPr>
          <w:p>
            <w:pPr>
              <w:pStyle w:val="yTable"/>
            </w:pPr>
            <w:r>
              <w:t>s. 141(1)</w:t>
            </w:r>
          </w:p>
        </w:tc>
      </w:tr>
      <w:tr>
        <w:trPr>
          <w:cantSplit/>
        </w:trPr>
        <w:tc>
          <w:tcPr>
            <w:tcW w:w="2079" w:type="dxa"/>
          </w:tcPr>
          <w:p>
            <w:pPr>
              <w:pStyle w:val="yTable"/>
            </w:pPr>
            <w:r>
              <w:t>s. 38(1)</w:t>
            </w:r>
          </w:p>
        </w:tc>
        <w:tc>
          <w:tcPr>
            <w:tcW w:w="2079" w:type="dxa"/>
          </w:tcPr>
          <w:p>
            <w:pPr>
              <w:pStyle w:val="yTable"/>
            </w:pPr>
            <w:r>
              <w:t>s. 94(2)</w:t>
            </w:r>
          </w:p>
        </w:tc>
        <w:tc>
          <w:tcPr>
            <w:tcW w:w="2079" w:type="dxa"/>
          </w:tcPr>
          <w:p>
            <w:pPr>
              <w:pStyle w:val="yTable"/>
            </w:pPr>
            <w:r>
              <w:t>s. 141(2)</w:t>
            </w:r>
          </w:p>
        </w:tc>
      </w:tr>
      <w:tr>
        <w:trPr>
          <w:cantSplit/>
        </w:trPr>
        <w:tc>
          <w:tcPr>
            <w:tcW w:w="2079" w:type="dxa"/>
          </w:tcPr>
          <w:p>
            <w:pPr>
              <w:pStyle w:val="yTable"/>
            </w:pPr>
            <w:r>
              <w:t>s. 38(3)</w:t>
            </w:r>
          </w:p>
        </w:tc>
        <w:tc>
          <w:tcPr>
            <w:tcW w:w="2079" w:type="dxa"/>
          </w:tcPr>
          <w:p>
            <w:pPr>
              <w:pStyle w:val="yTable"/>
            </w:pPr>
            <w:r>
              <w:t>s. 94(3)</w:t>
            </w:r>
          </w:p>
        </w:tc>
        <w:tc>
          <w:tcPr>
            <w:tcW w:w="2079" w:type="dxa"/>
          </w:tcPr>
          <w:p>
            <w:pPr>
              <w:pStyle w:val="yTable"/>
            </w:pPr>
            <w:r>
              <w:t>s. 141(3)</w:t>
            </w:r>
          </w:p>
        </w:tc>
      </w:tr>
      <w:tr>
        <w:trPr>
          <w:cantSplit/>
        </w:trPr>
        <w:tc>
          <w:tcPr>
            <w:tcW w:w="2079" w:type="dxa"/>
          </w:tcPr>
          <w:p>
            <w:pPr>
              <w:pStyle w:val="yTable"/>
            </w:pPr>
            <w:r>
              <w:t>s. 39(2)</w:t>
            </w:r>
          </w:p>
        </w:tc>
        <w:tc>
          <w:tcPr>
            <w:tcW w:w="2079" w:type="dxa"/>
          </w:tcPr>
          <w:p>
            <w:pPr>
              <w:pStyle w:val="yTable"/>
            </w:pPr>
            <w:r>
              <w:t>s. 94(4)</w:t>
            </w:r>
          </w:p>
        </w:tc>
        <w:tc>
          <w:tcPr>
            <w:tcW w:w="2079" w:type="dxa"/>
          </w:tcPr>
          <w:p>
            <w:pPr>
              <w:pStyle w:val="yTable"/>
            </w:pPr>
            <w:r>
              <w:t xml:space="preserve">Sch. 1 cl. 1(1) </w:t>
            </w:r>
          </w:p>
        </w:tc>
      </w:tr>
      <w:tr>
        <w:trPr>
          <w:cantSplit/>
        </w:trPr>
        <w:tc>
          <w:tcPr>
            <w:tcW w:w="2079" w:type="dxa"/>
          </w:tcPr>
          <w:p>
            <w:pPr>
              <w:pStyle w:val="yTable"/>
            </w:pPr>
            <w:r>
              <w:t>s. 40(1)</w:t>
            </w:r>
          </w:p>
        </w:tc>
        <w:tc>
          <w:tcPr>
            <w:tcW w:w="2079" w:type="dxa"/>
          </w:tcPr>
          <w:p>
            <w:pPr>
              <w:pStyle w:val="yTable"/>
            </w:pPr>
            <w:r>
              <w:t>s. 99</w:t>
            </w:r>
          </w:p>
        </w:tc>
        <w:tc>
          <w:tcPr>
            <w:tcW w:w="2079" w:type="dxa"/>
          </w:tcPr>
          <w:p>
            <w:pPr>
              <w:pStyle w:val="yTable"/>
            </w:pPr>
            <w:r>
              <w:t>Sch. 1 cl. 1(2)</w:t>
            </w:r>
          </w:p>
        </w:tc>
      </w:tr>
      <w:tr>
        <w:trPr>
          <w:cantSplit/>
        </w:trPr>
        <w:tc>
          <w:tcPr>
            <w:tcW w:w="2079" w:type="dxa"/>
          </w:tcPr>
          <w:p>
            <w:pPr>
              <w:pStyle w:val="yTable"/>
            </w:pPr>
            <w:r>
              <w:t>s. 43</w:t>
            </w:r>
          </w:p>
        </w:tc>
        <w:tc>
          <w:tcPr>
            <w:tcW w:w="2079" w:type="dxa"/>
          </w:tcPr>
          <w:p>
            <w:pPr>
              <w:pStyle w:val="yTable"/>
            </w:pPr>
            <w:r>
              <w:t>s. 100(3)(b)</w:t>
            </w:r>
          </w:p>
        </w:tc>
        <w:tc>
          <w:tcPr>
            <w:tcW w:w="2079" w:type="dxa"/>
          </w:tcPr>
          <w:p>
            <w:pPr>
              <w:pStyle w:val="yTable"/>
            </w:pPr>
            <w:r>
              <w:t xml:space="preserve">Sch. 1 cl. 2(3)(b) </w:t>
            </w:r>
          </w:p>
        </w:tc>
      </w:tr>
      <w:tr>
        <w:trPr>
          <w:cantSplit/>
        </w:trPr>
        <w:tc>
          <w:tcPr>
            <w:tcW w:w="2079" w:type="dxa"/>
          </w:tcPr>
          <w:p>
            <w:pPr>
              <w:pStyle w:val="yTable"/>
            </w:pPr>
            <w:r>
              <w:t>s. 44(1)</w:t>
            </w:r>
          </w:p>
        </w:tc>
        <w:tc>
          <w:tcPr>
            <w:tcW w:w="2079" w:type="dxa"/>
          </w:tcPr>
          <w:p>
            <w:pPr>
              <w:pStyle w:val="yTable"/>
            </w:pPr>
            <w:r>
              <w:t>s. 102(1)</w:t>
            </w:r>
          </w:p>
        </w:tc>
        <w:tc>
          <w:tcPr>
            <w:tcW w:w="2079" w:type="dxa"/>
          </w:tcPr>
          <w:p>
            <w:pPr>
              <w:pStyle w:val="yTable"/>
            </w:pPr>
            <w:r>
              <w:t>Sch. 1 cl. 3</w:t>
            </w:r>
          </w:p>
        </w:tc>
      </w:tr>
      <w:tr>
        <w:trPr>
          <w:cantSplit/>
        </w:trPr>
        <w:tc>
          <w:tcPr>
            <w:tcW w:w="2079" w:type="dxa"/>
          </w:tcPr>
          <w:p>
            <w:pPr>
              <w:pStyle w:val="yTable"/>
            </w:pPr>
            <w:r>
              <w:t>s. 44(2)</w:t>
            </w:r>
          </w:p>
        </w:tc>
        <w:tc>
          <w:tcPr>
            <w:tcW w:w="2079" w:type="dxa"/>
          </w:tcPr>
          <w:p>
            <w:pPr>
              <w:pStyle w:val="yTable"/>
            </w:pPr>
            <w:r>
              <w:t>s. 102(2)</w:t>
            </w:r>
          </w:p>
        </w:tc>
        <w:tc>
          <w:tcPr>
            <w:tcW w:w="2079" w:type="dxa"/>
          </w:tcPr>
          <w:p>
            <w:pPr>
              <w:pStyle w:val="yTable"/>
            </w:pPr>
            <w:r>
              <w:t>Sch. 3 cl. 7</w:t>
            </w:r>
          </w:p>
        </w:tc>
      </w:tr>
      <w:tr>
        <w:trPr>
          <w:cantSplit/>
        </w:trPr>
        <w:tc>
          <w:tcPr>
            <w:tcW w:w="2079" w:type="dxa"/>
          </w:tcPr>
          <w:p>
            <w:pPr>
              <w:pStyle w:val="yTable"/>
            </w:pPr>
            <w:r>
              <w:t>s. 44(3)</w:t>
            </w:r>
          </w:p>
        </w:tc>
        <w:tc>
          <w:tcPr>
            <w:tcW w:w="2079" w:type="dxa"/>
          </w:tcPr>
          <w:p>
            <w:pPr>
              <w:pStyle w:val="yTable"/>
            </w:pPr>
            <w:r>
              <w:t>s. 102(3)</w:t>
            </w:r>
          </w:p>
        </w:tc>
        <w:tc>
          <w:tcPr>
            <w:tcW w:w="2079" w:type="dxa"/>
          </w:tcPr>
          <w:p>
            <w:pPr>
              <w:pStyle w:val="yTable"/>
            </w:pPr>
            <w:r>
              <w:t>Sch. 3 cl. 13(1)</w:t>
            </w:r>
          </w:p>
        </w:tc>
      </w:tr>
      <w:tr>
        <w:trPr>
          <w:cantSplit/>
        </w:trPr>
        <w:tc>
          <w:tcPr>
            <w:tcW w:w="2079" w:type="dxa"/>
          </w:tcPr>
          <w:p>
            <w:pPr>
              <w:pStyle w:val="yTable"/>
            </w:pPr>
            <w:r>
              <w:t>s. 44(4)</w:t>
            </w:r>
          </w:p>
        </w:tc>
        <w:tc>
          <w:tcPr>
            <w:tcW w:w="2079" w:type="dxa"/>
          </w:tcPr>
          <w:p>
            <w:pPr>
              <w:pStyle w:val="yTable"/>
            </w:pPr>
            <w:r>
              <w:t>s. 103</w:t>
            </w:r>
          </w:p>
        </w:tc>
        <w:tc>
          <w:tcPr>
            <w:tcW w:w="2079" w:type="dxa"/>
          </w:tcPr>
          <w:p>
            <w:pPr>
              <w:pStyle w:val="yTable"/>
            </w:pPr>
            <w:r>
              <w:t>Sch. 3 cl. 13(2)</w:t>
            </w:r>
          </w:p>
        </w:tc>
      </w:tr>
      <w:tr>
        <w:trPr>
          <w:cantSplit/>
        </w:trPr>
        <w:tc>
          <w:tcPr>
            <w:tcW w:w="2079" w:type="dxa"/>
          </w:tcPr>
          <w:p>
            <w:pPr>
              <w:pStyle w:val="yTable"/>
            </w:pPr>
            <w:r>
              <w:t>s. 44(5)</w:t>
            </w:r>
          </w:p>
        </w:tc>
        <w:tc>
          <w:tcPr>
            <w:tcW w:w="2079" w:type="dxa"/>
          </w:tcPr>
          <w:p>
            <w:pPr>
              <w:pStyle w:val="yTable"/>
            </w:pPr>
            <w:r>
              <w:t>s. 104(3)</w:t>
            </w:r>
          </w:p>
        </w:tc>
        <w:tc>
          <w:tcPr>
            <w:tcW w:w="2079" w:type="dxa"/>
          </w:tcPr>
          <w:p>
            <w:pPr>
              <w:pStyle w:val="yTable"/>
            </w:pPr>
          </w:p>
        </w:tc>
      </w:tr>
      <w:tr>
        <w:trPr>
          <w:cantSplit/>
        </w:trPr>
        <w:tc>
          <w:tcPr>
            <w:tcW w:w="2079" w:type="dxa"/>
          </w:tcPr>
          <w:p>
            <w:pPr>
              <w:pStyle w:val="yTable"/>
            </w:pPr>
            <w:r>
              <w:t>s. 45(a)</w:t>
            </w:r>
          </w:p>
        </w:tc>
        <w:tc>
          <w:tcPr>
            <w:tcW w:w="2079" w:type="dxa"/>
          </w:tcPr>
          <w:p>
            <w:pPr>
              <w:pStyle w:val="yTable"/>
            </w:pPr>
            <w:r>
              <w:t>s. 105(1)</w:t>
            </w:r>
          </w:p>
        </w:tc>
        <w:tc>
          <w:tcPr>
            <w:tcW w:w="2079" w:type="dxa"/>
          </w:tcPr>
          <w:p>
            <w:pPr>
              <w:pStyle w:val="yTable"/>
            </w:pPr>
          </w:p>
        </w:tc>
      </w:tr>
      <w:tr>
        <w:trPr>
          <w:cantSplit/>
        </w:trPr>
        <w:tc>
          <w:tcPr>
            <w:tcW w:w="2079" w:type="dxa"/>
          </w:tcPr>
          <w:p>
            <w:pPr>
              <w:pStyle w:val="yTable"/>
            </w:pPr>
            <w:r>
              <w:t>s. 45(b)</w:t>
            </w:r>
          </w:p>
        </w:tc>
        <w:tc>
          <w:tcPr>
            <w:tcW w:w="2079" w:type="dxa"/>
          </w:tcPr>
          <w:p>
            <w:pPr>
              <w:pStyle w:val="yTable"/>
            </w:pPr>
            <w:r>
              <w:t>s. 106</w:t>
            </w:r>
          </w:p>
        </w:tc>
        <w:tc>
          <w:tcPr>
            <w:tcW w:w="2079" w:type="dxa"/>
          </w:tcPr>
          <w:p>
            <w:pPr>
              <w:pStyle w:val="yTable"/>
            </w:pPr>
          </w:p>
        </w:tc>
      </w:tr>
      <w:tr>
        <w:trPr>
          <w:cantSplit/>
        </w:trPr>
        <w:tc>
          <w:tcPr>
            <w:tcW w:w="2079" w:type="dxa"/>
          </w:tcPr>
          <w:p>
            <w:pPr>
              <w:pStyle w:val="yTable"/>
            </w:pPr>
            <w:r>
              <w:t>s. 46(1)(c)</w:t>
            </w:r>
          </w:p>
        </w:tc>
        <w:tc>
          <w:tcPr>
            <w:tcW w:w="2079" w:type="dxa"/>
          </w:tcPr>
          <w:p>
            <w:pPr>
              <w:pStyle w:val="yTable"/>
            </w:pPr>
            <w:r>
              <w:t>s. 107</w:t>
            </w:r>
          </w:p>
        </w:tc>
        <w:tc>
          <w:tcPr>
            <w:tcW w:w="2079" w:type="dxa"/>
          </w:tcPr>
          <w:p>
            <w:pPr>
              <w:pStyle w:val="yTable"/>
            </w:pPr>
          </w:p>
        </w:tc>
      </w:tr>
    </w:tbl>
    <w:p>
      <w:pPr>
        <w:pStyle w:val="ySubsection"/>
        <w:keepNext/>
      </w:pPr>
      <w:r>
        <w:tab/>
        <w:t>(9)</w:t>
      </w:r>
      <w:r>
        <w:tab/>
        <w:t>Each provision listed in the Table to this subclause is amended by deleting “Director</w:t>
      </w:r>
      <w:r>
        <w:noBreakHyphen/>
        <w:t xml:space="preserve">General’s” in each place where it occurs and inserting instead — </w:t>
      </w:r>
    </w:p>
    <w:p>
      <w:pPr>
        <w:pStyle w:val="ySubsection"/>
      </w:pPr>
      <w:r>
        <w:tab/>
      </w:r>
      <w:r>
        <w:tab/>
        <w:t>“    CEO’s    ”.</w:t>
      </w:r>
    </w:p>
    <w:p>
      <w:pPr>
        <w:pStyle w:val="yMiscellaneousHeading"/>
        <w:rPr>
          <w:b/>
        </w:rPr>
      </w:pPr>
      <w:r>
        <w:rPr>
          <w:b/>
        </w:rPr>
        <w:t>Table</w:t>
      </w:r>
    </w:p>
    <w:tbl>
      <w:tblPr>
        <w:tblW w:w="0" w:type="auto"/>
        <w:tblInd w:w="959" w:type="dxa"/>
        <w:tblLayout w:type="fixed"/>
        <w:tblLook w:val="0000" w:firstRow="0" w:lastRow="0" w:firstColumn="0" w:lastColumn="0" w:noHBand="0" w:noVBand="0"/>
      </w:tblPr>
      <w:tblGrid>
        <w:gridCol w:w="3118"/>
        <w:gridCol w:w="3119"/>
      </w:tblGrid>
      <w:tr>
        <w:trPr>
          <w:cantSplit/>
        </w:trPr>
        <w:tc>
          <w:tcPr>
            <w:tcW w:w="3118" w:type="dxa"/>
          </w:tcPr>
          <w:p>
            <w:pPr>
              <w:pStyle w:val="yTable"/>
            </w:pPr>
            <w:r>
              <w:t>s. 18(3)</w:t>
            </w:r>
          </w:p>
        </w:tc>
        <w:tc>
          <w:tcPr>
            <w:tcW w:w="3119" w:type="dxa"/>
          </w:tcPr>
          <w:p>
            <w:pPr>
              <w:pStyle w:val="yTable"/>
            </w:pPr>
            <w:r>
              <w:t>s. 130</w:t>
            </w:r>
          </w:p>
        </w:tc>
      </w:tr>
      <w:tr>
        <w:trPr>
          <w:cantSplit/>
        </w:trPr>
        <w:tc>
          <w:tcPr>
            <w:tcW w:w="3118" w:type="dxa"/>
          </w:tcPr>
          <w:p>
            <w:pPr>
              <w:pStyle w:val="yTable"/>
            </w:pPr>
            <w:r>
              <w:t>s. 79(1)(j)</w:t>
            </w:r>
          </w:p>
        </w:tc>
        <w:tc>
          <w:tcPr>
            <w:tcW w:w="3119" w:type="dxa"/>
          </w:tcPr>
          <w:p>
            <w:pPr>
              <w:pStyle w:val="yTable"/>
            </w:pPr>
            <w:r>
              <w:t>s. 134(1)</w:t>
            </w:r>
          </w:p>
        </w:tc>
      </w:tr>
      <w:tr>
        <w:trPr>
          <w:cantSplit/>
        </w:trPr>
        <w:tc>
          <w:tcPr>
            <w:tcW w:w="3118" w:type="dxa"/>
          </w:tcPr>
          <w:p>
            <w:pPr>
              <w:pStyle w:val="yTable"/>
            </w:pPr>
            <w:r>
              <w:t>s. 82(3)</w:t>
            </w:r>
          </w:p>
        </w:tc>
        <w:tc>
          <w:tcPr>
            <w:tcW w:w="3119" w:type="dxa"/>
          </w:tcPr>
          <w:p>
            <w:pPr>
              <w:pStyle w:val="yTable"/>
            </w:pPr>
            <w:r>
              <w:t>s. 134(1a)</w:t>
            </w:r>
          </w:p>
        </w:tc>
      </w:tr>
      <w:tr>
        <w:trPr>
          <w:cantSplit/>
        </w:trPr>
        <w:tc>
          <w:tcPr>
            <w:tcW w:w="3118" w:type="dxa"/>
          </w:tcPr>
          <w:p>
            <w:pPr>
              <w:pStyle w:val="yTable"/>
            </w:pPr>
            <w:r>
              <w:t>s. 82(4)</w:t>
            </w:r>
          </w:p>
        </w:tc>
        <w:tc>
          <w:tcPr>
            <w:tcW w:w="3119" w:type="dxa"/>
          </w:tcPr>
          <w:p>
            <w:pPr>
              <w:pStyle w:val="yTable"/>
            </w:pPr>
            <w:r>
              <w:t>s. 134(1b)</w:t>
            </w:r>
          </w:p>
        </w:tc>
      </w:tr>
      <w:tr>
        <w:trPr>
          <w:cantSplit/>
        </w:trPr>
        <w:tc>
          <w:tcPr>
            <w:tcW w:w="3118" w:type="dxa"/>
          </w:tcPr>
          <w:p>
            <w:pPr>
              <w:pStyle w:val="yTable"/>
            </w:pPr>
            <w:r>
              <w:t>s. 107(d)</w:t>
            </w:r>
          </w:p>
        </w:tc>
        <w:tc>
          <w:tcPr>
            <w:tcW w:w="3119" w:type="dxa"/>
          </w:tcPr>
          <w:p>
            <w:pPr>
              <w:pStyle w:val="yTable"/>
            </w:pPr>
          </w:p>
        </w:tc>
      </w:tr>
    </w:tbl>
    <w:p>
      <w:pPr>
        <w:pStyle w:val="yHeading5"/>
      </w:pPr>
      <w:bookmarkStart w:id="2154" w:name="_Toc85881492"/>
      <w:bookmarkStart w:id="2155" w:name="_Toc128368954"/>
      <w:bookmarkStart w:id="2156" w:name="_Toc140893622"/>
      <w:bookmarkStart w:id="2157" w:name="_Toc140394154"/>
      <w:r>
        <w:rPr>
          <w:rStyle w:val="CharSClsNo"/>
        </w:rPr>
        <w:t>3</w:t>
      </w:r>
      <w:r>
        <w:t>.</w:t>
      </w:r>
      <w:r>
        <w:tab/>
      </w:r>
      <w:r>
        <w:rPr>
          <w:i/>
        </w:rPr>
        <w:t>Bail Act 1982</w:t>
      </w:r>
      <w:r>
        <w:t xml:space="preserve"> amended</w:t>
      </w:r>
      <w:bookmarkEnd w:id="2154"/>
      <w:bookmarkEnd w:id="2155"/>
      <w:bookmarkEnd w:id="2156"/>
      <w:bookmarkEnd w:id="2157"/>
    </w:p>
    <w:p>
      <w:pPr>
        <w:pStyle w:val="ySubsection"/>
      </w:pPr>
      <w:r>
        <w:tab/>
        <w:t>(1)</w:t>
      </w:r>
      <w:r>
        <w:tab/>
        <w:t xml:space="preserve">The amendments in this clause are to the </w:t>
      </w:r>
      <w:r>
        <w:rPr>
          <w:i/>
        </w:rPr>
        <w:t>Bail Act 1982</w:t>
      </w:r>
      <w:r>
        <w:t>.</w:t>
      </w:r>
    </w:p>
    <w:p>
      <w:pPr>
        <w:pStyle w:val="ySubsection"/>
      </w:pPr>
      <w:r>
        <w:tab/>
        <w:t>(2)</w:t>
      </w:r>
      <w:r>
        <w:tab/>
        <w:t xml:space="preserve">Section 3(1) is amended in the definition of “authorized community services officer” in paragraph (d) by deleting “or departmental facility under the </w:t>
      </w:r>
      <w:r>
        <w:rPr>
          <w:i/>
        </w:rPr>
        <w:t>Child Welfare Act 1947</w:t>
      </w:r>
      <w:r>
        <w:t>”.</w:t>
      </w:r>
    </w:p>
    <w:p>
      <w:pPr>
        <w:pStyle w:val="ySubsection"/>
      </w:pPr>
      <w:r>
        <w:tab/>
        <w:t>(3)</w:t>
      </w:r>
      <w:r>
        <w:tab/>
        <w:t>Schedule 1 Part C is amended in clause 2(3) as follows:</w:t>
      </w:r>
    </w:p>
    <w:p>
      <w:pPr>
        <w:pStyle w:val="yIndenta"/>
      </w:pPr>
      <w:r>
        <w:tab/>
        <w:t>(a)</w:t>
      </w:r>
      <w:r>
        <w:tab/>
        <w:t>after paragraph (a) by inserting “and”;</w:t>
      </w:r>
    </w:p>
    <w:p>
      <w:pPr>
        <w:pStyle w:val="yIndenta"/>
      </w:pPr>
      <w:r>
        <w:tab/>
        <w:t>(b)</w:t>
      </w:r>
      <w:r>
        <w:tab/>
        <w:t>by deleting paragraph (b) and “and” after it.</w:t>
      </w:r>
    </w:p>
    <w:p>
      <w:pPr>
        <w:pStyle w:val="yHeading5"/>
      </w:pPr>
      <w:bookmarkStart w:id="2158" w:name="_Toc85881493"/>
      <w:bookmarkStart w:id="2159" w:name="_Toc128368955"/>
      <w:bookmarkStart w:id="2160" w:name="_Toc140893623"/>
      <w:bookmarkStart w:id="2161" w:name="_Toc140394155"/>
      <w:r>
        <w:rPr>
          <w:rStyle w:val="CharSClsNo"/>
        </w:rPr>
        <w:t>4</w:t>
      </w:r>
      <w:r>
        <w:t>.</w:t>
      </w:r>
      <w:r>
        <w:tab/>
      </w:r>
      <w:r>
        <w:rPr>
          <w:i/>
        </w:rPr>
        <w:t>Children’s Court of Western Australia Act 1988</w:t>
      </w:r>
      <w:r>
        <w:t xml:space="preserve"> amended</w:t>
      </w:r>
      <w:bookmarkEnd w:id="2158"/>
      <w:bookmarkEnd w:id="2159"/>
      <w:bookmarkEnd w:id="2160"/>
      <w:bookmarkEnd w:id="2161"/>
    </w:p>
    <w:p>
      <w:pPr>
        <w:pStyle w:val="ySubsection"/>
      </w:pPr>
      <w:r>
        <w:tab/>
        <w:t>(1)</w:t>
      </w:r>
      <w:r>
        <w:tab/>
        <w:t xml:space="preserve">The amendments in this clause are to the </w:t>
      </w:r>
      <w:r>
        <w:rPr>
          <w:i/>
        </w:rPr>
        <w:t>Children’s Court of Western Australia Act 1988</w:t>
      </w:r>
      <w:r>
        <w:t>.</w:t>
      </w:r>
    </w:p>
    <w:p>
      <w:pPr>
        <w:pStyle w:val="ySubsection"/>
        <w:keepNext/>
      </w:pPr>
      <w:r>
        <w:tab/>
        <w:t>(2)</w:t>
      </w:r>
      <w:r>
        <w:tab/>
        <w:t xml:space="preserve">Section 3 is amended by deleting the definition of “CEO (Justice)” and inserting in the appropriate alphabetical positions the following definitions — </w:t>
      </w:r>
    </w:p>
    <w:p>
      <w:pPr>
        <w:pStyle w:val="MiscOpen"/>
        <w:spacing w:before="100"/>
        <w:ind w:left="879"/>
      </w:pPr>
      <w:r>
        <w:t xml:space="preserve">“    </w:t>
      </w:r>
    </w:p>
    <w:p>
      <w:pPr>
        <w:pStyle w:val="zDefstart"/>
      </w:pPr>
      <w:r>
        <w:rPr>
          <w:b/>
        </w:rPr>
        <w:tab/>
        <w:t>“CEO”</w:t>
      </w:r>
      <w:r>
        <w:t xml:space="preserve"> means the chief executive officer of the Department;</w:t>
      </w:r>
    </w:p>
    <w:p>
      <w:pPr>
        <w:pStyle w:val="zDefstart"/>
      </w:pPr>
      <w:r>
        <w:rPr>
          <w:b/>
        </w:rPr>
        <w:tab/>
        <w:t>“Department”</w:t>
      </w:r>
      <w:r>
        <w:t xml:space="preserve"> means the department of the Public Service principally assisting in the administration of this Act;</w:t>
      </w:r>
    </w:p>
    <w:p>
      <w:pPr>
        <w:pStyle w:val="MiscClose"/>
      </w:pPr>
      <w:r>
        <w:t xml:space="preserve">    ”.</w:t>
      </w:r>
    </w:p>
    <w:p>
      <w:pPr>
        <w:pStyle w:val="ySubsection"/>
        <w:spacing w:before="80"/>
      </w:pPr>
      <w:r>
        <w:tab/>
        <w:t>(3)</w:t>
      </w:r>
      <w:r>
        <w:tab/>
        <w:t>Section 7(1) is amended by deleting “</w:t>
      </w:r>
      <w:r>
        <w:rPr>
          <w:i/>
        </w:rPr>
        <w:t>Community Services Act 1972</w:t>
      </w:r>
      <w:r>
        <w:t xml:space="preserve">” and inserting instead — </w:t>
      </w:r>
    </w:p>
    <w:p>
      <w:pPr>
        <w:pStyle w:val="zSubsection"/>
      </w:pPr>
      <w:r>
        <w:tab/>
      </w:r>
      <w:r>
        <w:tab/>
        <w:t xml:space="preserve">“    </w:t>
      </w:r>
      <w:r>
        <w:rPr>
          <w:i/>
        </w:rPr>
        <w:t>Children and Community Services Act 2004</w:t>
      </w:r>
      <w:r>
        <w:t xml:space="preserve">    ”.</w:t>
      </w:r>
    </w:p>
    <w:p>
      <w:pPr>
        <w:pStyle w:val="ySubsection"/>
        <w:spacing w:before="100"/>
      </w:pPr>
      <w:r>
        <w:tab/>
        <w:t>(4)</w:t>
      </w:r>
      <w:r>
        <w:tab/>
        <w:t>Section 20(a) is amended by deleting “</w:t>
      </w:r>
      <w:r>
        <w:rPr>
          <w:i/>
        </w:rPr>
        <w:t>Child Welfare Act 1947</w:t>
      </w:r>
      <w:r>
        <w:t xml:space="preserve">” and inserting instead — </w:t>
      </w:r>
    </w:p>
    <w:p>
      <w:pPr>
        <w:pStyle w:val="zSubsection"/>
      </w:pPr>
      <w:r>
        <w:tab/>
      </w:r>
      <w:r>
        <w:tab/>
        <w:t xml:space="preserve">“    </w:t>
      </w:r>
      <w:r>
        <w:rPr>
          <w:i/>
        </w:rPr>
        <w:t>Children and Community Services Act 2004</w:t>
      </w:r>
      <w:r>
        <w:t xml:space="preserve">    ”.</w:t>
      </w:r>
    </w:p>
    <w:p>
      <w:pPr>
        <w:pStyle w:val="ySubsection"/>
      </w:pPr>
      <w:r>
        <w:tab/>
        <w:t>(5)</w:t>
      </w:r>
      <w:r>
        <w:tab/>
        <w:t>Section 28(1) is amended by deleting “</w:t>
      </w:r>
      <w:r>
        <w:rPr>
          <w:i/>
        </w:rPr>
        <w:t>Child Welfare Act 1947</w:t>
      </w:r>
      <w:r>
        <w:t xml:space="preserve">” and inserting instead — </w:t>
      </w:r>
    </w:p>
    <w:p>
      <w:pPr>
        <w:pStyle w:val="zSubsection"/>
      </w:pPr>
      <w:r>
        <w:tab/>
      </w:r>
      <w:r>
        <w:tab/>
        <w:t xml:space="preserve">“    </w:t>
      </w:r>
      <w:r>
        <w:rPr>
          <w:i/>
        </w:rPr>
        <w:t>Children and Community Services Act 2004</w:t>
      </w:r>
      <w:r>
        <w:t xml:space="preserve">    ”.</w:t>
      </w:r>
    </w:p>
    <w:p>
      <w:pPr>
        <w:pStyle w:val="ySubsection"/>
        <w:spacing w:before="100"/>
      </w:pPr>
      <w:r>
        <w:tab/>
        <w:t>(6)</w:t>
      </w:r>
      <w:r>
        <w:tab/>
        <w:t xml:space="preserve">Section 28(2)(a) is deleted and the following paragraph is inserted instead — </w:t>
      </w:r>
    </w:p>
    <w:p>
      <w:pPr>
        <w:pStyle w:val="MiscOpen"/>
        <w:spacing w:before="80"/>
        <w:ind w:left="1338"/>
      </w:pPr>
      <w:r>
        <w:t xml:space="preserve">“    </w:t>
      </w:r>
    </w:p>
    <w:p>
      <w:pPr>
        <w:pStyle w:val="zIndenta"/>
      </w:pPr>
      <w:r>
        <w:tab/>
        <w:t>(a)</w:t>
      </w:r>
      <w:r>
        <w:tab/>
        <w:t xml:space="preserve">the CEO or the CEO as defined in section 3 of the </w:t>
      </w:r>
      <w:r>
        <w:rPr>
          <w:i/>
        </w:rPr>
        <w:t>Children and Community Services Act 2004</w:t>
      </w:r>
      <w:r>
        <w:t>;</w:t>
      </w:r>
    </w:p>
    <w:p>
      <w:pPr>
        <w:pStyle w:val="MiscClose"/>
      </w:pPr>
      <w:r>
        <w:t xml:space="preserve">    ”.</w:t>
      </w:r>
    </w:p>
    <w:p>
      <w:pPr>
        <w:pStyle w:val="ySubsection"/>
        <w:spacing w:before="100"/>
      </w:pPr>
      <w:r>
        <w:tab/>
        <w:t>(7)</w:t>
      </w:r>
      <w:r>
        <w:tab/>
        <w:t xml:space="preserve">Section 33 is repealed and the following section is inserted instead — </w:t>
      </w:r>
    </w:p>
    <w:p>
      <w:pPr>
        <w:pStyle w:val="MiscOpen"/>
        <w:spacing w:before="80"/>
      </w:pPr>
      <w:r>
        <w:t xml:space="preserve">“    </w:t>
      </w:r>
    </w:p>
    <w:p>
      <w:pPr>
        <w:pStyle w:val="zHeading5"/>
      </w:pPr>
      <w:bookmarkStart w:id="2162" w:name="_Toc140893624"/>
      <w:bookmarkStart w:id="2163" w:name="_Toc140394156"/>
      <w:r>
        <w:t>33.</w:t>
      </w:r>
      <w:r>
        <w:tab/>
        <w:t>CEOs or officers may take part in proceedings</w:t>
      </w:r>
      <w:bookmarkEnd w:id="2162"/>
      <w:bookmarkEnd w:id="2163"/>
    </w:p>
    <w:p>
      <w:pPr>
        <w:pStyle w:val="zSubsection"/>
      </w:pPr>
      <w:r>
        <w:tab/>
        <w:t>(1)</w:t>
      </w:r>
      <w:r>
        <w:tab/>
        <w:t xml:space="preserve">In this section — </w:t>
      </w:r>
    </w:p>
    <w:p>
      <w:pPr>
        <w:pStyle w:val="Defstart"/>
      </w:pPr>
      <w:r>
        <w:rPr>
          <w:b/>
        </w:rPr>
        <w:tab/>
        <w:t>“prescribed officer”</w:t>
      </w:r>
      <w:r>
        <w:t xml:space="preserve"> means — </w:t>
      </w:r>
    </w:p>
    <w:p>
      <w:pPr>
        <w:pStyle w:val="zDefpara"/>
      </w:pPr>
      <w:r>
        <w:tab/>
        <w:t>(a)</w:t>
      </w:r>
      <w:r>
        <w:tab/>
        <w:t>the CEO or an officer of the Department who is authorised by that CEO; or</w:t>
      </w:r>
    </w:p>
    <w:p>
      <w:pPr>
        <w:pStyle w:val="zDefpara"/>
      </w:pPr>
      <w:r>
        <w:tab/>
        <w:t>(b)</w:t>
      </w:r>
      <w:r>
        <w:tab/>
        <w:t xml:space="preserve">the CEO as defined in section 3 of the </w:t>
      </w:r>
      <w:r>
        <w:rPr>
          <w:i/>
        </w:rPr>
        <w:t>Children and Community Services Act 2004</w:t>
      </w:r>
      <w:r>
        <w:t xml:space="preserve"> or an officer as defined in that section who is authorised by that CEO.</w:t>
      </w:r>
    </w:p>
    <w:p>
      <w:pPr>
        <w:pStyle w:val="zSubsection"/>
        <w:rPr>
          <w:snapToGrid w:val="0"/>
        </w:rPr>
      </w:pPr>
      <w:r>
        <w:tab/>
        <w:t>(2)</w:t>
      </w:r>
      <w:r>
        <w:tab/>
        <w:t xml:space="preserve">A prescribed officer </w:t>
      </w:r>
      <w:r>
        <w:rPr>
          <w:snapToGrid w:val="0"/>
        </w:rPr>
        <w:t>may be present at the hearing in the Court of any complaint against, or application or other proceeding concerning, a child and, if present, is entitled to examine and cross</w:t>
      </w:r>
      <w:r>
        <w:rPr>
          <w:snapToGrid w:val="0"/>
        </w:rPr>
        <w:noBreakHyphen/>
        <w:t>examine witnesses and to be heard concerning the remand, punishment or disposal of the child.</w:t>
      </w:r>
    </w:p>
    <w:p>
      <w:pPr>
        <w:pStyle w:val="MiscClose"/>
      </w:pPr>
      <w:r>
        <w:t xml:space="preserve">    ”.</w:t>
      </w:r>
    </w:p>
    <w:p>
      <w:pPr>
        <w:pStyle w:val="ySubsection"/>
        <w:spacing w:before="80"/>
      </w:pPr>
      <w:r>
        <w:tab/>
        <w:t>(8)</w:t>
      </w:r>
      <w:r>
        <w:tab/>
        <w:t>Section 36(1) is amended as follows:</w:t>
      </w:r>
    </w:p>
    <w:p>
      <w:pPr>
        <w:pStyle w:val="yIndenta"/>
      </w:pPr>
      <w:r>
        <w:tab/>
        <w:t>(a)</w:t>
      </w:r>
      <w:r>
        <w:tab/>
        <w:t>by deleting “; or” after paragraph (b) and inserting a comma instead;</w:t>
      </w:r>
    </w:p>
    <w:p>
      <w:pPr>
        <w:pStyle w:val="yIndenta"/>
      </w:pPr>
      <w:r>
        <w:tab/>
        <w:t>(b)</w:t>
      </w:r>
      <w:r>
        <w:tab/>
        <w:t>by deleting paragraph (c).</w:t>
      </w:r>
    </w:p>
    <w:p>
      <w:pPr>
        <w:pStyle w:val="ySubsection"/>
      </w:pPr>
      <w:r>
        <w:tab/>
        <w:t>(9)</w:t>
      </w:r>
      <w:r>
        <w:tab/>
        <w:t xml:space="preserve">Section 37(2) is amended by inserting after “this Act” — </w:t>
      </w:r>
    </w:p>
    <w:p>
      <w:pPr>
        <w:pStyle w:val="ySubsection"/>
        <w:spacing w:before="100"/>
      </w:pPr>
      <w:r>
        <w:tab/>
      </w:r>
      <w:r>
        <w:tab/>
        <w:t xml:space="preserve">“    </w:t>
      </w:r>
      <w:r>
        <w:rPr>
          <w:sz w:val="24"/>
        </w:rPr>
        <w:t xml:space="preserve">and the </w:t>
      </w:r>
      <w:r>
        <w:rPr>
          <w:i/>
          <w:sz w:val="24"/>
        </w:rPr>
        <w:t>Children and Community Services Act 2004</w:t>
      </w:r>
      <w:r>
        <w:t xml:space="preserve">    ”.</w:t>
      </w:r>
    </w:p>
    <w:p>
      <w:pPr>
        <w:pStyle w:val="ySubsection"/>
      </w:pPr>
      <w:r>
        <w:tab/>
        <w:t>(10)</w:t>
      </w:r>
      <w:r>
        <w:tab/>
        <w:t xml:space="preserve">Section 40(2)(b) is amended by deleting “CEO (Justice)” and inserting instead — </w:t>
      </w:r>
    </w:p>
    <w:p>
      <w:pPr>
        <w:pStyle w:val="Subsection"/>
        <w:spacing w:before="80"/>
      </w:pPr>
      <w:r>
        <w:tab/>
      </w:r>
      <w:r>
        <w:tab/>
        <w:t>“    CEO    ”.</w:t>
      </w:r>
    </w:p>
    <w:p>
      <w:pPr>
        <w:pStyle w:val="ySubsection"/>
        <w:spacing w:before="100"/>
      </w:pPr>
      <w:r>
        <w:tab/>
        <w:t>(11)</w:t>
      </w:r>
      <w:r>
        <w:tab/>
        <w:t>Section 42(1) is amended as follows:</w:t>
      </w:r>
    </w:p>
    <w:p>
      <w:pPr>
        <w:pStyle w:val="yIndenta"/>
      </w:pPr>
      <w:r>
        <w:tab/>
        <w:t>(a)</w:t>
      </w:r>
      <w:r>
        <w:tab/>
        <w:t xml:space="preserve">by deleting “decision — ” and paragraphs (a), (b) and (c) and inserting instead — </w:t>
      </w:r>
    </w:p>
    <w:p>
      <w:pPr>
        <w:pStyle w:val="MiscOpen"/>
        <w:spacing w:before="80"/>
        <w:ind w:left="879"/>
      </w:pPr>
      <w:r>
        <w:t xml:space="preserve">“    </w:t>
      </w:r>
    </w:p>
    <w:p>
      <w:pPr>
        <w:pStyle w:val="zSubsection"/>
      </w:pPr>
      <w:r>
        <w:tab/>
      </w:r>
      <w:r>
        <w:tab/>
        <w:t xml:space="preserve">decision on the hearing of an application under Part 4 or 5 of the </w:t>
      </w:r>
      <w:r>
        <w:rPr>
          <w:i/>
        </w:rPr>
        <w:t>Children and Community Services Act 2004</w:t>
      </w:r>
    </w:p>
    <w:p>
      <w:pPr>
        <w:pStyle w:val="MiscClose"/>
      </w:pPr>
      <w:r>
        <w:t xml:space="preserve">    ”;</w:t>
      </w:r>
    </w:p>
    <w:p>
      <w:pPr>
        <w:pStyle w:val="yIndenta"/>
      </w:pPr>
      <w:r>
        <w:tab/>
        <w:t>(b)</w:t>
      </w:r>
      <w:r>
        <w:tab/>
        <w:t xml:space="preserve">by deleting paragraph (aa) and inserting the following paragraph instead — </w:t>
      </w:r>
    </w:p>
    <w:p>
      <w:pPr>
        <w:pStyle w:val="MiscOpen"/>
        <w:keepNext w:val="0"/>
        <w:keepLines w:val="0"/>
        <w:spacing w:before="80"/>
        <w:ind w:left="1338"/>
      </w:pPr>
      <w:r>
        <w:t xml:space="preserve">“    </w:t>
      </w:r>
    </w:p>
    <w:p>
      <w:pPr>
        <w:pStyle w:val="zIndenta"/>
      </w:pPr>
      <w:r>
        <w:tab/>
        <w:t>(a)</w:t>
      </w:r>
      <w:r>
        <w:tab/>
        <w:t xml:space="preserve">the CEO as defined in section 3 of the </w:t>
      </w:r>
      <w:r>
        <w:rPr>
          <w:i/>
        </w:rPr>
        <w:t>Children and Community Services Act 2004</w:t>
      </w:r>
      <w:r>
        <w:t>;</w:t>
      </w:r>
    </w:p>
    <w:p>
      <w:pPr>
        <w:pStyle w:val="MiscClose"/>
      </w:pPr>
      <w:r>
        <w:t xml:space="preserve">    ”;</w:t>
      </w:r>
    </w:p>
    <w:p>
      <w:pPr>
        <w:pStyle w:val="yIndenta"/>
      </w:pPr>
      <w:r>
        <w:tab/>
        <w:t>(c)</w:t>
      </w:r>
      <w:r>
        <w:tab/>
        <w:t>by redesignating paragraphs (bb), (cc) and (dd) as paragraphs (b), (c) and (d) respectively.</w:t>
      </w:r>
    </w:p>
    <w:p>
      <w:pPr>
        <w:pStyle w:val="ySubsection"/>
      </w:pPr>
      <w:r>
        <w:tab/>
        <w:t>(12)</w:t>
      </w:r>
      <w:r>
        <w:tab/>
        <w:t xml:space="preserve">Section 42(2) is amended by deleting the passage beginning “notice to” and ending “the applicant)” and inserting instead — </w:t>
      </w:r>
    </w:p>
    <w:p>
      <w:pPr>
        <w:pStyle w:val="MiscOpen"/>
        <w:ind w:left="880"/>
      </w:pPr>
      <w:r>
        <w:t xml:space="preserve">“    </w:t>
      </w:r>
    </w:p>
    <w:p>
      <w:pPr>
        <w:pStyle w:val="zSubsection"/>
      </w:pPr>
      <w:r>
        <w:tab/>
      </w:r>
      <w:r>
        <w:tab/>
        <w:t xml:space="preserve">notice to the CEO as defined in section 3 of the </w:t>
      </w:r>
      <w:r>
        <w:rPr>
          <w:i/>
        </w:rPr>
        <w:t xml:space="preserve">Children and Community Services Act 2004 </w:t>
      </w:r>
      <w:r>
        <w:t>(if that CEO is not the applicant)</w:t>
      </w:r>
    </w:p>
    <w:p>
      <w:pPr>
        <w:pStyle w:val="MiscClose"/>
      </w:pPr>
      <w:r>
        <w:t xml:space="preserve">    ”.</w:t>
      </w:r>
    </w:p>
    <w:p>
      <w:pPr>
        <w:pStyle w:val="ySubsection"/>
      </w:pPr>
      <w:r>
        <w:tab/>
        <w:t>(13)</w:t>
      </w:r>
      <w:r>
        <w:tab/>
        <w:t>Section 43(4) is amended as follows:</w:t>
      </w:r>
    </w:p>
    <w:p>
      <w:pPr>
        <w:pStyle w:val="yIndenta"/>
      </w:pPr>
      <w:r>
        <w:tab/>
        <w:t>(a)</w:t>
      </w:r>
      <w:r>
        <w:tab/>
        <w:t xml:space="preserve">by deleting “decision — ” and paragraphs (a), (b) and (c) and inserting instead — </w:t>
      </w:r>
    </w:p>
    <w:p>
      <w:pPr>
        <w:pStyle w:val="MiscOpen"/>
        <w:ind w:left="880"/>
      </w:pPr>
      <w:r>
        <w:t xml:space="preserve">“    </w:t>
      </w:r>
    </w:p>
    <w:p>
      <w:pPr>
        <w:pStyle w:val="zSubsection"/>
      </w:pPr>
      <w:r>
        <w:tab/>
      </w:r>
      <w:r>
        <w:tab/>
        <w:t xml:space="preserve">decision on the hearing of an application under Part 4 or 5 of the </w:t>
      </w:r>
      <w:r>
        <w:rPr>
          <w:i/>
        </w:rPr>
        <w:t>Children and Community Services Act 2004</w:t>
      </w:r>
    </w:p>
    <w:p>
      <w:pPr>
        <w:pStyle w:val="MiscClose"/>
      </w:pPr>
      <w:r>
        <w:t xml:space="preserve">    ”;</w:t>
      </w:r>
    </w:p>
    <w:p>
      <w:pPr>
        <w:pStyle w:val="yIndenta"/>
      </w:pPr>
      <w:r>
        <w:tab/>
        <w:t>(b)</w:t>
      </w:r>
      <w:r>
        <w:tab/>
        <w:t xml:space="preserve">by deleting paragraph (aa) and inserting the following paragraph instead — </w:t>
      </w:r>
    </w:p>
    <w:p>
      <w:pPr>
        <w:pStyle w:val="MiscOpen"/>
        <w:ind w:left="1340"/>
      </w:pPr>
      <w:r>
        <w:t xml:space="preserve">“    </w:t>
      </w:r>
    </w:p>
    <w:p>
      <w:pPr>
        <w:pStyle w:val="zIndenta"/>
      </w:pPr>
      <w:r>
        <w:tab/>
        <w:t>(a)</w:t>
      </w:r>
      <w:r>
        <w:tab/>
        <w:t xml:space="preserve">the CEO as defined in section 3 of the </w:t>
      </w:r>
      <w:r>
        <w:rPr>
          <w:i/>
        </w:rPr>
        <w:t>Children and Community Services Act 2004</w:t>
      </w:r>
      <w:r>
        <w:t>;</w:t>
      </w:r>
    </w:p>
    <w:p>
      <w:pPr>
        <w:pStyle w:val="MiscClose"/>
      </w:pPr>
      <w:r>
        <w:t xml:space="preserve">    ”;</w:t>
      </w:r>
    </w:p>
    <w:p>
      <w:pPr>
        <w:pStyle w:val="yIndenta"/>
      </w:pPr>
      <w:r>
        <w:tab/>
        <w:t>(c)</w:t>
      </w:r>
      <w:r>
        <w:tab/>
        <w:t>by redesignating paragraphs (bb), (cc) and (dd) as paragraphs (b), (c) and (d) respectively.</w:t>
      </w:r>
    </w:p>
    <w:p>
      <w:pPr>
        <w:pStyle w:val="yHeading5"/>
      </w:pPr>
      <w:bookmarkStart w:id="2164" w:name="_Toc85881494"/>
      <w:bookmarkStart w:id="2165" w:name="_Toc128368956"/>
      <w:bookmarkStart w:id="2166" w:name="_Toc140893625"/>
      <w:bookmarkStart w:id="2167" w:name="_Toc140394157"/>
      <w:r>
        <w:rPr>
          <w:rStyle w:val="CharSClsNo"/>
        </w:rPr>
        <w:t>5</w:t>
      </w:r>
      <w:r>
        <w:t>.</w:t>
      </w:r>
      <w:r>
        <w:tab/>
      </w:r>
      <w:r>
        <w:rPr>
          <w:i/>
        </w:rPr>
        <w:t>Constitution Acts Amendment Act 1899</w:t>
      </w:r>
      <w:r>
        <w:t xml:space="preserve"> amended</w:t>
      </w:r>
      <w:bookmarkEnd w:id="2164"/>
      <w:bookmarkEnd w:id="2165"/>
      <w:bookmarkEnd w:id="2166"/>
      <w:bookmarkEnd w:id="2167"/>
    </w:p>
    <w:p>
      <w:pPr>
        <w:pStyle w:val="ySubsection"/>
        <w:rPr>
          <w:i/>
        </w:rPr>
      </w:pPr>
      <w:r>
        <w:tab/>
        <w:t>(1)</w:t>
      </w:r>
      <w:r>
        <w:tab/>
        <w:t xml:space="preserve">The amendments in this clause are to the </w:t>
      </w:r>
      <w:r>
        <w:rPr>
          <w:i/>
        </w:rPr>
        <w:t>Constitution Acts Amendment Act 1899.</w:t>
      </w:r>
    </w:p>
    <w:p>
      <w:pPr>
        <w:pStyle w:val="ySubsection"/>
      </w:pPr>
      <w:r>
        <w:tab/>
        <w:t>(2)</w:t>
      </w:r>
      <w:r>
        <w:tab/>
        <w:t>Schedule V Part 3 is amended as follows:</w:t>
      </w:r>
    </w:p>
    <w:p>
      <w:pPr>
        <w:pStyle w:val="yIndenta"/>
      </w:pPr>
      <w:r>
        <w:tab/>
        <w:t>(a)</w:t>
      </w:r>
      <w:r>
        <w:tab/>
        <w:t xml:space="preserve">by deleting “Any board, committee or council constituted under section 22 of the </w:t>
      </w:r>
      <w:r>
        <w:rPr>
          <w:i/>
        </w:rPr>
        <w:t>Community Services Act 1972</w:t>
      </w:r>
      <w:r>
        <w:t>.”;</w:t>
      </w:r>
    </w:p>
    <w:p>
      <w:pPr>
        <w:pStyle w:val="yIndenta"/>
      </w:pPr>
      <w:r>
        <w:tab/>
        <w:t>(b)</w:t>
      </w:r>
      <w:r>
        <w:tab/>
        <w:t xml:space="preserve">after the item relating to the Advisory Committee appointed under section 435 of the </w:t>
      </w:r>
      <w:r>
        <w:rPr>
          <w:i/>
        </w:rPr>
        <w:t>Local Government (Miscellaneous Provisions) Act 1960</w:t>
      </w:r>
      <w:r>
        <w:t xml:space="preserve"> by inserting the following item — </w:t>
      </w:r>
    </w:p>
    <w:p>
      <w:pPr>
        <w:pStyle w:val="MiscOpen"/>
        <w:ind w:left="880"/>
      </w:pPr>
      <w:r>
        <w:t xml:space="preserve">“    </w:t>
      </w:r>
    </w:p>
    <w:p>
      <w:pPr>
        <w:pStyle w:val="zyMiscellaneousBody"/>
        <w:spacing w:before="0"/>
        <w:ind w:left="1134" w:hanging="567"/>
      </w:pPr>
      <w:r>
        <w:tab/>
        <w:t xml:space="preserve">Any advisory body established or continued under the </w:t>
      </w:r>
      <w:r>
        <w:rPr>
          <w:i/>
        </w:rPr>
        <w:t>Children and Community Services Act 2004</w:t>
      </w:r>
      <w:r>
        <w:t>.</w:t>
      </w:r>
    </w:p>
    <w:p>
      <w:pPr>
        <w:pStyle w:val="MiscClose"/>
      </w:pPr>
      <w:r>
        <w:t xml:space="preserve">    ”.</w:t>
      </w:r>
    </w:p>
    <w:p>
      <w:pPr>
        <w:pStyle w:val="yHeading5"/>
      </w:pPr>
      <w:bookmarkStart w:id="2168" w:name="_Toc85881495"/>
      <w:bookmarkStart w:id="2169" w:name="_Toc128368957"/>
      <w:bookmarkStart w:id="2170" w:name="_Toc140893626"/>
      <w:bookmarkStart w:id="2171" w:name="_Toc140394158"/>
      <w:r>
        <w:rPr>
          <w:rStyle w:val="CharSClsNo"/>
        </w:rPr>
        <w:t>6</w:t>
      </w:r>
      <w:r>
        <w:t>.</w:t>
      </w:r>
      <w:r>
        <w:tab/>
      </w:r>
      <w:r>
        <w:rPr>
          <w:i/>
        </w:rPr>
        <w:t>Coroners Act 1996</w:t>
      </w:r>
      <w:r>
        <w:t xml:space="preserve"> amended</w:t>
      </w:r>
      <w:bookmarkEnd w:id="2168"/>
      <w:bookmarkEnd w:id="2169"/>
      <w:bookmarkEnd w:id="2170"/>
      <w:bookmarkEnd w:id="2171"/>
    </w:p>
    <w:p>
      <w:pPr>
        <w:pStyle w:val="ySubsection"/>
      </w:pPr>
      <w:r>
        <w:tab/>
        <w:t>(1)</w:t>
      </w:r>
      <w:r>
        <w:tab/>
        <w:t xml:space="preserve">The amendments in this clause are to the </w:t>
      </w:r>
      <w:r>
        <w:rPr>
          <w:i/>
        </w:rPr>
        <w:t>Coroners Act 1996</w:t>
      </w:r>
      <w:r>
        <w:t>.</w:t>
      </w:r>
    </w:p>
    <w:p>
      <w:pPr>
        <w:pStyle w:val="ySubsection"/>
      </w:pPr>
      <w:r>
        <w:tab/>
        <w:t>(2)</w:t>
      </w:r>
      <w:r>
        <w:tab/>
        <w:t xml:space="preserve">Section 3 is amended in the definition of “person held in care” by deleting paragraph (a)(i) and inserting the following subparagraph instead — </w:t>
      </w:r>
    </w:p>
    <w:p>
      <w:pPr>
        <w:pStyle w:val="MiscOpen"/>
        <w:ind w:left="2040"/>
      </w:pPr>
      <w:r>
        <w:t xml:space="preserve">“    </w:t>
      </w:r>
    </w:p>
    <w:p>
      <w:pPr>
        <w:pStyle w:val="zDefsubpara"/>
      </w:pPr>
      <w:r>
        <w:tab/>
        <w:t>(i)</w:t>
      </w:r>
      <w:r>
        <w:tab/>
        <w:t xml:space="preserve">the CEO as defined in section 3 of the </w:t>
      </w:r>
      <w:r>
        <w:rPr>
          <w:i/>
        </w:rPr>
        <w:t>Children and Community Services Act 2004</w:t>
      </w:r>
      <w:r>
        <w:t>;</w:t>
      </w:r>
    </w:p>
    <w:p>
      <w:pPr>
        <w:pStyle w:val="MiscClose"/>
      </w:pPr>
      <w:r>
        <w:t xml:space="preserve">    ”.</w:t>
      </w:r>
    </w:p>
    <w:p>
      <w:pPr>
        <w:pStyle w:val="yHeading5"/>
      </w:pPr>
      <w:bookmarkStart w:id="2172" w:name="_Toc85881496"/>
      <w:bookmarkStart w:id="2173" w:name="_Toc128368958"/>
      <w:bookmarkStart w:id="2174" w:name="_Toc140893627"/>
      <w:bookmarkStart w:id="2175" w:name="_Toc140394159"/>
      <w:r>
        <w:rPr>
          <w:rStyle w:val="CharSClsNo"/>
        </w:rPr>
        <w:t>7</w:t>
      </w:r>
      <w:r>
        <w:t>.</w:t>
      </w:r>
      <w:r>
        <w:tab/>
      </w:r>
      <w:r>
        <w:rPr>
          <w:i/>
        </w:rPr>
        <w:t>Disability Services Act 1993</w:t>
      </w:r>
      <w:r>
        <w:t xml:space="preserve"> amended</w:t>
      </w:r>
      <w:bookmarkEnd w:id="2172"/>
      <w:bookmarkEnd w:id="2173"/>
      <w:bookmarkEnd w:id="2174"/>
      <w:bookmarkEnd w:id="2175"/>
    </w:p>
    <w:p>
      <w:pPr>
        <w:pStyle w:val="ySubsection"/>
      </w:pPr>
      <w:r>
        <w:tab/>
        <w:t>(1)</w:t>
      </w:r>
      <w:r>
        <w:tab/>
        <w:t xml:space="preserve">The amendments in this clause are to the </w:t>
      </w:r>
      <w:r>
        <w:rPr>
          <w:i/>
        </w:rPr>
        <w:t>Disability Services Act 1993</w:t>
      </w:r>
      <w:r>
        <w:t>.</w:t>
      </w:r>
    </w:p>
    <w:p>
      <w:pPr>
        <w:pStyle w:val="ySubsection"/>
      </w:pPr>
      <w:r>
        <w:tab/>
        <w:t>(2)</w:t>
      </w:r>
      <w:r>
        <w:tab/>
        <w:t xml:space="preserve">Section 52(1)(bc) and (bd) are deleted and the following paragraphs are inserted instead — </w:t>
      </w:r>
    </w:p>
    <w:p>
      <w:pPr>
        <w:pStyle w:val="MiscOpen"/>
        <w:ind w:left="1340"/>
      </w:pPr>
      <w:r>
        <w:t xml:space="preserve">“    </w:t>
      </w:r>
    </w:p>
    <w:p>
      <w:pPr>
        <w:pStyle w:val="zIndenta"/>
      </w:pPr>
      <w:r>
        <w:tab/>
        <w:t>(bc)</w:t>
      </w:r>
      <w:r>
        <w:tab/>
        <w:t xml:space="preserve">for the purpose of enabling or facilitating the investigation by the CEO as defined in section 3 of the </w:t>
      </w:r>
      <w:r>
        <w:rPr>
          <w:i/>
        </w:rPr>
        <w:t>Children and Community Services Act 2004</w:t>
      </w:r>
      <w:r>
        <w:t>, or an officer as defined in that section, of whether or not a child is in need of protection under that Act;</w:t>
      </w:r>
    </w:p>
    <w:p>
      <w:pPr>
        <w:pStyle w:val="zIndenta"/>
      </w:pPr>
      <w:r>
        <w:tab/>
        <w:t>(bd)</w:t>
      </w:r>
      <w:r>
        <w:tab/>
        <w:t xml:space="preserve">for the purpose of protection proceedings under the </w:t>
      </w:r>
      <w:r>
        <w:rPr>
          <w:i/>
        </w:rPr>
        <w:t>Children and Community Services Act 2004</w:t>
      </w:r>
      <w:r>
        <w:t>;</w:t>
      </w:r>
    </w:p>
    <w:p>
      <w:pPr>
        <w:pStyle w:val="MiscClose"/>
      </w:pPr>
      <w:r>
        <w:t xml:space="preserve">    ”.</w:t>
      </w:r>
    </w:p>
    <w:p>
      <w:pPr>
        <w:pStyle w:val="ySubsection"/>
      </w:pPr>
      <w:r>
        <w:tab/>
        <w:t>(3)</w:t>
      </w:r>
      <w:r>
        <w:tab/>
        <w:t>Section 52(3) is repealed.</w:t>
      </w:r>
    </w:p>
    <w:p>
      <w:pPr>
        <w:pStyle w:val="yHeading5"/>
      </w:pPr>
      <w:bookmarkStart w:id="2176" w:name="_Toc85881497"/>
      <w:bookmarkStart w:id="2177" w:name="_Toc128368959"/>
      <w:bookmarkStart w:id="2178" w:name="_Toc140893628"/>
      <w:bookmarkStart w:id="2179" w:name="_Toc140394160"/>
      <w:r>
        <w:rPr>
          <w:rStyle w:val="CharSClsNo"/>
        </w:rPr>
        <w:t>8</w:t>
      </w:r>
      <w:r>
        <w:t>.</w:t>
      </w:r>
      <w:r>
        <w:tab/>
      </w:r>
      <w:r>
        <w:rPr>
          <w:i/>
        </w:rPr>
        <w:t>Electoral Act 1907</w:t>
      </w:r>
      <w:r>
        <w:t xml:space="preserve"> amended</w:t>
      </w:r>
      <w:bookmarkEnd w:id="2176"/>
      <w:bookmarkEnd w:id="2177"/>
      <w:bookmarkEnd w:id="2178"/>
      <w:bookmarkEnd w:id="2179"/>
    </w:p>
    <w:p>
      <w:pPr>
        <w:pStyle w:val="ySubsection"/>
      </w:pPr>
      <w:r>
        <w:tab/>
        <w:t>(1)</w:t>
      </w:r>
      <w:r>
        <w:tab/>
        <w:t xml:space="preserve">The amendment in this clause is to the </w:t>
      </w:r>
      <w:r>
        <w:rPr>
          <w:i/>
        </w:rPr>
        <w:t>Electoral Act 1907</w:t>
      </w:r>
      <w:r>
        <w:t>.</w:t>
      </w:r>
    </w:p>
    <w:p>
      <w:pPr>
        <w:pStyle w:val="ySubsection"/>
      </w:pPr>
      <w:r>
        <w:tab/>
        <w:t>(2)</w:t>
      </w:r>
      <w:r>
        <w:tab/>
        <w:t xml:space="preserve">Section 18(c) is amended by deleting “or the </w:t>
      </w:r>
      <w:r>
        <w:rPr>
          <w:i/>
        </w:rPr>
        <w:t>Child Welfare Act 1947</w:t>
      </w:r>
      <w:r>
        <w:t>”.</w:t>
      </w:r>
    </w:p>
    <w:p>
      <w:pPr>
        <w:pStyle w:val="yHeading5"/>
      </w:pPr>
      <w:bookmarkStart w:id="2180" w:name="_Toc140893629"/>
      <w:bookmarkStart w:id="2181" w:name="_Toc140394161"/>
      <w:r>
        <w:rPr>
          <w:rStyle w:val="CharSClsNo"/>
        </w:rPr>
        <w:t>9</w:t>
      </w:r>
      <w:r>
        <w:t>.</w:t>
      </w:r>
      <w:r>
        <w:tab/>
      </w:r>
      <w:r>
        <w:rPr>
          <w:i/>
        </w:rPr>
        <w:t>Evidence Act 1906</w:t>
      </w:r>
      <w:r>
        <w:t xml:space="preserve"> amended</w:t>
      </w:r>
      <w:bookmarkEnd w:id="2180"/>
      <w:bookmarkEnd w:id="2181"/>
    </w:p>
    <w:p>
      <w:pPr>
        <w:pStyle w:val="ySubsection"/>
      </w:pPr>
      <w:r>
        <w:tab/>
        <w:t>(1)</w:t>
      </w:r>
      <w:r>
        <w:tab/>
        <w:t xml:space="preserve">The amendments in this clause are to the </w:t>
      </w:r>
      <w:r>
        <w:rPr>
          <w:i/>
        </w:rPr>
        <w:t>Evidence Act 1906</w:t>
      </w:r>
      <w:r>
        <w:t>.</w:t>
      </w:r>
    </w:p>
    <w:p>
      <w:pPr>
        <w:pStyle w:val="ySubsection"/>
        <w:outlineLvl w:val="4"/>
      </w:pPr>
      <w:r>
        <w:tab/>
        <w:t>(2)</w:t>
      </w:r>
      <w:r>
        <w:tab/>
        <w:t xml:space="preserve">Section 106A is amended in the definition of “accused” by deleting paragraph (a)(i) and inserting the following subparagraph instead — </w:t>
      </w:r>
    </w:p>
    <w:p>
      <w:pPr>
        <w:pStyle w:val="MiscOpen"/>
        <w:ind w:left="2040"/>
      </w:pPr>
      <w:r>
        <w:t xml:space="preserve">“    </w:t>
      </w:r>
    </w:p>
    <w:p>
      <w:pPr>
        <w:pStyle w:val="z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MiscClose"/>
        <w:ind w:right="292"/>
      </w:pPr>
      <w:r>
        <w:t xml:space="preserve">    ”.</w:t>
      </w:r>
    </w:p>
    <w:p>
      <w:pPr>
        <w:pStyle w:val="ySubsection"/>
      </w:pPr>
      <w:r>
        <w:tab/>
        <w:t>(3)</w:t>
      </w:r>
      <w:r>
        <w:tab/>
        <w:t xml:space="preserve">The Second Schedule Part 4 is repealed and the following Part is inserted instead — </w:t>
      </w:r>
    </w:p>
    <w:p>
      <w:pPr>
        <w:pStyle w:val="MiscOpen"/>
      </w:pPr>
      <w:r>
        <w:t xml:space="preserve">“    </w:t>
      </w:r>
    </w:p>
    <w:p>
      <w:pPr>
        <w:pStyle w:val="zyHeading3"/>
      </w:pPr>
      <w:bookmarkStart w:id="2182" w:name="_Toc128969681"/>
      <w:bookmarkStart w:id="2183" w:name="_Toc132620592"/>
      <w:bookmarkStart w:id="2184" w:name="_Toc140378220"/>
      <w:bookmarkStart w:id="2185" w:name="_Toc140394162"/>
      <w:bookmarkStart w:id="2186" w:name="_Toc140893630"/>
      <w:r>
        <w:t>Part 4</w:t>
      </w:r>
      <w:r>
        <w:rPr>
          <w:b w:val="0"/>
        </w:rPr>
        <w:t> — </w:t>
      </w:r>
      <w:r>
        <w:t xml:space="preserve">Offences under the </w:t>
      </w:r>
      <w:r>
        <w:rPr>
          <w:i/>
        </w:rPr>
        <w:t xml:space="preserve">Children and </w:t>
      </w:r>
      <w:r>
        <w:rPr>
          <w:i/>
        </w:rPr>
        <w:br/>
        <w:t>Community Services Act 2004</w:t>
      </w:r>
      <w:bookmarkEnd w:id="2182"/>
      <w:bookmarkEnd w:id="2183"/>
      <w:bookmarkEnd w:id="2184"/>
      <w:bookmarkEnd w:id="2185"/>
      <w:bookmarkEnd w:id="2186"/>
    </w:p>
    <w:tbl>
      <w:tblPr>
        <w:tblW w:w="0" w:type="auto"/>
        <w:tblInd w:w="959" w:type="dxa"/>
        <w:tblLayout w:type="fixed"/>
        <w:tblLook w:val="0000" w:firstRow="0" w:lastRow="0" w:firstColumn="0" w:lastColumn="0" w:noHBand="0" w:noVBand="0"/>
      </w:tblPr>
      <w:tblGrid>
        <w:gridCol w:w="1701"/>
        <w:gridCol w:w="3969"/>
      </w:tblGrid>
      <w:tr>
        <w:tc>
          <w:tcPr>
            <w:tcW w:w="1701" w:type="dxa"/>
          </w:tcPr>
          <w:p>
            <w:pPr>
              <w:pStyle w:val="zytable"/>
              <w:ind w:left="34"/>
              <w:rPr>
                <w:b/>
              </w:rPr>
            </w:pPr>
            <w:r>
              <w:rPr>
                <w:b/>
              </w:rPr>
              <w:t>Provision</w:t>
            </w:r>
          </w:p>
        </w:tc>
        <w:tc>
          <w:tcPr>
            <w:tcW w:w="3969" w:type="dxa"/>
          </w:tcPr>
          <w:p>
            <w:pPr>
              <w:pStyle w:val="zytable"/>
              <w:ind w:left="175"/>
              <w:rPr>
                <w:b/>
              </w:rPr>
            </w:pPr>
            <w:r>
              <w:rPr>
                <w:b/>
              </w:rPr>
              <w:t>Description of offence</w:t>
            </w:r>
          </w:p>
        </w:tc>
      </w:tr>
      <w:tr>
        <w:tc>
          <w:tcPr>
            <w:tcW w:w="1701" w:type="dxa"/>
          </w:tcPr>
          <w:p>
            <w:pPr>
              <w:pStyle w:val="zytable"/>
              <w:ind w:left="34"/>
            </w:pPr>
            <w:r>
              <w:t>s. 101(1)</w:t>
            </w:r>
          </w:p>
        </w:tc>
        <w:tc>
          <w:tcPr>
            <w:tcW w:w="3969" w:type="dxa"/>
          </w:tcPr>
          <w:p>
            <w:pPr>
              <w:pStyle w:val="zytable"/>
              <w:ind w:left="175"/>
            </w:pPr>
            <w:r>
              <w:t>Failing to protect child from harm</w:t>
            </w:r>
          </w:p>
        </w:tc>
      </w:tr>
      <w:tr>
        <w:tc>
          <w:tcPr>
            <w:tcW w:w="1701" w:type="dxa"/>
          </w:tcPr>
          <w:p>
            <w:pPr>
              <w:pStyle w:val="zytable"/>
              <w:ind w:left="34"/>
            </w:pPr>
            <w:r>
              <w:t>s. 102</w:t>
            </w:r>
          </w:p>
        </w:tc>
        <w:tc>
          <w:tcPr>
            <w:tcW w:w="3969" w:type="dxa"/>
          </w:tcPr>
          <w:p>
            <w:pPr>
              <w:pStyle w:val="zytable"/>
              <w:ind w:left="175"/>
            </w:pPr>
            <w:r>
              <w:t>Leaving child unsupervised in vehicle</w:t>
            </w:r>
          </w:p>
        </w:tc>
      </w:tr>
    </w:tbl>
    <w:p>
      <w:pPr>
        <w:pStyle w:val="MiscClose"/>
      </w:pPr>
      <w:r>
        <w:t xml:space="preserve">    ”.</w:t>
      </w:r>
    </w:p>
    <w:p>
      <w:pPr>
        <w:pStyle w:val="ySubsection"/>
      </w:pPr>
      <w:r>
        <w:tab/>
        <w:t>(4)</w:t>
      </w:r>
      <w:r>
        <w:tab/>
        <w:t xml:space="preserve">Schedule 7 Part A is amended by deleting clause 2 and inserting the following clause instead — </w:t>
      </w:r>
    </w:p>
    <w:p>
      <w:pPr>
        <w:pStyle w:val="MiscOpen"/>
        <w:ind w:left="20"/>
      </w:pPr>
      <w:r>
        <w:t xml:space="preserve">“    </w:t>
      </w:r>
    </w:p>
    <w:p>
      <w:pPr>
        <w:pStyle w:val="zySubsection"/>
      </w:pPr>
      <w:r>
        <w:tab/>
        <w:t>2.</w:t>
      </w:r>
      <w:r>
        <w:tab/>
        <w:t xml:space="preserve">A proceeding also comes within the provisions of the Schedule if it is an application under Part 4 or 5 of the </w:t>
      </w:r>
      <w:r>
        <w:rPr>
          <w:i/>
        </w:rPr>
        <w:t>Children and Community Services Act 2004</w:t>
      </w:r>
      <w:r>
        <w:t>.</w:t>
      </w:r>
    </w:p>
    <w:p>
      <w:pPr>
        <w:pStyle w:val="MiscClose"/>
      </w:pPr>
      <w:r>
        <w:t>”.</w:t>
      </w:r>
    </w:p>
    <w:p>
      <w:pPr>
        <w:pStyle w:val="yFootnotesection"/>
      </w:pPr>
      <w:r>
        <w:tab/>
        <w:t>[Clause 9 amended by No. 84 of 2004 s. 85(4).]</w:t>
      </w:r>
    </w:p>
    <w:p>
      <w:pPr>
        <w:pStyle w:val="yHeading5"/>
      </w:pPr>
      <w:bookmarkStart w:id="2187" w:name="_Toc85881499"/>
      <w:bookmarkStart w:id="2188" w:name="_Toc128368961"/>
      <w:bookmarkStart w:id="2189" w:name="_Toc140893631"/>
      <w:bookmarkStart w:id="2190" w:name="_Toc140394163"/>
      <w:r>
        <w:rPr>
          <w:rStyle w:val="CharSClsNo"/>
        </w:rPr>
        <w:t>10</w:t>
      </w:r>
      <w:r>
        <w:t>.</w:t>
      </w:r>
      <w:r>
        <w:tab/>
      </w:r>
      <w:r>
        <w:rPr>
          <w:i/>
        </w:rPr>
        <w:t>Family Court Act 1997</w:t>
      </w:r>
      <w:r>
        <w:t xml:space="preserve"> amended</w:t>
      </w:r>
      <w:bookmarkEnd w:id="2187"/>
      <w:bookmarkEnd w:id="2188"/>
      <w:bookmarkEnd w:id="2189"/>
      <w:bookmarkEnd w:id="2190"/>
    </w:p>
    <w:p>
      <w:pPr>
        <w:pStyle w:val="ySubsection"/>
      </w:pPr>
      <w:r>
        <w:tab/>
        <w:t>(1)</w:t>
      </w:r>
      <w:r>
        <w:tab/>
        <w:t xml:space="preserve">The amendments in this clause are to the </w:t>
      </w:r>
      <w:r>
        <w:rPr>
          <w:i/>
        </w:rPr>
        <w:t>Family Court Act 1997</w:t>
      </w:r>
      <w:r>
        <w:t>.</w:t>
      </w:r>
    </w:p>
    <w:p>
      <w:pPr>
        <w:pStyle w:val="ySubsection"/>
      </w:pPr>
      <w:r>
        <w:tab/>
        <w:t>(2)</w:t>
      </w:r>
      <w:r>
        <w:tab/>
        <w:t>Section 5 is amended as follows:</w:t>
      </w:r>
    </w:p>
    <w:p>
      <w:pPr>
        <w:pStyle w:val="yIndenta"/>
      </w:pPr>
      <w:r>
        <w:tab/>
        <w:t>(a)</w:t>
      </w:r>
      <w:r>
        <w:tab/>
        <w:t xml:space="preserve">by inserting in the appropriate alphabetical position the following definition — </w:t>
      </w:r>
    </w:p>
    <w:p>
      <w:pPr>
        <w:pStyle w:val="MiscOpen"/>
        <w:ind w:left="880"/>
      </w:pPr>
      <w:r>
        <w:t xml:space="preserve">“    </w:t>
      </w:r>
    </w:p>
    <w:p>
      <w:pPr>
        <w:pStyle w:val="zDefstart"/>
      </w:pPr>
      <w:r>
        <w:rPr>
          <w:b/>
        </w:rPr>
        <w:tab/>
        <w:t>“CEO”</w:t>
      </w:r>
      <w:r>
        <w:t xml:space="preserve"> means the CEO as defined in section 3 of the </w:t>
      </w:r>
      <w:r>
        <w:rPr>
          <w:i/>
        </w:rPr>
        <w:t>Children and Community Services Act 2004</w:t>
      </w:r>
      <w:r>
        <w:t>;</w:t>
      </w:r>
    </w:p>
    <w:p>
      <w:pPr>
        <w:pStyle w:val="MiscClose"/>
      </w:pPr>
      <w:r>
        <w:t xml:space="preserve">    ”;</w:t>
      </w:r>
    </w:p>
    <w:p>
      <w:pPr>
        <w:pStyle w:val="yIndenta"/>
      </w:pPr>
      <w:r>
        <w:tab/>
        <w:t>(b)</w:t>
      </w:r>
      <w:r>
        <w:tab/>
        <w:t>in the definition of “child welfare law” by deleting “</w:t>
      </w:r>
      <w:r>
        <w:rPr>
          <w:i/>
        </w:rPr>
        <w:t>Child Welfare Act 1947</w:t>
      </w:r>
      <w:r>
        <w:t xml:space="preserve">” and inserting instead —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Indenta"/>
      </w:pPr>
      <w:r>
        <w:tab/>
        <w:t>(c)</w:t>
      </w:r>
      <w:r>
        <w:tab/>
        <w:t>by deleting the definitions of “Department” and “Director</w:t>
      </w:r>
      <w:r>
        <w:noBreakHyphen/>
        <w:t>General”.</w:t>
      </w:r>
    </w:p>
    <w:p>
      <w:pPr>
        <w:pStyle w:val="ySubsection"/>
      </w:pPr>
      <w:r>
        <w:tab/>
        <w:t>(3)</w:t>
      </w:r>
      <w:r>
        <w:tab/>
        <w:t>Section 36(2) is amended by deleting “</w:t>
      </w:r>
      <w:r>
        <w:rPr>
          <w:i/>
        </w:rPr>
        <w:t>Child Welfare Act 1947</w:t>
      </w:r>
      <w:r>
        <w:t>” and inserting instead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Subsection"/>
      </w:pPr>
      <w:r>
        <w:tab/>
        <w:t>(4)</w:t>
      </w:r>
      <w:r>
        <w:tab/>
        <w:t>Section 36(6) is amended as follows:</w:t>
      </w:r>
    </w:p>
    <w:p>
      <w:pPr>
        <w:pStyle w:val="yIndenta"/>
      </w:pPr>
      <w:r>
        <w:tab/>
        <w:t>(a)</w:t>
      </w:r>
      <w:r>
        <w:tab/>
        <w:t>by deleting “care and”;</w:t>
      </w:r>
    </w:p>
    <w:p>
      <w:pPr>
        <w:pStyle w:val="yIndenta"/>
      </w:pPr>
      <w:r>
        <w:tab/>
        <w:t>(b)</w:t>
      </w:r>
      <w:r>
        <w:tab/>
        <w:t>by deleting “</w:t>
      </w:r>
      <w:r>
        <w:rPr>
          <w:i/>
        </w:rPr>
        <w:t>Child Welfare Act 1947</w:t>
      </w:r>
      <w:r>
        <w:t>” and inserting instead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Subsection"/>
      </w:pPr>
      <w:r>
        <w:tab/>
        <w:t>(5)</w:t>
      </w:r>
      <w:r>
        <w:tab/>
        <w:t>Section 36(7) is repealed.</w:t>
      </w:r>
    </w:p>
    <w:p>
      <w:pPr>
        <w:pStyle w:val="ySubsection"/>
      </w:pPr>
      <w:r>
        <w:tab/>
        <w:t>(6)</w:t>
      </w:r>
      <w:r>
        <w:tab/>
        <w:t>Section 207(2) is amended as follows:</w:t>
      </w:r>
    </w:p>
    <w:p>
      <w:pPr>
        <w:pStyle w:val="yIndenta"/>
      </w:pPr>
      <w:r>
        <w:tab/>
        <w:t>(a)</w:t>
      </w:r>
      <w:r>
        <w:tab/>
        <w:t>by deleting “care and”;</w:t>
      </w:r>
    </w:p>
    <w:p>
      <w:pPr>
        <w:pStyle w:val="yIndenta"/>
      </w:pPr>
      <w:r>
        <w:tab/>
        <w:t>(b)</w:t>
      </w:r>
      <w:r>
        <w:tab/>
        <w:t>by deleting “</w:t>
      </w:r>
      <w:r>
        <w:rPr>
          <w:i/>
        </w:rPr>
        <w:t>Child Welfare Act 1947</w:t>
      </w:r>
      <w:r>
        <w:t>” and inserting instead —</w:t>
      </w:r>
    </w:p>
    <w:p>
      <w:pPr>
        <w:pStyle w:val="zIndenta"/>
        <w:tabs>
          <w:tab w:val="clear" w:pos="1899"/>
          <w:tab w:val="clear" w:pos="2183"/>
          <w:tab w:val="right" w:pos="1985"/>
          <w:tab w:val="left" w:pos="2410"/>
        </w:tabs>
        <w:ind w:left="2410" w:hanging="850"/>
      </w:pPr>
      <w:r>
        <w:tab/>
        <w:t xml:space="preserve">“    </w:t>
      </w:r>
      <w:r>
        <w:rPr>
          <w:i/>
        </w:rPr>
        <w:t>Children and Community Services Act 2004</w:t>
      </w:r>
      <w:r>
        <w:t xml:space="preserve">    ”.</w:t>
      </w:r>
    </w:p>
    <w:p>
      <w:pPr>
        <w:pStyle w:val="ySubsection"/>
      </w:pPr>
      <w:r>
        <w:tab/>
        <w:t>(7)</w:t>
      </w:r>
      <w:r>
        <w:tab/>
        <w:t>Each provision listed in the Table to this subclause is amended by deleting “Director</w:t>
      </w:r>
      <w:r>
        <w:noBreakHyphen/>
        <w:t>General” in each place where it occurs and inserting instead —</w:t>
      </w:r>
    </w:p>
    <w:p>
      <w:pPr>
        <w:pStyle w:val="ySubsection"/>
      </w:pPr>
      <w:r>
        <w:tab/>
      </w:r>
      <w:r>
        <w:tab/>
        <w:t>“    CEO    ”.</w:t>
      </w:r>
    </w:p>
    <w:p>
      <w:pPr>
        <w:pStyle w:val="yMiscellaneousHeading"/>
        <w:rPr>
          <w:b/>
        </w:rPr>
      </w:pPr>
      <w:r>
        <w:rPr>
          <w:b/>
        </w:rPr>
        <w:t>Table</w:t>
      </w:r>
    </w:p>
    <w:tbl>
      <w:tblPr>
        <w:tblW w:w="0" w:type="auto"/>
        <w:tblInd w:w="959" w:type="dxa"/>
        <w:tblLayout w:type="fixed"/>
        <w:tblLook w:val="0000" w:firstRow="0" w:lastRow="0" w:firstColumn="0" w:lastColumn="0" w:noHBand="0" w:noVBand="0"/>
      </w:tblPr>
      <w:tblGrid>
        <w:gridCol w:w="3118"/>
        <w:gridCol w:w="3119"/>
      </w:tblGrid>
      <w:tr>
        <w:trPr>
          <w:cantSplit/>
        </w:trPr>
        <w:tc>
          <w:tcPr>
            <w:tcW w:w="3118" w:type="dxa"/>
          </w:tcPr>
          <w:p>
            <w:pPr>
              <w:pStyle w:val="yTable"/>
            </w:pPr>
            <w:r>
              <w:t>s. 159(2)</w:t>
            </w:r>
          </w:p>
        </w:tc>
        <w:tc>
          <w:tcPr>
            <w:tcW w:w="3119" w:type="dxa"/>
          </w:tcPr>
          <w:p>
            <w:pPr>
              <w:pStyle w:val="yTable"/>
            </w:pPr>
            <w:r>
              <w:t>s. 160(6)</w:t>
            </w:r>
          </w:p>
        </w:tc>
      </w:tr>
      <w:tr>
        <w:trPr>
          <w:cantSplit/>
        </w:trPr>
        <w:tc>
          <w:tcPr>
            <w:tcW w:w="3118" w:type="dxa"/>
          </w:tcPr>
          <w:p>
            <w:pPr>
              <w:pStyle w:val="yTable"/>
            </w:pPr>
            <w:r>
              <w:t>s. 159(3)</w:t>
            </w:r>
          </w:p>
        </w:tc>
        <w:tc>
          <w:tcPr>
            <w:tcW w:w="3119" w:type="dxa"/>
          </w:tcPr>
          <w:p>
            <w:pPr>
              <w:pStyle w:val="yTable"/>
            </w:pPr>
            <w:r>
              <w:t>s. 161(1)</w:t>
            </w:r>
          </w:p>
        </w:tc>
      </w:tr>
      <w:tr>
        <w:trPr>
          <w:cantSplit/>
        </w:trPr>
        <w:tc>
          <w:tcPr>
            <w:tcW w:w="3118" w:type="dxa"/>
          </w:tcPr>
          <w:p>
            <w:pPr>
              <w:pStyle w:val="yTable"/>
            </w:pPr>
            <w:r>
              <w:t>s. 160(2)</w:t>
            </w:r>
          </w:p>
        </w:tc>
        <w:tc>
          <w:tcPr>
            <w:tcW w:w="3119" w:type="dxa"/>
          </w:tcPr>
          <w:p>
            <w:pPr>
              <w:pStyle w:val="yTable"/>
            </w:pPr>
            <w:r>
              <w:t>s. 207(1)</w:t>
            </w:r>
          </w:p>
        </w:tc>
      </w:tr>
      <w:tr>
        <w:trPr>
          <w:cantSplit/>
        </w:trPr>
        <w:tc>
          <w:tcPr>
            <w:tcW w:w="3118" w:type="dxa"/>
          </w:tcPr>
          <w:p>
            <w:pPr>
              <w:pStyle w:val="yTable"/>
            </w:pPr>
            <w:r>
              <w:t>s. 160(3)</w:t>
            </w:r>
          </w:p>
        </w:tc>
        <w:tc>
          <w:tcPr>
            <w:tcW w:w="3119" w:type="dxa"/>
          </w:tcPr>
          <w:p>
            <w:pPr>
              <w:pStyle w:val="yTable"/>
            </w:pPr>
            <w:r>
              <w:t>s. 207(2)</w:t>
            </w:r>
          </w:p>
        </w:tc>
      </w:tr>
      <w:tr>
        <w:trPr>
          <w:cantSplit/>
        </w:trPr>
        <w:tc>
          <w:tcPr>
            <w:tcW w:w="3118" w:type="dxa"/>
          </w:tcPr>
          <w:p>
            <w:pPr>
              <w:pStyle w:val="yTable"/>
            </w:pPr>
            <w:r>
              <w:t>s. 160(4)</w:t>
            </w:r>
          </w:p>
        </w:tc>
        <w:tc>
          <w:tcPr>
            <w:tcW w:w="3119" w:type="dxa"/>
          </w:tcPr>
          <w:p>
            <w:pPr>
              <w:pStyle w:val="yTable"/>
            </w:pPr>
            <w:r>
              <w:t>s. 207(3)</w:t>
            </w:r>
          </w:p>
        </w:tc>
      </w:tr>
      <w:tr>
        <w:trPr>
          <w:cantSplit/>
        </w:trPr>
        <w:tc>
          <w:tcPr>
            <w:tcW w:w="3118" w:type="dxa"/>
          </w:tcPr>
          <w:p>
            <w:pPr>
              <w:pStyle w:val="yTable"/>
            </w:pPr>
            <w:r>
              <w:t>s. 160(5)</w:t>
            </w:r>
          </w:p>
        </w:tc>
        <w:tc>
          <w:tcPr>
            <w:tcW w:w="3119" w:type="dxa"/>
          </w:tcPr>
          <w:p>
            <w:pPr>
              <w:pStyle w:val="yTable"/>
            </w:pPr>
            <w:r>
              <w:t>s. 209(2)(f)</w:t>
            </w:r>
          </w:p>
        </w:tc>
      </w:tr>
    </w:tbl>
    <w:p>
      <w:pPr>
        <w:pStyle w:val="yHeading5"/>
      </w:pPr>
      <w:bookmarkStart w:id="2191" w:name="_Toc85881500"/>
      <w:bookmarkStart w:id="2192" w:name="_Toc128368962"/>
      <w:bookmarkStart w:id="2193" w:name="_Toc140893632"/>
      <w:bookmarkStart w:id="2194" w:name="_Toc140394164"/>
      <w:r>
        <w:rPr>
          <w:rStyle w:val="CharSClsNo"/>
        </w:rPr>
        <w:t>11</w:t>
      </w:r>
      <w:r>
        <w:t>.</w:t>
      </w:r>
      <w:r>
        <w:tab/>
      </w:r>
      <w:r>
        <w:rPr>
          <w:i/>
        </w:rPr>
        <w:t>Guardianship and Administration Act 1990</w:t>
      </w:r>
      <w:r>
        <w:t xml:space="preserve"> amended</w:t>
      </w:r>
      <w:bookmarkEnd w:id="2191"/>
      <w:bookmarkEnd w:id="2192"/>
      <w:bookmarkEnd w:id="2193"/>
      <w:bookmarkEnd w:id="2194"/>
    </w:p>
    <w:p>
      <w:pPr>
        <w:pStyle w:val="ySubsection"/>
      </w:pPr>
      <w:r>
        <w:tab/>
        <w:t>(1)</w:t>
      </w:r>
      <w:r>
        <w:tab/>
        <w:t xml:space="preserve">The amendments in this clause are to the </w:t>
      </w:r>
      <w:r>
        <w:rPr>
          <w:i/>
        </w:rPr>
        <w:t>Guardianship and Administration Act 1990</w:t>
      </w:r>
      <w:r>
        <w:t>.</w:t>
      </w:r>
    </w:p>
    <w:p>
      <w:pPr>
        <w:pStyle w:val="ySubsection"/>
      </w:pPr>
      <w:r>
        <w:tab/>
        <w:t>(2)</w:t>
      </w:r>
      <w:r>
        <w:tab/>
        <w:t>Section 64(3) is amended as follows:</w:t>
      </w:r>
    </w:p>
    <w:p>
      <w:pPr>
        <w:pStyle w:val="yIndenta"/>
      </w:pPr>
      <w:r>
        <w:tab/>
        <w:t>(a)</w:t>
      </w:r>
      <w:r>
        <w:tab/>
        <w:t>by deleting “; and” after paragraph (b) and inserting a full stop instead;</w:t>
      </w:r>
    </w:p>
    <w:p>
      <w:pPr>
        <w:pStyle w:val="yIndenta"/>
      </w:pPr>
      <w:r>
        <w:tab/>
        <w:t>(b)</w:t>
      </w:r>
      <w:r>
        <w:tab/>
        <w:t>by deleting paragraph (c).</w:t>
      </w:r>
    </w:p>
    <w:p>
      <w:pPr>
        <w:pStyle w:val="yHeading5"/>
      </w:pPr>
      <w:bookmarkStart w:id="2195" w:name="_Toc85881501"/>
      <w:bookmarkStart w:id="2196" w:name="_Toc128368963"/>
      <w:bookmarkStart w:id="2197" w:name="_Toc140893633"/>
      <w:bookmarkStart w:id="2198" w:name="_Toc140394165"/>
      <w:r>
        <w:rPr>
          <w:rStyle w:val="CharSClsNo"/>
        </w:rPr>
        <w:t>12</w:t>
      </w:r>
      <w:r>
        <w:t>.</w:t>
      </w:r>
      <w:r>
        <w:tab/>
      </w:r>
      <w:r>
        <w:rPr>
          <w:i/>
        </w:rPr>
        <w:t>Health Act 1911</w:t>
      </w:r>
      <w:r>
        <w:t xml:space="preserve"> amended</w:t>
      </w:r>
      <w:bookmarkEnd w:id="2195"/>
      <w:bookmarkEnd w:id="2196"/>
      <w:bookmarkEnd w:id="2197"/>
      <w:bookmarkEnd w:id="2198"/>
    </w:p>
    <w:p>
      <w:pPr>
        <w:pStyle w:val="ySubsection"/>
      </w:pPr>
      <w:r>
        <w:tab/>
        <w:t>(1)</w:t>
      </w:r>
      <w:r>
        <w:tab/>
        <w:t xml:space="preserve">The amendments in this clause are to the </w:t>
      </w:r>
      <w:r>
        <w:rPr>
          <w:i/>
        </w:rPr>
        <w:t>Health Act 1911</w:t>
      </w:r>
      <w:r>
        <w:t>.</w:t>
      </w:r>
    </w:p>
    <w:p>
      <w:pPr>
        <w:pStyle w:val="ySubsection"/>
      </w:pPr>
      <w:r>
        <w:tab/>
        <w:t>(2)</w:t>
      </w:r>
      <w:r>
        <w:tab/>
        <w:t>Section 308 is repealed.</w:t>
      </w:r>
    </w:p>
    <w:p>
      <w:pPr>
        <w:pStyle w:val="ySubsection"/>
      </w:pPr>
      <w:r>
        <w:tab/>
        <w:t>(3)</w:t>
      </w:r>
      <w:r>
        <w:tab/>
        <w:t>Section 309(1) is amended as follows:</w:t>
      </w:r>
    </w:p>
    <w:p>
      <w:pPr>
        <w:pStyle w:val="yIndenta"/>
      </w:pPr>
      <w:r>
        <w:tab/>
        <w:t>(a)</w:t>
      </w:r>
      <w:r>
        <w:tab/>
        <w:t xml:space="preserve">by deleting “definitions” and inserting instead — </w:t>
      </w:r>
    </w:p>
    <w:p>
      <w:pPr>
        <w:pStyle w:val="yIndenta"/>
      </w:pPr>
      <w:r>
        <w:tab/>
      </w:r>
      <w:r>
        <w:tab/>
        <w:t xml:space="preserve">“    </w:t>
      </w:r>
      <w:r>
        <w:rPr>
          <w:sz w:val="24"/>
        </w:rPr>
        <w:t>definition</w:t>
      </w:r>
      <w:r>
        <w:t xml:space="preserve">    ”;</w:t>
      </w:r>
    </w:p>
    <w:p>
      <w:pPr>
        <w:pStyle w:val="yIndenta"/>
      </w:pPr>
      <w:r>
        <w:tab/>
        <w:t>(b)</w:t>
      </w:r>
      <w:r>
        <w:tab/>
        <w:t>by deleting the definition of “Industrial School”;</w:t>
      </w:r>
    </w:p>
    <w:p>
      <w:pPr>
        <w:pStyle w:val="yIndenta"/>
      </w:pPr>
      <w:r>
        <w:tab/>
        <w:t>(c)</w:t>
      </w:r>
      <w:r>
        <w:tab/>
        <w:t>in the definition of “Prisoner” by deleting “or subject to detention in an industrial school”.</w:t>
      </w:r>
    </w:p>
    <w:p>
      <w:pPr>
        <w:pStyle w:val="ySubsection"/>
      </w:pPr>
      <w:r>
        <w:tab/>
        <w:t>(4)</w:t>
      </w:r>
      <w:r>
        <w:tab/>
        <w:t>Section 309(2) is amended by deleting “or industrial school”.</w:t>
      </w:r>
    </w:p>
    <w:p>
      <w:pPr>
        <w:pStyle w:val="ySubsection"/>
      </w:pPr>
      <w:r>
        <w:tab/>
        <w:t>(5)</w:t>
      </w:r>
      <w:r>
        <w:tab/>
        <w:t>Section 312 is amended by deleting “, 308”.</w:t>
      </w:r>
    </w:p>
    <w:p>
      <w:pPr>
        <w:pStyle w:val="yHeading5"/>
      </w:pPr>
      <w:bookmarkStart w:id="2199" w:name="_Toc85881502"/>
      <w:bookmarkStart w:id="2200" w:name="_Toc128368964"/>
      <w:bookmarkStart w:id="2201" w:name="_Toc140893634"/>
      <w:bookmarkStart w:id="2202" w:name="_Toc140394166"/>
      <w:r>
        <w:rPr>
          <w:rStyle w:val="CharSClsNo"/>
        </w:rPr>
        <w:t>13</w:t>
      </w:r>
      <w:r>
        <w:t>.</w:t>
      </w:r>
      <w:r>
        <w:tab/>
      </w:r>
      <w:r>
        <w:rPr>
          <w:i/>
        </w:rPr>
        <w:t>Hire</w:t>
      </w:r>
      <w:r>
        <w:rPr>
          <w:i/>
        </w:rPr>
        <w:noBreakHyphen/>
        <w:t>Purchase Act 1959</w:t>
      </w:r>
      <w:r>
        <w:t xml:space="preserve"> amended</w:t>
      </w:r>
      <w:bookmarkEnd w:id="2199"/>
      <w:bookmarkEnd w:id="2200"/>
      <w:bookmarkEnd w:id="2201"/>
      <w:bookmarkEnd w:id="2202"/>
    </w:p>
    <w:p>
      <w:pPr>
        <w:pStyle w:val="ySubsection"/>
        <w:rPr>
          <w:i/>
        </w:rPr>
      </w:pPr>
      <w:r>
        <w:tab/>
        <w:t>(1)</w:t>
      </w:r>
      <w:r>
        <w:tab/>
        <w:t xml:space="preserve">The amendments in this clause are to the </w:t>
      </w:r>
      <w:r>
        <w:rPr>
          <w:i/>
        </w:rPr>
        <w:t>Hire</w:t>
      </w:r>
      <w:r>
        <w:rPr>
          <w:i/>
        </w:rPr>
        <w:noBreakHyphen/>
        <w:t>Purchase Act 1959.</w:t>
      </w:r>
    </w:p>
    <w:p>
      <w:pPr>
        <w:pStyle w:val="ySubsection"/>
      </w:pPr>
      <w:r>
        <w:tab/>
        <w:t>(2)</w:t>
      </w:r>
      <w:r>
        <w:tab/>
        <w:t xml:space="preserve">Section 18(9)(c) is deleted and the following paragraph is inserted instead — </w:t>
      </w:r>
    </w:p>
    <w:p>
      <w:pPr>
        <w:pStyle w:val="MiscOpen"/>
        <w:ind w:left="1340"/>
      </w:pPr>
      <w:r>
        <w:t xml:space="preserve">“    </w:t>
      </w:r>
    </w:p>
    <w:p>
      <w:pPr>
        <w:pStyle w:val="zIndenta"/>
      </w:pPr>
      <w:r>
        <w:tab/>
        <w:t>(c)</w:t>
      </w:r>
      <w:r>
        <w:tab/>
        <w:t>if there is no parent or legal guardian of the hirer, a person approved by the CEO as defined in section </w:t>
      </w:r>
      <w:bookmarkStart w:id="2203" w:name="_Hlt55723227"/>
      <w:r>
        <w:t>3</w:t>
      </w:r>
      <w:bookmarkEnd w:id="2203"/>
      <w:r>
        <w:t xml:space="preserve"> of the </w:t>
      </w:r>
      <w:r>
        <w:rPr>
          <w:i/>
        </w:rPr>
        <w:t>Children and Community Services Act 2004</w:t>
      </w:r>
      <w:r>
        <w:t>,</w:t>
      </w:r>
    </w:p>
    <w:p>
      <w:pPr>
        <w:pStyle w:val="MiscClose"/>
      </w:pPr>
      <w:r>
        <w:t xml:space="preserve">    ”.</w:t>
      </w:r>
    </w:p>
    <w:p>
      <w:pPr>
        <w:pStyle w:val="ySubsection"/>
      </w:pPr>
      <w:r>
        <w:tab/>
        <w:t>(3)</w:t>
      </w:r>
      <w:r>
        <w:tab/>
        <w:t xml:space="preserve">Section 18(10) is repealed and the following subsection is inserted instead — </w:t>
      </w:r>
    </w:p>
    <w:p>
      <w:pPr>
        <w:pStyle w:val="MiscOpen"/>
        <w:ind w:left="600"/>
      </w:pPr>
      <w:r>
        <w:t xml:space="preserve">“    </w:t>
      </w:r>
    </w:p>
    <w:p>
      <w:pPr>
        <w:pStyle w:val="zSubsection"/>
      </w:pPr>
      <w:r>
        <w:tab/>
        <w:t>(10)</w:t>
      </w:r>
      <w:r>
        <w:tab/>
        <w:t xml:space="preserve">The CEO as defined in section 3 of the </w:t>
      </w:r>
      <w:r>
        <w:rPr>
          <w:i/>
        </w:rPr>
        <w:t>Children and Community Services Act 2004</w:t>
      </w:r>
      <w:r>
        <w:t xml:space="preserve"> (the </w:t>
      </w:r>
      <w:r>
        <w:rPr>
          <w:b/>
        </w:rPr>
        <w:t>“CEO”</w:t>
      </w:r>
      <w:r>
        <w:t>) may in writing signed by the CEO delegate the power conferred by subsection (9)(c) to any other officer as defined in section </w:t>
      </w:r>
      <w:bookmarkStart w:id="2204" w:name="_Hlt58039731"/>
      <w:r>
        <w:t>3</w:t>
      </w:r>
      <w:bookmarkEnd w:id="2204"/>
      <w:r>
        <w:t xml:space="preserve"> of that Act, and an officer to whom that power is delegated — </w:t>
      </w:r>
    </w:p>
    <w:p>
      <w:pPr>
        <w:pStyle w:val="zIndenta"/>
      </w:pPr>
      <w:r>
        <w:tab/>
        <w:t>(a)</w:t>
      </w:r>
      <w:r>
        <w:tab/>
        <w:t>may exercise the power in the same manner and with the same effect as if the power were directly conferred on the officer by this Act and not by delegation; and</w:t>
      </w:r>
    </w:p>
    <w:p>
      <w:pPr>
        <w:pStyle w:val="zIndenta"/>
      </w:pPr>
      <w:r>
        <w:tab/>
        <w:t>(b)</w:t>
      </w:r>
      <w:r>
        <w:tab/>
        <w:t>is presumed to exercise the power in accordance with the terms of the delegation in the absence of proof to the contrary,</w:t>
      </w:r>
    </w:p>
    <w:p>
      <w:pPr>
        <w:pStyle w:val="zSubsection"/>
      </w:pPr>
      <w:r>
        <w:tab/>
      </w:r>
      <w:r>
        <w:tab/>
        <w:t>but any such delegation may be revoked wholly or partly by the CEO at any time and does not prevent the CEO from exercising the power.</w:t>
      </w:r>
    </w:p>
    <w:p>
      <w:pPr>
        <w:pStyle w:val="MiscClose"/>
      </w:pPr>
      <w:r>
        <w:t xml:space="preserve">    ”.</w:t>
      </w:r>
    </w:p>
    <w:p>
      <w:pPr>
        <w:pStyle w:val="yHeading5"/>
      </w:pPr>
      <w:bookmarkStart w:id="2205" w:name="_Toc85881503"/>
      <w:bookmarkStart w:id="2206" w:name="_Toc128368965"/>
      <w:bookmarkStart w:id="2207" w:name="_Toc140893635"/>
      <w:bookmarkStart w:id="2208" w:name="_Toc140394167"/>
      <w:r>
        <w:rPr>
          <w:rStyle w:val="CharSClsNo"/>
        </w:rPr>
        <w:t>14</w:t>
      </w:r>
      <w:r>
        <w:t>.</w:t>
      </w:r>
      <w:r>
        <w:tab/>
      </w:r>
      <w:r>
        <w:rPr>
          <w:i/>
        </w:rPr>
        <w:t>Human Reproductive Technology Act 1991</w:t>
      </w:r>
      <w:r>
        <w:t xml:space="preserve"> amended</w:t>
      </w:r>
      <w:bookmarkEnd w:id="2205"/>
      <w:bookmarkEnd w:id="2206"/>
      <w:bookmarkEnd w:id="2207"/>
      <w:bookmarkEnd w:id="2208"/>
    </w:p>
    <w:p>
      <w:pPr>
        <w:pStyle w:val="ySubsection"/>
      </w:pPr>
      <w:r>
        <w:tab/>
        <w:t>(1)</w:t>
      </w:r>
      <w:r>
        <w:tab/>
        <w:t xml:space="preserve">The amendments in this clause are to the </w:t>
      </w:r>
      <w:r>
        <w:rPr>
          <w:i/>
        </w:rPr>
        <w:t>Human Reproductive Technology Act 1991</w:t>
      </w:r>
      <w:r>
        <w:t>.</w:t>
      </w:r>
    </w:p>
    <w:p>
      <w:pPr>
        <w:pStyle w:val="ySubsection"/>
        <w:keepNext/>
      </w:pPr>
      <w:r>
        <w:tab/>
        <w:t>(2)</w:t>
      </w:r>
      <w:r>
        <w:tab/>
        <w:t>Section 3(1) is amended as follows:</w:t>
      </w:r>
    </w:p>
    <w:p>
      <w:pPr>
        <w:pStyle w:val="yIndenta"/>
      </w:pPr>
      <w:r>
        <w:tab/>
        <w:t>(a)</w:t>
      </w:r>
      <w:r>
        <w:tab/>
        <w:t xml:space="preserve">in the definition of “authorised officer” by deleting paragraph (c) and inserting the following paragraph instead — </w:t>
      </w:r>
    </w:p>
    <w:p>
      <w:pPr>
        <w:pStyle w:val="MiscOpen"/>
        <w:ind w:left="1580"/>
      </w:pPr>
      <w:r>
        <w:t xml:space="preserve">“    </w:t>
      </w:r>
    </w:p>
    <w:p>
      <w:pPr>
        <w:pStyle w:val="z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MiscClose"/>
      </w:pPr>
      <w:r>
        <w:t xml:space="preserve">    ”;</w:t>
      </w:r>
    </w:p>
    <w:p>
      <w:pPr>
        <w:pStyle w:val="yIndenta"/>
      </w:pPr>
      <w:r>
        <w:tab/>
        <w:t>(b)</w:t>
      </w:r>
      <w:r>
        <w:tab/>
        <w:t>by deleting the definition of “Director</w:t>
      </w:r>
      <w:r>
        <w:noBreakHyphen/>
        <w:t>General”.</w:t>
      </w:r>
    </w:p>
    <w:p>
      <w:pPr>
        <w:pStyle w:val="ySubsection"/>
      </w:pPr>
      <w:r>
        <w:tab/>
        <w:t>(3)</w:t>
      </w:r>
      <w:r>
        <w:tab/>
        <w:t>Section 8(2)(a)(i)(E) is amended by deleting “</w:t>
      </w:r>
      <w:r>
        <w:rPr>
          <w:i/>
        </w:rPr>
        <w:t>Community Services Act 1972</w:t>
      </w:r>
      <w:r>
        <w:t xml:space="preserve">” and inserting instead — </w:t>
      </w:r>
    </w:p>
    <w:p>
      <w:pPr>
        <w:pStyle w:val="ySubsection"/>
      </w:pPr>
      <w:r>
        <w:tab/>
      </w:r>
      <w:r>
        <w:tab/>
        <w:t xml:space="preserve">“    </w:t>
      </w:r>
      <w:r>
        <w:rPr>
          <w:i/>
          <w:sz w:val="24"/>
        </w:rPr>
        <w:t>Children and Community Services Act 2004</w:t>
      </w:r>
      <w:r>
        <w:t xml:space="preserve">    ”.</w:t>
      </w:r>
    </w:p>
    <w:p>
      <w:pPr>
        <w:pStyle w:val="yHeading5"/>
      </w:pPr>
      <w:bookmarkStart w:id="2209" w:name="_Toc85881504"/>
      <w:bookmarkStart w:id="2210" w:name="_Toc128368966"/>
      <w:bookmarkStart w:id="2211" w:name="_Toc140893636"/>
      <w:bookmarkStart w:id="2212" w:name="_Toc140394168"/>
      <w:r>
        <w:rPr>
          <w:rStyle w:val="CharSClsNo"/>
        </w:rPr>
        <w:t>15</w:t>
      </w:r>
      <w:r>
        <w:t>.</w:t>
      </w:r>
      <w:r>
        <w:tab/>
      </w:r>
      <w:r>
        <w:rPr>
          <w:i/>
        </w:rPr>
        <w:t>Industrial Relations Act 1979</w:t>
      </w:r>
      <w:r>
        <w:t xml:space="preserve"> amended</w:t>
      </w:r>
      <w:bookmarkEnd w:id="2209"/>
      <w:bookmarkEnd w:id="2210"/>
      <w:bookmarkEnd w:id="2211"/>
      <w:bookmarkEnd w:id="2212"/>
    </w:p>
    <w:p>
      <w:pPr>
        <w:pStyle w:val="ySubsection"/>
      </w:pPr>
      <w:r>
        <w:tab/>
        <w:t>(1)</w:t>
      </w:r>
      <w:r>
        <w:tab/>
        <w:t xml:space="preserve">The amendments in this clause are to the </w:t>
      </w:r>
      <w:r>
        <w:rPr>
          <w:i/>
        </w:rPr>
        <w:t>Industrial Relations Act 1979</w:t>
      </w:r>
      <w:r>
        <w:t>.</w:t>
      </w:r>
    </w:p>
    <w:p>
      <w:pPr>
        <w:pStyle w:val="ySubsection"/>
      </w:pPr>
      <w:r>
        <w:tab/>
        <w:t>(2)</w:t>
      </w:r>
      <w:r>
        <w:tab/>
        <w:t xml:space="preserve">Section 81AA(bc) is deleted and the following paragraph is inserted instead — </w:t>
      </w:r>
    </w:p>
    <w:p>
      <w:pPr>
        <w:pStyle w:val="MiscOpen"/>
        <w:ind w:left="1340"/>
      </w:pPr>
      <w:r>
        <w:t xml:space="preserve">“    </w:t>
      </w:r>
    </w:p>
    <w:p>
      <w:pPr>
        <w:pStyle w:val="zIndenta"/>
      </w:pPr>
      <w:r>
        <w:tab/>
        <w:t>(bc)</w:t>
      </w:r>
      <w:r>
        <w:tab/>
        <w:t xml:space="preserve">section 196(2) of the </w:t>
      </w:r>
      <w:r>
        <w:rPr>
          <w:i/>
        </w:rPr>
        <w:t>Children and Community Services Act 2004</w:t>
      </w:r>
      <w:r>
        <w:t>;</w:t>
      </w:r>
    </w:p>
    <w:p>
      <w:pPr>
        <w:pStyle w:val="MiscClose"/>
      </w:pPr>
      <w:r>
        <w:t xml:space="preserve">    ”.</w:t>
      </w:r>
    </w:p>
    <w:p>
      <w:pPr>
        <w:pStyle w:val="ySubsection"/>
        <w:keepNext/>
      </w:pPr>
      <w:r>
        <w:tab/>
        <w:t>(3)</w:t>
      </w:r>
      <w:r>
        <w:tab/>
        <w:t xml:space="preserve">Section 81CA(1) is amended in the definition of “prosecution jurisdiction” by deleting paragraph (d) and “or” after it and inserting instead — </w:t>
      </w:r>
    </w:p>
    <w:p>
      <w:pPr>
        <w:pStyle w:val="MiscOpen"/>
        <w:ind w:left="1580"/>
      </w:pPr>
      <w:r>
        <w:t xml:space="preserve">“    </w:t>
      </w:r>
    </w:p>
    <w:p>
      <w:pPr>
        <w:pStyle w:val="zDefpara"/>
      </w:pPr>
      <w:r>
        <w:tab/>
        <w:t>(d)</w:t>
      </w:r>
      <w:r>
        <w:tab/>
        <w:t xml:space="preserve">section 196(2) of the </w:t>
      </w:r>
      <w:r>
        <w:rPr>
          <w:i/>
        </w:rPr>
        <w:t>Children and Community Services Act 2004</w:t>
      </w:r>
      <w:r>
        <w:t>; or</w:t>
      </w:r>
    </w:p>
    <w:p>
      <w:pPr>
        <w:pStyle w:val="MiscClose"/>
      </w:pPr>
      <w:r>
        <w:t xml:space="preserve">    ”.</w:t>
      </w:r>
    </w:p>
    <w:p>
      <w:pPr>
        <w:pStyle w:val="yHeading5"/>
      </w:pPr>
      <w:bookmarkStart w:id="2213" w:name="_Toc85881505"/>
      <w:bookmarkStart w:id="2214" w:name="_Toc128368967"/>
      <w:bookmarkStart w:id="2215" w:name="_Toc140893637"/>
      <w:bookmarkStart w:id="2216" w:name="_Toc140394169"/>
      <w:r>
        <w:rPr>
          <w:rStyle w:val="CharSClsNo"/>
        </w:rPr>
        <w:t>16</w:t>
      </w:r>
      <w:r>
        <w:t>.</w:t>
      </w:r>
      <w:r>
        <w:tab/>
      </w:r>
      <w:r>
        <w:rPr>
          <w:i/>
        </w:rPr>
        <w:t>Juries Act 1957</w:t>
      </w:r>
      <w:r>
        <w:t xml:space="preserve"> amended</w:t>
      </w:r>
      <w:bookmarkEnd w:id="2213"/>
      <w:bookmarkEnd w:id="2214"/>
      <w:bookmarkEnd w:id="2215"/>
      <w:bookmarkEnd w:id="2216"/>
    </w:p>
    <w:p>
      <w:pPr>
        <w:pStyle w:val="ySubsection"/>
      </w:pPr>
      <w:r>
        <w:tab/>
        <w:t>(1)</w:t>
      </w:r>
      <w:r>
        <w:tab/>
        <w:t xml:space="preserve">The amendments in this clause are to the </w:t>
      </w:r>
      <w:r>
        <w:rPr>
          <w:i/>
        </w:rPr>
        <w:t>Juries Act 1957</w:t>
      </w:r>
      <w:r>
        <w:t>.</w:t>
      </w:r>
    </w:p>
    <w:p>
      <w:pPr>
        <w:pStyle w:val="ySubsection"/>
      </w:pPr>
      <w:r>
        <w:tab/>
        <w:t>(2)</w:t>
      </w:r>
      <w:r>
        <w:tab/>
        <w:t xml:space="preserve">The Second Schedule Part I is amended by inserting after item 1(e) the following paragraph — </w:t>
      </w:r>
    </w:p>
    <w:p>
      <w:pPr>
        <w:pStyle w:val="MiscOpen"/>
        <w:ind w:left="1340"/>
      </w:pPr>
      <w:r>
        <w:t xml:space="preserve">“    </w:t>
      </w:r>
    </w:p>
    <w:p>
      <w:pPr>
        <w:pStyle w:val="zyIndenta"/>
      </w:pPr>
      <w:r>
        <w:tab/>
        <w:t>(ea)</w:t>
      </w:r>
      <w:r>
        <w:tab/>
        <w:t>Magistrate of the Children’s Court;</w:t>
      </w:r>
    </w:p>
    <w:p>
      <w:pPr>
        <w:pStyle w:val="MiscClose"/>
      </w:pPr>
      <w:r>
        <w:t xml:space="preserve">    ”.</w:t>
      </w:r>
    </w:p>
    <w:p>
      <w:pPr>
        <w:pStyle w:val="ySubsection"/>
      </w:pPr>
      <w:r>
        <w:tab/>
        <w:t>(3)</w:t>
      </w:r>
      <w:r>
        <w:tab/>
        <w:t>The Second Schedule Part I is amended in item 2 as follows:</w:t>
      </w:r>
    </w:p>
    <w:p>
      <w:pPr>
        <w:pStyle w:val="yIndenta"/>
      </w:pPr>
      <w:r>
        <w:tab/>
        <w:t>(a)</w:t>
      </w:r>
      <w:r>
        <w:tab/>
        <w:t xml:space="preserve">by deleting paragraph (c) and inserting the following paragraph instead — </w:t>
      </w:r>
    </w:p>
    <w:p>
      <w:pPr>
        <w:pStyle w:val="MiscOpen"/>
        <w:ind w:left="1340"/>
      </w:pPr>
      <w:r>
        <w:t xml:space="preserve">“    </w:t>
      </w:r>
    </w:p>
    <w:p>
      <w:pPr>
        <w:pStyle w:val="zyIndenta"/>
      </w:pPr>
      <w:r>
        <w:tab/>
        <w:t>(c)</w:t>
      </w:r>
      <w:r>
        <w:tab/>
        <w:t>Member of the Children’s Court;</w:t>
      </w:r>
    </w:p>
    <w:p>
      <w:pPr>
        <w:pStyle w:val="MiscClose"/>
      </w:pPr>
      <w:r>
        <w:t xml:space="preserve">    ”;</w:t>
      </w:r>
    </w:p>
    <w:p>
      <w:pPr>
        <w:pStyle w:val="yIndenta"/>
      </w:pPr>
      <w:r>
        <w:tab/>
        <w:t>(b)</w:t>
      </w:r>
      <w:r>
        <w:tab/>
        <w:t xml:space="preserve">by deleting paragraph (k) and inserting the following paragraph instead — </w:t>
      </w:r>
    </w:p>
    <w:p>
      <w:pPr>
        <w:pStyle w:val="MiscOpen"/>
        <w:ind w:left="1340"/>
      </w:pPr>
      <w:r>
        <w:t xml:space="preserve">“    </w:t>
      </w:r>
    </w:p>
    <w:p>
      <w:pPr>
        <w:pStyle w:val="zyIndenta"/>
      </w:pPr>
      <w:r>
        <w:tab/>
        <w:t>(k)</w:t>
      </w:r>
      <w:r>
        <w:tab/>
        <w:t xml:space="preserve">Officer as defined in section 3 of the </w:t>
      </w:r>
      <w:r>
        <w:rPr>
          <w:i/>
        </w:rPr>
        <w:t>Children and Community Services Act 2004</w:t>
      </w:r>
      <w:r>
        <w:t>;</w:t>
      </w:r>
    </w:p>
    <w:p>
      <w:pPr>
        <w:pStyle w:val="MiscClose"/>
      </w:pPr>
      <w:r>
        <w:t xml:space="preserve">    ”.</w:t>
      </w:r>
    </w:p>
    <w:p>
      <w:pPr>
        <w:pStyle w:val="yHeading5"/>
      </w:pPr>
      <w:bookmarkStart w:id="2217" w:name="_Toc85881506"/>
      <w:bookmarkStart w:id="2218" w:name="_Toc128368968"/>
      <w:bookmarkStart w:id="2219" w:name="_Toc140893638"/>
      <w:bookmarkStart w:id="2220" w:name="_Toc140394170"/>
      <w:r>
        <w:rPr>
          <w:rStyle w:val="CharSClsNo"/>
        </w:rPr>
        <w:t>17</w:t>
      </w:r>
      <w:r>
        <w:t>.</w:t>
      </w:r>
      <w:r>
        <w:tab/>
      </w:r>
      <w:r>
        <w:rPr>
          <w:i/>
        </w:rPr>
        <w:t>Legal Aid Commission Act 1976</w:t>
      </w:r>
      <w:r>
        <w:t xml:space="preserve"> amended</w:t>
      </w:r>
      <w:bookmarkEnd w:id="2217"/>
      <w:bookmarkEnd w:id="2218"/>
      <w:bookmarkEnd w:id="2219"/>
      <w:bookmarkEnd w:id="2220"/>
    </w:p>
    <w:p>
      <w:pPr>
        <w:pStyle w:val="ySubsection"/>
      </w:pPr>
      <w:r>
        <w:tab/>
        <w:t>(1)</w:t>
      </w:r>
      <w:r>
        <w:tab/>
        <w:t xml:space="preserve">The amendments in this clause are to the </w:t>
      </w:r>
      <w:r>
        <w:rPr>
          <w:i/>
        </w:rPr>
        <w:t>Legal Aid Commission Act 1976</w:t>
      </w:r>
      <w:r>
        <w:t>.</w:t>
      </w:r>
    </w:p>
    <w:p>
      <w:pPr>
        <w:pStyle w:val="ySubsection"/>
      </w:pPr>
      <w:r>
        <w:tab/>
        <w:t>(2)</w:t>
      </w:r>
      <w:r>
        <w:tab/>
        <w:t xml:space="preserve">Section 37(3a)(a) is deleted and the following paragraph is inserted instead — </w:t>
      </w:r>
    </w:p>
    <w:p>
      <w:pPr>
        <w:pStyle w:val="MiscOpen"/>
        <w:ind w:left="1340"/>
      </w:pPr>
      <w:r>
        <w:t xml:space="preserve">“    </w:t>
      </w:r>
    </w:p>
    <w:p>
      <w:pPr>
        <w:pStyle w:val="z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MiscClose"/>
      </w:pPr>
      <w:r>
        <w:t xml:space="preserve">    ”.</w:t>
      </w:r>
    </w:p>
    <w:p>
      <w:pPr>
        <w:pStyle w:val="ySubsection"/>
      </w:pPr>
      <w:r>
        <w:tab/>
        <w:t>(3)</w:t>
      </w:r>
      <w:r>
        <w:tab/>
        <w:t xml:space="preserve">Section 37(3b) is repealed and the following subsection is inserted instead — </w:t>
      </w:r>
    </w:p>
    <w:p>
      <w:pPr>
        <w:pStyle w:val="MiscOpen"/>
        <w:ind w:left="600"/>
      </w:pPr>
      <w:r>
        <w:t xml:space="preserve">“    </w:t>
      </w:r>
    </w:p>
    <w:p>
      <w:pPr>
        <w:pStyle w:val="zSubsection"/>
      </w:pPr>
      <w:r>
        <w:tab/>
        <w:t>(3b)</w:t>
      </w:r>
      <w:r>
        <w:tab/>
        <w:t xml:space="preserve">In subsection (3a)(a) — </w:t>
      </w:r>
    </w:p>
    <w:p>
      <w:pPr>
        <w:pStyle w:val="zDefstart"/>
      </w:pPr>
      <w:r>
        <w:rPr>
          <w:b/>
        </w:rPr>
        <w:tab/>
        <w:t>“CEO”</w:t>
      </w:r>
      <w:r>
        <w:t xml:space="preserve">, </w:t>
      </w:r>
      <w:r>
        <w:rPr>
          <w:b/>
        </w:rPr>
        <w:t xml:space="preserve">“child” </w:t>
      </w:r>
      <w:r>
        <w:t>and</w:t>
      </w:r>
      <w:r>
        <w:rPr>
          <w:b/>
        </w:rPr>
        <w:t xml:space="preserve"> “Department” </w:t>
      </w:r>
      <w:r>
        <w:t xml:space="preserve">have the meaning given to those terms in section 3 of the </w:t>
      </w:r>
      <w:r>
        <w:rPr>
          <w:i/>
        </w:rPr>
        <w:t>Children and Community Services Act 2004</w:t>
      </w:r>
      <w:r>
        <w:t>.</w:t>
      </w:r>
    </w:p>
    <w:p>
      <w:pPr>
        <w:pStyle w:val="MiscClose"/>
      </w:pPr>
      <w:r>
        <w:t xml:space="preserve">    ”.</w:t>
      </w:r>
    </w:p>
    <w:p>
      <w:pPr>
        <w:pStyle w:val="yHeading5"/>
      </w:pPr>
      <w:bookmarkStart w:id="2221" w:name="_Toc85881507"/>
      <w:bookmarkStart w:id="2222" w:name="_Toc128368969"/>
      <w:bookmarkStart w:id="2223" w:name="_Toc140893639"/>
      <w:bookmarkStart w:id="2224" w:name="_Toc140394171"/>
      <w:r>
        <w:rPr>
          <w:rStyle w:val="CharSClsNo"/>
        </w:rPr>
        <w:t>18</w:t>
      </w:r>
      <w:r>
        <w:t>.</w:t>
      </w:r>
      <w:r>
        <w:tab/>
      </w:r>
      <w:r>
        <w:rPr>
          <w:i/>
        </w:rPr>
        <w:t>Legal Representation of Infants Act 1977</w:t>
      </w:r>
      <w:r>
        <w:t xml:space="preserve"> amended</w:t>
      </w:r>
      <w:bookmarkEnd w:id="2221"/>
      <w:bookmarkEnd w:id="2222"/>
      <w:bookmarkEnd w:id="2223"/>
      <w:bookmarkEnd w:id="2224"/>
    </w:p>
    <w:p>
      <w:pPr>
        <w:pStyle w:val="ySubsection"/>
      </w:pPr>
      <w:r>
        <w:tab/>
        <w:t>(1)</w:t>
      </w:r>
      <w:r>
        <w:tab/>
        <w:t xml:space="preserve">The amendments in this clause are to the </w:t>
      </w:r>
      <w:r>
        <w:rPr>
          <w:i/>
        </w:rPr>
        <w:t>Legal Representation of Infants Act 1977</w:t>
      </w:r>
      <w:r>
        <w:t>.</w:t>
      </w:r>
    </w:p>
    <w:p>
      <w:pPr>
        <w:pStyle w:val="ySubsection"/>
      </w:pPr>
      <w:r>
        <w:tab/>
        <w:t>(2)</w:t>
      </w:r>
      <w:r>
        <w:tab/>
        <w:t>Section 3(1)(d) is amended by deleting “</w:t>
      </w:r>
      <w:r>
        <w:rPr>
          <w:i/>
        </w:rPr>
        <w:t>Child Welfare Act 1947</w:t>
      </w:r>
      <w:r>
        <w:t xml:space="preserve">” and inserting instead — </w:t>
      </w:r>
    </w:p>
    <w:p>
      <w:pPr>
        <w:pStyle w:val="ySubsection"/>
      </w:pPr>
      <w:r>
        <w:tab/>
      </w:r>
      <w:r>
        <w:tab/>
        <w:t xml:space="preserve">“    </w:t>
      </w:r>
      <w:r>
        <w:rPr>
          <w:i/>
          <w:sz w:val="24"/>
        </w:rPr>
        <w:t>Children and Community Services Act 2004</w:t>
      </w:r>
      <w:r>
        <w:t xml:space="preserve">    ”.</w:t>
      </w:r>
    </w:p>
    <w:p>
      <w:pPr>
        <w:pStyle w:val="ySubsection"/>
      </w:pPr>
      <w:r>
        <w:tab/>
        <w:t>(3)</w:t>
      </w:r>
      <w:r>
        <w:tab/>
        <w:t xml:space="preserve">Section 5(5) is amended by deleting the passage beginning “under the guardianship” and ending “given him” and inserting instead — </w:t>
      </w:r>
    </w:p>
    <w:p>
      <w:pPr>
        <w:pStyle w:val="MiscOpen"/>
        <w:ind w:left="880"/>
      </w:pPr>
      <w:r>
        <w:t xml:space="preserve">“    </w:t>
      </w:r>
    </w:p>
    <w:p>
      <w:pPr>
        <w:pStyle w:val="zSubsection"/>
      </w:pPr>
      <w:r>
        <w:tab/>
      </w:r>
      <w:r>
        <w:tab/>
        <w:t xml:space="preserve">under the guardianship of the CEO as defined in section 3 of the </w:t>
      </w:r>
      <w:r>
        <w:rPr>
          <w:i/>
        </w:rPr>
        <w:t>Children and Community Services Act 2004</w:t>
      </w:r>
      <w:r>
        <w:t>, the court shall not make an appointment under this section unless and until the court has caused notice to be served on the CEO and given the CEO</w:t>
      </w:r>
    </w:p>
    <w:p>
      <w:pPr>
        <w:pStyle w:val="MiscClose"/>
      </w:pPr>
      <w:r>
        <w:t xml:space="preserve">    ”.</w:t>
      </w:r>
    </w:p>
    <w:p>
      <w:pPr>
        <w:pStyle w:val="yHeading5"/>
      </w:pPr>
      <w:bookmarkStart w:id="2225" w:name="_Toc85881508"/>
      <w:bookmarkStart w:id="2226" w:name="_Toc128368970"/>
      <w:bookmarkStart w:id="2227" w:name="_Toc140893640"/>
      <w:bookmarkStart w:id="2228" w:name="_Toc140394172"/>
      <w:r>
        <w:rPr>
          <w:rStyle w:val="CharSClsNo"/>
        </w:rPr>
        <w:t>19</w:t>
      </w:r>
      <w:r>
        <w:t>.</w:t>
      </w:r>
      <w:r>
        <w:tab/>
      </w:r>
      <w:r>
        <w:rPr>
          <w:i/>
        </w:rPr>
        <w:t>Parks and Reserves Act 1895</w:t>
      </w:r>
      <w:r>
        <w:t xml:space="preserve"> amended</w:t>
      </w:r>
      <w:bookmarkEnd w:id="2225"/>
      <w:bookmarkEnd w:id="2226"/>
      <w:bookmarkEnd w:id="2227"/>
      <w:bookmarkEnd w:id="2228"/>
    </w:p>
    <w:p>
      <w:pPr>
        <w:pStyle w:val="ySubsection"/>
      </w:pPr>
      <w:r>
        <w:tab/>
        <w:t>(1)</w:t>
      </w:r>
      <w:r>
        <w:tab/>
        <w:t xml:space="preserve">The amendments in this clause are to the </w:t>
      </w:r>
      <w:r>
        <w:rPr>
          <w:i/>
        </w:rPr>
        <w:t>Parks and Reserves Act 1895</w:t>
      </w:r>
      <w:r>
        <w:t>.</w:t>
      </w:r>
    </w:p>
    <w:p>
      <w:pPr>
        <w:pStyle w:val="ySubsection"/>
      </w:pPr>
      <w:r>
        <w:tab/>
        <w:t>(2)</w:t>
      </w:r>
      <w:r>
        <w:tab/>
        <w:t xml:space="preserve">Section 12A(2) is amended by deleting the definition of “parent” and inserting the following definition instead — </w:t>
      </w:r>
    </w:p>
    <w:p>
      <w:pPr>
        <w:pStyle w:val="MiscOpen"/>
        <w:ind w:left="880"/>
      </w:pPr>
      <w:r>
        <w:t xml:space="preserve">“    </w:t>
      </w:r>
    </w:p>
    <w:p>
      <w:pPr>
        <w:pStyle w:val="zDefstart"/>
      </w:pPr>
      <w:r>
        <w:rPr>
          <w:b/>
        </w:rPr>
        <w:tab/>
        <w:t>“parent”</w:t>
      </w:r>
      <w:r>
        <w:t xml:space="preserve"> has the meaning given to that term in section 3 of the </w:t>
      </w:r>
      <w:r>
        <w:rPr>
          <w:i/>
        </w:rPr>
        <w:t>Children and Community Services Act 2004</w:t>
      </w:r>
      <w:r>
        <w:t>.</w:t>
      </w:r>
    </w:p>
    <w:p>
      <w:pPr>
        <w:pStyle w:val="MiscClose"/>
      </w:pPr>
      <w:r>
        <w:t xml:space="preserve">    ”.</w:t>
      </w:r>
    </w:p>
    <w:p>
      <w:pPr>
        <w:pStyle w:val="ySubsection"/>
      </w:pPr>
      <w:r>
        <w:tab/>
        <w:t>(3)</w:t>
      </w:r>
      <w:r>
        <w:tab/>
        <w:t>Section 12A(3) is repealed.</w:t>
      </w:r>
    </w:p>
    <w:p>
      <w:pPr>
        <w:pStyle w:val="yHeading5"/>
      </w:pPr>
      <w:bookmarkStart w:id="2229" w:name="_Toc85881509"/>
      <w:bookmarkStart w:id="2230" w:name="_Toc128368971"/>
      <w:bookmarkStart w:id="2231" w:name="_Toc140893641"/>
      <w:bookmarkStart w:id="2232" w:name="_Toc140394173"/>
      <w:r>
        <w:rPr>
          <w:rStyle w:val="CharSClsNo"/>
        </w:rPr>
        <w:t>20</w:t>
      </w:r>
      <w:r>
        <w:t>.</w:t>
      </w:r>
      <w:r>
        <w:tab/>
      </w:r>
      <w:r>
        <w:rPr>
          <w:i/>
        </w:rPr>
        <w:t>Prostitution Act 2000</w:t>
      </w:r>
      <w:r>
        <w:t xml:space="preserve"> amended</w:t>
      </w:r>
      <w:bookmarkEnd w:id="2229"/>
      <w:bookmarkEnd w:id="2230"/>
      <w:bookmarkEnd w:id="2231"/>
      <w:bookmarkEnd w:id="2232"/>
    </w:p>
    <w:p>
      <w:pPr>
        <w:pStyle w:val="ySubsection"/>
      </w:pPr>
      <w:r>
        <w:tab/>
        <w:t>(1)</w:t>
      </w:r>
      <w:r>
        <w:tab/>
        <w:t xml:space="preserve">The amendments in this clause are to the </w:t>
      </w:r>
      <w:r>
        <w:rPr>
          <w:i/>
        </w:rPr>
        <w:t>Prostitution Act 2000</w:t>
      </w:r>
      <w:r>
        <w:t>.</w:t>
      </w:r>
    </w:p>
    <w:p>
      <w:pPr>
        <w:pStyle w:val="ySubsection"/>
        <w:keepNext/>
      </w:pPr>
      <w:r>
        <w:tab/>
        <w:t>(2)</w:t>
      </w:r>
      <w:r>
        <w:tab/>
        <w:t>Section 57(4)(c) is amended by deleting “</w:t>
      </w:r>
      <w:r>
        <w:rPr>
          <w:i/>
        </w:rPr>
        <w:t>Child Welfare Act 1947</w:t>
      </w:r>
      <w:r>
        <w:t xml:space="preserve">” and inserting instead — </w:t>
      </w:r>
    </w:p>
    <w:p>
      <w:pPr>
        <w:pStyle w:val="ySubsection"/>
      </w:pPr>
      <w:r>
        <w:tab/>
      </w:r>
      <w:r>
        <w:tab/>
        <w:t xml:space="preserve">“    </w:t>
      </w:r>
      <w:r>
        <w:rPr>
          <w:i/>
          <w:sz w:val="24"/>
        </w:rPr>
        <w:t>Children and Community Services Act 2004</w:t>
      </w:r>
      <w:r>
        <w:t xml:space="preserve">    ”.</w:t>
      </w:r>
    </w:p>
    <w:p>
      <w:pPr>
        <w:pStyle w:val="ySubsection"/>
      </w:pPr>
      <w:r>
        <w:tab/>
        <w:t>(3)</w:t>
      </w:r>
      <w:r>
        <w:tab/>
        <w:t>Schedule 1 is amended as follows:</w:t>
      </w:r>
    </w:p>
    <w:p>
      <w:pPr>
        <w:pStyle w:val="yIndenta"/>
      </w:pPr>
      <w:r>
        <w:tab/>
        <w:t>(a)</w:t>
      </w:r>
      <w:r>
        <w:tab/>
        <w:t>by deleting “</w:t>
      </w:r>
      <w:r>
        <w:rPr>
          <w:i/>
        </w:rPr>
        <w:t>Child Welfare Act 1947</w:t>
      </w:r>
      <w:r>
        <w:t>” and inserting instead —</w:t>
      </w:r>
    </w:p>
    <w:p>
      <w:pPr>
        <w:pStyle w:val="yIndenta"/>
      </w:pPr>
      <w:r>
        <w:tab/>
      </w:r>
      <w:r>
        <w:tab/>
        <w:t xml:space="preserve">“    </w:t>
      </w:r>
      <w:r>
        <w:rPr>
          <w:i/>
        </w:rPr>
        <w:t>Children and Community Services Act 2004</w:t>
      </w:r>
      <w:r>
        <w:t xml:space="preserve">    ”;</w:t>
      </w:r>
    </w:p>
    <w:p>
      <w:pPr>
        <w:pStyle w:val="yIndenta"/>
      </w:pPr>
      <w:r>
        <w:tab/>
        <w:t>(b)</w:t>
      </w:r>
      <w:r>
        <w:tab/>
        <w:t xml:space="preserve">by deleting “s. 108(1)” and inserting instead — </w:t>
      </w:r>
    </w:p>
    <w:p>
      <w:pPr>
        <w:pStyle w:val="yIndenta"/>
      </w:pPr>
      <w:r>
        <w:tab/>
      </w:r>
      <w:r>
        <w:tab/>
        <w:t>“    s. 192(1) or (2)    ”.</w:t>
      </w:r>
    </w:p>
    <w:p>
      <w:pPr>
        <w:pStyle w:val="yHeading5"/>
      </w:pPr>
      <w:bookmarkStart w:id="2233" w:name="_Toc85881510"/>
      <w:bookmarkStart w:id="2234" w:name="_Toc128368972"/>
      <w:bookmarkStart w:id="2235" w:name="_Toc140893642"/>
      <w:bookmarkStart w:id="2236" w:name="_Toc140394174"/>
      <w:r>
        <w:rPr>
          <w:rStyle w:val="CharSClsNo"/>
        </w:rPr>
        <w:t>21</w:t>
      </w:r>
      <w:r>
        <w:t>.</w:t>
      </w:r>
      <w:r>
        <w:tab/>
      </w:r>
      <w:r>
        <w:rPr>
          <w:i/>
        </w:rPr>
        <w:t>Protective Custody Act 2000</w:t>
      </w:r>
      <w:r>
        <w:t xml:space="preserve"> amended</w:t>
      </w:r>
      <w:bookmarkEnd w:id="2233"/>
      <w:bookmarkEnd w:id="2234"/>
      <w:bookmarkEnd w:id="2235"/>
      <w:bookmarkEnd w:id="2236"/>
    </w:p>
    <w:p>
      <w:pPr>
        <w:pStyle w:val="ySubsection"/>
      </w:pPr>
      <w:r>
        <w:tab/>
        <w:t>(1)</w:t>
      </w:r>
      <w:r>
        <w:tab/>
        <w:t xml:space="preserve">The amendments in this clause are to the </w:t>
      </w:r>
      <w:r>
        <w:rPr>
          <w:i/>
        </w:rPr>
        <w:t>Protective Custody Act 2000</w:t>
      </w:r>
      <w:r>
        <w:t>.</w:t>
      </w:r>
    </w:p>
    <w:p>
      <w:pPr>
        <w:pStyle w:val="ySubsection"/>
      </w:pPr>
      <w:r>
        <w:tab/>
        <w:t>(2)</w:t>
      </w:r>
      <w:r>
        <w:tab/>
        <w:t xml:space="preserve">Section 4(1) is amended by deleting “section 138B of the </w:t>
      </w:r>
      <w:r>
        <w:rPr>
          <w:i/>
        </w:rPr>
        <w:t>Child Welfare Act 1947</w:t>
      </w:r>
      <w:r>
        <w:t xml:space="preserve">.” and inserting instead — </w:t>
      </w:r>
    </w:p>
    <w:p>
      <w:pPr>
        <w:pStyle w:val="MiscOpen"/>
        <w:ind w:left="880"/>
      </w:pPr>
      <w:r>
        <w:t xml:space="preserve">“    </w:t>
      </w:r>
    </w:p>
    <w:p>
      <w:pPr>
        <w:pStyle w:val="zSubsection"/>
      </w:pPr>
      <w:r>
        <w:tab/>
      </w:r>
      <w:r>
        <w:tab/>
        <w:t xml:space="preserve">the operation of section 41 of the </w:t>
      </w:r>
      <w:r>
        <w:rPr>
          <w:i/>
        </w:rPr>
        <w:t>Children and Community Services Act 2004</w:t>
      </w:r>
      <w:r>
        <w:t>.</w:t>
      </w:r>
    </w:p>
    <w:p>
      <w:pPr>
        <w:pStyle w:val="MiscClose"/>
      </w:pPr>
      <w:r>
        <w:t xml:space="preserve">    ”.</w:t>
      </w:r>
    </w:p>
    <w:p>
      <w:pPr>
        <w:pStyle w:val="ySubsection"/>
      </w:pPr>
      <w:r>
        <w:tab/>
        <w:t>(3)</w:t>
      </w:r>
      <w:r>
        <w:tab/>
        <w:t>Section 11(6) is repealed.</w:t>
      </w:r>
    </w:p>
    <w:p>
      <w:pPr>
        <w:pStyle w:val="yHeading5"/>
      </w:pPr>
      <w:bookmarkStart w:id="2237" w:name="_Toc85881511"/>
      <w:bookmarkStart w:id="2238" w:name="_Toc128368973"/>
      <w:bookmarkStart w:id="2239" w:name="_Toc140893643"/>
      <w:bookmarkStart w:id="2240" w:name="_Toc140394175"/>
      <w:r>
        <w:rPr>
          <w:rStyle w:val="CharSClsNo"/>
        </w:rPr>
        <w:t>22</w:t>
      </w:r>
      <w:r>
        <w:t>.</w:t>
      </w:r>
      <w:r>
        <w:tab/>
      </w:r>
      <w:r>
        <w:rPr>
          <w:i/>
        </w:rPr>
        <w:t>Rates and Charges (Rebates and Deferments) Act 1992</w:t>
      </w:r>
      <w:r>
        <w:t xml:space="preserve"> amended</w:t>
      </w:r>
      <w:bookmarkEnd w:id="2237"/>
      <w:bookmarkEnd w:id="2238"/>
      <w:bookmarkEnd w:id="2239"/>
      <w:bookmarkEnd w:id="2240"/>
    </w:p>
    <w:p>
      <w:pPr>
        <w:pStyle w:val="ySubsection"/>
      </w:pPr>
      <w:r>
        <w:tab/>
        <w:t>(1)</w:t>
      </w:r>
      <w:r>
        <w:tab/>
        <w:t xml:space="preserve">The amendments in this clause are to the </w:t>
      </w:r>
      <w:r>
        <w:rPr>
          <w:i/>
        </w:rPr>
        <w:t>Rates and Charges (Rebates and Deferments) Act 1992</w:t>
      </w:r>
      <w:r>
        <w:t>.</w:t>
      </w:r>
    </w:p>
    <w:p>
      <w:pPr>
        <w:pStyle w:val="ySubsection"/>
      </w:pPr>
      <w:r>
        <w:tab/>
        <w:t>(2)</w:t>
      </w:r>
      <w:r>
        <w:tab/>
        <w:t xml:space="preserve">Section 3(1) is amended by deleting the definition of “State concession card” and inserting the following definition instead — </w:t>
      </w:r>
    </w:p>
    <w:p>
      <w:pPr>
        <w:pStyle w:val="MiscOpen"/>
        <w:ind w:left="880"/>
      </w:pPr>
      <w:r>
        <w:t xml:space="preserve">“    </w:t>
      </w:r>
    </w:p>
    <w:p>
      <w:pPr>
        <w:pStyle w:val="zDefstart"/>
      </w:pPr>
      <w:r>
        <w:rPr>
          <w:b/>
        </w:rPr>
        <w:tab/>
        <w:t>“State concession card”</w:t>
      </w:r>
      <w:r>
        <w:t xml:space="preserve"> means a currently valid card which bears that designation and is issued under section 6 by the CEO as defined in section 3 of the </w:t>
      </w:r>
      <w:r>
        <w:rPr>
          <w:i/>
        </w:rPr>
        <w:t>Children and Community Services Act 2004</w:t>
      </w:r>
      <w:r>
        <w:t>;</w:t>
      </w:r>
    </w:p>
    <w:p>
      <w:pPr>
        <w:pStyle w:val="MiscClose"/>
      </w:pPr>
      <w:r>
        <w:t xml:space="preserve">    ”.</w:t>
      </w:r>
    </w:p>
    <w:p>
      <w:pPr>
        <w:pStyle w:val="ySubsection"/>
      </w:pPr>
      <w:r>
        <w:tab/>
        <w:t>(3)</w:t>
      </w:r>
      <w:r>
        <w:tab/>
        <w:t>Section 6(1) is amended by deleting “Director</w:t>
      </w:r>
      <w:r>
        <w:noBreakHyphen/>
        <w:t xml:space="preserve">General of the department established under section 4 of the </w:t>
      </w:r>
      <w:r>
        <w:rPr>
          <w:i/>
        </w:rPr>
        <w:t>Community Services Act 1972</w:t>
      </w:r>
      <w:r>
        <w:t xml:space="preserve">” and inserting instead — </w:t>
      </w:r>
    </w:p>
    <w:p>
      <w:pPr>
        <w:pStyle w:val="MiscOpen"/>
        <w:ind w:left="880"/>
      </w:pPr>
      <w:r>
        <w:t xml:space="preserve">“    </w:t>
      </w:r>
    </w:p>
    <w:p>
      <w:pPr>
        <w:pStyle w:val="zSubsection"/>
      </w:pPr>
      <w:r>
        <w:tab/>
      </w:r>
      <w:r>
        <w:tab/>
        <w:t xml:space="preserve">CEO as defined in section 3 of the </w:t>
      </w:r>
      <w:r>
        <w:rPr>
          <w:i/>
        </w:rPr>
        <w:t>Children and Community Services Act 2004</w:t>
      </w:r>
    </w:p>
    <w:p>
      <w:pPr>
        <w:pStyle w:val="MiscClose"/>
      </w:pPr>
      <w:r>
        <w:t xml:space="preserve">    ”.</w:t>
      </w:r>
    </w:p>
    <w:p>
      <w:pPr>
        <w:pStyle w:val="ySubsection"/>
      </w:pPr>
      <w:r>
        <w:tab/>
        <w:t>(4)</w:t>
      </w:r>
      <w:r>
        <w:tab/>
        <w:t>Section 6(2) is amended by deleting “Director</w:t>
      </w:r>
      <w:r>
        <w:noBreakHyphen/>
        <w:t xml:space="preserve">General” in both places where it occurs and inserting instead — </w:t>
      </w:r>
    </w:p>
    <w:p>
      <w:pPr>
        <w:pStyle w:val="ySubsection"/>
      </w:pPr>
      <w:r>
        <w:tab/>
      </w:r>
      <w:r>
        <w:tab/>
        <w:t xml:space="preserve">“    </w:t>
      </w:r>
      <w:r>
        <w:rPr>
          <w:sz w:val="24"/>
        </w:rPr>
        <w:t>CEO</w:t>
      </w:r>
      <w:r>
        <w:t xml:space="preserve">    ”.</w:t>
      </w:r>
    </w:p>
    <w:p>
      <w:pPr>
        <w:pStyle w:val="ySubsection"/>
      </w:pPr>
      <w:r>
        <w:tab/>
        <w:t>(5)</w:t>
      </w:r>
      <w:r>
        <w:tab/>
        <w:t>Section 6(3) is amended by deleting “Director</w:t>
      </w:r>
      <w:r>
        <w:noBreakHyphen/>
        <w:t xml:space="preserve">General” and inserting instead — </w:t>
      </w:r>
    </w:p>
    <w:p>
      <w:pPr>
        <w:pStyle w:val="ySubsection"/>
      </w:pPr>
      <w:r>
        <w:tab/>
      </w:r>
      <w:r>
        <w:tab/>
        <w:t xml:space="preserve">“    </w:t>
      </w:r>
      <w:r>
        <w:rPr>
          <w:sz w:val="24"/>
        </w:rPr>
        <w:t>CEO</w:t>
      </w:r>
      <w:r>
        <w:t xml:space="preserve">    ”.</w:t>
      </w:r>
    </w:p>
    <w:p>
      <w:pPr>
        <w:pStyle w:val="yHeading5"/>
      </w:pPr>
      <w:bookmarkStart w:id="2241" w:name="_Toc85881512"/>
      <w:bookmarkStart w:id="2242" w:name="_Toc128368974"/>
      <w:bookmarkStart w:id="2243" w:name="_Toc140893644"/>
      <w:bookmarkStart w:id="2244" w:name="_Toc140394176"/>
      <w:r>
        <w:rPr>
          <w:rStyle w:val="CharSClsNo"/>
        </w:rPr>
        <w:t>23</w:t>
      </w:r>
      <w:r>
        <w:t>.</w:t>
      </w:r>
      <w:r>
        <w:tab/>
      </w:r>
      <w:r>
        <w:rPr>
          <w:i/>
        </w:rPr>
        <w:t>Restraining Orders Act 1997</w:t>
      </w:r>
      <w:r>
        <w:t xml:space="preserve"> amended</w:t>
      </w:r>
      <w:bookmarkEnd w:id="2241"/>
      <w:bookmarkEnd w:id="2242"/>
      <w:bookmarkEnd w:id="2243"/>
      <w:bookmarkEnd w:id="2244"/>
    </w:p>
    <w:p>
      <w:pPr>
        <w:pStyle w:val="ySubsection"/>
      </w:pPr>
      <w:r>
        <w:tab/>
        <w:t>(1)</w:t>
      </w:r>
      <w:r>
        <w:tab/>
        <w:t xml:space="preserve">The amendments in this clause are to the </w:t>
      </w:r>
      <w:r>
        <w:rPr>
          <w:i/>
        </w:rPr>
        <w:t>Restraining Orders Act 1997</w:t>
      </w:r>
      <w:r>
        <w:t>.</w:t>
      </w:r>
    </w:p>
    <w:p>
      <w:pPr>
        <w:pStyle w:val="ySubsection"/>
      </w:pPr>
      <w:r>
        <w:tab/>
        <w:t>(2)</w:t>
      </w:r>
      <w:r>
        <w:tab/>
        <w:t xml:space="preserve">Section 3 is amended by deleting the definition of “child welfare officer” and inserting instead — </w:t>
      </w:r>
    </w:p>
    <w:p>
      <w:pPr>
        <w:pStyle w:val="MiscOpen"/>
        <w:ind w:left="880"/>
      </w:pPr>
      <w:r>
        <w:t xml:space="preserve">“    </w:t>
      </w:r>
    </w:p>
    <w:p>
      <w:pPr>
        <w:pStyle w:val="zDefstart"/>
      </w:pPr>
      <w:r>
        <w:tab/>
        <w:t xml:space="preserve">“child welfare officer” means — </w:t>
      </w:r>
    </w:p>
    <w:p>
      <w:pPr>
        <w:pStyle w:val="zDefpara"/>
      </w:pPr>
      <w:r>
        <w:tab/>
        <w:t>(a)</w:t>
      </w:r>
      <w:r>
        <w:tab/>
        <w:t xml:space="preserve">the CEO as defined in section 3 of the </w:t>
      </w:r>
      <w:r>
        <w:rPr>
          <w:i/>
        </w:rPr>
        <w:t>Children and Community Services Act 2004</w:t>
      </w:r>
      <w:r>
        <w:t>; or</w:t>
      </w:r>
    </w:p>
    <w:p>
      <w:pPr>
        <w:pStyle w:val="zDefpara"/>
      </w:pPr>
      <w:r>
        <w:tab/>
        <w:t>(b)</w:t>
      </w:r>
      <w:r>
        <w:tab/>
        <w:t>a person who is an authorised officer for the purposes of section 37 of that Act;</w:t>
      </w:r>
    </w:p>
    <w:p>
      <w:pPr>
        <w:pStyle w:val="MiscClose"/>
      </w:pPr>
      <w:r>
        <w:t xml:space="preserve">    ”.</w:t>
      </w:r>
    </w:p>
    <w:p>
      <w:pPr>
        <w:pStyle w:val="ySubsection"/>
      </w:pPr>
      <w:r>
        <w:tab/>
        <w:t>(3)</w:t>
      </w:r>
      <w:r>
        <w:tab/>
        <w:t xml:space="preserve">Section 63(3) is amended by deleting “an application under the </w:t>
      </w:r>
      <w:r>
        <w:rPr>
          <w:i/>
        </w:rPr>
        <w:t>Child Welfare Act 1947</w:t>
      </w:r>
      <w:r>
        <w:t xml:space="preserve"> to declare a child in need of care and protection” and inserting instead — </w:t>
      </w:r>
    </w:p>
    <w:p>
      <w:pPr>
        <w:pStyle w:val="MiscOpen"/>
        <w:ind w:left="880"/>
      </w:pPr>
      <w:r>
        <w:t xml:space="preserve">“    </w:t>
      </w:r>
    </w:p>
    <w:p>
      <w:pPr>
        <w:pStyle w:val="zSubsection"/>
      </w:pPr>
      <w:r>
        <w:tab/>
      </w:r>
      <w:r>
        <w:tab/>
        <w:t xml:space="preserve">protection proceedings under the </w:t>
      </w:r>
      <w:r>
        <w:rPr>
          <w:i/>
        </w:rPr>
        <w:t>Children and Community Services Act 2004</w:t>
      </w:r>
    </w:p>
    <w:p>
      <w:pPr>
        <w:pStyle w:val="MiscClose"/>
      </w:pPr>
      <w:r>
        <w:t xml:space="preserve">    ”.</w:t>
      </w:r>
    </w:p>
    <w:p>
      <w:pPr>
        <w:pStyle w:val="yHeading5"/>
      </w:pPr>
      <w:bookmarkStart w:id="2245" w:name="_Toc85881513"/>
      <w:bookmarkStart w:id="2246" w:name="_Toc128368975"/>
      <w:bookmarkStart w:id="2247" w:name="_Toc140893645"/>
      <w:bookmarkStart w:id="2248" w:name="_Toc140394177"/>
      <w:r>
        <w:rPr>
          <w:rStyle w:val="CharSClsNo"/>
        </w:rPr>
        <w:t>24</w:t>
      </w:r>
      <w:r>
        <w:t>.</w:t>
      </w:r>
      <w:r>
        <w:tab/>
      </w:r>
      <w:r>
        <w:rPr>
          <w:i/>
        </w:rPr>
        <w:t>School Education Act 1999</w:t>
      </w:r>
      <w:r>
        <w:t xml:space="preserve"> amended</w:t>
      </w:r>
      <w:bookmarkEnd w:id="2245"/>
      <w:bookmarkEnd w:id="2246"/>
      <w:bookmarkEnd w:id="2247"/>
      <w:bookmarkEnd w:id="2248"/>
    </w:p>
    <w:p>
      <w:pPr>
        <w:pStyle w:val="ySubsection"/>
      </w:pPr>
      <w:r>
        <w:tab/>
        <w:t>(1)</w:t>
      </w:r>
      <w:r>
        <w:tab/>
        <w:t xml:space="preserve">The amendments in this clause are to the </w:t>
      </w:r>
      <w:r>
        <w:rPr>
          <w:i/>
        </w:rPr>
        <w:t>School Education Act 1999</w:t>
      </w:r>
      <w:r>
        <w:t>.</w:t>
      </w:r>
    </w:p>
    <w:p>
      <w:pPr>
        <w:pStyle w:val="ySubsection"/>
      </w:pPr>
      <w:r>
        <w:tab/>
        <w:t>(2)</w:t>
      </w:r>
      <w:r>
        <w:tab/>
        <w:t xml:space="preserve">Section 42(3) is amended by deleting “If a child is a ward for the purposes of the </w:t>
      </w:r>
      <w:r>
        <w:rPr>
          <w:i/>
        </w:rPr>
        <w:t>Child Welfare Act 1947</w:t>
      </w:r>
      <w:r>
        <w:t xml:space="preserve">” and inserting instead — </w:t>
      </w:r>
    </w:p>
    <w:p>
      <w:pPr>
        <w:pStyle w:val="MiscOpen"/>
        <w:ind w:left="880"/>
      </w:pPr>
      <w:r>
        <w:t xml:space="preserve">“    </w:t>
      </w:r>
    </w:p>
    <w:p>
      <w:pPr>
        <w:pStyle w:val="zSubsection"/>
      </w:pPr>
      <w:r>
        <w:tab/>
      </w:r>
      <w:r>
        <w:tab/>
        <w:t xml:space="preserve">If the CEO as defined in section 3 of the </w:t>
      </w:r>
      <w:r>
        <w:rPr>
          <w:i/>
        </w:rPr>
        <w:t>Children and Community Services Act 2004</w:t>
      </w:r>
      <w:r>
        <w:t xml:space="preserve"> has parental responsibility for a child under that Act</w:t>
      </w:r>
    </w:p>
    <w:p>
      <w:pPr>
        <w:pStyle w:val="yEdnotesection"/>
        <w:outlineLvl w:val="9"/>
      </w:pPr>
      <w:r>
        <w:t>[</w:t>
      </w:r>
      <w:r>
        <w:rPr>
          <w:b/>
        </w:rPr>
        <w:t>25.</w:t>
      </w:r>
      <w:r>
        <w:tab/>
        <w:t>Has not come into operation </w:t>
      </w:r>
      <w:r>
        <w:rPr>
          <w:i w:val="0"/>
          <w:vertAlign w:val="superscript"/>
        </w:rPr>
        <w:t>2</w:t>
      </w:r>
      <w:r>
        <w:t>.]</w:t>
      </w:r>
    </w:p>
    <w:p>
      <w:pPr>
        <w:pStyle w:val="yHeading5"/>
      </w:pPr>
      <w:bookmarkStart w:id="2249" w:name="_Toc85881515"/>
      <w:bookmarkStart w:id="2250" w:name="_Toc128368976"/>
      <w:bookmarkStart w:id="2251" w:name="_Toc140893646"/>
      <w:bookmarkStart w:id="2252" w:name="_Toc140394178"/>
      <w:r>
        <w:rPr>
          <w:rStyle w:val="CharSClsNo"/>
        </w:rPr>
        <w:t>26</w:t>
      </w:r>
      <w:r>
        <w:t>.</w:t>
      </w:r>
      <w:r>
        <w:tab/>
      </w:r>
      <w:r>
        <w:rPr>
          <w:i/>
        </w:rPr>
        <w:t>Tobacco Control Act 1990</w:t>
      </w:r>
      <w:r>
        <w:t xml:space="preserve"> amended</w:t>
      </w:r>
      <w:bookmarkEnd w:id="2249"/>
      <w:bookmarkEnd w:id="2250"/>
      <w:bookmarkEnd w:id="2251"/>
      <w:bookmarkEnd w:id="2252"/>
    </w:p>
    <w:p>
      <w:pPr>
        <w:pStyle w:val="ySubsection"/>
        <w:rPr>
          <w:i/>
        </w:rPr>
      </w:pPr>
      <w:r>
        <w:tab/>
        <w:t>(1)</w:t>
      </w:r>
      <w:r>
        <w:tab/>
        <w:t xml:space="preserve">The amendments in this clause are to the </w:t>
      </w:r>
      <w:r>
        <w:rPr>
          <w:i/>
        </w:rPr>
        <w:t>Tobacco Control Act 1990.</w:t>
      </w:r>
    </w:p>
    <w:p>
      <w:pPr>
        <w:pStyle w:val="ySubsection"/>
      </w:pPr>
      <w:r>
        <w:tab/>
        <w:t>(2)</w:t>
      </w:r>
      <w:r>
        <w:tab/>
        <w:t xml:space="preserve">Section 17(1)(k) is deleted and the following paragraph is inserted instead — </w:t>
      </w:r>
    </w:p>
    <w:p>
      <w:pPr>
        <w:pStyle w:val="MiscOpen"/>
        <w:ind w:left="1340"/>
      </w:pPr>
      <w:r>
        <w:t xml:space="preserve">“    </w:t>
      </w:r>
    </w:p>
    <w:p>
      <w:pPr>
        <w:pStyle w:val="zIndenta"/>
      </w:pPr>
      <w:r>
        <w:tab/>
        <w:t>(k)</w:t>
      </w:r>
      <w:r>
        <w:tab/>
        <w:t xml:space="preserve">one shall be the chief executive officer of the Department as defined in section 3 of the </w:t>
      </w:r>
      <w:r>
        <w:rPr>
          <w:i/>
        </w:rPr>
        <w:t>Children and Community Services Act 2004</w:t>
      </w:r>
      <w:r>
        <w:t xml:space="preserve"> or the nominee of that chief executive officer.</w:t>
      </w:r>
    </w:p>
    <w:p>
      <w:pPr>
        <w:pStyle w:val="MiscClose"/>
      </w:pPr>
      <w:r>
        <w:t xml:space="preserve">    ”.</w:t>
      </w:r>
    </w:p>
    <w:p>
      <w:pPr>
        <w:pStyle w:val="yHeading5"/>
      </w:pPr>
      <w:bookmarkStart w:id="2253" w:name="_Toc85881516"/>
      <w:bookmarkStart w:id="2254" w:name="_Toc128368977"/>
      <w:bookmarkStart w:id="2255" w:name="_Toc140893647"/>
      <w:bookmarkStart w:id="2256" w:name="_Toc140394179"/>
      <w:r>
        <w:rPr>
          <w:rStyle w:val="CharSClsNo"/>
        </w:rPr>
        <w:t>27</w:t>
      </w:r>
      <w:r>
        <w:t>.</w:t>
      </w:r>
      <w:r>
        <w:tab/>
      </w:r>
      <w:r>
        <w:rPr>
          <w:i/>
        </w:rPr>
        <w:t>Young Offenders Act 1994</w:t>
      </w:r>
      <w:r>
        <w:t xml:space="preserve"> amended</w:t>
      </w:r>
      <w:bookmarkEnd w:id="2253"/>
      <w:bookmarkEnd w:id="2254"/>
      <w:bookmarkEnd w:id="2255"/>
      <w:bookmarkEnd w:id="2256"/>
    </w:p>
    <w:p>
      <w:pPr>
        <w:pStyle w:val="ySubsection"/>
      </w:pPr>
      <w:r>
        <w:tab/>
        <w:t>(1)</w:t>
      </w:r>
      <w:r>
        <w:tab/>
        <w:t xml:space="preserve">The amendments in this clause are to the </w:t>
      </w:r>
      <w:r>
        <w:rPr>
          <w:i/>
        </w:rPr>
        <w:t>Young Offenders Act 1994</w:t>
      </w:r>
      <w:r>
        <w:t>.</w:t>
      </w:r>
    </w:p>
    <w:p>
      <w:pPr>
        <w:pStyle w:val="ySubsection"/>
      </w:pPr>
      <w:r>
        <w:tab/>
        <w:t>(2)</w:t>
      </w:r>
      <w:r>
        <w:tab/>
        <w:t xml:space="preserve">Section 3 is amended in the definition of “exempt responsible adult” by deleting paragraphs (b) and (c), and “or” after paragraph (c), and inserting instead — </w:t>
      </w:r>
    </w:p>
    <w:p>
      <w:pPr>
        <w:pStyle w:val="MiscOpen"/>
        <w:ind w:left="1580"/>
      </w:pPr>
      <w:r>
        <w:t xml:space="preserve">“    </w:t>
      </w:r>
    </w:p>
    <w:p>
      <w:pPr>
        <w:pStyle w:val="zIndenta"/>
      </w:pPr>
      <w:r>
        <w:tab/>
        <w:t>(b)</w:t>
      </w:r>
      <w:r>
        <w:tab/>
        <w:t xml:space="preserve">the CEO as defined in section 3 of the </w:t>
      </w:r>
      <w:r>
        <w:rPr>
          <w:i/>
        </w:rPr>
        <w:t>Children and Community Services Act 2004</w:t>
      </w:r>
      <w:r>
        <w:t xml:space="preserve"> who, under that Act, has parental responsibility for the young person;</w:t>
      </w:r>
    </w:p>
    <w:p>
      <w:pPr>
        <w:pStyle w:val="zIndenta"/>
      </w:pPr>
      <w:r>
        <w:tab/>
        <w:t>(c)</w:t>
      </w:r>
      <w:r>
        <w:tab/>
        <w:t xml:space="preserve">an officer as defined in section 3 of the </w:t>
      </w:r>
      <w:r>
        <w:rPr>
          <w:i/>
        </w:rPr>
        <w:t>Children and Community Services Act 2004</w:t>
      </w:r>
      <w:r>
        <w:t>; or</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2257" w:name="_Hlt55285815"/>
      <w:bookmarkStart w:id="2258" w:name="_Hlt532636160"/>
      <w:bookmarkStart w:id="2259" w:name="_Hlt39909334"/>
      <w:bookmarkStart w:id="2260" w:name="_Toc86211307"/>
      <w:bookmarkStart w:id="2261" w:name="_Toc86212313"/>
      <w:bookmarkStart w:id="2262" w:name="_Toc90460887"/>
      <w:bookmarkStart w:id="2263" w:name="_Toc94071234"/>
      <w:bookmarkStart w:id="2264" w:name="_Toc97098384"/>
      <w:bookmarkStart w:id="2265" w:name="_Toc103054878"/>
      <w:bookmarkStart w:id="2266" w:name="_Toc103055765"/>
      <w:bookmarkStart w:id="2267" w:name="_Toc124042444"/>
      <w:bookmarkStart w:id="2268" w:name="_Toc124043279"/>
      <w:bookmarkStart w:id="2269" w:name="_Toc124045418"/>
      <w:bookmarkStart w:id="2270" w:name="_Toc128301107"/>
      <w:bookmarkStart w:id="2271" w:name="_Toc128303135"/>
      <w:bookmarkStart w:id="2272" w:name="_Toc128367064"/>
      <w:bookmarkStart w:id="2273" w:name="_Toc128368978"/>
      <w:bookmarkStart w:id="2274" w:name="_Toc128369362"/>
      <w:bookmarkStart w:id="2275" w:name="_Toc128969699"/>
      <w:bookmarkStart w:id="2276" w:name="_Toc132620610"/>
      <w:bookmarkStart w:id="2277" w:name="_Toc140378238"/>
      <w:bookmarkStart w:id="2278" w:name="_Toc140394180"/>
      <w:bookmarkStart w:id="2279" w:name="_Toc140893648"/>
      <w:bookmarkEnd w:id="2257"/>
      <w:bookmarkEnd w:id="2258"/>
      <w:bookmarkEnd w:id="2259"/>
    </w:p>
    <w:p>
      <w:pPr>
        <w:pStyle w:val="nHeading2"/>
      </w:pPr>
      <w:r>
        <w:t>Notes</w:t>
      </w:r>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pPr>
        <w:pStyle w:val="nSubsection"/>
        <w:rPr>
          <w:snapToGrid w:val="0"/>
        </w:rPr>
      </w:pPr>
      <w:r>
        <w:rPr>
          <w:snapToGrid w:val="0"/>
          <w:vertAlign w:val="superscript"/>
        </w:rPr>
        <w:t>1</w:t>
      </w:r>
      <w:r>
        <w:rPr>
          <w:snapToGrid w:val="0"/>
        </w:rPr>
        <w:tab/>
        <w:t xml:space="preserve">This is a compilation of the </w:t>
      </w:r>
      <w:r>
        <w:rPr>
          <w:i/>
          <w:snapToGrid w:val="0"/>
        </w:rPr>
        <w:t>Children and Community Services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2280" w:name="_Toc128368979"/>
      <w:bookmarkStart w:id="2281" w:name="_Toc140893649"/>
      <w:bookmarkStart w:id="2282" w:name="_Toc140394181"/>
      <w:r>
        <w:rPr>
          <w:snapToGrid w:val="0"/>
        </w:rPr>
        <w:t>Compilation table</w:t>
      </w:r>
      <w:bookmarkEnd w:id="2280"/>
      <w:bookmarkEnd w:id="2281"/>
      <w:bookmarkEnd w:id="228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Children and Community Services Act 2004</w:t>
            </w:r>
          </w:p>
        </w:tc>
        <w:tc>
          <w:tcPr>
            <w:tcW w:w="1134" w:type="dxa"/>
            <w:tcBorders>
              <w:top w:val="single" w:sz="8" w:space="0" w:color="auto"/>
            </w:tcBorders>
          </w:tcPr>
          <w:p>
            <w:pPr>
              <w:pStyle w:val="nTable"/>
              <w:spacing w:after="40"/>
              <w:rPr>
                <w:sz w:val="19"/>
              </w:rPr>
            </w:pPr>
            <w:r>
              <w:rPr>
                <w:sz w:val="19"/>
              </w:rPr>
              <w:t>34 of 2004</w:t>
            </w:r>
          </w:p>
        </w:tc>
        <w:tc>
          <w:tcPr>
            <w:tcW w:w="1134" w:type="dxa"/>
            <w:tcBorders>
              <w:top w:val="single" w:sz="8" w:space="0" w:color="auto"/>
            </w:tcBorders>
          </w:tcPr>
          <w:p>
            <w:pPr>
              <w:pStyle w:val="nTable"/>
              <w:spacing w:after="40"/>
              <w:rPr>
                <w:sz w:val="19"/>
              </w:rPr>
            </w:pPr>
            <w:r>
              <w:rPr>
                <w:sz w:val="19"/>
              </w:rPr>
              <w:t>20 Oct 2004</w:t>
            </w:r>
          </w:p>
        </w:tc>
        <w:tc>
          <w:tcPr>
            <w:tcW w:w="2552" w:type="dxa"/>
            <w:tcBorders>
              <w:top w:val="single" w:sz="8" w:space="0" w:color="auto"/>
            </w:tcBorders>
          </w:tcPr>
          <w:p>
            <w:pPr>
              <w:pStyle w:val="nTable"/>
              <w:rPr>
                <w:sz w:val="19"/>
              </w:rPr>
            </w:pPr>
            <w:r>
              <w:rPr>
                <w:sz w:val="19"/>
              </w:rPr>
              <w:t xml:space="preserve">s. 3 &amp; 102: 22 Jan 2005 (see s. 2 and </w:t>
            </w:r>
            <w:r>
              <w:rPr>
                <w:i/>
                <w:sz w:val="19"/>
              </w:rPr>
              <w:t>Gazette</w:t>
            </w:r>
            <w:r>
              <w:rPr>
                <w:sz w:val="19"/>
              </w:rPr>
              <w:t xml:space="preserve"> 21 Jan 2005 p. 257);</w:t>
            </w:r>
          </w:p>
          <w:p>
            <w:pPr>
              <w:pStyle w:val="nTable"/>
              <w:spacing w:after="40"/>
              <w:rPr>
                <w:sz w:val="19"/>
              </w:rPr>
            </w:pPr>
            <w:r>
              <w:rPr>
                <w:sz w:val="19"/>
              </w:rPr>
              <w:t xml:space="preserve">Act other than s. 3 &amp; 102 and Sch. 2 cl. 9(2) &amp; 25: 1 Mar 2006 (see s. 2 and </w:t>
            </w:r>
            <w:r>
              <w:rPr>
                <w:i/>
                <w:sz w:val="19"/>
              </w:rPr>
              <w:t>Gazette</w:t>
            </w:r>
            <w:r>
              <w:rPr>
                <w:sz w:val="19"/>
              </w:rPr>
              <w:t xml:space="preserve"> 14 Feb 2006 p. 695);</w:t>
            </w:r>
          </w:p>
          <w:p>
            <w:pPr>
              <w:pStyle w:val="nTable"/>
              <w:spacing w:after="40"/>
              <w:rPr>
                <w:sz w:val="19"/>
              </w:rPr>
            </w:pPr>
            <w:r>
              <w:t>Sch. 2 cl. 9(2): 11 Mar 2006 (see s. 2 and Gazette 10 Mar 2006 p. 987)</w:t>
            </w:r>
          </w:p>
        </w:tc>
      </w:tr>
      <w:tr>
        <w:tc>
          <w:tcPr>
            <w:tcW w:w="2268" w:type="dxa"/>
          </w:tcPr>
          <w:p>
            <w:pPr>
              <w:pStyle w:val="nTable"/>
              <w:spacing w:after="40"/>
              <w:rPr>
                <w:i/>
                <w:snapToGrid w:val="0"/>
                <w:sz w:val="19"/>
              </w:rPr>
            </w:pPr>
            <w:r>
              <w:rPr>
                <w:i/>
                <w:sz w:val="19"/>
              </w:rPr>
              <w:t xml:space="preserve">Working with Children (Criminal Record Checking) Act 2004 </w:t>
            </w:r>
            <w:r>
              <w:rPr>
                <w:sz w:val="19"/>
              </w:rPr>
              <w:t>Pt. 5 (s. 48-49 &amp; 53-55)</w:t>
            </w:r>
          </w:p>
        </w:tc>
        <w:tc>
          <w:tcPr>
            <w:tcW w:w="1134" w:type="dxa"/>
          </w:tcPr>
          <w:p>
            <w:pPr>
              <w:pStyle w:val="nTable"/>
              <w:spacing w:after="40"/>
              <w:rPr>
                <w:sz w:val="19"/>
              </w:rPr>
            </w:pPr>
            <w:r>
              <w:rPr>
                <w:sz w:val="19"/>
              </w:rPr>
              <w:t>65 of 2004</w:t>
            </w:r>
          </w:p>
        </w:tc>
        <w:tc>
          <w:tcPr>
            <w:tcW w:w="1134" w:type="dxa"/>
          </w:tcPr>
          <w:p>
            <w:pPr>
              <w:pStyle w:val="nTable"/>
              <w:spacing w:after="40"/>
              <w:rPr>
                <w:sz w:val="19"/>
              </w:rPr>
            </w:pPr>
            <w:r>
              <w:rPr>
                <w:sz w:val="19"/>
              </w:rPr>
              <w:t>8 Dec 2004</w:t>
            </w:r>
          </w:p>
        </w:tc>
        <w:tc>
          <w:tcPr>
            <w:tcW w:w="2552" w:type="dxa"/>
          </w:tcPr>
          <w:p>
            <w:pPr>
              <w:pStyle w:val="nTable"/>
              <w:rPr>
                <w:sz w:val="19"/>
              </w:rPr>
            </w:pPr>
            <w:r>
              <w:rPr>
                <w:sz w:val="19"/>
              </w:rPr>
              <w:t>1 Jan 2006 (see s. 2 and Gazette 30 Dec 2005 p. 6875)</w:t>
            </w:r>
          </w:p>
        </w:tc>
      </w:tr>
      <w:tr>
        <w:tc>
          <w:tcPr>
            <w:tcW w:w="2268" w:type="dxa"/>
          </w:tcPr>
          <w:p>
            <w:pPr>
              <w:pStyle w:val="nTable"/>
              <w:spacing w:after="40"/>
              <w:rPr>
                <w:i/>
                <w:snapToGrid w:val="0"/>
                <w:sz w:val="19"/>
              </w:rPr>
            </w:pPr>
            <w:r>
              <w:rPr>
                <w:i/>
                <w:color w:val="000000"/>
                <w:sz w:val="19"/>
              </w:rPr>
              <w:t xml:space="preserve">Criminal Procedure and Appeals (Consequential and Other Provisions) Act 2004 </w:t>
            </w:r>
            <w:r>
              <w:rPr>
                <w:color w:val="000000"/>
                <w:sz w:val="19"/>
              </w:rPr>
              <w:t>s. 80 &amp; 85(4)</w:t>
            </w:r>
          </w:p>
        </w:tc>
        <w:tc>
          <w:tcPr>
            <w:tcW w:w="1134" w:type="dxa"/>
          </w:tcPr>
          <w:p>
            <w:pPr>
              <w:pStyle w:val="nTable"/>
              <w:spacing w:after="40"/>
              <w:rPr>
                <w:sz w:val="19"/>
              </w:rPr>
            </w:pPr>
            <w:r>
              <w:rPr>
                <w:color w:val="000000"/>
                <w:sz w:val="19"/>
              </w:rPr>
              <w:t>84 of 2004</w:t>
            </w:r>
          </w:p>
        </w:tc>
        <w:tc>
          <w:tcPr>
            <w:tcW w:w="1134" w:type="dxa"/>
          </w:tcPr>
          <w:p>
            <w:pPr>
              <w:pStyle w:val="nTable"/>
              <w:spacing w:after="40"/>
              <w:rPr>
                <w:sz w:val="19"/>
              </w:rPr>
            </w:pPr>
            <w:r>
              <w:rPr>
                <w:color w:val="000000"/>
                <w:sz w:val="19"/>
              </w:rPr>
              <w:t>16 Dec 2004</w:t>
            </w:r>
          </w:p>
        </w:tc>
        <w:tc>
          <w:tcPr>
            <w:tcW w:w="2552" w:type="dxa"/>
          </w:tcPr>
          <w:p>
            <w:pPr>
              <w:pStyle w:val="nTable"/>
              <w:rPr>
                <w:sz w:val="19"/>
              </w:rPr>
            </w:pPr>
            <w:r>
              <w:rPr>
                <w:color w:val="000000"/>
                <w:sz w:val="19"/>
              </w:rPr>
              <w:t>2 May 2005 (see s. 2 and Gazette 31 Dec 2004 p. 7129 (correction in Gazette 7 Jan 2005 p. 53))</w:t>
            </w:r>
          </w:p>
        </w:tc>
      </w:tr>
      <w:tr>
        <w:trPr>
          <w:ins w:id="2283" w:author="svcMRProcess" w:date="2018-08-21T09:48:00Z"/>
        </w:trPr>
        <w:tc>
          <w:tcPr>
            <w:tcW w:w="2268" w:type="dxa"/>
            <w:tcBorders>
              <w:bottom w:val="single" w:sz="8" w:space="0" w:color="auto"/>
            </w:tcBorders>
          </w:tcPr>
          <w:p>
            <w:pPr>
              <w:pStyle w:val="nTable"/>
              <w:spacing w:after="40"/>
              <w:rPr>
                <w:ins w:id="2284" w:author="svcMRProcess" w:date="2018-08-21T09:48:00Z"/>
                <w:color w:val="000000"/>
                <w:sz w:val="19"/>
              </w:rPr>
            </w:pPr>
            <w:ins w:id="2285" w:author="svcMRProcess" w:date="2018-08-21T09:48:00Z">
              <w:r>
                <w:rPr>
                  <w:i/>
                  <w:color w:val="000000"/>
                  <w:sz w:val="19"/>
                </w:rPr>
                <w:t>Family Legislation Amendment Act 2006</w:t>
              </w:r>
              <w:r>
                <w:rPr>
                  <w:color w:val="000000"/>
                  <w:sz w:val="19"/>
                </w:rPr>
                <w:t xml:space="preserve"> Pt. 6 Div. 1</w:t>
              </w:r>
            </w:ins>
          </w:p>
        </w:tc>
        <w:tc>
          <w:tcPr>
            <w:tcW w:w="1134" w:type="dxa"/>
            <w:tcBorders>
              <w:bottom w:val="single" w:sz="8" w:space="0" w:color="auto"/>
            </w:tcBorders>
          </w:tcPr>
          <w:p>
            <w:pPr>
              <w:pStyle w:val="nTable"/>
              <w:spacing w:after="40"/>
              <w:rPr>
                <w:ins w:id="2286" w:author="svcMRProcess" w:date="2018-08-21T09:48:00Z"/>
                <w:color w:val="000000"/>
                <w:sz w:val="19"/>
              </w:rPr>
            </w:pPr>
            <w:ins w:id="2287" w:author="svcMRProcess" w:date="2018-08-21T09:48:00Z">
              <w:r>
                <w:rPr>
                  <w:color w:val="000000"/>
                  <w:sz w:val="19"/>
                </w:rPr>
                <w:t>35 of 2006</w:t>
              </w:r>
            </w:ins>
          </w:p>
        </w:tc>
        <w:tc>
          <w:tcPr>
            <w:tcW w:w="1134" w:type="dxa"/>
            <w:tcBorders>
              <w:bottom w:val="single" w:sz="8" w:space="0" w:color="auto"/>
            </w:tcBorders>
          </w:tcPr>
          <w:p>
            <w:pPr>
              <w:pStyle w:val="nTable"/>
              <w:spacing w:after="40"/>
              <w:rPr>
                <w:ins w:id="2288" w:author="svcMRProcess" w:date="2018-08-21T09:48:00Z"/>
                <w:color w:val="000000"/>
                <w:sz w:val="19"/>
              </w:rPr>
            </w:pPr>
            <w:ins w:id="2289" w:author="svcMRProcess" w:date="2018-08-21T09:48:00Z">
              <w:r>
                <w:rPr>
                  <w:color w:val="000000"/>
                  <w:sz w:val="19"/>
                </w:rPr>
                <w:t>4 Jul 2006</w:t>
              </w:r>
            </w:ins>
          </w:p>
        </w:tc>
        <w:tc>
          <w:tcPr>
            <w:tcW w:w="2552" w:type="dxa"/>
            <w:tcBorders>
              <w:bottom w:val="single" w:sz="8" w:space="0" w:color="auto"/>
            </w:tcBorders>
          </w:tcPr>
          <w:p>
            <w:pPr>
              <w:pStyle w:val="nTable"/>
              <w:rPr>
                <w:ins w:id="2290" w:author="svcMRProcess" w:date="2018-08-21T09:48:00Z"/>
                <w:color w:val="000000"/>
                <w:sz w:val="19"/>
              </w:rPr>
            </w:pPr>
            <w:ins w:id="2291" w:author="svcMRProcess" w:date="2018-08-21T09:48:00Z">
              <w:r>
                <w:rPr>
                  <w:color w:val="000000"/>
                  <w:sz w:val="19"/>
                </w:rPr>
                <w:t xml:space="preserve">15 Jul 2006 (see s. 2 and </w:t>
              </w:r>
              <w:r>
                <w:rPr>
                  <w:i/>
                  <w:color w:val="000000"/>
                  <w:sz w:val="19"/>
                </w:rPr>
                <w:t>Gazette</w:t>
              </w:r>
              <w:r>
                <w:rPr>
                  <w:color w:val="000000"/>
                  <w:sz w:val="19"/>
                </w:rPr>
                <w:t xml:space="preserve"> 14 Jul 2006 p. 2559)</w:t>
              </w:r>
            </w:ins>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292" w:name="_Toc128368980"/>
      <w:bookmarkStart w:id="2293" w:name="_Toc140893650"/>
      <w:bookmarkStart w:id="2294" w:name="_Toc140394182"/>
      <w:r>
        <w:rPr>
          <w:snapToGrid w:val="0"/>
        </w:rPr>
        <w:t>Provisions that have not come into operation</w:t>
      </w:r>
      <w:bookmarkEnd w:id="2292"/>
      <w:bookmarkEnd w:id="2293"/>
      <w:bookmarkEnd w:id="2294"/>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410"/>
        <w:gridCol w:w="1134"/>
        <w:gridCol w:w="1134"/>
        <w:gridCol w:w="2552"/>
      </w:tblGrid>
      <w:tr>
        <w:tc>
          <w:tcPr>
            <w:tcW w:w="2410"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410" w:type="dxa"/>
            <w:tcBorders>
              <w:top w:val="single" w:sz="4" w:space="0" w:color="auto"/>
              <w:bottom w:val="nil"/>
            </w:tcBorders>
          </w:tcPr>
          <w:p>
            <w:pPr>
              <w:pStyle w:val="nTable"/>
              <w:spacing w:after="40"/>
              <w:rPr>
                <w:snapToGrid w:val="0"/>
                <w:sz w:val="19"/>
                <w:lang w:val="en-US"/>
              </w:rPr>
            </w:pPr>
            <w:r>
              <w:rPr>
                <w:i/>
                <w:snapToGrid w:val="0"/>
                <w:sz w:val="19"/>
              </w:rPr>
              <w:t xml:space="preserve">Children and Community Services Act 2004 </w:t>
            </w:r>
            <w:r>
              <w:rPr>
                <w:snapToGrid w:val="0"/>
                <w:sz w:val="19"/>
              </w:rPr>
              <w:t>Sch. 2 cl. 25 </w:t>
            </w:r>
            <w:r>
              <w:rPr>
                <w:snapToGrid w:val="0"/>
                <w:sz w:val="19"/>
                <w:vertAlign w:val="superscript"/>
              </w:rPr>
              <w:t>2</w:t>
            </w:r>
          </w:p>
        </w:tc>
        <w:tc>
          <w:tcPr>
            <w:tcW w:w="1134" w:type="dxa"/>
            <w:tcBorders>
              <w:top w:val="single" w:sz="4" w:space="0" w:color="auto"/>
              <w:bottom w:val="nil"/>
            </w:tcBorders>
          </w:tcPr>
          <w:p>
            <w:pPr>
              <w:pStyle w:val="nTable"/>
              <w:spacing w:after="40"/>
              <w:rPr>
                <w:snapToGrid w:val="0"/>
                <w:sz w:val="19"/>
                <w:lang w:val="en-US"/>
              </w:rPr>
            </w:pPr>
            <w:r>
              <w:rPr>
                <w:snapToGrid w:val="0"/>
                <w:sz w:val="19"/>
                <w:lang w:val="en-US"/>
              </w:rPr>
              <w:t>34 of 2004</w:t>
            </w:r>
          </w:p>
        </w:tc>
        <w:tc>
          <w:tcPr>
            <w:tcW w:w="1134" w:type="dxa"/>
            <w:tcBorders>
              <w:top w:val="single" w:sz="4" w:space="0" w:color="auto"/>
              <w:bottom w:val="nil"/>
            </w:tcBorders>
          </w:tcPr>
          <w:p>
            <w:pPr>
              <w:pStyle w:val="nTable"/>
              <w:spacing w:after="40"/>
              <w:rPr>
                <w:snapToGrid w:val="0"/>
                <w:sz w:val="19"/>
                <w:lang w:val="en-US"/>
              </w:rPr>
            </w:pPr>
            <w:r>
              <w:rPr>
                <w:sz w:val="19"/>
              </w:rPr>
              <w:t>20 Oct 2004</w:t>
            </w:r>
          </w:p>
        </w:tc>
        <w:tc>
          <w:tcPr>
            <w:tcW w:w="2552" w:type="dxa"/>
            <w:tcBorders>
              <w:top w:val="single" w:sz="4" w:space="0" w:color="auto"/>
              <w:bottom w:val="nil"/>
            </w:tcBorders>
          </w:tcPr>
          <w:p>
            <w:pPr>
              <w:pStyle w:val="nTable"/>
              <w:spacing w:after="40"/>
              <w:rPr>
                <w:snapToGrid w:val="0"/>
                <w:sz w:val="19"/>
                <w:lang w:val="en-US"/>
              </w:rPr>
            </w:pPr>
            <w:r>
              <w:rPr>
                <w:color w:val="000000"/>
              </w:rPr>
              <w:t>To be proclaimed (see s. 2)</w:t>
            </w:r>
          </w:p>
        </w:tc>
      </w:tr>
      <w:tr>
        <w:tc>
          <w:tcPr>
            <w:tcW w:w="2410" w:type="dxa"/>
            <w:tcBorders>
              <w:top w:val="nil"/>
              <w:bottom w:val="single" w:sz="4" w:space="0" w:color="auto"/>
            </w:tcBorders>
          </w:tcPr>
          <w:p>
            <w:pPr>
              <w:pStyle w:val="nTable"/>
              <w:spacing w:after="40"/>
              <w:rPr>
                <w:snapToGrid w:val="0"/>
                <w:sz w:val="19"/>
              </w:rPr>
            </w:pPr>
            <w:r>
              <w:rPr>
                <w:i/>
                <w:snapToGrid w:val="0"/>
                <w:sz w:val="19"/>
              </w:rPr>
              <w:t>Working with Children (Criminal Record Checking) Act 2004</w:t>
            </w:r>
            <w:r>
              <w:rPr>
                <w:snapToGrid w:val="0"/>
                <w:sz w:val="19"/>
              </w:rPr>
              <w:t xml:space="preserve"> s. 50</w:t>
            </w:r>
            <w:r>
              <w:rPr>
                <w:snapToGrid w:val="0"/>
                <w:sz w:val="19"/>
              </w:rPr>
              <w:noBreakHyphen/>
              <w:t>52 </w:t>
            </w:r>
            <w:r>
              <w:rPr>
                <w:snapToGrid w:val="0"/>
                <w:sz w:val="19"/>
                <w:vertAlign w:val="superscript"/>
              </w:rPr>
              <w:t>3</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65 of 2004</w:t>
            </w:r>
          </w:p>
        </w:tc>
        <w:tc>
          <w:tcPr>
            <w:tcW w:w="1134" w:type="dxa"/>
            <w:tcBorders>
              <w:top w:val="nil"/>
              <w:bottom w:val="single" w:sz="4" w:space="0" w:color="auto"/>
            </w:tcBorders>
          </w:tcPr>
          <w:p>
            <w:pPr>
              <w:pStyle w:val="nTable"/>
              <w:spacing w:after="40"/>
              <w:rPr>
                <w:sz w:val="19"/>
              </w:rPr>
            </w:pPr>
            <w:r>
              <w:rPr>
                <w:sz w:val="19"/>
              </w:rPr>
              <w:t>8 Dec 2004</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28" w:type="dxa"/>
            <w:right w:w="28" w:type="dxa"/>
          </w:tblCellMar>
        </w:tblPrEx>
        <w:trPr>
          <w:cantSplit/>
          <w:del w:id="2295" w:author="svcMRProcess" w:date="2018-08-21T09:48:00Z"/>
        </w:trPr>
        <w:tc>
          <w:tcPr>
            <w:tcW w:w="2410" w:type="dxa"/>
            <w:tcBorders>
              <w:bottom w:val="single" w:sz="4" w:space="0" w:color="auto"/>
            </w:tcBorders>
          </w:tcPr>
          <w:p>
            <w:pPr>
              <w:pStyle w:val="nTable"/>
              <w:spacing w:after="40"/>
              <w:ind w:right="113"/>
              <w:rPr>
                <w:del w:id="2296" w:author="svcMRProcess" w:date="2018-08-21T09:48:00Z"/>
                <w:iCs/>
                <w:snapToGrid w:val="0"/>
                <w:sz w:val="19"/>
                <w:vertAlign w:val="superscript"/>
              </w:rPr>
            </w:pPr>
            <w:del w:id="2297" w:author="svcMRProcess" w:date="2018-08-21T09:48:00Z">
              <w:r>
                <w:rPr>
                  <w:i/>
                  <w:snapToGrid w:val="0"/>
                  <w:sz w:val="19"/>
                </w:rPr>
                <w:delText xml:space="preserve">Family Legislation Amendment Act 2006 </w:delText>
              </w:r>
              <w:r>
                <w:rPr>
                  <w:iCs/>
                  <w:snapToGrid w:val="0"/>
                  <w:sz w:val="19"/>
                </w:rPr>
                <w:delText>Pt. 6 Div. 1 </w:delText>
              </w:r>
              <w:r>
                <w:rPr>
                  <w:iCs/>
                  <w:snapToGrid w:val="0"/>
                  <w:sz w:val="19"/>
                  <w:vertAlign w:val="superscript"/>
                </w:rPr>
                <w:delText>4</w:delText>
              </w:r>
            </w:del>
          </w:p>
        </w:tc>
        <w:tc>
          <w:tcPr>
            <w:tcW w:w="1134" w:type="dxa"/>
            <w:tcBorders>
              <w:bottom w:val="single" w:sz="4" w:space="0" w:color="auto"/>
            </w:tcBorders>
          </w:tcPr>
          <w:p>
            <w:pPr>
              <w:pStyle w:val="nTable"/>
              <w:keepNext/>
              <w:spacing w:after="40"/>
              <w:rPr>
                <w:del w:id="2298" w:author="svcMRProcess" w:date="2018-08-21T09:48:00Z"/>
                <w:sz w:val="19"/>
              </w:rPr>
            </w:pPr>
            <w:del w:id="2299" w:author="svcMRProcess" w:date="2018-08-21T09:48:00Z">
              <w:r>
                <w:rPr>
                  <w:sz w:val="19"/>
                </w:rPr>
                <w:delText>35 of 2006</w:delText>
              </w:r>
            </w:del>
          </w:p>
        </w:tc>
        <w:tc>
          <w:tcPr>
            <w:tcW w:w="1134" w:type="dxa"/>
            <w:tcBorders>
              <w:bottom w:val="single" w:sz="4" w:space="0" w:color="auto"/>
            </w:tcBorders>
          </w:tcPr>
          <w:p>
            <w:pPr>
              <w:pStyle w:val="nTable"/>
              <w:keepNext/>
              <w:spacing w:after="40"/>
              <w:rPr>
                <w:del w:id="2300" w:author="svcMRProcess" w:date="2018-08-21T09:48:00Z"/>
                <w:sz w:val="19"/>
              </w:rPr>
            </w:pPr>
            <w:del w:id="2301" w:author="svcMRProcess" w:date="2018-08-21T09:48:00Z">
              <w:r>
                <w:rPr>
                  <w:sz w:val="19"/>
                </w:rPr>
                <w:delText>4 Jul 200sw6</w:delText>
              </w:r>
            </w:del>
          </w:p>
        </w:tc>
        <w:tc>
          <w:tcPr>
            <w:tcW w:w="2552" w:type="dxa"/>
            <w:tcBorders>
              <w:bottom w:val="single" w:sz="4" w:space="0" w:color="auto"/>
            </w:tcBorders>
          </w:tcPr>
          <w:p>
            <w:pPr>
              <w:pStyle w:val="nTable"/>
              <w:keepNext/>
              <w:spacing w:after="40"/>
              <w:rPr>
                <w:del w:id="2302" w:author="svcMRProcess" w:date="2018-08-21T09:48:00Z"/>
                <w:sz w:val="19"/>
              </w:rPr>
            </w:pPr>
            <w:del w:id="2303" w:author="svcMRProcess" w:date="2018-08-21T09:48:00Z">
              <w:r>
                <w:rPr>
                  <w:sz w:val="19"/>
                </w:rPr>
                <w:delText>To be proclaimed (see s. 2)</w:delText>
              </w:r>
            </w:del>
          </w:p>
        </w:tc>
      </w:tr>
    </w:tbl>
    <w:p>
      <w:pPr>
        <w:pStyle w:val="nSubsection"/>
        <w:keepNext/>
        <w:keepLines/>
        <w:rPr>
          <w:snapToGrid w:val="0"/>
        </w:rPr>
      </w:pPr>
      <w:r>
        <w:rPr>
          <w:vertAlign w:val="superscript"/>
        </w:rPr>
        <w:t>2</w:t>
      </w:r>
      <w:r>
        <w:tab/>
      </w:r>
      <w:r>
        <w:rPr>
          <w:snapToGrid w:val="0"/>
        </w:rPr>
        <w:t xml:space="preserve">On the date as at which this compilation was prepared, the </w:t>
      </w:r>
      <w:r>
        <w:rPr>
          <w:i/>
          <w:snapToGrid w:val="0"/>
        </w:rPr>
        <w:t>Children and Community Services Act 2004</w:t>
      </w:r>
      <w:r>
        <w:rPr>
          <w:snapToGrid w:val="0"/>
        </w:rPr>
        <w:t xml:space="preserve"> s. 251 which gives effect to </w:t>
      </w:r>
      <w:r>
        <w:rPr>
          <w:snapToGrid w:val="0"/>
          <w:sz w:val="19"/>
        </w:rPr>
        <w:t xml:space="preserve">Sch. 2 </w:t>
      </w:r>
      <w:r>
        <w:rPr>
          <w:snapToGrid w:val="0"/>
          <w:lang w:val="en-US"/>
        </w:rPr>
        <w:t>had</w:t>
      </w:r>
      <w:r>
        <w:rPr>
          <w:snapToGrid w:val="0"/>
        </w:rPr>
        <w:t xml:space="preserve"> not come into operation.  It reads as follows:</w:t>
      </w:r>
    </w:p>
    <w:p>
      <w:pPr>
        <w:pStyle w:val="MiscOpen"/>
        <w:rPr>
          <w:snapToGrid w:val="0"/>
        </w:rPr>
      </w:pPr>
      <w:r>
        <w:rPr>
          <w:snapToGrid w:val="0"/>
        </w:rPr>
        <w:t>“</w:t>
      </w:r>
    </w:p>
    <w:p>
      <w:pPr>
        <w:pStyle w:val="nzHeading5"/>
        <w:rPr>
          <w:snapToGrid w:val="0"/>
        </w:rPr>
      </w:pPr>
      <w:r>
        <w:rPr>
          <w:snapToGrid w:val="0"/>
        </w:rPr>
        <w:t>251.</w:t>
      </w:r>
      <w:r>
        <w:rPr>
          <w:snapToGrid w:val="0"/>
        </w:rPr>
        <w:tab/>
        <w:t>Other Acts amended</w:t>
      </w:r>
    </w:p>
    <w:p>
      <w:pPr>
        <w:pStyle w:val="nzSubsection"/>
        <w:rPr>
          <w:snapToGrid w:val="0"/>
        </w:rPr>
      </w:pPr>
      <w:r>
        <w:rPr>
          <w:snapToGrid w:val="0"/>
        </w:rPr>
        <w:tab/>
      </w:r>
      <w:r>
        <w:rPr>
          <w:snapToGrid w:val="0"/>
        </w:rPr>
        <w:tab/>
        <w:t>Other Acts are amended as set out in Schedule 2.</w:t>
      </w:r>
    </w:p>
    <w:p>
      <w:pPr>
        <w:pStyle w:val="MiscClose"/>
        <w:rPr>
          <w:snapToGrid w:val="0"/>
        </w:rPr>
      </w:pPr>
      <w:r>
        <w:rPr>
          <w:snapToGrid w:val="0"/>
        </w:rPr>
        <w:t>”.</w:t>
      </w:r>
    </w:p>
    <w:p>
      <w:pPr>
        <w:pStyle w:val="nSubsection"/>
        <w:rPr>
          <w:snapToGrid w:val="0"/>
          <w:sz w:val="19"/>
        </w:rPr>
      </w:pPr>
      <w:r>
        <w:rPr>
          <w:snapToGrid w:val="0"/>
        </w:rPr>
        <w:tab/>
      </w:r>
      <w:r>
        <w:rPr>
          <w:snapToGrid w:val="0"/>
          <w:sz w:val="19"/>
        </w:rPr>
        <w:t>Schedule 2 cl. 25 read as follows:</w:t>
      </w:r>
    </w:p>
    <w:p>
      <w:pPr>
        <w:pStyle w:val="MiscOpen"/>
        <w:rPr>
          <w:snapToGrid w:val="0"/>
        </w:rPr>
      </w:pPr>
      <w:r>
        <w:rPr>
          <w:snapToGrid w:val="0"/>
        </w:rPr>
        <w:t>“</w:t>
      </w:r>
    </w:p>
    <w:p>
      <w:pPr>
        <w:pStyle w:val="nzHeading2"/>
      </w:pPr>
      <w:r>
        <w:rPr>
          <w:rStyle w:val="CharSchNo"/>
        </w:rPr>
        <w:t>Schedule 2</w:t>
      </w:r>
      <w:r>
        <w:t> — </w:t>
      </w:r>
      <w:r>
        <w:rPr>
          <w:rStyle w:val="CharSchText"/>
        </w:rPr>
        <w:t>Amendments to other Acts</w:t>
      </w:r>
    </w:p>
    <w:p>
      <w:pPr>
        <w:pStyle w:val="nzMiscellaneousBody"/>
        <w:jc w:val="right"/>
      </w:pPr>
      <w:r>
        <w:t>[s. 251]</w:t>
      </w:r>
    </w:p>
    <w:p>
      <w:pPr>
        <w:pStyle w:val="nzHeading5"/>
      </w:pPr>
      <w:r>
        <w:t>25.</w:t>
      </w:r>
      <w:r>
        <w:tab/>
        <w:t>Spent Convictions Act 1988 amended</w:t>
      </w:r>
    </w:p>
    <w:p>
      <w:pPr>
        <w:pStyle w:val="nzSubsection"/>
      </w:pPr>
      <w:r>
        <w:tab/>
        <w:t>(1)</w:t>
      </w:r>
      <w:r>
        <w:tab/>
        <w:t xml:space="preserve">The amendments in this clause are to the </w:t>
      </w:r>
      <w:r>
        <w:rPr>
          <w:i/>
        </w:rPr>
        <w:t>Spent Convictions Act 1988</w:t>
      </w:r>
      <w:r>
        <w:t>.</w:t>
      </w:r>
    </w:p>
    <w:p>
      <w:pPr>
        <w:pStyle w:val="nzSubsection"/>
      </w:pPr>
      <w:r>
        <w:tab/>
        <w:t>(2)</w:t>
      </w:r>
      <w:r>
        <w:tab/>
        <w:t>Schedule 3 is amended in the Table to clause 2(1) as follows:</w:t>
      </w:r>
    </w:p>
    <w:p>
      <w:pPr>
        <w:pStyle w:val="nzIndenta"/>
      </w:pPr>
      <w:r>
        <w:tab/>
        <w:t>(a)</w:t>
      </w:r>
      <w:r>
        <w:tab/>
        <w:t xml:space="preserve">in item 3 by deleting “or permit to provide a child care service under the </w:t>
      </w:r>
      <w:r>
        <w:rPr>
          <w:i/>
        </w:rPr>
        <w:t>Community Services Act 1972</w:t>
      </w:r>
      <w:r>
        <w:t xml:space="preserve">.” and inserting instead — </w:t>
      </w:r>
    </w:p>
    <w:p>
      <w:pPr>
        <w:pStyle w:val="MiscOpen"/>
        <w:ind w:left="1620"/>
      </w:pPr>
      <w:r>
        <w:t xml:space="preserve">“    </w:t>
      </w:r>
    </w:p>
    <w:p>
      <w:pPr>
        <w:pStyle w:val="nzIndenta"/>
      </w:pPr>
      <w:r>
        <w:tab/>
      </w:r>
      <w:r>
        <w:tab/>
        <w:t xml:space="preserve">to provide a child care service under Part 8 of the </w:t>
      </w:r>
      <w:r>
        <w:rPr>
          <w:i/>
        </w:rPr>
        <w:t>Children and Community Services Act 2004</w:t>
      </w:r>
      <w:r>
        <w:t>.</w:t>
      </w:r>
    </w:p>
    <w:p>
      <w:pPr>
        <w:pStyle w:val="MiscClose"/>
        <w:ind w:right="292"/>
      </w:pPr>
      <w:r>
        <w:t xml:space="preserve">    ”;</w:t>
      </w:r>
    </w:p>
    <w:p>
      <w:pPr>
        <w:pStyle w:val="nzIndenta"/>
      </w:pPr>
      <w:r>
        <w:tab/>
        <w:t>(b)</w:t>
      </w:r>
      <w:r>
        <w:tab/>
        <w:t xml:space="preserve">in item 5 by deleting “for licensing as a foster parent under the </w:t>
      </w:r>
      <w:r>
        <w:rPr>
          <w:i/>
        </w:rPr>
        <w:t>Child Welfare Act 1947.</w:t>
      </w:r>
      <w:r>
        <w:t>”</w:t>
      </w:r>
      <w:r>
        <w:rPr>
          <w:i/>
        </w:rPr>
        <w:t xml:space="preserve"> </w:t>
      </w:r>
      <w:r>
        <w:t xml:space="preserve">and inserting instead — </w:t>
      </w:r>
    </w:p>
    <w:p>
      <w:pPr>
        <w:pStyle w:val="MiscOpen"/>
        <w:ind w:left="1620"/>
      </w:pPr>
      <w:r>
        <w:t xml:space="preserve">“    </w:t>
      </w:r>
    </w:p>
    <w:p>
      <w:pPr>
        <w:pStyle w:val="nzIndenta"/>
      </w:pPr>
      <w:r>
        <w:tab/>
      </w:r>
      <w:r>
        <w:tab/>
        <w:t xml:space="preserve">for approval in relation to the placement of a child under the </w:t>
      </w:r>
      <w:r>
        <w:rPr>
          <w:i/>
        </w:rPr>
        <w:t>Children and Community Services Act 2004</w:t>
      </w:r>
      <w:r>
        <w:t>.</w:t>
      </w:r>
    </w:p>
    <w:p>
      <w:pPr>
        <w:pStyle w:val="MiscClose"/>
        <w:ind w:right="292"/>
      </w:pPr>
      <w:r>
        <w:t xml:space="preserve">    ”.</w:t>
      </w:r>
    </w:p>
    <w:p>
      <w:pPr>
        <w:pStyle w:val="MiscClose"/>
      </w:pPr>
      <w:r>
        <w:t xml:space="preserve">    ”.</w:t>
      </w:r>
    </w:p>
    <w:p>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sz w:val="19"/>
        </w:rPr>
        <w:t>Working with Children (Criminal Record Checking) Act 2004</w:t>
      </w:r>
      <w:r>
        <w:rPr>
          <w:noProof/>
          <w:snapToGrid w:val="0"/>
          <w:sz w:val="19"/>
        </w:rPr>
        <w:t xml:space="preserve"> s. 50-52 </w:t>
      </w:r>
      <w:r>
        <w:rPr>
          <w:snapToGrid w:val="0"/>
        </w:rPr>
        <w:t>had not come into operation.  They read as follows:</w:t>
      </w:r>
    </w:p>
    <w:p>
      <w:pPr>
        <w:pStyle w:val="MiscOpen"/>
        <w:rPr>
          <w:snapToGrid w:val="0"/>
        </w:rPr>
      </w:pPr>
      <w:r>
        <w:rPr>
          <w:snapToGrid w:val="0"/>
        </w:rPr>
        <w:t>“</w:t>
      </w:r>
    </w:p>
    <w:p>
      <w:pPr>
        <w:pStyle w:val="nzHeading5"/>
      </w:pPr>
      <w:bookmarkStart w:id="2304" w:name="_Toc86595789"/>
      <w:r>
        <w:rPr>
          <w:rStyle w:val="CharSectno"/>
        </w:rPr>
        <w:t>50</w:t>
      </w:r>
      <w:r>
        <w:t>.</w:t>
      </w:r>
      <w:r>
        <w:tab/>
        <w:t>Section 207 amended</w:t>
      </w:r>
      <w:bookmarkEnd w:id="2304"/>
    </w:p>
    <w:p>
      <w:pPr>
        <w:pStyle w:val="nzSubsection"/>
      </w:pPr>
      <w:r>
        <w:tab/>
      </w:r>
      <w:r>
        <w:tab/>
        <w:t xml:space="preserve">Before section 207(2)(a) the following paragraph is inserted — </w:t>
      </w:r>
    </w:p>
    <w:p>
      <w:pPr>
        <w:pStyle w:val="MiscOpen"/>
        <w:ind w:left="1340"/>
      </w:pPr>
      <w:r>
        <w:t xml:space="preserve">“    </w:t>
      </w:r>
    </w:p>
    <w:p>
      <w:pPr>
        <w:pStyle w:val="nzIndenta"/>
      </w:pPr>
      <w:r>
        <w:tab/>
        <w:t>(aa)</w:t>
      </w:r>
      <w:r>
        <w:tab/>
        <w:t>has a current assessment notice;</w:t>
      </w:r>
    </w:p>
    <w:p>
      <w:pPr>
        <w:pStyle w:val="MiscClose"/>
        <w:ind w:right="292"/>
      </w:pPr>
      <w:r>
        <w:t xml:space="preserve">    ”.</w:t>
      </w:r>
    </w:p>
    <w:p>
      <w:pPr>
        <w:pStyle w:val="nzHeading5"/>
      </w:pPr>
      <w:bookmarkStart w:id="2305" w:name="_Toc86595790"/>
      <w:r>
        <w:rPr>
          <w:rStyle w:val="CharSectno"/>
        </w:rPr>
        <w:t>51</w:t>
      </w:r>
      <w:r>
        <w:t>.</w:t>
      </w:r>
      <w:r>
        <w:tab/>
        <w:t>Section 208 amended</w:t>
      </w:r>
      <w:bookmarkEnd w:id="2305"/>
    </w:p>
    <w:p>
      <w:pPr>
        <w:pStyle w:val="nzSubsection"/>
      </w:pPr>
      <w:r>
        <w:tab/>
      </w:r>
      <w:r>
        <w:tab/>
        <w:t xml:space="preserve">After section 208(2)(b) the following paragraph is inserted — </w:t>
      </w:r>
    </w:p>
    <w:p>
      <w:pPr>
        <w:pStyle w:val="MiscOpen"/>
        <w:ind w:left="1340"/>
      </w:pPr>
      <w:r>
        <w:t xml:space="preserve">“    </w:t>
      </w:r>
    </w:p>
    <w:p>
      <w:pPr>
        <w:pStyle w:val="nzIndenta"/>
      </w:pPr>
      <w:r>
        <w:tab/>
        <w:t>(ba)</w:t>
      </w:r>
      <w:r>
        <w:tab/>
        <w:t>the nominated supervising officer and each managerial officer have a current assessment notice;</w:t>
      </w:r>
    </w:p>
    <w:p>
      <w:pPr>
        <w:pStyle w:val="MiscClose"/>
        <w:ind w:right="292"/>
      </w:pPr>
      <w:r>
        <w:t xml:space="preserve">    ”.</w:t>
      </w:r>
    </w:p>
    <w:p>
      <w:pPr>
        <w:pStyle w:val="nzHeading5"/>
      </w:pPr>
      <w:bookmarkStart w:id="2306" w:name="_Toc86595791"/>
      <w:r>
        <w:rPr>
          <w:rStyle w:val="CharSectno"/>
        </w:rPr>
        <w:t>52</w:t>
      </w:r>
      <w:r>
        <w:t>.</w:t>
      </w:r>
      <w:r>
        <w:tab/>
        <w:t>Section 209 amended</w:t>
      </w:r>
      <w:bookmarkEnd w:id="2306"/>
    </w:p>
    <w:p>
      <w:pPr>
        <w:pStyle w:val="nzSubsection"/>
      </w:pPr>
      <w:r>
        <w:tab/>
      </w:r>
      <w:r>
        <w:tab/>
        <w:t xml:space="preserve">After section 209(2)(b) the following paragraph is inserted — </w:t>
      </w:r>
    </w:p>
    <w:p>
      <w:pPr>
        <w:pStyle w:val="MiscOpen"/>
        <w:ind w:left="1340"/>
      </w:pPr>
      <w:r>
        <w:t xml:space="preserve">“    </w:t>
      </w:r>
    </w:p>
    <w:p>
      <w:pPr>
        <w:pStyle w:val="nzIndenta"/>
      </w:pPr>
      <w:r>
        <w:tab/>
        <w:t>(ba)</w:t>
      </w:r>
      <w:r>
        <w:tab/>
        <w:t>the nominated supervising officer has a current assessment notice;</w:t>
      </w:r>
    </w:p>
    <w:p>
      <w:pPr>
        <w:pStyle w:val="MiscClose"/>
        <w:ind w:right="292"/>
      </w:pPr>
      <w:r>
        <w:t xml:space="preserve">    ”.</w:t>
      </w:r>
    </w:p>
    <w:p>
      <w:pPr>
        <w:pStyle w:val="MiscClose"/>
      </w:pPr>
      <w:r>
        <w:t>”.</w:t>
      </w:r>
    </w:p>
    <w:p>
      <w:pPr>
        <w:pStyle w:val="nSubsection"/>
        <w:spacing w:before="200"/>
        <w:rPr>
          <w:del w:id="2307" w:author="svcMRProcess" w:date="2018-08-21T09:48:00Z"/>
          <w:snapToGrid w:val="0"/>
        </w:rPr>
      </w:pPr>
      <w:del w:id="2308" w:author="svcMRProcess" w:date="2018-08-21T09:48:00Z">
        <w:r>
          <w:rPr>
            <w:snapToGrid w:val="0"/>
            <w:vertAlign w:val="superscript"/>
          </w:rPr>
          <w:delText>4</w:delText>
        </w:r>
        <w:r>
          <w:rPr>
            <w:snapToGrid w:val="0"/>
          </w:rPr>
          <w:tab/>
          <w:delText xml:space="preserve">On the date as at which this compilation was prepared, the </w:delText>
        </w:r>
        <w:r>
          <w:rPr>
            <w:i/>
            <w:iCs/>
            <w:snapToGrid w:val="0"/>
          </w:rPr>
          <w:delText>Family Legislation Amendment Act 2006</w:delText>
        </w:r>
        <w:r>
          <w:rPr>
            <w:snapToGrid w:val="0"/>
          </w:rPr>
          <w:delText xml:space="preserve"> Pt. 6 Div. 1 had not come into operation.  It reads as follows:</w:delText>
        </w:r>
      </w:del>
    </w:p>
    <w:p>
      <w:pPr>
        <w:pStyle w:val="MiscOpen"/>
        <w:spacing w:before="60"/>
        <w:rPr>
          <w:del w:id="2309" w:author="svcMRProcess" w:date="2018-08-21T09:48:00Z"/>
        </w:rPr>
      </w:pPr>
      <w:del w:id="2310" w:author="svcMRProcess" w:date="2018-08-21T09:48:00Z">
        <w:r>
          <w:delText>“</w:delText>
        </w:r>
      </w:del>
    </w:p>
    <w:p>
      <w:pPr>
        <w:pStyle w:val="nzHeading2"/>
        <w:rPr>
          <w:del w:id="2311" w:author="svcMRProcess" w:date="2018-08-21T09:48:00Z"/>
        </w:rPr>
      </w:pPr>
      <w:bookmarkStart w:id="2312" w:name="_Toc135463825"/>
      <w:bookmarkStart w:id="2313" w:name="_Toc135482980"/>
      <w:bookmarkStart w:id="2314" w:name="_Toc135496273"/>
      <w:bookmarkStart w:id="2315" w:name="_Toc135496870"/>
      <w:bookmarkStart w:id="2316" w:name="_Toc135497334"/>
      <w:bookmarkStart w:id="2317" w:name="_Toc135497798"/>
      <w:bookmarkStart w:id="2318" w:name="_Toc135498262"/>
      <w:bookmarkStart w:id="2319" w:name="_Toc135544480"/>
      <w:bookmarkStart w:id="2320" w:name="_Toc135565598"/>
      <w:bookmarkStart w:id="2321" w:name="_Toc137995257"/>
      <w:bookmarkStart w:id="2322" w:name="_Toc137995720"/>
      <w:bookmarkStart w:id="2323" w:name="_Toc139370938"/>
      <w:bookmarkStart w:id="2324" w:name="_Toc139792802"/>
      <w:bookmarkStart w:id="2325" w:name="_Toc133911987"/>
      <w:bookmarkStart w:id="2326" w:name="_Toc134594231"/>
      <w:bookmarkStart w:id="2327" w:name="_Toc134594698"/>
      <w:bookmarkStart w:id="2328" w:name="_Toc134595802"/>
      <w:bookmarkStart w:id="2329" w:name="_Toc134599841"/>
      <w:bookmarkStart w:id="2330" w:name="_Toc134600313"/>
      <w:bookmarkStart w:id="2331" w:name="_Toc134854650"/>
      <w:bookmarkStart w:id="2332" w:name="_Toc134858770"/>
      <w:bookmarkStart w:id="2333" w:name="_Toc135284951"/>
      <w:bookmarkStart w:id="2334" w:name="_Toc135285541"/>
      <w:bookmarkStart w:id="2335" w:name="_Toc135446469"/>
      <w:bookmarkStart w:id="2336" w:name="_Toc135447185"/>
      <w:del w:id="2337" w:author="svcMRProcess" w:date="2018-08-21T09:48:00Z">
        <w:r>
          <w:rPr>
            <w:rStyle w:val="CharPartNo"/>
          </w:rPr>
          <w:delText>Part 6</w:delText>
        </w:r>
        <w:r>
          <w:delText> — </w:delText>
        </w:r>
        <w:r>
          <w:rPr>
            <w:rStyle w:val="CharPartText"/>
          </w:rPr>
          <w:delText>Consequential amendments to other Acts</w:delText>
        </w:r>
        <w:bookmarkEnd w:id="2312"/>
        <w:bookmarkEnd w:id="2313"/>
        <w:bookmarkEnd w:id="2314"/>
        <w:bookmarkEnd w:id="2315"/>
        <w:bookmarkEnd w:id="2316"/>
        <w:bookmarkEnd w:id="2317"/>
        <w:bookmarkEnd w:id="2318"/>
        <w:bookmarkEnd w:id="2319"/>
        <w:bookmarkEnd w:id="2320"/>
        <w:bookmarkEnd w:id="2321"/>
        <w:bookmarkEnd w:id="2322"/>
        <w:bookmarkEnd w:id="2323"/>
        <w:bookmarkEnd w:id="2324"/>
      </w:del>
    </w:p>
    <w:p>
      <w:pPr>
        <w:pStyle w:val="nzHeading3"/>
        <w:rPr>
          <w:del w:id="2338" w:author="svcMRProcess" w:date="2018-08-21T09:48:00Z"/>
        </w:rPr>
      </w:pPr>
      <w:bookmarkStart w:id="2339" w:name="_Toc135463826"/>
      <w:bookmarkStart w:id="2340" w:name="_Toc135482981"/>
      <w:bookmarkStart w:id="2341" w:name="_Toc135496274"/>
      <w:bookmarkStart w:id="2342" w:name="_Toc135496871"/>
      <w:bookmarkStart w:id="2343" w:name="_Toc135497335"/>
      <w:bookmarkStart w:id="2344" w:name="_Toc135497799"/>
      <w:bookmarkStart w:id="2345" w:name="_Toc135498263"/>
      <w:bookmarkStart w:id="2346" w:name="_Toc135544481"/>
      <w:bookmarkStart w:id="2347" w:name="_Toc135565599"/>
      <w:bookmarkStart w:id="2348" w:name="_Toc137995258"/>
      <w:bookmarkStart w:id="2349" w:name="_Toc137995721"/>
      <w:bookmarkStart w:id="2350" w:name="_Toc139370939"/>
      <w:bookmarkStart w:id="2351" w:name="_Toc139792803"/>
      <w:bookmarkStart w:id="2352" w:name="_Toc133911988"/>
      <w:bookmarkStart w:id="2353" w:name="_Toc134594232"/>
      <w:bookmarkStart w:id="2354" w:name="_Toc134594699"/>
      <w:bookmarkStart w:id="2355" w:name="_Toc134595803"/>
      <w:bookmarkStart w:id="2356" w:name="_Toc134599842"/>
      <w:bookmarkStart w:id="2357" w:name="_Toc134600314"/>
      <w:bookmarkStart w:id="2358" w:name="_Toc134854651"/>
      <w:bookmarkStart w:id="2359" w:name="_Toc134858771"/>
      <w:bookmarkStart w:id="2360" w:name="_Toc135284952"/>
      <w:bookmarkStart w:id="2361" w:name="_Toc135285542"/>
      <w:bookmarkStart w:id="2362" w:name="_Toc135446470"/>
      <w:bookmarkStart w:id="2363" w:name="_Toc135447186"/>
      <w:bookmarkEnd w:id="2325"/>
      <w:bookmarkEnd w:id="2326"/>
      <w:bookmarkEnd w:id="2327"/>
      <w:bookmarkEnd w:id="2328"/>
      <w:bookmarkEnd w:id="2329"/>
      <w:bookmarkEnd w:id="2330"/>
      <w:bookmarkEnd w:id="2331"/>
      <w:bookmarkEnd w:id="2332"/>
      <w:bookmarkEnd w:id="2333"/>
      <w:bookmarkEnd w:id="2334"/>
      <w:bookmarkEnd w:id="2335"/>
      <w:bookmarkEnd w:id="2336"/>
      <w:del w:id="2364" w:author="svcMRProcess" w:date="2018-08-21T09:48:00Z">
        <w:r>
          <w:rPr>
            <w:rStyle w:val="CharDivNo"/>
          </w:rPr>
          <w:delText>Division 1</w:delText>
        </w:r>
        <w:r>
          <w:delText> — </w:delText>
        </w:r>
        <w:r>
          <w:rPr>
            <w:rStyle w:val="CharDivText"/>
            <w:i/>
            <w:iCs/>
          </w:rPr>
          <w:delText>Children and Community Services Act 2004</w:delText>
        </w:r>
        <w:r>
          <w:rPr>
            <w:rStyle w:val="CharDivText"/>
          </w:rPr>
          <w:delText> amended</w:delText>
        </w:r>
        <w:bookmarkEnd w:id="2339"/>
        <w:bookmarkEnd w:id="2340"/>
        <w:bookmarkEnd w:id="2341"/>
        <w:bookmarkEnd w:id="2342"/>
        <w:bookmarkEnd w:id="2343"/>
        <w:bookmarkEnd w:id="2344"/>
        <w:bookmarkEnd w:id="2345"/>
        <w:bookmarkEnd w:id="2346"/>
        <w:bookmarkEnd w:id="2347"/>
        <w:bookmarkEnd w:id="2348"/>
        <w:bookmarkEnd w:id="2349"/>
        <w:bookmarkEnd w:id="2350"/>
        <w:bookmarkEnd w:id="2351"/>
      </w:del>
    </w:p>
    <w:p>
      <w:pPr>
        <w:pStyle w:val="nzHeading5"/>
        <w:rPr>
          <w:del w:id="2365" w:author="svcMRProcess" w:date="2018-08-21T09:48:00Z"/>
        </w:rPr>
      </w:pPr>
      <w:bookmarkStart w:id="2366" w:name="_Toc133911989"/>
      <w:bookmarkStart w:id="2367" w:name="_Toc139370940"/>
      <w:bookmarkStart w:id="2368" w:name="_Toc139792804"/>
      <w:bookmarkEnd w:id="2352"/>
      <w:bookmarkEnd w:id="2353"/>
      <w:bookmarkEnd w:id="2354"/>
      <w:bookmarkEnd w:id="2355"/>
      <w:bookmarkEnd w:id="2356"/>
      <w:bookmarkEnd w:id="2357"/>
      <w:bookmarkEnd w:id="2358"/>
      <w:bookmarkEnd w:id="2359"/>
      <w:bookmarkEnd w:id="2360"/>
      <w:bookmarkEnd w:id="2361"/>
      <w:bookmarkEnd w:id="2362"/>
      <w:bookmarkEnd w:id="2363"/>
      <w:del w:id="2369" w:author="svcMRProcess" w:date="2018-08-21T09:48:00Z">
        <w:r>
          <w:rPr>
            <w:rStyle w:val="CharSectno"/>
          </w:rPr>
          <w:delText>200</w:delText>
        </w:r>
        <w:r>
          <w:delText>.</w:delText>
        </w:r>
        <w:r>
          <w:tab/>
          <w:delText>The Act amended</w:delText>
        </w:r>
        <w:bookmarkEnd w:id="2366"/>
        <w:bookmarkEnd w:id="2367"/>
        <w:bookmarkEnd w:id="2368"/>
      </w:del>
    </w:p>
    <w:p>
      <w:pPr>
        <w:pStyle w:val="nzSubsection"/>
        <w:rPr>
          <w:del w:id="2370" w:author="svcMRProcess" w:date="2018-08-21T09:48:00Z"/>
        </w:rPr>
      </w:pPr>
      <w:del w:id="2371" w:author="svcMRProcess" w:date="2018-08-21T09:48:00Z">
        <w:r>
          <w:tab/>
        </w:r>
        <w:r>
          <w:tab/>
          <w:delText xml:space="preserve">The amendments in this Division are to the </w:delText>
        </w:r>
        <w:r>
          <w:rPr>
            <w:i/>
            <w:iCs/>
          </w:rPr>
          <w:delText>Children and Community Services Act 2004</w:delText>
        </w:r>
        <w:r>
          <w:delText>.</w:delText>
        </w:r>
      </w:del>
    </w:p>
    <w:p>
      <w:pPr>
        <w:pStyle w:val="nzHeading5"/>
        <w:rPr>
          <w:del w:id="2372" w:author="svcMRProcess" w:date="2018-08-21T09:48:00Z"/>
          <w:snapToGrid w:val="0"/>
        </w:rPr>
      </w:pPr>
      <w:bookmarkStart w:id="2373" w:name="_Toc25483173"/>
      <w:bookmarkStart w:id="2374" w:name="_Toc110755738"/>
      <w:bookmarkStart w:id="2375" w:name="_Toc133911990"/>
      <w:bookmarkStart w:id="2376" w:name="_Toc139370941"/>
      <w:bookmarkStart w:id="2377" w:name="_Toc139792805"/>
      <w:del w:id="2378" w:author="svcMRProcess" w:date="2018-08-21T09:48:00Z">
        <w:r>
          <w:rPr>
            <w:rStyle w:val="CharSectno"/>
          </w:rPr>
          <w:delText>201</w:delText>
        </w:r>
        <w:r>
          <w:rPr>
            <w:snapToGrid w:val="0"/>
          </w:rPr>
          <w:delText>.</w:delText>
        </w:r>
        <w:r>
          <w:rPr>
            <w:snapToGrid w:val="0"/>
          </w:rPr>
          <w:tab/>
          <w:delText>Section 104 amended</w:delText>
        </w:r>
        <w:bookmarkEnd w:id="2373"/>
        <w:bookmarkEnd w:id="2374"/>
        <w:bookmarkEnd w:id="2375"/>
        <w:bookmarkEnd w:id="2376"/>
        <w:bookmarkEnd w:id="2377"/>
      </w:del>
    </w:p>
    <w:p>
      <w:pPr>
        <w:pStyle w:val="nzSubsection"/>
        <w:rPr>
          <w:del w:id="2379" w:author="svcMRProcess" w:date="2018-08-21T09:48:00Z"/>
        </w:rPr>
      </w:pPr>
      <w:del w:id="2380" w:author="svcMRProcess" w:date="2018-08-21T09:48:00Z">
        <w:r>
          <w:tab/>
          <w:delText>(1)</w:delText>
        </w:r>
        <w:r>
          <w:tab/>
          <w:delText xml:space="preserve">Section 104(1) is amended by deleting the definitions of “residence order” and “specific issues order” and inserting in the appropriate alphabetical position — </w:delText>
        </w:r>
      </w:del>
    </w:p>
    <w:p>
      <w:pPr>
        <w:pStyle w:val="MiscOpen"/>
        <w:ind w:left="880"/>
        <w:rPr>
          <w:del w:id="2381" w:author="svcMRProcess" w:date="2018-08-21T09:48:00Z"/>
        </w:rPr>
      </w:pPr>
      <w:del w:id="2382" w:author="svcMRProcess" w:date="2018-08-21T09:48:00Z">
        <w:r>
          <w:delText xml:space="preserve">“    </w:delText>
        </w:r>
      </w:del>
    </w:p>
    <w:p>
      <w:pPr>
        <w:pStyle w:val="nzDefstart"/>
        <w:rPr>
          <w:del w:id="2383" w:author="svcMRProcess" w:date="2018-08-21T09:48:00Z"/>
        </w:rPr>
      </w:pPr>
      <w:del w:id="2384" w:author="svcMRProcess" w:date="2018-08-21T09:48:00Z">
        <w:r>
          <w:rPr>
            <w:b/>
          </w:rPr>
          <w:tab/>
          <w:delText>“</w:delText>
        </w:r>
        <w:r>
          <w:rPr>
            <w:rStyle w:val="CharDefText"/>
          </w:rPr>
          <w:delText>parenting order</w:delText>
        </w:r>
        <w:r>
          <w:rPr>
            <w:b/>
          </w:rPr>
          <w:delText>”</w:delText>
        </w:r>
        <w:r>
          <w:delText xml:space="preserve"> means a parenting order made under the </w:delText>
        </w:r>
        <w:r>
          <w:rPr>
            <w:i/>
            <w:iCs/>
          </w:rPr>
          <w:delText>Family Law Act 1975</w:delText>
        </w:r>
        <w:r>
          <w:delText xml:space="preserve"> of the Commonwealth or the </w:delText>
        </w:r>
        <w:r>
          <w:rPr>
            <w:i/>
            <w:iCs/>
          </w:rPr>
          <w:delText xml:space="preserve">Family Court Act 1997 </w:delText>
        </w:r>
        <w:r>
          <w:delText xml:space="preserve">which deals with — </w:delText>
        </w:r>
      </w:del>
    </w:p>
    <w:p>
      <w:pPr>
        <w:pStyle w:val="nzDefpara"/>
        <w:rPr>
          <w:del w:id="2385" w:author="svcMRProcess" w:date="2018-08-21T09:48:00Z"/>
        </w:rPr>
      </w:pPr>
      <w:del w:id="2386" w:author="svcMRProcess" w:date="2018-08-21T09:48:00Z">
        <w:r>
          <w:tab/>
          <w:delText>(a)</w:delText>
        </w:r>
        <w:r>
          <w:tab/>
          <w:delText>the person or persons with whom a child is to live; or</w:delText>
        </w:r>
      </w:del>
    </w:p>
    <w:p>
      <w:pPr>
        <w:pStyle w:val="nzDefpara"/>
        <w:rPr>
          <w:del w:id="2387" w:author="svcMRProcess" w:date="2018-08-21T09:48:00Z"/>
        </w:rPr>
      </w:pPr>
      <w:del w:id="2388" w:author="svcMRProcess" w:date="2018-08-21T09:48:00Z">
        <w:r>
          <w:tab/>
          <w:delText>(b)</w:delText>
        </w:r>
        <w:r>
          <w:tab/>
          <w:delText>the time a child is to spend with another person or other persons; or</w:delText>
        </w:r>
      </w:del>
    </w:p>
    <w:p>
      <w:pPr>
        <w:pStyle w:val="nzDefpara"/>
        <w:rPr>
          <w:del w:id="2389" w:author="svcMRProcess" w:date="2018-08-21T09:48:00Z"/>
        </w:rPr>
      </w:pPr>
      <w:del w:id="2390" w:author="svcMRProcess" w:date="2018-08-21T09:48:00Z">
        <w:r>
          <w:tab/>
          <w:delText>(c)</w:delText>
        </w:r>
        <w:r>
          <w:tab/>
          <w:delText>the communication a child is to have with another person or other persons; or</w:delText>
        </w:r>
      </w:del>
    </w:p>
    <w:p>
      <w:pPr>
        <w:pStyle w:val="nzDefpara"/>
        <w:rPr>
          <w:del w:id="2391" w:author="svcMRProcess" w:date="2018-08-21T09:48:00Z"/>
        </w:rPr>
      </w:pPr>
      <w:del w:id="2392" w:author="svcMRProcess" w:date="2018-08-21T09:48:00Z">
        <w:r>
          <w:tab/>
          <w:delText>(d)</w:delText>
        </w:r>
        <w:r>
          <w:tab/>
          <w:delText>the allocation of parental responsibility for a child;</w:delText>
        </w:r>
      </w:del>
    </w:p>
    <w:p>
      <w:pPr>
        <w:pStyle w:val="MiscClose"/>
        <w:rPr>
          <w:del w:id="2393" w:author="svcMRProcess" w:date="2018-08-21T09:48:00Z"/>
        </w:rPr>
      </w:pPr>
      <w:del w:id="2394" w:author="svcMRProcess" w:date="2018-08-21T09:48:00Z">
        <w:r>
          <w:delText xml:space="preserve">    ”.</w:delText>
        </w:r>
      </w:del>
    </w:p>
    <w:p>
      <w:pPr>
        <w:pStyle w:val="nzSubsection"/>
        <w:rPr>
          <w:del w:id="2395" w:author="svcMRProcess" w:date="2018-08-21T09:48:00Z"/>
        </w:rPr>
      </w:pPr>
      <w:del w:id="2396" w:author="svcMRProcess" w:date="2018-08-21T09:48:00Z">
        <w:r>
          <w:tab/>
          <w:delText>(2)</w:delText>
        </w:r>
        <w:r>
          <w:tab/>
          <w:delText xml:space="preserve">Section 104(2)(d) is amended by deleting “residence order or specific issues” and inserting instead — </w:delText>
        </w:r>
      </w:del>
    </w:p>
    <w:p>
      <w:pPr>
        <w:pStyle w:val="nzSubsection"/>
        <w:rPr>
          <w:del w:id="2397" w:author="svcMRProcess" w:date="2018-08-21T09:48:00Z"/>
        </w:rPr>
      </w:pPr>
      <w:del w:id="2398" w:author="svcMRProcess" w:date="2018-08-21T09:48:00Z">
        <w:r>
          <w:tab/>
        </w:r>
        <w:r>
          <w:tab/>
          <w:delText>“    parenting    ”.</w:delText>
        </w:r>
      </w:del>
    </w:p>
    <w:p>
      <w:pPr>
        <w:pStyle w:val="nzSubsection"/>
        <w:rPr>
          <w:del w:id="2399" w:author="svcMRProcess" w:date="2018-08-21T09:48:00Z"/>
        </w:rPr>
      </w:pPr>
      <w:del w:id="2400" w:author="svcMRProcess" w:date="2018-08-21T09:48:00Z">
        <w:r>
          <w:tab/>
          <w:delText>(3)</w:delText>
        </w:r>
        <w:r>
          <w:tab/>
          <w:delText xml:space="preserve">Section 104(2)(e) is amended by deleting “residence order or specific issues” and inserting instead — </w:delText>
        </w:r>
      </w:del>
    </w:p>
    <w:p>
      <w:pPr>
        <w:pStyle w:val="nzSubsection"/>
        <w:rPr>
          <w:del w:id="2401" w:author="svcMRProcess" w:date="2018-08-21T09:48:00Z"/>
        </w:rPr>
      </w:pPr>
      <w:del w:id="2402" w:author="svcMRProcess" w:date="2018-08-21T09:48:00Z">
        <w:r>
          <w:tab/>
        </w:r>
        <w:r>
          <w:tab/>
          <w:delText>“    parenting    ”.</w:delText>
        </w:r>
      </w:del>
    </w:p>
    <w:p>
      <w:pPr>
        <w:pStyle w:val="nzHeading5"/>
        <w:rPr>
          <w:del w:id="2403" w:author="svcMRProcess" w:date="2018-08-21T09:48:00Z"/>
        </w:rPr>
      </w:pPr>
      <w:bookmarkStart w:id="2404" w:name="_Toc133911991"/>
      <w:bookmarkStart w:id="2405" w:name="_Toc139370942"/>
      <w:bookmarkStart w:id="2406" w:name="_Toc139792806"/>
      <w:del w:id="2407" w:author="svcMRProcess" w:date="2018-08-21T09:48:00Z">
        <w:r>
          <w:rPr>
            <w:rStyle w:val="CharSectno"/>
          </w:rPr>
          <w:delText>202</w:delText>
        </w:r>
        <w:r>
          <w:delText>.</w:delText>
        </w:r>
        <w:r>
          <w:tab/>
          <w:delText>Section 198 amended</w:delText>
        </w:r>
        <w:bookmarkEnd w:id="2404"/>
        <w:bookmarkEnd w:id="2405"/>
        <w:bookmarkEnd w:id="2406"/>
      </w:del>
    </w:p>
    <w:p>
      <w:pPr>
        <w:pStyle w:val="nzSubsection"/>
        <w:rPr>
          <w:del w:id="2408" w:author="svcMRProcess" w:date="2018-08-21T09:48:00Z"/>
        </w:rPr>
      </w:pPr>
      <w:del w:id="2409" w:author="svcMRProcess" w:date="2018-08-21T09:48:00Z">
        <w:r>
          <w:tab/>
        </w:r>
        <w:r>
          <w:tab/>
          <w:delText>Section 198(2) is amended as follows:</w:delText>
        </w:r>
      </w:del>
    </w:p>
    <w:p>
      <w:pPr>
        <w:pStyle w:val="nzIndenta"/>
        <w:rPr>
          <w:del w:id="2410" w:author="svcMRProcess" w:date="2018-08-21T09:48:00Z"/>
        </w:rPr>
      </w:pPr>
      <w:del w:id="2411" w:author="svcMRProcess" w:date="2018-08-21T09:48:00Z">
        <w:r>
          <w:tab/>
          <w:delText>(a)</w:delText>
        </w:r>
        <w:r>
          <w:tab/>
          <w:delText xml:space="preserve">by deleting paragraph (b) and inserting instead — </w:delText>
        </w:r>
      </w:del>
    </w:p>
    <w:p>
      <w:pPr>
        <w:pStyle w:val="MiscOpen"/>
        <w:ind w:left="1340"/>
        <w:rPr>
          <w:del w:id="2412" w:author="svcMRProcess" w:date="2018-08-21T09:48:00Z"/>
        </w:rPr>
      </w:pPr>
      <w:del w:id="2413" w:author="svcMRProcess" w:date="2018-08-21T09:48:00Z">
        <w:r>
          <w:delText xml:space="preserve">“    </w:delText>
        </w:r>
      </w:del>
    </w:p>
    <w:p>
      <w:pPr>
        <w:pStyle w:val="nzIndenta"/>
        <w:rPr>
          <w:del w:id="2414" w:author="svcMRProcess" w:date="2018-08-21T09:48:00Z"/>
        </w:rPr>
      </w:pPr>
      <w:del w:id="2415" w:author="svcMRProcess" w:date="2018-08-21T09:48:00Z">
        <w:r>
          <w:tab/>
          <w:delText>(b)</w:delText>
        </w:r>
        <w:r>
          <w:tab/>
          <w:delText xml:space="preserve">care provided to a child by a person in accordance with a parenting order under the </w:delText>
        </w:r>
        <w:r>
          <w:rPr>
            <w:i/>
            <w:iCs/>
          </w:rPr>
          <w:delText>Family Law Act 1975</w:delText>
        </w:r>
        <w:r>
          <w:delText xml:space="preserve"> of the Commonwealth or the </w:delText>
        </w:r>
        <w:r>
          <w:rPr>
            <w:i/>
            <w:iCs/>
          </w:rPr>
          <w:delText>Family Court Act 1997</w:delText>
        </w:r>
        <w:r>
          <w:delText>; or</w:delText>
        </w:r>
      </w:del>
    </w:p>
    <w:p>
      <w:pPr>
        <w:pStyle w:val="MiscClose"/>
        <w:rPr>
          <w:del w:id="2416" w:author="svcMRProcess" w:date="2018-08-21T09:48:00Z"/>
        </w:rPr>
      </w:pPr>
      <w:del w:id="2417" w:author="svcMRProcess" w:date="2018-08-21T09:48:00Z">
        <w:r>
          <w:delText xml:space="preserve">    ”;</w:delText>
        </w:r>
      </w:del>
    </w:p>
    <w:p>
      <w:pPr>
        <w:pStyle w:val="nzIndenta"/>
        <w:rPr>
          <w:del w:id="2418" w:author="svcMRProcess" w:date="2018-08-21T09:48:00Z"/>
        </w:rPr>
      </w:pPr>
      <w:del w:id="2419" w:author="svcMRProcess" w:date="2018-08-21T09:48:00Z">
        <w:r>
          <w:tab/>
          <w:delText>(b)</w:delText>
        </w:r>
        <w:r>
          <w:tab/>
          <w:delText xml:space="preserve">after each of paragraphs (a) and (c) to (e) by inserting — </w:delText>
        </w:r>
      </w:del>
    </w:p>
    <w:p>
      <w:pPr>
        <w:pStyle w:val="nzIndenta"/>
        <w:rPr>
          <w:del w:id="2420" w:author="svcMRProcess" w:date="2018-08-21T09:48:00Z"/>
        </w:rPr>
      </w:pPr>
      <w:del w:id="2421" w:author="svcMRProcess" w:date="2018-08-21T09:48:00Z">
        <w:r>
          <w:tab/>
        </w:r>
        <w:r>
          <w:tab/>
          <w:delText>“    or    ”.</w:delText>
        </w:r>
      </w:del>
    </w:p>
    <w:p>
      <w:pPr>
        <w:pStyle w:val="nzHeading5"/>
        <w:rPr>
          <w:del w:id="2422" w:author="svcMRProcess" w:date="2018-08-21T09:48:00Z"/>
        </w:rPr>
      </w:pPr>
      <w:bookmarkStart w:id="2423" w:name="_Toc133911992"/>
      <w:bookmarkStart w:id="2424" w:name="_Toc139370943"/>
      <w:bookmarkStart w:id="2425" w:name="_Toc139792807"/>
      <w:del w:id="2426" w:author="svcMRProcess" w:date="2018-08-21T09:48:00Z">
        <w:r>
          <w:rPr>
            <w:rStyle w:val="CharSectno"/>
          </w:rPr>
          <w:delText>203</w:delText>
        </w:r>
        <w:r>
          <w:delText>.</w:delText>
        </w:r>
        <w:r>
          <w:tab/>
          <w:delText>Section 238 amended</w:delText>
        </w:r>
        <w:bookmarkEnd w:id="2423"/>
        <w:bookmarkEnd w:id="2424"/>
        <w:bookmarkEnd w:id="2425"/>
      </w:del>
    </w:p>
    <w:p>
      <w:pPr>
        <w:pStyle w:val="nzSubsection"/>
        <w:rPr>
          <w:del w:id="2427" w:author="svcMRProcess" w:date="2018-08-21T09:48:00Z"/>
        </w:rPr>
      </w:pPr>
      <w:del w:id="2428" w:author="svcMRProcess" w:date="2018-08-21T09:48:00Z">
        <w:r>
          <w:tab/>
        </w:r>
        <w:r>
          <w:tab/>
          <w:delText xml:space="preserve">Section 238(6)(d) is deleted and the following paragraph is inserted instead — </w:delText>
        </w:r>
      </w:del>
    </w:p>
    <w:p>
      <w:pPr>
        <w:pStyle w:val="MiscOpen"/>
        <w:ind w:left="1340"/>
        <w:rPr>
          <w:del w:id="2429" w:author="svcMRProcess" w:date="2018-08-21T09:48:00Z"/>
        </w:rPr>
      </w:pPr>
      <w:del w:id="2430" w:author="svcMRProcess" w:date="2018-08-21T09:48:00Z">
        <w:r>
          <w:delText xml:space="preserve">“    </w:delText>
        </w:r>
      </w:del>
    </w:p>
    <w:p>
      <w:pPr>
        <w:pStyle w:val="nzIndenta"/>
        <w:rPr>
          <w:del w:id="2431" w:author="svcMRProcess" w:date="2018-08-21T09:48:00Z"/>
        </w:rPr>
      </w:pPr>
      <w:del w:id="2432" w:author="svcMRProcess" w:date="2018-08-21T09:48:00Z">
        <w:r>
          <w:tab/>
          <w:delText>(d)</w:delText>
        </w:r>
        <w:r>
          <w:tab/>
          <w:delText xml:space="preserve">if the proceedings are in the Family Court — </w:delText>
        </w:r>
      </w:del>
    </w:p>
    <w:p>
      <w:pPr>
        <w:pStyle w:val="nzIndenti"/>
        <w:rPr>
          <w:del w:id="2433" w:author="svcMRProcess" w:date="2018-08-21T09:48:00Z"/>
        </w:rPr>
      </w:pPr>
      <w:del w:id="2434" w:author="svcMRProcess" w:date="2018-08-21T09:48:00Z">
        <w:r>
          <w:tab/>
          <w:delText>(i)</w:delText>
        </w:r>
        <w:r>
          <w:tab/>
          <w:delText xml:space="preserve">a family consultant, as defined in the </w:delText>
        </w:r>
        <w:r>
          <w:rPr>
            <w:i/>
            <w:iCs/>
          </w:rPr>
          <w:delText>Family Court Act 1997</w:delText>
        </w:r>
        <w:r>
          <w:delText>; or</w:delText>
        </w:r>
      </w:del>
    </w:p>
    <w:p>
      <w:pPr>
        <w:pStyle w:val="nzIndenti"/>
        <w:rPr>
          <w:del w:id="2435" w:author="svcMRProcess" w:date="2018-08-21T09:48:00Z"/>
        </w:rPr>
      </w:pPr>
      <w:del w:id="2436" w:author="svcMRProcess" w:date="2018-08-21T09:48:00Z">
        <w:r>
          <w:tab/>
          <w:delText>(ii)</w:delText>
        </w:r>
        <w:r>
          <w:tab/>
          <w:delText xml:space="preserve">any other person required or directed to prepare a report on matters relevant to the proceedings, under that Act or the </w:delText>
        </w:r>
        <w:r>
          <w:rPr>
            <w:i/>
            <w:iCs/>
          </w:rPr>
          <w:delText>Family Law Act 1975</w:delText>
        </w:r>
        <w:r>
          <w:delText xml:space="preserve"> of the Commonwealth;</w:delText>
        </w:r>
      </w:del>
    </w:p>
    <w:p>
      <w:pPr>
        <w:pStyle w:val="MiscClose"/>
        <w:rPr>
          <w:del w:id="2437" w:author="svcMRProcess" w:date="2018-08-21T09:48:00Z"/>
        </w:rPr>
      </w:pPr>
      <w:del w:id="2438" w:author="svcMRProcess" w:date="2018-08-21T09:48:00Z">
        <w:r>
          <w:delText xml:space="preserve">    ”.</w:delText>
        </w:r>
      </w:del>
    </w:p>
    <w:p>
      <w:pPr>
        <w:pStyle w:val="MiscClose"/>
        <w:rPr>
          <w:del w:id="2439" w:author="svcMRProcess" w:date="2018-08-21T09:48:00Z"/>
        </w:rPr>
      </w:pPr>
      <w:del w:id="2440" w:author="svcMRProcess" w:date="2018-08-21T09:48:00Z">
        <w:r>
          <w:delText xml:space="preserve">    ”.</w:delText>
        </w:r>
      </w:del>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 and Community Services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Children and Community Services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 and Community Services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080BA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B839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0CB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71EF4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B4F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E63C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98C2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30AD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AC165E"/>
    <w:lvl w:ilvl="0">
      <w:start w:val="1"/>
      <w:numFmt w:val="decimal"/>
      <w:pStyle w:val="ListNumber"/>
      <w:lvlText w:val="%1."/>
      <w:lvlJc w:val="left"/>
      <w:pPr>
        <w:tabs>
          <w:tab w:val="num" w:pos="360"/>
        </w:tabs>
        <w:ind w:left="360" w:hanging="360"/>
      </w:pPr>
    </w:lvl>
  </w:abstractNum>
  <w:abstractNum w:abstractNumId="9">
    <w:nsid w:val="FFFFFF89"/>
    <w:multiLevelType w:val="singleLevel"/>
    <w:tmpl w:val="2B98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B7839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2624BA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4004"/>
    <w:docVar w:name="WAFER_20151208094004" w:val="RemoveTrackChanges"/>
    <w:docVar w:name="WAFER_20151208094004_GUID" w:val="a17a65ee-d6f5-4719-9f0d-7e651ef0e2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43385</Words>
  <Characters>208251</Characters>
  <Application>Microsoft Office Word</Application>
  <DocSecurity>0</DocSecurity>
  <Lines>5784</Lines>
  <Paragraphs>3544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248092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00-f0-04 - 00-g0-04</dc:title>
  <dc:subject/>
  <dc:creator/>
  <cp:keywords/>
  <dc:description/>
  <cp:lastModifiedBy>svcMRProcess</cp:lastModifiedBy>
  <cp:revision>2</cp:revision>
  <cp:lastPrinted>2006-03-01T01:39:00Z</cp:lastPrinted>
  <dcterms:created xsi:type="dcterms:W3CDTF">2018-08-21T01:48:00Z</dcterms:created>
  <dcterms:modified xsi:type="dcterms:W3CDTF">2018-08-21T01:48:00Z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20060715</vt:lpwstr>
  </property>
  <property fmtid="{D5CDD505-2E9C-101B-9397-08002B2CF9AE}" pid="4" name="DocumentType">
    <vt:lpwstr>Act</vt:lpwstr>
  </property>
  <property fmtid="{D5CDD505-2E9C-101B-9397-08002B2CF9AE}" pid="5" name="OwlsUID">
    <vt:i4>9243</vt:i4>
  </property>
  <property fmtid="{D5CDD505-2E9C-101B-9397-08002B2CF9AE}" pid="6" name="FromSuffix">
    <vt:lpwstr>00-f0-04</vt:lpwstr>
  </property>
  <property fmtid="{D5CDD505-2E9C-101B-9397-08002B2CF9AE}" pid="7" name="FromAsAtDate">
    <vt:lpwstr>04 Jul 2006</vt:lpwstr>
  </property>
  <property fmtid="{D5CDD505-2E9C-101B-9397-08002B2CF9AE}" pid="8" name="ToSuffix">
    <vt:lpwstr>00-g0-04</vt:lpwstr>
  </property>
  <property fmtid="{D5CDD505-2E9C-101B-9397-08002B2CF9AE}" pid="9" name="ToAsAtDate">
    <vt:lpwstr>15 Jul 2006</vt:lpwstr>
  </property>
</Properties>
</file>