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Duties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2019</w:t>
      </w:r>
      <w:r>
        <w:fldChar w:fldCharType="end"/>
      </w:r>
      <w:r>
        <w:t xml:space="preserve">, </w:t>
      </w:r>
      <w:r>
        <w:fldChar w:fldCharType="begin"/>
      </w:r>
      <w:r>
        <w:instrText xml:space="preserve"> DocProperty FromSuffix </w:instrText>
      </w:r>
      <w:r>
        <w:fldChar w:fldCharType="separate"/>
      </w:r>
      <w:r>
        <w:t>03-g0-02</w:t>
      </w:r>
      <w:r>
        <w:fldChar w:fldCharType="end"/>
      </w:r>
      <w:r>
        <w:t>] and [</w:t>
      </w:r>
      <w:r>
        <w:fldChar w:fldCharType="begin"/>
      </w:r>
      <w:r>
        <w:instrText xml:space="preserve"> DocProperty ToAsAtDate</w:instrText>
      </w:r>
      <w:r>
        <w:fldChar w:fldCharType="separate"/>
      </w:r>
      <w:r>
        <w:t>13 Jun 2019</w:t>
      </w:r>
      <w:r>
        <w:fldChar w:fldCharType="end"/>
      </w:r>
      <w:r>
        <w:t xml:space="preserve">, </w:t>
      </w:r>
      <w:r>
        <w:fldChar w:fldCharType="begin"/>
      </w:r>
      <w:r>
        <w:instrText xml:space="preserve"> DocProperty ToSuffix</w:instrText>
      </w:r>
      <w:r>
        <w:fldChar w:fldCharType="separate"/>
      </w:r>
      <w:r>
        <w:t>03-h0-04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880" w:after="1000"/>
      </w:pPr>
      <w:r>
        <w:t>Duties Act 2008</w:t>
      </w:r>
    </w:p>
    <w:p>
      <w:pPr>
        <w:pStyle w:val="LongTitle"/>
        <w:suppressLineNumbers/>
        <w:spacing w:before="360"/>
      </w:pPr>
      <w:bookmarkStart w:id="1" w:name="BillCited"/>
      <w:bookmarkEnd w:id="1"/>
      <w:r>
        <w:rPr>
          <w:snapToGrid w:val="0"/>
        </w:rPr>
        <w:t>A</w:t>
      </w:r>
      <w:bookmarkStart w:id="2" w:name="_GoBack"/>
      <w:bookmarkEnd w:id="2"/>
      <w:r>
        <w:rPr>
          <w:snapToGrid w:val="0"/>
        </w:rPr>
        <w:t>n Act dealing with the imposition of a number of kinds of duty</w:t>
      </w:r>
      <w:r>
        <w:t>.</w:t>
      </w:r>
    </w:p>
    <w:p>
      <w:pPr>
        <w:pStyle w:val="Heading2"/>
        <w:rPr>
          <w:sz w:val="32"/>
        </w:rPr>
      </w:pPr>
      <w:bookmarkStart w:id="3" w:name="_Toc37946597"/>
      <w:bookmarkStart w:id="4" w:name="_Toc37947197"/>
      <w:bookmarkStart w:id="5" w:name="_Toc38031261"/>
      <w:bookmarkStart w:id="6" w:name="_Toc93309770"/>
      <w:bookmarkStart w:id="7" w:name="_Toc104290792"/>
      <w:bookmarkStart w:id="8" w:name="_Toc530491549"/>
      <w:bookmarkStart w:id="9" w:name="_Toc530492009"/>
      <w:bookmarkStart w:id="10" w:name="_Toc530493019"/>
      <w:bookmarkStart w:id="11" w:name="_Toc530556154"/>
      <w:bookmarkStart w:id="12" w:name="_Toc531691992"/>
      <w:bookmarkStart w:id="13" w:name="_Toc531855897"/>
      <w:bookmarkStart w:id="14" w:name="_Toc531858625"/>
      <w:bookmarkStart w:id="15" w:name="_Toc531859164"/>
      <w:r>
        <w:rPr>
          <w:rStyle w:val="CharPartNo"/>
          <w:sz w:val="32"/>
        </w:rPr>
        <w:t>Chapter 1</w:t>
      </w:r>
      <w:r>
        <w:rPr>
          <w:rStyle w:val="CharDivNo"/>
          <w:sz w:val="32"/>
        </w:rPr>
        <w:t> </w:t>
      </w:r>
      <w:r>
        <w:rPr>
          <w:sz w:val="32"/>
        </w:rPr>
        <w:t>—</w:t>
      </w:r>
      <w:r>
        <w:rPr>
          <w:rStyle w:val="CharDivText"/>
          <w:sz w:val="32"/>
        </w:rPr>
        <w:t> </w:t>
      </w:r>
      <w:r>
        <w:rPr>
          <w:rStyle w:val="CharPartText"/>
          <w:sz w:val="32"/>
        </w:rPr>
        <w:t>Preliminary</w:t>
      </w:r>
      <w:bookmarkEnd w:id="3"/>
      <w:bookmarkEnd w:id="4"/>
      <w:bookmarkEnd w:id="5"/>
      <w:bookmarkEnd w:id="6"/>
      <w:bookmarkEnd w:id="7"/>
      <w:bookmarkEnd w:id="8"/>
      <w:bookmarkEnd w:id="9"/>
      <w:bookmarkEnd w:id="10"/>
      <w:bookmarkEnd w:id="11"/>
      <w:bookmarkEnd w:id="12"/>
      <w:bookmarkEnd w:id="13"/>
      <w:bookmarkEnd w:id="14"/>
      <w:bookmarkEnd w:id="15"/>
    </w:p>
    <w:p>
      <w:pPr>
        <w:pStyle w:val="Heading5"/>
        <w:spacing w:before="180"/>
      </w:pPr>
      <w:bookmarkStart w:id="16" w:name="_Toc104290793"/>
      <w:bookmarkStart w:id="17" w:name="_Toc531859165"/>
      <w:r>
        <w:rPr>
          <w:rStyle w:val="CharSectno"/>
        </w:rPr>
        <w:t>1</w:t>
      </w:r>
      <w:r>
        <w:t>.</w:t>
      </w:r>
      <w:r>
        <w:tab/>
      </w:r>
      <w:r>
        <w:rPr>
          <w:snapToGrid w:val="0"/>
        </w:rPr>
        <w:t>Short title</w:t>
      </w:r>
      <w:bookmarkEnd w:id="16"/>
      <w:bookmarkEnd w:id="17"/>
    </w:p>
    <w:p>
      <w:pPr>
        <w:pStyle w:val="Subsection"/>
      </w:pPr>
      <w:r>
        <w:tab/>
      </w:r>
      <w:r>
        <w:tab/>
        <w:t>This</w:t>
      </w:r>
      <w:r>
        <w:rPr>
          <w:snapToGrid w:val="0"/>
        </w:rPr>
        <w:t xml:space="preserve"> is the</w:t>
      </w:r>
      <w:r>
        <w:rPr>
          <w:i/>
          <w:snapToGrid w:val="0"/>
        </w:rPr>
        <w:t xml:space="preserve"> Duties Act 2008</w:t>
      </w:r>
      <w:del w:id="18" w:author="Master Repository Process" w:date="2022-05-27T14:27:00Z">
        <w:r>
          <w:rPr>
            <w:snapToGrid w:val="0"/>
            <w:vertAlign w:val="superscript"/>
          </w:rPr>
          <w:delText> 1</w:delText>
        </w:r>
      </w:del>
      <w:r>
        <w:rPr>
          <w:snapToGrid w:val="0"/>
        </w:rPr>
        <w:t>.</w:t>
      </w:r>
    </w:p>
    <w:p>
      <w:pPr>
        <w:pStyle w:val="Heading5"/>
        <w:spacing w:before="180"/>
        <w:rPr>
          <w:snapToGrid w:val="0"/>
        </w:rPr>
      </w:pPr>
      <w:bookmarkStart w:id="19" w:name="_Toc104290794"/>
      <w:bookmarkStart w:id="20" w:name="_Toc531859166"/>
      <w:r>
        <w:rPr>
          <w:rStyle w:val="CharSectno"/>
        </w:rPr>
        <w:t>2</w:t>
      </w:r>
      <w:r>
        <w:rPr>
          <w:snapToGrid w:val="0"/>
        </w:rPr>
        <w:t>.</w:t>
      </w:r>
      <w:r>
        <w:rPr>
          <w:snapToGrid w:val="0"/>
        </w:rPr>
        <w:tab/>
      </w:r>
      <w:r>
        <w:t>Commencement</w:t>
      </w:r>
      <w:bookmarkEnd w:id="19"/>
      <w:bookmarkEnd w:id="20"/>
    </w:p>
    <w:p>
      <w:pPr>
        <w:pStyle w:val="Subsection"/>
      </w:pPr>
      <w:r>
        <w:tab/>
      </w:r>
      <w:r>
        <w:tab/>
        <w:t>This Act comes into operation as follows:</w:t>
      </w:r>
    </w:p>
    <w:p>
      <w:pPr>
        <w:pStyle w:val="Indenta"/>
      </w:pPr>
      <w:r>
        <w:tab/>
        <w:t>(a)</w:t>
      </w:r>
      <w:r>
        <w:tab/>
        <w:t>sections 1 and 2 — on the day on which this Act receives the Royal Assent</w:t>
      </w:r>
      <w:del w:id="21" w:author="Master Repository Process" w:date="2022-05-27T14:27:00Z">
        <w:r>
          <w:rPr>
            <w:snapToGrid w:val="0"/>
            <w:vertAlign w:val="superscript"/>
          </w:rPr>
          <w:delText> 1</w:delText>
        </w:r>
      </w:del>
      <w:r>
        <w:t>;</w:t>
      </w:r>
    </w:p>
    <w:p>
      <w:pPr>
        <w:pStyle w:val="Indenta"/>
      </w:pPr>
      <w:r>
        <w:tab/>
        <w:t>(b)</w:t>
      </w:r>
      <w:r>
        <w:tab/>
        <w:t>the rest of the Act — on 1 July 2008.</w:t>
      </w:r>
    </w:p>
    <w:p>
      <w:pPr>
        <w:pStyle w:val="Heading5"/>
        <w:spacing w:before="180"/>
        <w:rPr>
          <w:snapToGrid w:val="0"/>
        </w:rPr>
      </w:pPr>
      <w:bookmarkStart w:id="22" w:name="_Toc104290795"/>
      <w:bookmarkStart w:id="23" w:name="_Toc531859167"/>
      <w:r>
        <w:rPr>
          <w:rStyle w:val="CharSectno"/>
        </w:rPr>
        <w:t>3</w:t>
      </w:r>
      <w:r>
        <w:rPr>
          <w:snapToGrid w:val="0"/>
        </w:rPr>
        <w:t>.</w:t>
      </w:r>
      <w:r>
        <w:rPr>
          <w:snapToGrid w:val="0"/>
        </w:rPr>
        <w:tab/>
        <w:t>Terms used</w:t>
      </w:r>
      <w:bookmarkEnd w:id="22"/>
      <w:bookmarkEnd w:id="23"/>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rPr>
          <w:ins w:id="24" w:author="Master Repository Process" w:date="2022-05-27T14:27:00Z"/>
        </w:rPr>
      </w:pPr>
      <w:ins w:id="25" w:author="Master Repository Process" w:date="2022-05-27T14:27:00Z">
        <w:r>
          <w:tab/>
          <w:t>(ga)</w:t>
        </w:r>
        <w:r>
          <w:tab/>
          <w:t>a thing that is land to which section 3A(1)(f) applies;</w:t>
        </w:r>
      </w:ins>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rPr>
          <w:ins w:id="26" w:author="Master Repository Process" w:date="2022-05-27T14:27:00Z"/>
        </w:rPr>
      </w:pPr>
      <w:ins w:id="27" w:author="Master Repository Process" w:date="2022-05-27T14:27:00Z">
        <w:r>
          <w:tab/>
        </w:r>
        <w:r>
          <w:rPr>
            <w:rStyle w:val="CharDefText"/>
          </w:rPr>
          <w:t>derivative mining right</w:t>
        </w:r>
        <w:r>
          <w:t xml:space="preserve"> means an authorisation of a kind described in the </w:t>
        </w:r>
        <w:r>
          <w:rPr>
            <w:i/>
          </w:rPr>
          <w:t>Mining Act 1978</w:t>
        </w:r>
        <w:r>
          <w:t xml:space="preserve"> section 118A (whether or not the authorisation purports to be made under that section);</w:t>
        </w:r>
      </w:ins>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Indenta"/>
        <w:rPr>
          <w:ins w:id="28" w:author="Master Repository Process" w:date="2022-05-27T14:27:00Z"/>
        </w:rPr>
      </w:pPr>
      <w:ins w:id="29" w:author="Master Repository Process" w:date="2022-05-27T14:27:00Z">
        <w:r>
          <w:tab/>
          <w:t>(ca)</w:t>
        </w:r>
        <w:r>
          <w:tab/>
          <w:t>a unit trust scheme; or</w:t>
        </w:r>
      </w:ins>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pPr>
      <w:r>
        <w:rPr>
          <w:b/>
        </w:rPr>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the State of Western Australia;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rPr>
          <w:ins w:id="30" w:author="Master Repository Process" w:date="2022-05-27T14:27:00Z"/>
        </w:rPr>
      </w:pPr>
      <w:ins w:id="31" w:author="Master Repository Process" w:date="2022-05-27T14:27:00Z">
        <w:r>
          <w:tab/>
        </w:r>
        <w:r>
          <w:rPr>
            <w:rStyle w:val="CharDefText"/>
          </w:rPr>
          <w:t>fixed infrastructure</w:t>
        </w:r>
        <w:r>
          <w:t xml:space="preserve"> has the meaning given in section 91A;</w:t>
        </w:r>
      </w:ins>
    </w:p>
    <w:p>
      <w:pPr>
        <w:pStyle w:val="Defstart"/>
        <w:rPr>
          <w:ins w:id="32" w:author="Master Repository Process" w:date="2022-05-27T14:27:00Z"/>
        </w:rPr>
      </w:pPr>
      <w:ins w:id="33" w:author="Master Repository Process" w:date="2022-05-27T14:27:00Z">
        <w:r>
          <w:tab/>
        </w:r>
        <w:r>
          <w:rPr>
            <w:rStyle w:val="CharDefText"/>
          </w:rPr>
          <w:t>fixed infrastructure access right</w:t>
        </w:r>
        <w:r>
          <w:t xml:space="preserve"> has the meaning given in section 91A;</w:t>
        </w:r>
      </w:ins>
    </w:p>
    <w:p>
      <w:pPr>
        <w:pStyle w:val="Defstart"/>
        <w:rPr>
          <w:ins w:id="34" w:author="Master Repository Process" w:date="2022-05-27T14:27:00Z"/>
        </w:rPr>
      </w:pPr>
      <w:ins w:id="35" w:author="Master Repository Process" w:date="2022-05-27T14:27:00Z">
        <w:r>
          <w:tab/>
        </w:r>
        <w:r>
          <w:rPr>
            <w:rStyle w:val="CharDefText"/>
          </w:rPr>
          <w:t>fixed infrastructure control right</w:t>
        </w:r>
        <w:r>
          <w:t xml:space="preserve"> has the meaning given in section 91A;</w:t>
        </w:r>
      </w:ins>
    </w:p>
    <w:p>
      <w:pPr>
        <w:pStyle w:val="Defstart"/>
        <w:rPr>
          <w:ins w:id="36" w:author="Master Repository Process" w:date="2022-05-27T14:27:00Z"/>
        </w:rPr>
      </w:pPr>
      <w:ins w:id="37" w:author="Master Repository Process" w:date="2022-05-27T14:27:00Z">
        <w:r>
          <w:tab/>
        </w:r>
        <w:r>
          <w:rPr>
            <w:rStyle w:val="CharDefText"/>
          </w:rPr>
          <w:t>fixed infrastructure statutory licence</w:t>
        </w:r>
        <w:r>
          <w:t xml:space="preserve"> has the meaning given in section 91A;</w:t>
        </w:r>
      </w:ins>
    </w:p>
    <w:p>
      <w:pPr>
        <w:pStyle w:val="Defstart"/>
      </w:pPr>
      <w:r>
        <w:tab/>
      </w:r>
      <w:r>
        <w:rPr>
          <w:rStyle w:val="CharDefText"/>
        </w:rPr>
        <w:t>foreign dutiable transaction</w:t>
      </w:r>
      <w:r>
        <w:t xml:space="preserve"> has the meaning given in section 205H; </w:t>
      </w:r>
    </w:p>
    <w:p>
      <w:pPr>
        <w:pStyle w:val="Defstart"/>
      </w:pPr>
      <w:r>
        <w:tab/>
      </w:r>
      <w:r>
        <w:rPr>
          <w:rStyle w:val="CharDefText"/>
        </w:rPr>
        <w:t>foreign landholder duty</w:t>
      </w:r>
      <w:r>
        <w:t xml:space="preserve"> means duty under Chapter 3A Part 3;</w:t>
      </w:r>
    </w:p>
    <w:p>
      <w:pPr>
        <w:pStyle w:val="Defstart"/>
      </w:pPr>
      <w:r>
        <w:tab/>
      </w:r>
      <w:r>
        <w:rPr>
          <w:rStyle w:val="CharDefText"/>
        </w:rPr>
        <w:t>foreign transfer duty</w:t>
      </w:r>
      <w:r>
        <w:t xml:space="preserve"> means duty under Chapter 3A Part 2;</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tab/>
      </w:r>
      <w:r>
        <w:rPr>
          <w:rStyle w:val="CharDefText"/>
        </w:rPr>
        <w:t>industrial association</w:t>
      </w:r>
      <w:r>
        <w:t xml:space="preserve"> means any of the following —</w:t>
      </w:r>
    </w:p>
    <w:p>
      <w:pPr>
        <w:pStyle w:val="Defpara"/>
      </w:pPr>
      <w:r>
        <w:tab/>
        <w:t>(a)</w:t>
      </w:r>
      <w:r>
        <w:tab/>
        <w:t xml:space="preserve">an organisation registered under the </w:t>
      </w:r>
      <w:r>
        <w:rPr>
          <w:i/>
        </w:rPr>
        <w:t xml:space="preserve">Industrial Relations Act 1979 </w:t>
      </w:r>
      <w:r>
        <w:t>section 53 or 54;</w:t>
      </w:r>
    </w:p>
    <w:p>
      <w:pPr>
        <w:pStyle w:val="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Defpara"/>
      </w:pPr>
      <w:r>
        <w:tab/>
        <w:t>(c)</w:t>
      </w:r>
      <w:r>
        <w:tab/>
        <w:t>an association of employees registered or recognised as a trade union (however described) under the law of another State or a Territory;</w:t>
      </w:r>
    </w:p>
    <w:p>
      <w:pPr>
        <w:pStyle w:val="Defpara"/>
      </w:pPr>
      <w:r>
        <w:tab/>
        <w:t>(d)</w:t>
      </w:r>
      <w:r>
        <w:tab/>
        <w:t>an association of employers registered or recognised as such (however described) under the law of another State or a Territory;</w:t>
      </w:r>
    </w:p>
    <w:p>
      <w:pPr>
        <w:pStyle w:val="Defpara"/>
      </w:pPr>
      <w:r>
        <w:tab/>
        <w:t>(e)</w:t>
      </w:r>
      <w:r>
        <w:tab/>
        <w:t>an association of employees a principal purpose of which is the protection and promotion of the employees’ interests in matters concerning their employment;</w:t>
      </w:r>
    </w:p>
    <w:p>
      <w:pPr>
        <w:pStyle w:val="Defstart"/>
        <w:rPr>
          <w:del w:id="38" w:author="Master Repository Process" w:date="2022-05-27T14:27:00Z"/>
        </w:rPr>
      </w:pPr>
      <w:r>
        <w:tab/>
      </w:r>
      <w:r>
        <w:rPr>
          <w:rStyle w:val="CharDefText"/>
        </w:rPr>
        <w:t>land</w:t>
      </w:r>
      <w:r>
        <w:t xml:space="preserve"> </w:t>
      </w:r>
      <w:del w:id="39" w:author="Master Repository Process" w:date="2022-05-27T14:27:00Z">
        <w:r>
          <w:delText xml:space="preserve">includes — </w:delText>
        </w:r>
      </w:del>
    </w:p>
    <w:p>
      <w:pPr>
        <w:pStyle w:val="Defpara"/>
        <w:rPr>
          <w:del w:id="40" w:author="Master Repository Process" w:date="2022-05-27T14:27:00Z"/>
        </w:rPr>
      </w:pPr>
      <w:del w:id="41" w:author="Master Repository Process" w:date="2022-05-27T14:27:00Z">
        <w:r>
          <w:tab/>
          <w:delText>(</w:delText>
        </w:r>
      </w:del>
      <w:ins w:id="42" w:author="Master Repository Process" w:date="2022-05-27T14:27:00Z">
        <w:r>
          <w:t xml:space="preserve">has </w:t>
        </w:r>
      </w:ins>
      <w:r>
        <w:t>a</w:t>
      </w:r>
      <w:del w:id="43" w:author="Master Repository Process" w:date="2022-05-27T14:27:00Z">
        <w:r>
          <w:delText>)</w:delText>
        </w:r>
        <w:r>
          <w:tab/>
          <w:delText xml:space="preserve">any estate or interest in land other than a carbon right or a carbon covenant registered under the </w:delText>
        </w:r>
        <w:r>
          <w:rPr>
            <w:i/>
          </w:rPr>
          <w:delText>Carbon Rights Act </w:delText>
        </w:r>
        <w:r>
          <w:rPr>
            <w:i/>
            <w:iCs/>
          </w:rPr>
          <w:delText>2003</w:delText>
        </w:r>
        <w:r>
          <w:delText>; and</w:delText>
        </w:r>
      </w:del>
    </w:p>
    <w:p>
      <w:pPr>
        <w:pStyle w:val="Defpara"/>
        <w:rPr>
          <w:del w:id="44" w:author="Master Repository Process" w:date="2022-05-27T14:27:00Z"/>
        </w:rPr>
      </w:pPr>
      <w:del w:id="45" w:author="Master Repository Process" w:date="2022-05-27T14:27:00Z">
        <w:r>
          <w:tab/>
          <w:delText>(b)</w:delText>
        </w:r>
        <w:r>
          <w:tab/>
          <w:delText>a mining tenement; and</w:delText>
        </w:r>
      </w:del>
    </w:p>
    <w:p>
      <w:pPr>
        <w:pStyle w:val="Defpara"/>
        <w:rPr>
          <w:del w:id="46" w:author="Master Repository Process" w:date="2022-05-27T14:27:00Z"/>
        </w:rPr>
      </w:pPr>
      <w:del w:id="47" w:author="Master Repository Process" w:date="2022-05-27T14:27:00Z">
        <w:r>
          <w:tab/>
          <w:delText>(ca)</w:delText>
        </w:r>
        <w:r>
          <w:tab/>
          <w:delText>an estate or interest in a mining tenement; and</w:delText>
        </w:r>
      </w:del>
    </w:p>
    <w:p>
      <w:pPr>
        <w:pStyle w:val="Defpara"/>
        <w:rPr>
          <w:del w:id="48" w:author="Master Repository Process" w:date="2022-05-27T14:27:00Z"/>
        </w:rPr>
      </w:pPr>
      <w:del w:id="49" w:author="Master Repository Process" w:date="2022-05-27T14:27:00Z">
        <w:r>
          <w:tab/>
          <w:delText>(cb)</w:delText>
        </w:r>
        <w:r>
          <w:tab/>
          <w:delText xml:space="preserve">anything that — </w:delText>
        </w:r>
      </w:del>
    </w:p>
    <w:p>
      <w:pPr>
        <w:pStyle w:val="Defsubpara"/>
        <w:rPr>
          <w:del w:id="50" w:author="Master Repository Process" w:date="2022-05-27T14:27:00Z"/>
        </w:rPr>
      </w:pPr>
      <w:del w:id="51" w:author="Master Repository Process" w:date="2022-05-27T14:27:00Z">
        <w:r>
          <w:tab/>
          <w:delText>(i)</w:delText>
        </w:r>
        <w:r>
          <w:tab/>
          <w:delText>under the authority (whether direct or indirect) of a mining tenement, is fixed to land that is the subject of that mining tenement; and</w:delText>
        </w:r>
      </w:del>
    </w:p>
    <w:p>
      <w:pPr>
        <w:pStyle w:val="Defsubpara"/>
        <w:rPr>
          <w:del w:id="52" w:author="Master Repository Process" w:date="2022-05-27T14:27:00Z"/>
        </w:rPr>
      </w:pPr>
      <w:del w:id="53" w:author="Master Repository Process" w:date="2022-05-27T14:27:00Z">
        <w:r>
          <w:tab/>
          <w:delText>(ii)</w:delText>
        </w:r>
        <w:r>
          <w:tab/>
          <w:delText>would be part of that land as a fixture if the mining tenement were a freehold estate in the land;</w:delText>
        </w:r>
      </w:del>
    </w:p>
    <w:p>
      <w:pPr>
        <w:pStyle w:val="Defpara"/>
        <w:rPr>
          <w:del w:id="54" w:author="Master Repository Process" w:date="2022-05-27T14:27:00Z"/>
        </w:rPr>
      </w:pPr>
      <w:del w:id="55" w:author="Master Repository Process" w:date="2022-05-27T14:27:00Z">
        <w:r>
          <w:tab/>
        </w:r>
        <w:r>
          <w:tab/>
          <w:delText>and</w:delText>
        </w:r>
      </w:del>
    </w:p>
    <w:p>
      <w:pPr>
        <w:pStyle w:val="Defpara"/>
        <w:rPr>
          <w:del w:id="56" w:author="Master Repository Process" w:date="2022-05-27T14:27:00Z"/>
        </w:rPr>
      </w:pPr>
      <w:del w:id="57" w:author="Master Repository Process" w:date="2022-05-27T14:27:00Z">
        <w:r>
          <w:tab/>
          <w:delText>(c)</w:delText>
        </w:r>
        <w:r>
          <w:tab/>
          <w:delText xml:space="preserve">a licence under the </w:delText>
        </w:r>
        <w:r>
          <w:rPr>
            <w:i/>
            <w:iCs/>
          </w:rPr>
          <w:delText>Petroleum Pipelines Act 1969</w:delText>
        </w:r>
        <w:r>
          <w:delText>; and</w:delText>
        </w:r>
      </w:del>
    </w:p>
    <w:p>
      <w:pPr>
        <w:pStyle w:val="Defpara"/>
        <w:rPr>
          <w:del w:id="58" w:author="Master Repository Process" w:date="2022-05-27T14:27:00Z"/>
        </w:rPr>
      </w:pPr>
      <w:del w:id="59" w:author="Master Repository Process" w:date="2022-05-27T14:27:00Z">
        <w:r>
          <w:tab/>
          <w:delText>(da)</w:delText>
        </w:r>
        <w:r>
          <w:tab/>
          <w:delText xml:space="preserve">a pipeline, as defined in the </w:delText>
        </w:r>
        <w:r>
          <w:rPr>
            <w:i/>
          </w:rPr>
          <w:delText>Petroleum Pipelines Act 1969</w:delText>
        </w:r>
      </w:del>
      <w:ins w:id="60" w:author="Master Repository Process" w:date="2022-05-27T14:27:00Z">
        <w:r>
          <w:t xml:space="preserve"> meaning affected by</w:t>
        </w:r>
      </w:ins>
      <w:r>
        <w:t xml:space="preserve"> section </w:t>
      </w:r>
      <w:del w:id="61" w:author="Master Repository Process" w:date="2022-05-27T14:27:00Z">
        <w:r>
          <w:delText>4(1), constructed on land under the authority of a licence under that Act; and</w:delText>
        </w:r>
      </w:del>
    </w:p>
    <w:p>
      <w:pPr>
        <w:pStyle w:val="Defstart"/>
      </w:pPr>
      <w:del w:id="62" w:author="Master Repository Process" w:date="2022-05-27T14:27:00Z">
        <w:r>
          <w:tab/>
          <w:delText>(d)</w:delText>
        </w:r>
        <w:r>
          <w:tab/>
          <w:delText>anything that is part of land as a fixture</w:delText>
        </w:r>
      </w:del>
      <w:ins w:id="63" w:author="Master Repository Process" w:date="2022-05-27T14:27:00Z">
        <w:r>
          <w:t>3A</w:t>
        </w:r>
      </w:ins>
      <w:r>
        <w:t>;</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or regional subsidiary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r>
        <w:rPr>
          <w:b/>
          <w:i/>
        </w:rPr>
        <w:t>substantial holding</w:t>
      </w:r>
      <w:r>
        <w:t xml:space="preserve"> in the Corporations Act section 9 if the reference in that definition to 5% were a reference to 50%;</w:t>
      </w:r>
    </w:p>
    <w:p>
      <w:pPr>
        <w:pStyle w:val="Defstart"/>
        <w:keepNex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w:t>
      </w:r>
      <w:del w:id="64" w:author="Master Repository Process" w:date="2022-05-27T14:27:00Z">
        <w:r>
          <w:rPr>
            <w:iCs/>
            <w:vertAlign w:val="superscript"/>
          </w:rPr>
          <w:delText>2</w:delText>
        </w:r>
      </w:del>
      <w:ins w:id="65" w:author="Master Repository Process" w:date="2022-05-27T14:27:00Z">
        <w:r>
          <w:rPr>
            <w:iCs/>
            <w:vertAlign w:val="superscript"/>
          </w:rPr>
          <w:t>1</w:t>
        </w:r>
      </w:ins>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rPr>
          <w:ins w:id="66" w:author="Master Repository Process" w:date="2022-05-27T14:27:00Z"/>
        </w:rPr>
      </w:pPr>
      <w:ins w:id="67" w:author="Master Repository Process" w:date="2022-05-27T14:27:00Z">
        <w:r>
          <w:tab/>
        </w:r>
        <w:r>
          <w:rPr>
            <w:rStyle w:val="CharDefText"/>
          </w:rPr>
          <w:t>pastoral lease</w:t>
        </w:r>
        <w:r>
          <w:t xml:space="preserve"> has the meaning given in the </w:t>
        </w:r>
        <w:r>
          <w:rPr>
            <w:i/>
          </w:rPr>
          <w:t>Land Administration Act 1997</w:t>
        </w:r>
        <w:r>
          <w:t xml:space="preserve"> section 3(1);</w:t>
        </w:r>
      </w:ins>
    </w:p>
    <w:p>
      <w:pPr>
        <w:pStyle w:val="Defstart"/>
        <w:rPr>
          <w:ins w:id="68" w:author="Master Repository Process" w:date="2022-05-27T14:27:00Z"/>
        </w:rPr>
      </w:pPr>
      <w:ins w:id="69" w:author="Master Repository Process" w:date="2022-05-27T14:27:00Z">
        <w:r>
          <w:tab/>
        </w:r>
        <w:r>
          <w:rPr>
            <w:rStyle w:val="CharDefText"/>
          </w:rPr>
          <w:t>pastoral lessee</w:t>
        </w:r>
        <w:r>
          <w:t xml:space="preserve"> has the meaning given in the </w:t>
        </w:r>
        <w:r>
          <w:rPr>
            <w:i/>
          </w:rPr>
          <w:t>Land Administration Act 1997</w:t>
        </w:r>
        <w:r>
          <w:t xml:space="preserve"> section 3(1);</w:t>
        </w:r>
      </w:ins>
    </w:p>
    <w:p>
      <w:pPr>
        <w:pStyle w:val="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tab/>
      </w:r>
      <w:r>
        <w:rPr>
          <w:rStyle w:val="CharDefText"/>
        </w:rPr>
        <w:t>primary production</w:t>
      </w:r>
      <w:r>
        <w:t xml:space="preserve"> has the meaning given in section 101A;</w:t>
      </w:r>
    </w:p>
    <w:p>
      <w:pPr>
        <w:pStyle w:val="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Defstart"/>
      </w:pPr>
      <w:r>
        <w:tab/>
      </w:r>
      <w:r>
        <w:rPr>
          <w:rStyle w:val="CharDefText"/>
        </w:rPr>
        <w:t>public authority</w:t>
      </w:r>
      <w:r>
        <w:t xml:space="preserve"> means — </w:t>
      </w:r>
    </w:p>
    <w:p>
      <w:pPr>
        <w:pStyle w:val="Defpara"/>
        <w:spacing w:before="60"/>
      </w:pPr>
      <w:r>
        <w:tab/>
        <w:t>(a)</w:t>
      </w:r>
      <w:r>
        <w:tab/>
        <w:t>a trading concern, instrumentality or public utility of the State; or</w:t>
      </w:r>
    </w:p>
    <w:p>
      <w:pPr>
        <w:pStyle w:val="Defpara"/>
        <w:spacing w:before="60"/>
      </w:pPr>
      <w:r>
        <w:tab/>
        <w:t>(b)</w:t>
      </w:r>
      <w:r>
        <w:tab/>
        <w:t>any other person or body, whether corporate or not, who or which, under the authority of a written law, administers or carries on for the benefit of the State, a social service or public utility;</w:t>
      </w:r>
    </w:p>
    <w:p>
      <w:pPr>
        <w:pStyle w:val="Defstart"/>
        <w:rPr>
          <w:ins w:id="70" w:author="Master Repository Process" w:date="2022-05-27T14:27:00Z"/>
        </w:rPr>
      </w:pPr>
      <w:ins w:id="71" w:author="Master Repository Process" w:date="2022-05-27T14:27:00Z">
        <w:r>
          <w:tab/>
        </w:r>
        <w:r>
          <w:rPr>
            <w:rStyle w:val="CharDefText"/>
          </w:rPr>
          <w:t>public float</w:t>
        </w:r>
        <w:r>
          <w:t xml:space="preserve"> has the meaning given in section 257;</w:t>
        </w:r>
      </w:ins>
    </w:p>
    <w:p>
      <w:pPr>
        <w:pStyle w:val="Defstart"/>
        <w:spacing w:before="60"/>
      </w:pPr>
      <w:r>
        <w:rPr>
          <w:b/>
        </w:rPr>
        <w:tab/>
      </w:r>
      <w:r>
        <w:rPr>
          <w:rStyle w:val="CharDefText"/>
        </w:rPr>
        <w:t>registered scheme</w:t>
      </w:r>
      <w:r>
        <w:t xml:space="preserve"> has the meaning given in the Corporations Act section 9;</w:t>
      </w:r>
    </w:p>
    <w:p>
      <w:pPr>
        <w:pStyle w:val="Defstart"/>
        <w:spacing w:before="60"/>
      </w:pPr>
      <w:r>
        <w:rPr>
          <w:b/>
        </w:rPr>
        <w:tab/>
      </w:r>
      <w:r>
        <w:rPr>
          <w:rStyle w:val="CharDefText"/>
        </w:rPr>
        <w:t>related corporation</w:t>
      </w:r>
      <w:r>
        <w:t xml:space="preserve"> has the meaning related body corporate is given in the Corporations Act section 9;</w:t>
      </w:r>
    </w:p>
    <w:p>
      <w:pPr>
        <w:pStyle w:val="Defstart"/>
        <w:spacing w:before="60"/>
      </w:pPr>
      <w:r>
        <w:tab/>
      </w:r>
      <w:r>
        <w:rPr>
          <w:rStyle w:val="CharDefText"/>
        </w:rPr>
        <w:t>relevant body</w:t>
      </w:r>
      <w:r>
        <w:t xml:space="preserve"> has the meaning given in section 96A;</w:t>
      </w:r>
    </w:p>
    <w:p>
      <w:pPr>
        <w:pStyle w:val="Defstart"/>
        <w:rPr>
          <w:ins w:id="72" w:author="Master Repository Process" w:date="2022-05-27T14:27:00Z"/>
        </w:rPr>
      </w:pPr>
      <w:ins w:id="73" w:author="Master Repository Process" w:date="2022-05-27T14:27:00Z">
        <w:r>
          <w:tab/>
        </w:r>
        <w:r>
          <w:rPr>
            <w:rStyle w:val="CharDefText"/>
          </w:rPr>
          <w:t>relocatable home</w:t>
        </w:r>
        <w:r>
          <w:t xml:space="preserve"> means a relocatable home as defined in the </w:t>
        </w:r>
        <w:r>
          <w:rPr>
            <w:i/>
          </w:rPr>
          <w:t>Residential Parks (Long-stay Tenants) Act 2006</w:t>
        </w:r>
        <w:r>
          <w:t xml:space="preserve"> Glossary;</w:t>
        </w:r>
      </w:ins>
    </w:p>
    <w:p>
      <w:pPr>
        <w:pStyle w:val="Defstart"/>
        <w:rPr>
          <w:ins w:id="74" w:author="Master Repository Process" w:date="2022-05-27T14:27:00Z"/>
        </w:rPr>
      </w:pPr>
      <w:ins w:id="75" w:author="Master Repository Process" w:date="2022-05-27T14:27:00Z">
        <w:r>
          <w:tab/>
        </w:r>
        <w:r>
          <w:rPr>
            <w:rStyle w:val="CharDefText"/>
          </w:rPr>
          <w:t>residential park site</w:t>
        </w:r>
        <w:r>
          <w:t xml:space="preserve"> means a site (as defined in the </w:t>
        </w:r>
        <w:r>
          <w:rPr>
            <w:i/>
          </w:rPr>
          <w:t>Residential Parks (Long-stay Tenants) Act 2006</w:t>
        </w:r>
        <w:r>
          <w:t xml:space="preserve"> Glossary) in a residential park (as defined in that Glossary);</w:t>
        </w:r>
      </w:ins>
    </w:p>
    <w:p>
      <w:pPr>
        <w:pStyle w:val="Defstart"/>
      </w:pPr>
      <w:r>
        <w:tab/>
      </w:r>
      <w:r>
        <w:rPr>
          <w:rStyle w:val="CharDefText"/>
        </w:rPr>
        <w:t>residential property</w:t>
      </w:r>
      <w:r>
        <w:t xml:space="preserve"> has the meaning given in section 205E;</w:t>
      </w:r>
    </w:p>
    <w:p>
      <w:pPr>
        <w:pStyle w:val="Defstart"/>
        <w:spacing w:before="60"/>
      </w:pPr>
      <w:r>
        <w:rPr>
          <w:b/>
        </w:rPr>
        <w:tab/>
      </w:r>
      <w:r>
        <w:rPr>
          <w:rStyle w:val="CharDefText"/>
        </w:rPr>
        <w:t>security interest</w:t>
      </w:r>
      <w:r>
        <w:t xml:space="preserve"> means the estate or interest of a mortgagee, chargee or other secured creditor;</w:t>
      </w:r>
    </w:p>
    <w:p>
      <w:pPr>
        <w:pStyle w:val="Defstart"/>
        <w:spacing w:before="60"/>
      </w:pPr>
      <w:r>
        <w:rPr>
          <w:b/>
        </w:rPr>
        <w:tab/>
      </w:r>
      <w:r>
        <w:rPr>
          <w:rStyle w:val="CharDefText"/>
        </w:rPr>
        <w:t>share</w:t>
      </w:r>
      <w:r>
        <w:t xml:space="preserve"> — </w:t>
      </w:r>
    </w:p>
    <w:p>
      <w:pPr>
        <w:pStyle w:val="Defpara"/>
        <w:spacing w:before="60"/>
      </w:pPr>
      <w:r>
        <w:tab/>
        <w:t>(a)</w:t>
      </w:r>
      <w:r>
        <w:tab/>
        <w:t>in Chapter 2 Part 5 Division 3 — has the meaning given in section 63; and</w:t>
      </w:r>
    </w:p>
    <w:p>
      <w:pPr>
        <w:pStyle w:val="Defpara"/>
        <w:spacing w:before="60"/>
      </w:pPr>
      <w:r>
        <w:tab/>
        <w:t>(b)</w:t>
      </w:r>
      <w:r>
        <w:tab/>
        <w:t>otherwise — means a share or stock of a corporation or an interest in a share or stock of a corporation;</w:t>
      </w:r>
    </w:p>
    <w:p>
      <w:pPr>
        <w:pStyle w:val="Defstart"/>
        <w:spacing w:before="60"/>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spacing w:before="60"/>
      </w:pPr>
      <w:r>
        <w:rPr>
          <w:b/>
        </w:rPr>
        <w:tab/>
      </w:r>
      <w:r>
        <w:rPr>
          <w:rStyle w:val="CharDefText"/>
        </w:rPr>
        <w:t>Taxation Administration Act</w:t>
      </w:r>
      <w:r>
        <w:t xml:space="preserve"> means the </w:t>
      </w:r>
      <w:r>
        <w:rPr>
          <w:i/>
          <w:iCs/>
        </w:rPr>
        <w:t>Taxation Administration Act 2003</w:t>
      </w:r>
      <w:r>
        <w:t>;</w:t>
      </w:r>
    </w:p>
    <w:p>
      <w:pPr>
        <w:pStyle w:val="Defstart"/>
        <w:spacing w:before="60"/>
      </w:pPr>
      <w:r>
        <w:rPr>
          <w:b/>
        </w:rPr>
        <w:tab/>
      </w:r>
      <w:r>
        <w:rPr>
          <w:rStyle w:val="CharDefText"/>
        </w:rPr>
        <w:t>transaction</w:t>
      </w:r>
      <w:r>
        <w:t xml:space="preserve"> includes an event;</w:t>
      </w:r>
    </w:p>
    <w:p>
      <w:pPr>
        <w:pStyle w:val="Defstart"/>
        <w:keepNext/>
        <w:spacing w:before="60"/>
      </w:pPr>
      <w:r>
        <w:rPr>
          <w:b/>
        </w:rPr>
        <w:tab/>
      </w:r>
      <w:r>
        <w:rPr>
          <w:rStyle w:val="CharDefText"/>
        </w:rPr>
        <w:t>transaction record</w:t>
      </w:r>
      <w:r>
        <w:rPr>
          <w:bCs/>
        </w:rPr>
        <w:t>,</w:t>
      </w:r>
      <w:r>
        <w:t xml:space="preserve"> in relation to a dutiable transaction, means — </w:t>
      </w:r>
    </w:p>
    <w:p>
      <w:pPr>
        <w:pStyle w:val="Defpara"/>
        <w:spacing w:before="60"/>
      </w:pPr>
      <w:r>
        <w:tab/>
        <w:t>(a)</w:t>
      </w:r>
      <w:r>
        <w:tab/>
        <w:t xml:space="preserve">an instrument that effects, or evidences, the dutiable transaction; or </w:t>
      </w:r>
    </w:p>
    <w:p>
      <w:pPr>
        <w:pStyle w:val="Defpara"/>
        <w:spacing w:before="60"/>
      </w:pPr>
      <w:r>
        <w:tab/>
        <w:t>(b)</w:t>
      </w:r>
      <w:r>
        <w:tab/>
        <w:t>a transfer duty statement for the dutiable transaction; or</w:t>
      </w:r>
    </w:p>
    <w:p>
      <w:pPr>
        <w:pStyle w:val="Defpara"/>
        <w:spacing w:before="60"/>
      </w:pPr>
      <w:r>
        <w:tab/>
        <w:t>(c)</w:t>
      </w:r>
      <w:r>
        <w:tab/>
        <w:t>a copy or memorandum that, under the Taxation Administration Act section 20, is treated as an instrument or statement referred to in paragraph (a) or (b);</w:t>
      </w:r>
    </w:p>
    <w:p>
      <w:pPr>
        <w:pStyle w:val="Defstart"/>
        <w:spacing w:before="60"/>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22(1);</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PermNoteHeading"/>
      </w:pPr>
      <w:r>
        <w:tab/>
        <w:t>Note for this section:</w:t>
      </w:r>
    </w:p>
    <w:p>
      <w:pPr>
        <w:pStyle w:val="PermNoteText"/>
      </w:pPr>
      <w:r>
        <w:tab/>
      </w:r>
      <w:r>
        <w:tab/>
        <w:t>Other terms are defined or explained in the Chapters in which they are used.  At the end of this Act there is an alphabetical list of all terms that are defined anywhere in this Act.  See also section 4(2).</w:t>
      </w:r>
    </w:p>
    <w:p>
      <w:pPr>
        <w:pStyle w:val="Footnotesection"/>
        <w:rPr>
          <w:ins w:id="76" w:author="Master Repository Process" w:date="2022-05-27T14:27:00Z"/>
        </w:rPr>
      </w:pPr>
      <w:r>
        <w:tab/>
        <w:t>[Section 3 amended: No. 17 of 2010 s. 11; No. 33 of 2011 s. 4; No. 2 of 2014 s. 49; No. 1 of 2015 s. 10; No. 8 of 2015 s. 4; No. 26 of 2016 s. 50; No. 24 of 2018 s. </w:t>
      </w:r>
      <w:del w:id="77" w:author="Master Repository Process" w:date="2022-05-27T14:27:00Z">
        <w:r>
          <w:delText>4</w:delText>
        </w:r>
      </w:del>
      <w:ins w:id="78" w:author="Master Repository Process" w:date="2022-05-27T14:27:00Z">
        <w:r>
          <w:t>4; No. 12 of 2019 s. 4.]</w:t>
        </w:r>
      </w:ins>
    </w:p>
    <w:p>
      <w:pPr>
        <w:pStyle w:val="Heading5"/>
        <w:rPr>
          <w:ins w:id="79" w:author="Master Repository Process" w:date="2022-05-27T14:27:00Z"/>
        </w:rPr>
      </w:pPr>
      <w:bookmarkStart w:id="80" w:name="_Toc104290796"/>
      <w:ins w:id="81" w:author="Master Repository Process" w:date="2022-05-27T14:27:00Z">
        <w:r>
          <w:rPr>
            <w:rStyle w:val="CharSectno"/>
          </w:rPr>
          <w:t>3A</w:t>
        </w:r>
        <w:r>
          <w:t>.</w:t>
        </w:r>
        <w:r>
          <w:tab/>
          <w:t>Term used: land</w:t>
        </w:r>
        <w:bookmarkEnd w:id="80"/>
      </w:ins>
    </w:p>
    <w:p>
      <w:pPr>
        <w:pStyle w:val="Subsection"/>
        <w:rPr>
          <w:ins w:id="82" w:author="Master Repository Process" w:date="2022-05-27T14:27:00Z"/>
        </w:rPr>
      </w:pPr>
      <w:ins w:id="83" w:author="Master Repository Process" w:date="2022-05-27T14:27:00Z">
        <w:r>
          <w:tab/>
          <w:t>(1)</w:t>
        </w:r>
        <w:r>
          <w:tab/>
          <w:t xml:space="preserve">In this Act, </w:t>
        </w:r>
        <w:r>
          <w:rPr>
            <w:rStyle w:val="CharDefText"/>
          </w:rPr>
          <w:t>land</w:t>
        </w:r>
        <w:r>
          <w:t xml:space="preserve"> includes the following — </w:t>
        </w:r>
      </w:ins>
    </w:p>
    <w:p>
      <w:pPr>
        <w:pStyle w:val="Indenta"/>
        <w:rPr>
          <w:ins w:id="84" w:author="Master Repository Process" w:date="2022-05-27T14:27:00Z"/>
        </w:rPr>
      </w:pPr>
      <w:ins w:id="85" w:author="Master Repository Process" w:date="2022-05-27T14:27:00Z">
        <w:r>
          <w:tab/>
          <w:t>(a)</w:t>
        </w:r>
        <w:r>
          <w:tab/>
          <w:t>an estate or interest in land;</w:t>
        </w:r>
      </w:ins>
    </w:p>
    <w:p>
      <w:pPr>
        <w:pStyle w:val="Indenta"/>
        <w:rPr>
          <w:ins w:id="86" w:author="Master Repository Process" w:date="2022-05-27T14:27:00Z"/>
        </w:rPr>
      </w:pPr>
      <w:ins w:id="87" w:author="Master Repository Process" w:date="2022-05-27T14:27:00Z">
        <w:r>
          <w:tab/>
          <w:t>(b)</w:t>
        </w:r>
        <w:r>
          <w:tab/>
          <w:t>a mining tenement;</w:t>
        </w:r>
      </w:ins>
    </w:p>
    <w:p>
      <w:pPr>
        <w:pStyle w:val="Indenta"/>
        <w:rPr>
          <w:ins w:id="88" w:author="Master Repository Process" w:date="2022-05-27T14:27:00Z"/>
        </w:rPr>
      </w:pPr>
      <w:ins w:id="89" w:author="Master Repository Process" w:date="2022-05-27T14:27:00Z">
        <w:r>
          <w:tab/>
          <w:t>(c)</w:t>
        </w:r>
        <w:r>
          <w:tab/>
          <w:t>an estate or interest in a mining tenement;</w:t>
        </w:r>
      </w:ins>
    </w:p>
    <w:p>
      <w:pPr>
        <w:pStyle w:val="Indenta"/>
        <w:rPr>
          <w:ins w:id="90" w:author="Master Repository Process" w:date="2022-05-27T14:27:00Z"/>
        </w:rPr>
      </w:pPr>
      <w:ins w:id="91" w:author="Master Repository Process" w:date="2022-05-27T14:27:00Z">
        <w:r>
          <w:tab/>
          <w:t>(d)</w:t>
        </w:r>
        <w:r>
          <w:tab/>
          <w:t>a pastoral lease;</w:t>
        </w:r>
      </w:ins>
    </w:p>
    <w:p>
      <w:pPr>
        <w:pStyle w:val="Indenta"/>
        <w:rPr>
          <w:ins w:id="92" w:author="Master Repository Process" w:date="2022-05-27T14:27:00Z"/>
        </w:rPr>
      </w:pPr>
      <w:ins w:id="93" w:author="Master Repository Process" w:date="2022-05-27T14:27:00Z">
        <w:r>
          <w:tab/>
          <w:t>(e)</w:t>
        </w:r>
        <w:r>
          <w:tab/>
          <w:t>an interest of a pastoral lessee under a pastoral lease;</w:t>
        </w:r>
      </w:ins>
    </w:p>
    <w:p>
      <w:pPr>
        <w:pStyle w:val="Indenta"/>
        <w:rPr>
          <w:ins w:id="94" w:author="Master Repository Process" w:date="2022-05-27T14:27:00Z"/>
        </w:rPr>
      </w:pPr>
      <w:ins w:id="95" w:author="Master Repository Process" w:date="2022-05-27T14:27:00Z">
        <w:r>
          <w:tab/>
          <w:t>(f)</w:t>
        </w:r>
        <w:r>
          <w:tab/>
          <w:t xml:space="preserve">anything fixed to land (including land the subject of a mining tenement or pastoral lease), whether or not the thing — </w:t>
        </w:r>
      </w:ins>
    </w:p>
    <w:p>
      <w:pPr>
        <w:pStyle w:val="Indenti"/>
        <w:rPr>
          <w:ins w:id="96" w:author="Master Repository Process" w:date="2022-05-27T14:27:00Z"/>
        </w:rPr>
      </w:pPr>
      <w:ins w:id="97" w:author="Master Repository Process" w:date="2022-05-27T14:27:00Z">
        <w:r>
          <w:tab/>
          <w:t>(i)</w:t>
        </w:r>
        <w:r>
          <w:tab/>
          <w:t>constitutes a fixture at law; or</w:t>
        </w:r>
      </w:ins>
    </w:p>
    <w:p>
      <w:pPr>
        <w:pStyle w:val="Indenti"/>
        <w:rPr>
          <w:ins w:id="98" w:author="Master Repository Process" w:date="2022-05-27T14:27:00Z"/>
        </w:rPr>
      </w:pPr>
      <w:ins w:id="99" w:author="Master Repository Process" w:date="2022-05-27T14:27:00Z">
        <w:r>
          <w:tab/>
          <w:t>(ii)</w:t>
        </w:r>
        <w:r>
          <w:tab/>
          <w:t>is owned separately from the land; or</w:t>
        </w:r>
      </w:ins>
    </w:p>
    <w:p>
      <w:pPr>
        <w:pStyle w:val="Indenti"/>
        <w:rPr>
          <w:ins w:id="100" w:author="Master Repository Process" w:date="2022-05-27T14:27:00Z"/>
        </w:rPr>
      </w:pPr>
      <w:ins w:id="101" w:author="Master Repository Process" w:date="2022-05-27T14:27:00Z">
        <w:r>
          <w:tab/>
          <w:t>(iii)</w:t>
        </w:r>
        <w:r>
          <w:tab/>
          <w:t>is notionally severed or considered to be legally separate from the land as a result of the operation of any law of the State or the Commonwealth;</w:t>
        </w:r>
      </w:ins>
    </w:p>
    <w:p>
      <w:pPr>
        <w:pStyle w:val="Indenta"/>
        <w:rPr>
          <w:ins w:id="102" w:author="Master Repository Process" w:date="2022-05-27T14:27:00Z"/>
        </w:rPr>
      </w:pPr>
      <w:ins w:id="103" w:author="Master Repository Process" w:date="2022-05-27T14:27:00Z">
        <w:r>
          <w:tab/>
          <w:t>(g)</w:t>
        </w:r>
        <w:r>
          <w:tab/>
          <w:t>an estate or interest in a thing to which subsection (1)(f) applies.</w:t>
        </w:r>
      </w:ins>
    </w:p>
    <w:p>
      <w:pPr>
        <w:pStyle w:val="Subsection"/>
        <w:rPr>
          <w:ins w:id="104" w:author="Master Repository Process" w:date="2022-05-27T14:27:00Z"/>
        </w:rPr>
      </w:pPr>
      <w:ins w:id="105" w:author="Master Repository Process" w:date="2022-05-27T14:27:00Z">
        <w:r>
          <w:tab/>
          <w:t>(2)</w:t>
        </w:r>
        <w:r>
          <w:tab/>
          <w:t xml:space="preserve">In this Act, </w:t>
        </w:r>
        <w:r>
          <w:rPr>
            <w:rStyle w:val="CharDefText"/>
          </w:rPr>
          <w:t>land</w:t>
        </w:r>
        <w:r>
          <w:t xml:space="preserve"> does not include — </w:t>
        </w:r>
      </w:ins>
    </w:p>
    <w:p>
      <w:pPr>
        <w:pStyle w:val="Indenta"/>
        <w:rPr>
          <w:ins w:id="106" w:author="Master Repository Process" w:date="2022-05-27T14:27:00Z"/>
        </w:rPr>
      </w:pPr>
      <w:ins w:id="107" w:author="Master Repository Process" w:date="2022-05-27T14:27:00Z">
        <w:r>
          <w:tab/>
          <w:t>(a)</w:t>
        </w:r>
        <w:r>
          <w:tab/>
          <w:t xml:space="preserve">a carbon right or a carbon covenant registered under the </w:t>
        </w:r>
        <w:r>
          <w:rPr>
            <w:i/>
          </w:rPr>
          <w:t>Carbon Rights Act 2003</w:t>
        </w:r>
        <w:r>
          <w:t>; or</w:t>
        </w:r>
      </w:ins>
    </w:p>
    <w:p>
      <w:pPr>
        <w:pStyle w:val="Indenta"/>
        <w:rPr>
          <w:ins w:id="108" w:author="Master Repository Process" w:date="2022-05-27T14:27:00Z"/>
        </w:rPr>
      </w:pPr>
      <w:ins w:id="109" w:author="Master Repository Process" w:date="2022-05-27T14:27:00Z">
        <w:r>
          <w:tab/>
          <w:t>(b)</w:t>
        </w:r>
        <w:r>
          <w:tab/>
          <w:t>a derivative mining right.</w:t>
        </w:r>
      </w:ins>
    </w:p>
    <w:p>
      <w:pPr>
        <w:pStyle w:val="Subsection"/>
        <w:rPr>
          <w:ins w:id="110" w:author="Master Repository Process" w:date="2022-05-27T14:27:00Z"/>
        </w:rPr>
      </w:pPr>
      <w:ins w:id="111" w:author="Master Repository Process" w:date="2022-05-27T14:27:00Z">
        <w:r>
          <w:tab/>
          <w:t>(3)</w:t>
        </w:r>
        <w:r>
          <w:tab/>
          <w:t>Without limiting subsection (1)(f), a thing is taken to be fixed to land if it has a physical connection to the land or is buried or partly buried under the surface of the land.</w:t>
        </w:r>
      </w:ins>
    </w:p>
    <w:p>
      <w:pPr>
        <w:pStyle w:val="Subsection"/>
        <w:rPr>
          <w:ins w:id="112" w:author="Master Repository Process" w:date="2022-05-27T14:27:00Z"/>
        </w:rPr>
      </w:pPr>
      <w:ins w:id="113" w:author="Master Repository Process" w:date="2022-05-27T14:27:00Z">
        <w:r>
          <w:tab/>
          <w:t>(4)</w:t>
        </w:r>
        <w:r>
          <w:tab/>
          <w:t xml:space="preserve">Subsection (1)(f) does not apply to the following — </w:t>
        </w:r>
      </w:ins>
    </w:p>
    <w:p>
      <w:pPr>
        <w:pStyle w:val="Indenta"/>
        <w:rPr>
          <w:ins w:id="114" w:author="Master Repository Process" w:date="2022-05-27T14:27:00Z"/>
        </w:rPr>
      </w:pPr>
      <w:ins w:id="115" w:author="Master Repository Process" w:date="2022-05-27T14:27:00Z">
        <w:r>
          <w:tab/>
          <w:t>(a)</w:t>
        </w:r>
        <w:r>
          <w:tab/>
          <w:t>a thing that is fixed to land on a temporary basis and only for the purpose of being used in construction works;</w:t>
        </w:r>
      </w:ins>
    </w:p>
    <w:p>
      <w:pPr>
        <w:pStyle w:val="Indenta"/>
        <w:rPr>
          <w:ins w:id="116" w:author="Master Repository Process" w:date="2022-05-27T14:27:00Z"/>
        </w:rPr>
      </w:pPr>
      <w:ins w:id="117" w:author="Master Repository Process" w:date="2022-05-27T14:27:00Z">
        <w:r>
          <w:tab/>
          <w:t>(b)</w:t>
        </w:r>
        <w:r>
          <w:tab/>
          <w:t>a thing that does not constitute a fixture at law and that is held or used in connection with the business of primary production;</w:t>
        </w:r>
      </w:ins>
    </w:p>
    <w:p>
      <w:pPr>
        <w:pStyle w:val="Indenta"/>
        <w:rPr>
          <w:ins w:id="118" w:author="Master Repository Process" w:date="2022-05-27T14:27:00Z"/>
        </w:rPr>
      </w:pPr>
      <w:ins w:id="119" w:author="Master Repository Process" w:date="2022-05-27T14:27:00Z">
        <w:r>
          <w:tab/>
          <w:t>(c)</w:t>
        </w:r>
        <w:r>
          <w:tab/>
          <w:t>a relocatable home fixed to a residential park site, or an addition or structure fixed or attached to the home or site for the use or enjoyment of the occupier of the home, that does not constitute a fixture at law;</w:t>
        </w:r>
      </w:ins>
    </w:p>
    <w:p>
      <w:pPr>
        <w:pStyle w:val="Indenta"/>
        <w:rPr>
          <w:ins w:id="120" w:author="Master Repository Process" w:date="2022-05-27T14:27:00Z"/>
        </w:rPr>
      </w:pPr>
      <w:ins w:id="121" w:author="Master Repository Process" w:date="2022-05-27T14:27:00Z">
        <w:r>
          <w:tab/>
          <w:t>(d)</w:t>
        </w:r>
        <w:r>
          <w:tab/>
          <w:t>a thing of a kind prescribed for the purposes of this paragraph.</w:t>
        </w:r>
      </w:ins>
    </w:p>
    <w:p>
      <w:pPr>
        <w:pStyle w:val="Subsection"/>
        <w:rPr>
          <w:ins w:id="122" w:author="Master Repository Process" w:date="2022-05-27T14:27:00Z"/>
        </w:rPr>
      </w:pPr>
      <w:ins w:id="123" w:author="Master Repository Process" w:date="2022-05-27T14:27:00Z">
        <w:r>
          <w:tab/>
          <w:t>(5)</w:t>
        </w:r>
        <w:r>
          <w:tab/>
          <w:t xml:space="preserve">A paragraph of subsection (1) is not to be taken into account in determining the meaning of </w:t>
        </w:r>
        <w:r>
          <w:rPr>
            <w:rStyle w:val="CharDefText"/>
          </w:rPr>
          <w:t>land</w:t>
        </w:r>
        <w:r>
          <w:t xml:space="preserve"> when used in another paragraph of subsection (1).</w:t>
        </w:r>
      </w:ins>
    </w:p>
    <w:p>
      <w:pPr>
        <w:pStyle w:val="Footnotesection"/>
      </w:pPr>
      <w:ins w:id="124" w:author="Master Repository Process" w:date="2022-05-27T14:27:00Z">
        <w:r>
          <w:tab/>
          <w:t>[Section 3A inserted: No. 12 of 2019 s. 5</w:t>
        </w:r>
      </w:ins>
      <w:r>
        <w:t>.]</w:t>
      </w:r>
    </w:p>
    <w:p>
      <w:pPr>
        <w:pStyle w:val="Heading5"/>
        <w:rPr>
          <w:snapToGrid w:val="0"/>
        </w:rPr>
      </w:pPr>
      <w:bookmarkStart w:id="125" w:name="_Toc104290797"/>
      <w:bookmarkStart w:id="126" w:name="_Toc531859168"/>
      <w:r>
        <w:rPr>
          <w:rStyle w:val="CharSectno"/>
        </w:rPr>
        <w:t>4</w:t>
      </w:r>
      <w:r>
        <w:rPr>
          <w:snapToGrid w:val="0"/>
        </w:rPr>
        <w:t>.</w:t>
      </w:r>
      <w:r>
        <w:rPr>
          <w:snapToGrid w:val="0"/>
        </w:rPr>
        <w:tab/>
        <w:t xml:space="preserve">Relationship with </w:t>
      </w:r>
      <w:r>
        <w:rPr>
          <w:i/>
          <w:iCs/>
          <w:snapToGrid w:val="0"/>
        </w:rPr>
        <w:t>Taxation Administration Act 2003</w:t>
      </w:r>
      <w:bookmarkEnd w:id="125"/>
      <w:bookmarkEnd w:id="126"/>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PermNoteHeading"/>
      </w:pPr>
      <w:r>
        <w:tab/>
        <w:t>Note for this subsection:</w:t>
      </w:r>
    </w:p>
    <w:p>
      <w:pPr>
        <w:pStyle w:val="PermNoteText"/>
      </w:pPr>
      <w:r>
        <w:tab/>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127" w:name="_Toc104290798"/>
      <w:bookmarkStart w:id="128" w:name="_Toc531859169"/>
      <w:r>
        <w:rPr>
          <w:rStyle w:val="CharSectno"/>
        </w:rPr>
        <w:t>5</w:t>
      </w:r>
      <w:r>
        <w:t>.</w:t>
      </w:r>
      <w:r>
        <w:tab/>
        <w:t>GST, effect of on value or consideration</w:t>
      </w:r>
      <w:bookmarkEnd w:id="127"/>
      <w:bookmarkEnd w:id="128"/>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129" w:name="_Toc104290799"/>
      <w:bookmarkStart w:id="130" w:name="_Toc531859170"/>
      <w:r>
        <w:rPr>
          <w:rStyle w:val="CharSectno"/>
        </w:rPr>
        <w:t>6</w:t>
      </w:r>
      <w:r>
        <w:t>.</w:t>
      </w:r>
      <w:r>
        <w:tab/>
      </w:r>
      <w:del w:id="131" w:author="Master Repository Process" w:date="2022-05-27T14:27:00Z">
        <w:r>
          <w:delText>Family</w:delText>
        </w:r>
      </w:del>
      <w:ins w:id="132" w:author="Master Repository Process" w:date="2022-05-27T14:27:00Z">
        <w:r>
          <w:t>Determining family</w:t>
        </w:r>
      </w:ins>
      <w:r>
        <w:t xml:space="preserve"> relationships</w:t>
      </w:r>
      <w:bookmarkEnd w:id="129"/>
      <w:del w:id="133" w:author="Master Repository Process" w:date="2022-05-27T14:27:00Z">
        <w:r>
          <w:delText>, determining</w:delText>
        </w:r>
      </w:del>
      <w:bookmarkEnd w:id="130"/>
    </w:p>
    <w:p>
      <w:pPr>
        <w:pStyle w:val="Subsection"/>
        <w:rPr>
          <w:ins w:id="134" w:author="Master Repository Process" w:date="2022-05-27T14:27:00Z"/>
        </w:rPr>
      </w:pPr>
      <w:del w:id="135" w:author="Master Repository Process" w:date="2022-05-27T14:27:00Z">
        <w:r>
          <w:tab/>
        </w:r>
      </w:del>
      <w:ins w:id="136" w:author="Master Repository Process" w:date="2022-05-27T14:27:00Z">
        <w:r>
          <w:tab/>
          <w:t>(1)</w:t>
        </w:r>
        <w:r>
          <w:tab/>
          <w:t xml:space="preserve">In this section — </w:t>
        </w:r>
      </w:ins>
    </w:p>
    <w:p>
      <w:pPr>
        <w:pStyle w:val="Defstart"/>
        <w:rPr>
          <w:ins w:id="137" w:author="Master Repository Process" w:date="2022-05-27T14:27:00Z"/>
        </w:rPr>
      </w:pPr>
      <w:ins w:id="138" w:author="Master Repository Process" w:date="2022-05-27T14:27:00Z">
        <w:r>
          <w:tab/>
        </w:r>
        <w:r>
          <w:rPr>
            <w:rStyle w:val="CharDefText"/>
          </w:rPr>
          <w:t>step</w:t>
        </w:r>
        <w:r>
          <w:rPr>
            <w:rStyle w:val="CharDefText"/>
          </w:rPr>
          <w:noBreakHyphen/>
          <w:t>child</w:t>
        </w:r>
        <w:r>
          <w:t>, of a person, means a child of a spouse or de facto partner of the person.</w:t>
        </w:r>
      </w:ins>
    </w:p>
    <w:p>
      <w:pPr>
        <w:pStyle w:val="Subsection"/>
      </w:pPr>
      <w:ins w:id="139" w:author="Master Repository Process" w:date="2022-05-27T14:27:00Z">
        <w:r>
          <w:tab/>
          <w:t>(2)</w:t>
        </w:r>
      </w:ins>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rPr>
          <w:ins w:id="140" w:author="Master Repository Process" w:date="2022-05-27T14:27:00Z"/>
        </w:rPr>
      </w:pPr>
      <w:ins w:id="141" w:author="Master Repository Process" w:date="2022-05-27T14:27:00Z">
        <w:r>
          <w:tab/>
          <w:t>(3)</w:t>
        </w:r>
        <w:r>
          <w:tab/>
          <w:t>In determining for the purposes of section 43(1)(c) or (ca), 87(6)(a), (c) or (h) or 100(1)(a) or (c) whether a person is a child or remoter lineal descendant of another person, a step</w:t>
        </w:r>
        <w:r>
          <w:noBreakHyphen/>
          <w:t>child of a person is to be treated as a child.</w:t>
        </w:r>
      </w:ins>
    </w:p>
    <w:p>
      <w:pPr>
        <w:pStyle w:val="Subsection"/>
        <w:rPr>
          <w:ins w:id="142" w:author="Master Repository Process" w:date="2022-05-27T14:27:00Z"/>
        </w:rPr>
      </w:pPr>
      <w:ins w:id="143" w:author="Master Repository Process" w:date="2022-05-27T14:27:00Z">
        <w:r>
          <w:tab/>
          <w:t>(4)</w:t>
        </w:r>
        <w:r>
          <w:tab/>
          <w:t>In determining for the purposes of section 162(1)(b) whether the relationship between individuals is that of parent and child, a step</w:t>
        </w:r>
        <w:r>
          <w:noBreakHyphen/>
          <w:t>child of a person is to be treated as a child.</w:t>
        </w:r>
      </w:ins>
    </w:p>
    <w:p>
      <w:pPr>
        <w:pStyle w:val="Footnotesection"/>
        <w:rPr>
          <w:ins w:id="144" w:author="Master Repository Process" w:date="2022-05-27T14:27:00Z"/>
        </w:rPr>
      </w:pPr>
      <w:ins w:id="145" w:author="Master Repository Process" w:date="2022-05-27T14:27:00Z">
        <w:r>
          <w:tab/>
          <w:t>[Section 6 amended: No. 12 of 2019 s. 6.]</w:t>
        </w:r>
      </w:ins>
    </w:p>
    <w:p>
      <w:pPr>
        <w:pStyle w:val="Heading5"/>
      </w:pPr>
      <w:bookmarkStart w:id="146" w:name="_Toc104290800"/>
      <w:bookmarkStart w:id="147" w:name="_Toc531859171"/>
      <w:r>
        <w:rPr>
          <w:rStyle w:val="CharSectno"/>
        </w:rPr>
        <w:t>7</w:t>
      </w:r>
      <w:r>
        <w:t>.</w:t>
      </w:r>
      <w:r>
        <w:tab/>
        <w:t>References to being wound up</w:t>
      </w:r>
      <w:bookmarkEnd w:id="146"/>
      <w:bookmarkEnd w:id="147"/>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148" w:name="_Toc104290801"/>
      <w:bookmarkStart w:id="149" w:name="_Toc531859172"/>
      <w:r>
        <w:rPr>
          <w:rStyle w:val="CharSectno"/>
        </w:rPr>
        <w:t>8</w:t>
      </w:r>
      <w:r>
        <w:rPr>
          <w:snapToGrid w:val="0"/>
        </w:rPr>
        <w:t>.</w:t>
      </w:r>
      <w:r>
        <w:rPr>
          <w:snapToGrid w:val="0"/>
        </w:rPr>
        <w:tab/>
        <w:t>Notes in text</w:t>
      </w:r>
      <w:bookmarkEnd w:id="148"/>
      <w:bookmarkEnd w:id="149"/>
    </w:p>
    <w:p>
      <w:pPr>
        <w:pStyle w:val="Subsection"/>
      </w:pPr>
      <w:r>
        <w:tab/>
      </w:r>
      <w:r>
        <w:tab/>
        <w:t>A note included in this Act is explanatory and is not part of this Act.</w:t>
      </w:r>
    </w:p>
    <w:p>
      <w:pPr>
        <w:pStyle w:val="Heading2"/>
        <w:rPr>
          <w:sz w:val="32"/>
        </w:rPr>
      </w:pPr>
      <w:bookmarkStart w:id="150" w:name="_Toc37946607"/>
      <w:bookmarkStart w:id="151" w:name="_Toc37947207"/>
      <w:bookmarkStart w:id="152" w:name="_Toc38031271"/>
      <w:bookmarkStart w:id="153" w:name="_Toc93309780"/>
      <w:bookmarkStart w:id="154" w:name="_Toc104290802"/>
      <w:bookmarkStart w:id="155" w:name="_Toc530491558"/>
      <w:bookmarkStart w:id="156" w:name="_Toc530492018"/>
      <w:bookmarkStart w:id="157" w:name="_Toc530493028"/>
      <w:bookmarkStart w:id="158" w:name="_Toc530556163"/>
      <w:bookmarkStart w:id="159" w:name="_Toc531692001"/>
      <w:bookmarkStart w:id="160" w:name="_Toc531855906"/>
      <w:bookmarkStart w:id="161" w:name="_Toc531858634"/>
      <w:bookmarkStart w:id="162" w:name="_Toc531859173"/>
      <w:r>
        <w:rPr>
          <w:rStyle w:val="CharPartNo"/>
          <w:sz w:val="32"/>
        </w:rPr>
        <w:t>Chapter 2</w:t>
      </w:r>
      <w:r>
        <w:rPr>
          <w:sz w:val="32"/>
        </w:rPr>
        <w:t> — </w:t>
      </w:r>
      <w:r>
        <w:rPr>
          <w:rStyle w:val="CharPartText"/>
          <w:sz w:val="32"/>
        </w:rPr>
        <w:t>Transfer duty</w:t>
      </w:r>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3"/>
        <w:rPr>
          <w:sz w:val="28"/>
        </w:rPr>
      </w:pPr>
      <w:bookmarkStart w:id="163" w:name="_Toc37946608"/>
      <w:bookmarkStart w:id="164" w:name="_Toc37947208"/>
      <w:bookmarkStart w:id="165" w:name="_Toc38031272"/>
      <w:bookmarkStart w:id="166" w:name="_Toc93309781"/>
      <w:bookmarkStart w:id="167" w:name="_Toc104290803"/>
      <w:bookmarkStart w:id="168" w:name="_Toc530491559"/>
      <w:bookmarkStart w:id="169" w:name="_Toc530492019"/>
      <w:bookmarkStart w:id="170" w:name="_Toc530493029"/>
      <w:bookmarkStart w:id="171" w:name="_Toc530556164"/>
      <w:bookmarkStart w:id="172" w:name="_Toc531692002"/>
      <w:bookmarkStart w:id="173" w:name="_Toc531855907"/>
      <w:bookmarkStart w:id="174" w:name="_Toc531858635"/>
      <w:bookmarkStart w:id="175" w:name="_Toc531859174"/>
      <w:r>
        <w:rPr>
          <w:rStyle w:val="CharDivNo"/>
          <w:sz w:val="28"/>
        </w:rPr>
        <w:t>Part 1</w:t>
      </w:r>
      <w:r>
        <w:rPr>
          <w:sz w:val="28"/>
        </w:rPr>
        <w:t> — </w:t>
      </w:r>
      <w:r>
        <w:rPr>
          <w:rStyle w:val="CharDivText"/>
          <w:sz w:val="28"/>
        </w:rPr>
        <w:t>Preliminary</w:t>
      </w:r>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5"/>
      </w:pPr>
      <w:bookmarkStart w:id="176" w:name="_Toc104290804"/>
      <w:bookmarkStart w:id="177" w:name="_Toc531859175"/>
      <w:r>
        <w:rPr>
          <w:rStyle w:val="CharSectno"/>
        </w:rPr>
        <w:t>9</w:t>
      </w:r>
      <w:r>
        <w:t>.</w:t>
      </w:r>
      <w:r>
        <w:tab/>
        <w:t>Terms used</w:t>
      </w:r>
      <w:bookmarkEnd w:id="176"/>
      <w:bookmarkEnd w:id="177"/>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widowControl w:val="0"/>
        <w:spacing w:before="60"/>
      </w:pPr>
      <w:r>
        <w:rPr>
          <w:b/>
        </w:rPr>
        <w:tab/>
      </w:r>
      <w:r>
        <w:rPr>
          <w:rStyle w:val="CharDefText"/>
        </w:rPr>
        <w:t>surrender</w:t>
      </w:r>
      <w:r>
        <w:t xml:space="preserve"> includes the following — </w:t>
      </w:r>
    </w:p>
    <w:p>
      <w:pPr>
        <w:pStyle w:val="Defpara"/>
        <w:widowControl w:val="0"/>
        <w:spacing w:before="60"/>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No. 17 of 2010 s. 4.]</w:t>
      </w:r>
    </w:p>
    <w:p>
      <w:pPr>
        <w:pStyle w:val="Heading3"/>
        <w:spacing w:before="200"/>
        <w:rPr>
          <w:sz w:val="28"/>
        </w:rPr>
      </w:pPr>
      <w:bookmarkStart w:id="178" w:name="_Toc37946610"/>
      <w:bookmarkStart w:id="179" w:name="_Toc37947210"/>
      <w:bookmarkStart w:id="180" w:name="_Toc38031274"/>
      <w:bookmarkStart w:id="181" w:name="_Toc93309783"/>
      <w:bookmarkStart w:id="182" w:name="_Toc104290805"/>
      <w:bookmarkStart w:id="183" w:name="_Toc530491561"/>
      <w:bookmarkStart w:id="184" w:name="_Toc530492021"/>
      <w:bookmarkStart w:id="185" w:name="_Toc530493031"/>
      <w:bookmarkStart w:id="186" w:name="_Toc530556166"/>
      <w:bookmarkStart w:id="187" w:name="_Toc531692004"/>
      <w:bookmarkStart w:id="188" w:name="_Toc531855909"/>
      <w:bookmarkStart w:id="189" w:name="_Toc531858637"/>
      <w:bookmarkStart w:id="190" w:name="_Toc531859176"/>
      <w:r>
        <w:rPr>
          <w:rStyle w:val="CharDivNo"/>
          <w:sz w:val="28"/>
        </w:rPr>
        <w:t>Part 2</w:t>
      </w:r>
      <w:r>
        <w:rPr>
          <w:sz w:val="28"/>
        </w:rPr>
        <w:t> — </w:t>
      </w:r>
      <w:r>
        <w:rPr>
          <w:rStyle w:val="CharDivText"/>
          <w:sz w:val="28"/>
        </w:rPr>
        <w:t>Imposition of transfer duty</w:t>
      </w:r>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Heading5"/>
      </w:pPr>
      <w:bookmarkStart w:id="191" w:name="_Toc104290806"/>
      <w:bookmarkStart w:id="192" w:name="_Toc531859177"/>
      <w:r>
        <w:rPr>
          <w:rStyle w:val="CharSectno"/>
        </w:rPr>
        <w:t>10</w:t>
      </w:r>
      <w:r>
        <w:t>.</w:t>
      </w:r>
      <w:r>
        <w:tab/>
        <w:t>Transfer duty imposed</w:t>
      </w:r>
      <w:bookmarkEnd w:id="191"/>
      <w:bookmarkEnd w:id="192"/>
    </w:p>
    <w:p>
      <w:pPr>
        <w:pStyle w:val="Subsection"/>
      </w:pPr>
      <w:r>
        <w:tab/>
      </w:r>
      <w:r>
        <w:tab/>
        <w:t>Duty is imposed on dutiable transactions.</w:t>
      </w:r>
    </w:p>
    <w:p>
      <w:pPr>
        <w:pStyle w:val="Heading3"/>
        <w:rPr>
          <w:sz w:val="28"/>
        </w:rPr>
      </w:pPr>
      <w:bookmarkStart w:id="193" w:name="_Toc37946612"/>
      <w:bookmarkStart w:id="194" w:name="_Toc37947212"/>
      <w:bookmarkStart w:id="195" w:name="_Toc38031276"/>
      <w:bookmarkStart w:id="196" w:name="_Toc93309785"/>
      <w:bookmarkStart w:id="197" w:name="_Toc104290807"/>
      <w:bookmarkStart w:id="198" w:name="_Toc530491563"/>
      <w:bookmarkStart w:id="199" w:name="_Toc530492023"/>
      <w:bookmarkStart w:id="200" w:name="_Toc530493033"/>
      <w:bookmarkStart w:id="201" w:name="_Toc530556168"/>
      <w:bookmarkStart w:id="202" w:name="_Toc531692006"/>
      <w:bookmarkStart w:id="203" w:name="_Toc531855911"/>
      <w:bookmarkStart w:id="204" w:name="_Toc531858639"/>
      <w:bookmarkStart w:id="205" w:name="_Toc531859178"/>
      <w:r>
        <w:rPr>
          <w:rStyle w:val="CharDivNo"/>
          <w:sz w:val="28"/>
        </w:rPr>
        <w:t>Part 3</w:t>
      </w:r>
      <w:r>
        <w:rPr>
          <w:sz w:val="28"/>
        </w:rPr>
        <w:t> — </w:t>
      </w:r>
      <w:r>
        <w:rPr>
          <w:rStyle w:val="CharDivText"/>
          <w:sz w:val="28"/>
        </w:rPr>
        <w:t>Dutiable transactions and dutiable property</w:t>
      </w:r>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4"/>
        <w:rPr>
          <w:sz w:val="26"/>
        </w:rPr>
      </w:pPr>
      <w:bookmarkStart w:id="206" w:name="_Toc37946613"/>
      <w:bookmarkStart w:id="207" w:name="_Toc37947213"/>
      <w:bookmarkStart w:id="208" w:name="_Toc38031277"/>
      <w:bookmarkStart w:id="209" w:name="_Toc93309786"/>
      <w:bookmarkStart w:id="210" w:name="_Toc104290808"/>
      <w:bookmarkStart w:id="211" w:name="_Toc530491564"/>
      <w:bookmarkStart w:id="212" w:name="_Toc530492024"/>
      <w:bookmarkStart w:id="213" w:name="_Toc530493034"/>
      <w:bookmarkStart w:id="214" w:name="_Toc530556169"/>
      <w:bookmarkStart w:id="215" w:name="_Toc531692007"/>
      <w:bookmarkStart w:id="216" w:name="_Toc531855912"/>
      <w:bookmarkStart w:id="217" w:name="_Toc531858640"/>
      <w:bookmarkStart w:id="218" w:name="_Toc531859179"/>
      <w:r>
        <w:rPr>
          <w:sz w:val="26"/>
        </w:rPr>
        <w:t>Division 1 — Dutiable transactions</w:t>
      </w:r>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Heading5"/>
      </w:pPr>
      <w:bookmarkStart w:id="219" w:name="_Toc104290809"/>
      <w:bookmarkStart w:id="220" w:name="_Toc531859180"/>
      <w:r>
        <w:rPr>
          <w:rStyle w:val="CharSectno"/>
        </w:rPr>
        <w:t>11</w:t>
      </w:r>
      <w:r>
        <w:t>.</w:t>
      </w:r>
      <w:r>
        <w:tab/>
        <w:t>Dutiable transaction</w:t>
      </w:r>
      <w:bookmarkEnd w:id="219"/>
      <w:bookmarkEnd w:id="220"/>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by, or expressly authorised by, statute law of this or another jurisdiction, whether inside or outside Australia; or</w:t>
      </w:r>
    </w:p>
    <w:p>
      <w:pPr>
        <w:pStyle w:val="Indenti"/>
      </w:pPr>
      <w:r>
        <w:tab/>
        <w:t>(ii)</w:t>
      </w:r>
      <w:r>
        <w:tab/>
        <w:t>by, or as a consequence of, a court order of this or another jurisdiction, whether inside or outside Australia;</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Subsection"/>
        <w:rPr>
          <w:ins w:id="221" w:author="Master Repository Process" w:date="2022-05-27T14:27:00Z"/>
        </w:rPr>
      </w:pPr>
      <w:ins w:id="222" w:author="Master Repository Process" w:date="2022-05-27T14:27:00Z">
        <w:r>
          <w:tab/>
          <w:t>(3)</w:t>
        </w:r>
        <w:r>
          <w:tab/>
          <w:t>Subsection (2)(a) does not apply to a right referred to in section 16(1)(h), (i) or (j) or (3)(aa).</w:t>
        </w:r>
      </w:ins>
    </w:p>
    <w:p>
      <w:pPr>
        <w:pStyle w:val="Subsection"/>
        <w:rPr>
          <w:ins w:id="223" w:author="Master Repository Process" w:date="2022-05-27T14:27:00Z"/>
        </w:rPr>
      </w:pPr>
      <w:ins w:id="224" w:author="Master Repository Process" w:date="2022-05-27T14:27:00Z">
        <w:r>
          <w:tab/>
          <w:t>(4)</w:t>
        </w:r>
        <w:r>
          <w:tab/>
          <w:t>Subsection (2)(b) does not apply to a pastoral lease.</w:t>
        </w:r>
      </w:ins>
    </w:p>
    <w:p>
      <w:pPr>
        <w:pStyle w:val="Footnotesection"/>
        <w:rPr>
          <w:ins w:id="225" w:author="Master Repository Process" w:date="2022-05-27T14:27:00Z"/>
        </w:rPr>
      </w:pPr>
      <w:ins w:id="226" w:author="Master Repository Process" w:date="2022-05-27T14:27:00Z">
        <w:r>
          <w:tab/>
          <w:t>[Section 11 amended: No. 12 of 2019 s. 7.]</w:t>
        </w:r>
      </w:ins>
    </w:p>
    <w:p>
      <w:pPr>
        <w:pStyle w:val="Heading5"/>
      </w:pPr>
      <w:bookmarkStart w:id="227" w:name="_Toc104290810"/>
      <w:bookmarkStart w:id="228" w:name="_Toc531859181"/>
      <w:r>
        <w:rPr>
          <w:rStyle w:val="CharSectno"/>
        </w:rPr>
        <w:t>12</w:t>
      </w:r>
      <w:r>
        <w:t>.</w:t>
      </w:r>
      <w:r>
        <w:tab/>
        <w:t>Vesting of property by statute law</w:t>
      </w:r>
      <w:bookmarkEnd w:id="227"/>
      <w:bookmarkEnd w:id="228"/>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results as a consequence of the merger is taken to be a vesting of the property in Western Australia of the merging corporations in company C by statute law.</w:t>
      </w:r>
    </w:p>
    <w:p>
      <w:pPr>
        <w:pStyle w:val="Subsection"/>
      </w:pPr>
      <w:r>
        <w:tab/>
        <w:t>(5)</w:t>
      </w:r>
      <w:r>
        <w:tab/>
        <w:t xml:space="preserve">A merger of corporations (the </w:t>
      </w:r>
      <w:r>
        <w:rPr>
          <w:rStyle w:val="CharDefText"/>
        </w:rPr>
        <w:t>merging corporations</w:t>
      </w:r>
      <w:r>
        <w:t>) with and into each other in circumstances where each of the merging corporations continues in existence is taken to be a vesting in the merging corporations, jointly, of 50% (in value) of the property in Western Australia of the merging corporations by statute law.</w:t>
      </w:r>
    </w:p>
    <w:p>
      <w:pPr>
        <w:pStyle w:val="Heading5"/>
        <w:keepLines w:val="0"/>
      </w:pPr>
      <w:bookmarkStart w:id="229" w:name="_Toc104290811"/>
      <w:bookmarkStart w:id="230" w:name="_Toc531859182"/>
      <w:r>
        <w:rPr>
          <w:rStyle w:val="CharSectno"/>
        </w:rPr>
        <w:t>13</w:t>
      </w:r>
      <w:r>
        <w:t>.</w:t>
      </w:r>
      <w:r>
        <w:tab/>
        <w:t>References to farm</w:t>
      </w:r>
      <w:r>
        <w:noBreakHyphen/>
        <w:t>in agreement</w:t>
      </w:r>
      <w:bookmarkEnd w:id="229"/>
      <w:bookmarkEnd w:id="230"/>
    </w:p>
    <w:p>
      <w:pPr>
        <w:pStyle w:val="Subsection"/>
        <w:keepNext/>
        <w:keepLines/>
      </w:pPr>
      <w:r>
        <w:tab/>
        <w:t>(1)</w:t>
      </w:r>
      <w:r>
        <w:tab/>
        <w:t>A reference to a farm</w:t>
      </w:r>
      <w:r>
        <w:noBreakHyphen/>
        <w:t xml:space="preserve">in agreement is to an agreement between — </w:t>
      </w:r>
    </w:p>
    <w:p>
      <w:pPr>
        <w:pStyle w:val="Indenta"/>
      </w:pPr>
      <w:r>
        <w:tab/>
        <w:t>(a)</w:t>
      </w:r>
      <w:r>
        <w:tab/>
        <w:t xml:space="preserve">an owner of a mining tenement, or a person who holds a </w:t>
      </w:r>
      <w:ins w:id="231" w:author="Master Repository Process" w:date="2022-05-27T14:27:00Z">
        <w:r>
          <w:t xml:space="preserve">derivative mining </w:t>
        </w:r>
      </w:ins>
      <w:r>
        <w:t xml:space="preserve">right </w:t>
      </w:r>
      <w:ins w:id="232" w:author="Master Repository Process" w:date="2022-05-27T14:27:00Z">
        <w:r>
          <w:t xml:space="preserve">in relation </w:t>
        </w:r>
      </w:ins>
      <w:r>
        <w:t xml:space="preserve">to </w:t>
      </w:r>
      <w:del w:id="233" w:author="Master Repository Process" w:date="2022-05-27T14:27:00Z">
        <w:r>
          <w:delText xml:space="preserve">exploit </w:delText>
        </w:r>
      </w:del>
      <w:r>
        <w:t>a mining tenement; and</w:t>
      </w:r>
    </w:p>
    <w:p>
      <w:pPr>
        <w:pStyle w:val="Indenta"/>
        <w:keepNext/>
        <w:keepLines/>
      </w:pPr>
      <w:r>
        <w:tab/>
        <w:t>(b)</w:t>
      </w:r>
      <w:r>
        <w:tab/>
        <w:t>another person,</w:t>
      </w:r>
    </w:p>
    <w:p>
      <w:pPr>
        <w:pStyle w:val="Subsection"/>
        <w:keepLines/>
      </w:pPr>
      <w:r>
        <w:tab/>
      </w:r>
      <w:r>
        <w:tab/>
        <w:t>to the effect that, after the other person expends the exploration amount specified in the agreement —</w:t>
      </w:r>
    </w:p>
    <w:p>
      <w:pPr>
        <w:pStyle w:val="Indenta"/>
        <w:keepLines/>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 xml:space="preserve">a right to acquire a </w:t>
      </w:r>
      <w:ins w:id="234" w:author="Master Repository Process" w:date="2022-05-27T14:27:00Z">
        <w:r>
          <w:t xml:space="preserve">derivative mining </w:t>
        </w:r>
      </w:ins>
      <w:r>
        <w:t>right</w:t>
      </w:r>
      <w:del w:id="235" w:author="Master Repository Process" w:date="2022-05-27T14:27:00Z">
        <w:r>
          <w:delText xml:space="preserve"> to exploit</w:delText>
        </w:r>
      </w:del>
      <w:r>
        <w:t xml:space="preserve">, or an entitlement to a </w:t>
      </w:r>
      <w:ins w:id="236" w:author="Master Repository Process" w:date="2022-05-27T14:27:00Z">
        <w:r>
          <w:t xml:space="preserve">derivative mining </w:t>
        </w:r>
      </w:ins>
      <w:r>
        <w:t>right</w:t>
      </w:r>
      <w:ins w:id="237" w:author="Master Repository Process" w:date="2022-05-27T14:27:00Z">
        <w:r>
          <w:t>, in relation</w:t>
        </w:r>
      </w:ins>
      <w:r>
        <w:t xml:space="preserve"> to</w:t>
      </w:r>
      <w:del w:id="238" w:author="Master Repository Process" w:date="2022-05-27T14:27:00Z">
        <w:r>
          <w:delText xml:space="preserve"> exploit,</w:delText>
        </w:r>
      </w:del>
      <w:r>
        <w:t xml:space="preserve"> the mining tenement that is specified in the agreement;</w:t>
      </w:r>
    </w:p>
    <w:p>
      <w:pPr>
        <w:pStyle w:val="Indenta"/>
      </w:pPr>
      <w:r>
        <w:tab/>
      </w:r>
      <w:r>
        <w:tab/>
        <w:t>and</w:t>
      </w:r>
    </w:p>
    <w:p>
      <w:pPr>
        <w:pStyle w:val="Indenta"/>
      </w:pPr>
      <w:r>
        <w:tab/>
        <w:t>(d)</w:t>
      </w:r>
      <w:r>
        <w:tab/>
        <w:t xml:space="preserve">the mining tenement, or the </w:t>
      </w:r>
      <w:del w:id="239" w:author="Master Repository Process" w:date="2022-05-27T14:27:00Z">
        <w:r>
          <w:delText>right to exploit the</w:delText>
        </w:r>
      </w:del>
      <w:ins w:id="240" w:author="Master Repository Process" w:date="2022-05-27T14:27:00Z">
        <w:r>
          <w:t>derivative</w:t>
        </w:r>
      </w:ins>
      <w:r>
        <w:t xml:space="preserve"> mining </w:t>
      </w:r>
      <w:del w:id="241" w:author="Master Repository Process" w:date="2022-05-27T14:27:00Z">
        <w:r>
          <w:delText>tenement</w:delText>
        </w:r>
      </w:del>
      <w:ins w:id="242" w:author="Master Repository Process" w:date="2022-05-27T14:27:00Z">
        <w:r>
          <w:t>right</w:t>
        </w:r>
      </w:ins>
      <w:r>
        <w: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Footnotesection"/>
        <w:rPr>
          <w:ins w:id="243" w:author="Master Repository Process" w:date="2022-05-27T14:27:00Z"/>
        </w:rPr>
      </w:pPr>
      <w:ins w:id="244" w:author="Master Repository Process" w:date="2022-05-27T14:27:00Z">
        <w:r>
          <w:tab/>
          <w:t>[Section 13 amended: No. 12 of 2019 s. 8.]</w:t>
        </w:r>
      </w:ins>
    </w:p>
    <w:p>
      <w:pPr>
        <w:pStyle w:val="Heading5"/>
      </w:pPr>
      <w:bookmarkStart w:id="245" w:name="_Toc104290812"/>
      <w:bookmarkStart w:id="246" w:name="_Toc531859183"/>
      <w:r>
        <w:rPr>
          <w:rStyle w:val="CharSectno"/>
        </w:rPr>
        <w:t>14</w:t>
      </w:r>
      <w:r>
        <w:t>.</w:t>
      </w:r>
      <w:r>
        <w:tab/>
        <w:t>Transactions as to chattels</w:t>
      </w:r>
      <w:del w:id="247" w:author="Master Repository Process" w:date="2022-05-27T14:27:00Z">
        <w:r>
          <w:delText>, which are</w:delText>
        </w:r>
      </w:del>
      <w:ins w:id="248" w:author="Master Repository Process" w:date="2022-05-27T14:27:00Z">
        <w:r>
          <w:t xml:space="preserve"> alone not usually</w:t>
        </w:r>
      </w:ins>
      <w:r>
        <w:t xml:space="preserve"> dutiable</w:t>
      </w:r>
      <w:bookmarkEnd w:id="245"/>
      <w:bookmarkEnd w:id="246"/>
    </w:p>
    <w:p>
      <w:pPr>
        <w:pStyle w:val="Subsection"/>
      </w:pPr>
      <w:r>
        <w:tab/>
        <w:t>(1)</w:t>
      </w:r>
      <w:r>
        <w:tab/>
        <w:t xml:space="preserve">Subject to </w:t>
      </w:r>
      <w:del w:id="249" w:author="Master Repository Process" w:date="2022-05-27T14:27:00Z">
        <w:r>
          <w:delText>subsection</w:delText>
        </w:r>
      </w:del>
      <w:ins w:id="250" w:author="Master Repository Process" w:date="2022-05-27T14:27:00Z">
        <w:r>
          <w:t>subsections</w:t>
        </w:r>
      </w:ins>
      <w:r>
        <w:t> (2</w:t>
      </w:r>
      <w:ins w:id="251" w:author="Master Repository Process" w:date="2022-05-27T14:27:00Z">
        <w:r>
          <w:t>) and (3</w:t>
        </w:r>
      </w:ins>
      <w:r>
        <w:t>), a transaction is not a dutiable transaction if the only dutiable property the subject of the transaction is a chattel in Western Australia.</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Subsection"/>
        <w:rPr>
          <w:ins w:id="252" w:author="Master Repository Process" w:date="2022-05-27T14:27:00Z"/>
        </w:rPr>
      </w:pPr>
      <w:ins w:id="253" w:author="Master Repository Process" w:date="2022-05-27T14:27:00Z">
        <w:r>
          <w:tab/>
          <w:t>(3)</w:t>
        </w:r>
        <w:r>
          <w:tab/>
          <w:t xml:space="preserve">A transaction referred to in subsection (1) is a dutiable transaction if — </w:t>
        </w:r>
      </w:ins>
    </w:p>
    <w:p>
      <w:pPr>
        <w:pStyle w:val="Indenta"/>
        <w:rPr>
          <w:ins w:id="254" w:author="Master Repository Process" w:date="2022-05-27T14:27:00Z"/>
        </w:rPr>
      </w:pPr>
      <w:ins w:id="255" w:author="Master Repository Process" w:date="2022-05-27T14:27:00Z">
        <w:r>
          <w:tab/>
          <w:t>(a)</w:t>
        </w:r>
        <w:r>
          <w:tab/>
          <w:t>there is a relevant acquisition for the purposes of Chapter 3 or an agreement for the making of such an acquisition; and</w:t>
        </w:r>
      </w:ins>
    </w:p>
    <w:p>
      <w:pPr>
        <w:pStyle w:val="Indenta"/>
        <w:rPr>
          <w:ins w:id="256" w:author="Master Repository Process" w:date="2022-05-27T14:27:00Z"/>
        </w:rPr>
      </w:pPr>
      <w:ins w:id="257" w:author="Master Repository Process" w:date="2022-05-27T14:27:00Z">
        <w:r>
          <w:tab/>
          <w:t>(b)</w:t>
        </w:r>
        <w:r>
          <w:tab/>
          <w:t>the transaction and the acquisition or agreement together form, evidence, give effect to or arise from what is, substantially one arrangement.</w:t>
        </w:r>
      </w:ins>
    </w:p>
    <w:p>
      <w:pPr>
        <w:pStyle w:val="Subsection"/>
        <w:rPr>
          <w:ins w:id="258" w:author="Master Repository Process" w:date="2022-05-27T14:27:00Z"/>
        </w:rPr>
      </w:pPr>
      <w:ins w:id="259" w:author="Master Repository Process" w:date="2022-05-27T14:27:00Z">
        <w:r>
          <w:tab/>
          <w:t>(4)</w:t>
        </w:r>
        <w:r>
          <w:tab/>
          <w:t xml:space="preserve">Without limiting subsection (3), unless the Commissioner is satisfied to the contrary, a transaction and an acquisition or agreement together form, evidence, give effect to or arise from what is, substantially one arrangement if — </w:t>
        </w:r>
      </w:ins>
    </w:p>
    <w:p>
      <w:pPr>
        <w:pStyle w:val="Indenta"/>
        <w:rPr>
          <w:ins w:id="260" w:author="Master Repository Process" w:date="2022-05-27T14:27:00Z"/>
        </w:rPr>
      </w:pPr>
      <w:ins w:id="261" w:author="Master Repository Process" w:date="2022-05-27T14:27:00Z">
        <w:r>
          <w:tab/>
          <w:t>(a)</w:t>
        </w:r>
        <w:r>
          <w:tab/>
          <w:t>the transaction has taken place, and the acquisition or agreement has been made, within 12 months; and</w:t>
        </w:r>
      </w:ins>
    </w:p>
    <w:p>
      <w:pPr>
        <w:pStyle w:val="Indenta"/>
        <w:rPr>
          <w:ins w:id="262" w:author="Master Repository Process" w:date="2022-05-27T14:27:00Z"/>
        </w:rPr>
      </w:pPr>
      <w:ins w:id="263" w:author="Master Repository Process" w:date="2022-05-27T14:27:00Z">
        <w:r>
          <w:tab/>
          <w:t>(b)</w:t>
        </w:r>
        <w:r>
          <w:tab/>
          <w:t>in respect of both the transaction and the acquisition or agreement, the person liable to pay duty is the same person (whether that person is the only person liable to pay duty or is liable to pay duty with the same or different persons).</w:t>
        </w:r>
      </w:ins>
    </w:p>
    <w:p>
      <w:pPr>
        <w:pStyle w:val="Subsection"/>
        <w:rPr>
          <w:ins w:id="264" w:author="Master Repository Process" w:date="2022-05-27T14:27:00Z"/>
        </w:rPr>
      </w:pPr>
      <w:ins w:id="265" w:author="Master Repository Process" w:date="2022-05-27T14:27:00Z">
        <w:r>
          <w:tab/>
          <w:t>(5)</w:t>
        </w:r>
        <w:r>
          <w:tab/>
          <w:t>A reference in subsection (4) to a person liable to pay duty on the transaction is a reference to a person that would be liable to pay duty if the transaction were a dutiable transaction.</w:t>
        </w:r>
      </w:ins>
    </w:p>
    <w:p>
      <w:pPr>
        <w:pStyle w:val="Footnotesection"/>
        <w:rPr>
          <w:ins w:id="266" w:author="Master Repository Process" w:date="2022-05-27T14:27:00Z"/>
        </w:rPr>
      </w:pPr>
      <w:ins w:id="267" w:author="Master Repository Process" w:date="2022-05-27T14:27:00Z">
        <w:r>
          <w:tab/>
          <w:t>[Section 14 amended: No. 12 of 2019 s. 9.]</w:t>
        </w:r>
      </w:ins>
    </w:p>
    <w:p>
      <w:pPr>
        <w:pStyle w:val="Heading4"/>
        <w:rPr>
          <w:sz w:val="26"/>
        </w:rPr>
      </w:pPr>
      <w:bookmarkStart w:id="268" w:name="_Toc37946618"/>
      <w:bookmarkStart w:id="269" w:name="_Toc37947218"/>
      <w:bookmarkStart w:id="270" w:name="_Toc38031282"/>
      <w:bookmarkStart w:id="271" w:name="_Toc93309791"/>
      <w:bookmarkStart w:id="272" w:name="_Toc104290813"/>
      <w:bookmarkStart w:id="273" w:name="_Toc530491569"/>
      <w:bookmarkStart w:id="274" w:name="_Toc530492029"/>
      <w:bookmarkStart w:id="275" w:name="_Toc530493039"/>
      <w:bookmarkStart w:id="276" w:name="_Toc530556174"/>
      <w:bookmarkStart w:id="277" w:name="_Toc531692012"/>
      <w:bookmarkStart w:id="278" w:name="_Toc531855917"/>
      <w:bookmarkStart w:id="279" w:name="_Toc531858645"/>
      <w:bookmarkStart w:id="280" w:name="_Toc531859184"/>
      <w:r>
        <w:rPr>
          <w:sz w:val="26"/>
        </w:rPr>
        <w:t>Division 2 — Dutiable property</w:t>
      </w:r>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5"/>
      </w:pPr>
      <w:bookmarkStart w:id="281" w:name="_Toc104290814"/>
      <w:bookmarkStart w:id="282" w:name="_Toc531859185"/>
      <w:r>
        <w:rPr>
          <w:rStyle w:val="CharSectno"/>
        </w:rPr>
        <w:t>15</w:t>
      </w:r>
      <w:r>
        <w:t>.</w:t>
      </w:r>
      <w:r>
        <w:tab/>
        <w:t>Dutiable property</w:t>
      </w:r>
      <w:bookmarkEnd w:id="281"/>
      <w:bookmarkEnd w:id="282"/>
    </w:p>
    <w:p>
      <w:pPr>
        <w:pStyle w:val="Subsection"/>
      </w:pPr>
      <w:r>
        <w:tab/>
      </w:r>
      <w:r>
        <w:tab/>
        <w:t xml:space="preserve">Any of the following is </w:t>
      </w:r>
      <w:r>
        <w:rPr>
          <w:rStyle w:val="CharDefText"/>
        </w:rPr>
        <w:t>dutiable property</w:t>
      </w:r>
      <w:r>
        <w:t xml:space="preserve"> — </w:t>
      </w:r>
    </w:p>
    <w:p>
      <w:pPr>
        <w:pStyle w:val="Indenta"/>
      </w:pPr>
      <w:r>
        <w:tab/>
        <w:t>(a)</w:t>
      </w:r>
      <w:r>
        <w:tab/>
        <w:t>land in Western Australia;</w:t>
      </w:r>
    </w:p>
    <w:p>
      <w:pPr>
        <w:pStyle w:val="Indenta"/>
      </w:pPr>
      <w:r>
        <w:tab/>
        <w:t>(b)</w:t>
      </w:r>
      <w:r>
        <w:tab/>
        <w:t>a right;</w:t>
      </w:r>
    </w:p>
    <w:p>
      <w:pPr>
        <w:pStyle w:val="Indenta"/>
      </w:pPr>
      <w:r>
        <w:tab/>
        <w:t>(c)</w:t>
      </w:r>
      <w:r>
        <w:tab/>
        <w:t>a chattel in Western Australia;</w:t>
      </w:r>
    </w:p>
    <w:p>
      <w:pPr>
        <w:pStyle w:val="Indenta"/>
      </w:pPr>
      <w:r>
        <w:tab/>
        <w:t>(d)</w:t>
      </w:r>
      <w:r>
        <w:tab/>
        <w:t>a Western Australian business asset.</w:t>
      </w:r>
    </w:p>
    <w:p>
      <w:pPr>
        <w:pStyle w:val="Heading5"/>
      </w:pPr>
      <w:bookmarkStart w:id="283" w:name="_Toc104290815"/>
      <w:bookmarkStart w:id="284" w:name="_Toc531859186"/>
      <w:r>
        <w:rPr>
          <w:rStyle w:val="CharSectno"/>
        </w:rPr>
        <w:t>16</w:t>
      </w:r>
      <w:r>
        <w:t>.</w:t>
      </w:r>
      <w:r>
        <w:tab/>
        <w:t>References to right</w:t>
      </w:r>
      <w:bookmarkEnd w:id="283"/>
      <w:bookmarkEnd w:id="284"/>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del w:id="285" w:author="Master Repository Process" w:date="2022-05-27T14:27:00Z">
        <w:r>
          <w:delText>.</w:delText>
        </w:r>
      </w:del>
      <w:ins w:id="286" w:author="Master Repository Process" w:date="2022-05-27T14:27:00Z">
        <w:r>
          <w:t>;</w:t>
        </w:r>
      </w:ins>
    </w:p>
    <w:p>
      <w:pPr>
        <w:pStyle w:val="Indenta"/>
        <w:rPr>
          <w:ins w:id="287" w:author="Master Repository Process" w:date="2022-05-27T14:27:00Z"/>
        </w:rPr>
      </w:pPr>
      <w:ins w:id="288" w:author="Master Repository Process" w:date="2022-05-27T14:27:00Z">
        <w:r>
          <w:tab/>
          <w:t>(h)</w:t>
        </w:r>
        <w:r>
          <w:tab/>
          <w:t>a fixed infrastructure control right;</w:t>
        </w:r>
      </w:ins>
    </w:p>
    <w:p>
      <w:pPr>
        <w:pStyle w:val="Indenta"/>
        <w:rPr>
          <w:ins w:id="289" w:author="Master Repository Process" w:date="2022-05-27T14:27:00Z"/>
        </w:rPr>
      </w:pPr>
      <w:ins w:id="290" w:author="Master Repository Process" w:date="2022-05-27T14:27:00Z">
        <w:r>
          <w:tab/>
          <w:t>(i)</w:t>
        </w:r>
        <w:r>
          <w:tab/>
          <w:t>a fixed infrastructure access right;</w:t>
        </w:r>
      </w:ins>
    </w:p>
    <w:p>
      <w:pPr>
        <w:pStyle w:val="Indenta"/>
        <w:rPr>
          <w:ins w:id="291" w:author="Master Repository Process" w:date="2022-05-27T14:27:00Z"/>
        </w:rPr>
      </w:pPr>
      <w:ins w:id="292" w:author="Master Repository Process" w:date="2022-05-27T14:27:00Z">
        <w:r>
          <w:tab/>
          <w:t>(j)</w:t>
        </w:r>
        <w:r>
          <w:tab/>
          <w:t>a fixed infrastructure statutory licence.</w:t>
        </w:r>
      </w:ins>
    </w:p>
    <w:p>
      <w:pPr>
        <w:pStyle w:val="Subsection"/>
      </w:pPr>
      <w:r>
        <w:tab/>
        <w:t>(2)</w:t>
      </w:r>
      <w:r>
        <w:tab/>
        <w:t>A right</w:t>
      </w:r>
      <w:ins w:id="293" w:author="Master Repository Process" w:date="2022-05-27T14:27:00Z">
        <w:r>
          <w:t xml:space="preserve"> referred to in subsection (1)(a) to (g) </w:t>
        </w:r>
      </w:ins>
      <w:r>
        <w:t xml:space="preserve">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pPr>
      <w:r>
        <w:tab/>
        <w:t>(a)</w:t>
      </w:r>
      <w:r>
        <w:tab/>
        <w:t xml:space="preserve">a right under an application under the </w:t>
      </w:r>
      <w:r>
        <w:rPr>
          <w:i/>
          <w:iCs/>
        </w:rPr>
        <w:t>Mining Act 1978</w:t>
      </w:r>
      <w:r>
        <w:t xml:space="preserve"> for a mining tenement;</w:t>
      </w:r>
    </w:p>
    <w:p>
      <w:pPr>
        <w:pStyle w:val="Indenta"/>
        <w:rPr>
          <w:ins w:id="294" w:author="Master Repository Process" w:date="2022-05-27T14:27:00Z"/>
        </w:rPr>
      </w:pPr>
      <w:ins w:id="295" w:author="Master Repository Process" w:date="2022-05-27T14:27:00Z">
        <w:r>
          <w:tab/>
          <w:t>(aa)</w:t>
        </w:r>
        <w:r>
          <w:tab/>
          <w:t>a derivative mining right;</w:t>
        </w:r>
      </w:ins>
    </w:p>
    <w:p>
      <w:pPr>
        <w:pStyle w:val="Indenta"/>
      </w:pPr>
      <w:r>
        <w:tab/>
        <w:t>(b)</w:t>
      </w:r>
      <w:r>
        <w:tab/>
        <w:t xml:space="preserve">a licence, or a water entitlement under a licence, under the </w:t>
      </w:r>
      <w:r>
        <w:rPr>
          <w:i/>
          <w:iCs/>
        </w:rPr>
        <w:t>Rights in Water and Irrigation Act 1914</w:t>
      </w:r>
      <w:r>
        <w:t xml:space="preserve"> section 5C;</w:t>
      </w:r>
    </w:p>
    <w:p>
      <w:pPr>
        <w:pStyle w:val="Indenta"/>
        <w:rPr>
          <w:ins w:id="296" w:author="Master Repository Process" w:date="2022-05-27T14:27:00Z"/>
        </w:rPr>
      </w:pPr>
      <w:ins w:id="297" w:author="Master Repository Process" w:date="2022-05-27T14:27:00Z">
        <w:r>
          <w:tab/>
          <w:t>(ba)</w:t>
        </w:r>
        <w:r>
          <w:tab/>
          <w:t>a part of, or an interest in, a right referred to in subsection (1) or this subsection;</w:t>
        </w:r>
      </w:ins>
    </w:p>
    <w:p>
      <w:pPr>
        <w:pStyle w:val="Indenta"/>
      </w:pPr>
      <w:r>
        <w:tab/>
        <w:t>(c)</w:t>
      </w:r>
      <w:r>
        <w:tab/>
        <w:t>any other thing prescribed for the purposes of this section.</w:t>
      </w:r>
    </w:p>
    <w:p>
      <w:pPr>
        <w:pStyle w:val="Subsection"/>
        <w:rPr>
          <w:ins w:id="298" w:author="Master Repository Process" w:date="2022-05-27T14:27:00Z"/>
        </w:rPr>
      </w:pPr>
      <w:ins w:id="299" w:author="Master Repository Process" w:date="2022-05-27T14:27:00Z">
        <w:r>
          <w:tab/>
          <w:t>(4)</w:t>
        </w:r>
        <w:r>
          <w:tab/>
          <w:t>Subsection (1)(a) to (g) do not apply to a right to the extent that the right is a fixed infrastructure control right, a fixed infrastructure access right or a fixed infrastructure statutory licence.</w:t>
        </w:r>
      </w:ins>
    </w:p>
    <w:p>
      <w:pPr>
        <w:pStyle w:val="Footnotesection"/>
        <w:rPr>
          <w:ins w:id="300" w:author="Master Repository Process" w:date="2022-05-27T14:27:00Z"/>
        </w:rPr>
      </w:pPr>
      <w:ins w:id="301" w:author="Master Repository Process" w:date="2022-05-27T14:27:00Z">
        <w:r>
          <w:tab/>
          <w:t>[Section 16 amended: No. 12 of 2019 s. 10.]</w:t>
        </w:r>
      </w:ins>
    </w:p>
    <w:p>
      <w:pPr>
        <w:pStyle w:val="Heading5"/>
      </w:pPr>
      <w:bookmarkStart w:id="302" w:name="_Toc104290816"/>
      <w:bookmarkStart w:id="303" w:name="_Toc531859187"/>
      <w:r>
        <w:rPr>
          <w:rStyle w:val="CharSectno"/>
        </w:rPr>
        <w:t>17</w:t>
      </w:r>
      <w:r>
        <w:t>.</w:t>
      </w:r>
      <w:r>
        <w:tab/>
        <w:t>New dutiable property</w:t>
      </w:r>
      <w:bookmarkEnd w:id="302"/>
      <w:bookmarkEnd w:id="303"/>
    </w:p>
    <w:p>
      <w:pPr>
        <w:pStyle w:val="Subsection"/>
      </w:pPr>
      <w:r>
        <w:tab/>
        <w:t>(1)</w:t>
      </w:r>
      <w:r>
        <w:tab/>
        <w:t xml:space="preserve">Any of the following is </w:t>
      </w:r>
      <w:r>
        <w:rPr>
          <w:rStyle w:val="CharDefText"/>
        </w:rPr>
        <w:t>new dutiable property</w:t>
      </w:r>
      <w:r>
        <w:t xml:space="preserve"> — </w:t>
      </w:r>
    </w:p>
    <w:p>
      <w:pPr>
        <w:pStyle w:val="Indenta"/>
      </w:pPr>
      <w:r>
        <w:tab/>
        <w:t>(a)</w:t>
      </w:r>
      <w:r>
        <w:tab/>
        <w:t>land in Western Australia;</w:t>
      </w:r>
    </w:p>
    <w:p>
      <w:pPr>
        <w:pStyle w:val="Indenta"/>
        <w:keepNext/>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rPr>
          <w:ins w:id="304" w:author="Master Repository Process" w:date="2022-05-27T14:27:00Z"/>
        </w:rPr>
      </w:pPr>
      <w:ins w:id="305" w:author="Master Repository Process" w:date="2022-05-27T14:27:00Z">
        <w:r>
          <w:tab/>
          <w:t>(iia)</w:t>
        </w:r>
        <w:r>
          <w:tab/>
          <w:t>a fixed infrastructure control right;</w:t>
        </w:r>
      </w:ins>
    </w:p>
    <w:p>
      <w:pPr>
        <w:pStyle w:val="Indenti"/>
        <w:rPr>
          <w:ins w:id="306" w:author="Master Repository Process" w:date="2022-05-27T14:27:00Z"/>
        </w:rPr>
      </w:pPr>
      <w:ins w:id="307" w:author="Master Repository Process" w:date="2022-05-27T14:27:00Z">
        <w:r>
          <w:tab/>
          <w:t>(iib)</w:t>
        </w:r>
        <w:r>
          <w:tab/>
          <w:t>a fixed infrastructure access right;</w:t>
        </w:r>
      </w:ins>
    </w:p>
    <w:p>
      <w:pPr>
        <w:pStyle w:val="Indenti"/>
        <w:rPr>
          <w:ins w:id="308" w:author="Master Repository Process" w:date="2022-05-27T14:27:00Z"/>
        </w:rPr>
      </w:pPr>
      <w:ins w:id="309" w:author="Master Repository Process" w:date="2022-05-27T14:27:00Z">
        <w:r>
          <w:tab/>
          <w:t>(iic)</w:t>
        </w:r>
        <w:r>
          <w:tab/>
          <w:t>a derivative mining right;</w:t>
        </w:r>
      </w:ins>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 xml:space="preserve">a lease </w:t>
      </w:r>
      <w:ins w:id="310" w:author="Master Repository Process" w:date="2022-05-27T14:27:00Z">
        <w:r>
          <w:t xml:space="preserve">(other than a pastoral lease) </w:t>
        </w:r>
      </w:ins>
      <w:r>
        <w:t>if no consideration is paid, or agreed to be paid, for the grant of the lease;</w:t>
      </w:r>
    </w:p>
    <w:p>
      <w:pPr>
        <w:pStyle w:val="Indenta"/>
        <w:rPr>
          <w:ins w:id="311" w:author="Master Repository Process" w:date="2022-05-27T14:27:00Z"/>
        </w:rPr>
      </w:pPr>
      <w:ins w:id="312" w:author="Master Repository Process" w:date="2022-05-27T14:27:00Z">
        <w:r>
          <w:tab/>
          <w:t>(ca)</w:t>
        </w:r>
        <w:r>
          <w:tab/>
          <w:t xml:space="preserve">a pastoral lease, or an interest of a pastoral lessee under a pastoral lease, if the grant of the lease under the </w:t>
        </w:r>
        <w:r>
          <w:rPr>
            <w:i/>
          </w:rPr>
          <w:t>Land Administration Act 1997</w:t>
        </w:r>
        <w:r>
          <w:t xml:space="preserve"> section 101 is not subject to the payment of a sale price;</w:t>
        </w:r>
      </w:ins>
    </w:p>
    <w:p>
      <w:pPr>
        <w:pStyle w:val="Indenta"/>
      </w:pPr>
      <w:r>
        <w:tab/>
        <w:t>(d)</w:t>
      </w:r>
      <w:r>
        <w:tab/>
        <w:t>a mining tenement;</w:t>
      </w:r>
    </w:p>
    <w:p>
      <w:pPr>
        <w:pStyle w:val="Indenta"/>
        <w:rPr>
          <w:del w:id="313" w:author="Master Repository Process" w:date="2022-05-27T14:27:00Z"/>
        </w:rPr>
      </w:pPr>
      <w:del w:id="314" w:author="Master Repository Process" w:date="2022-05-27T14:27:00Z">
        <w:r>
          <w:tab/>
          <w:delText>(e)</w:delText>
        </w:r>
        <w:r>
          <w:tab/>
          <w:delText xml:space="preserve">a licence under the </w:delText>
        </w:r>
        <w:r>
          <w:rPr>
            <w:i/>
            <w:iCs/>
          </w:rPr>
          <w:delText>Petroleum Pipelines Act 1969</w:delText>
        </w:r>
        <w:r>
          <w:delText>;</w:delText>
        </w:r>
      </w:del>
    </w:p>
    <w:p>
      <w:pPr>
        <w:pStyle w:val="Ednotepara"/>
        <w:rPr>
          <w:ins w:id="315" w:author="Master Repository Process" w:date="2022-05-27T14:27:00Z"/>
        </w:rPr>
      </w:pPr>
      <w:ins w:id="316" w:author="Master Repository Process" w:date="2022-05-27T14:27:00Z">
        <w:r>
          <w:tab/>
          <w:t>[(e)</w:t>
        </w:r>
        <w:r>
          <w:tab/>
          <w:t>deleted]</w:t>
        </w:r>
      </w:ins>
    </w:p>
    <w:p>
      <w:pPr>
        <w:pStyle w:val="Indenta"/>
      </w:pPr>
      <w:r>
        <w:tab/>
        <w:t>(f)</w:t>
      </w:r>
      <w:r>
        <w:tab/>
        <w:t xml:space="preserve">a licence, or a water entitlement under a licence, 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r>
        <w:rPr>
          <w:i/>
          <w:iCs/>
        </w:rPr>
        <w:t>Forest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Tree Plantation Agreements Act 2003</w:t>
      </w:r>
      <w:r>
        <w:t>, unless the interest had been previously created in respect of a plantation to which the agreement applies;</w:t>
      </w:r>
    </w:p>
    <w:p>
      <w:pPr>
        <w:pStyle w:val="Indenta"/>
        <w:spacing w:before="60"/>
      </w:pPr>
      <w:r>
        <w:tab/>
        <w:t>(i)</w:t>
      </w:r>
      <w:r>
        <w:tab/>
        <w:t>any other dutiable property prescribed as excluded property for the purposes of this section.</w:t>
      </w:r>
    </w:p>
    <w:p>
      <w:pPr>
        <w:pStyle w:val="Footnotesection"/>
        <w:rPr>
          <w:ins w:id="317" w:author="Master Repository Process" w:date="2022-05-27T14:27:00Z"/>
        </w:rPr>
      </w:pPr>
      <w:ins w:id="318" w:author="Master Repository Process" w:date="2022-05-27T14:27:00Z">
        <w:r>
          <w:tab/>
          <w:t>[Section 17 amended: No. 12 of 2019 s. 11.]</w:t>
        </w:r>
      </w:ins>
    </w:p>
    <w:p>
      <w:pPr>
        <w:pStyle w:val="Heading5"/>
        <w:spacing w:before="180"/>
      </w:pPr>
      <w:bookmarkStart w:id="319" w:name="_Toc104290817"/>
      <w:bookmarkStart w:id="320" w:name="_Toc531859188"/>
      <w:r>
        <w:rPr>
          <w:rStyle w:val="CharSectno"/>
        </w:rPr>
        <w:t>18</w:t>
      </w:r>
      <w:r>
        <w:t>.</w:t>
      </w:r>
      <w:r>
        <w:tab/>
        <w:t>Special dutiable property</w:t>
      </w:r>
      <w:bookmarkEnd w:id="319"/>
      <w:bookmarkEnd w:id="320"/>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w:t>
      </w:r>
      <w:del w:id="321" w:author="Master Repository Process" w:date="2022-05-27T14:27:00Z">
        <w:r>
          <w:delText>,</w:delText>
        </w:r>
      </w:del>
      <w:ins w:id="322" w:author="Master Repository Process" w:date="2022-05-27T14:27:00Z">
        <w:r>
          <w:t xml:space="preserve"> (other than a pastoral lease),</w:t>
        </w:r>
      </w:ins>
      <w:r>
        <w:t xml:space="preserv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rPr>
          <w:ins w:id="323" w:author="Master Repository Process" w:date="2022-05-27T14:27:00Z"/>
        </w:rPr>
      </w:pPr>
      <w:ins w:id="324" w:author="Master Repository Process" w:date="2022-05-27T14:27:00Z">
        <w:r>
          <w:tab/>
          <w:t>(ga)</w:t>
        </w:r>
        <w:r>
          <w:tab/>
          <w:t>a fixed infrastructure control right, if consideration is paid, or agreed to be paid, for the surrender of the right;</w:t>
        </w:r>
      </w:ins>
    </w:p>
    <w:p>
      <w:pPr>
        <w:pStyle w:val="Indenta"/>
        <w:rPr>
          <w:ins w:id="325" w:author="Master Repository Process" w:date="2022-05-27T14:27:00Z"/>
        </w:rPr>
      </w:pPr>
      <w:ins w:id="326" w:author="Master Repository Process" w:date="2022-05-27T14:27:00Z">
        <w:r>
          <w:tab/>
          <w:t>(gb)</w:t>
        </w:r>
        <w:r>
          <w:tab/>
          <w:t>a fixed infrastructure access right, if consideration is paid, or agreed to be paid, for the surrender of the right;</w:t>
        </w:r>
      </w:ins>
    </w:p>
    <w:p>
      <w:pPr>
        <w:pStyle w:val="Indenta"/>
        <w:rPr>
          <w:ins w:id="327" w:author="Master Repository Process" w:date="2022-05-27T14:27:00Z"/>
        </w:rPr>
      </w:pPr>
      <w:ins w:id="328" w:author="Master Repository Process" w:date="2022-05-27T14:27:00Z">
        <w:r>
          <w:tab/>
          <w:t>(gc)</w:t>
        </w:r>
        <w:r>
          <w:tab/>
          <w:t>a derivative mining right, if consideration is paid, or agreed to be paid, for the surrender of the right;</w:t>
        </w:r>
      </w:ins>
    </w:p>
    <w:p>
      <w:pPr>
        <w:pStyle w:val="Indenta"/>
      </w:pPr>
      <w:r>
        <w:tab/>
        <w:t>(h)</w:t>
      </w:r>
      <w:r>
        <w:tab/>
        <w:t>any other dutiable property prescribed for the purposes of this section.</w:t>
      </w:r>
    </w:p>
    <w:p>
      <w:pPr>
        <w:pStyle w:val="Footnotesection"/>
        <w:rPr>
          <w:ins w:id="329" w:author="Master Repository Process" w:date="2022-05-27T14:27:00Z"/>
        </w:rPr>
      </w:pPr>
      <w:ins w:id="330" w:author="Master Repository Process" w:date="2022-05-27T14:27:00Z">
        <w:r>
          <w:tab/>
          <w:t>[Section 18 amended: No. 12 of 2019 s. 12.]</w:t>
        </w:r>
      </w:ins>
    </w:p>
    <w:p>
      <w:pPr>
        <w:pStyle w:val="Heading5"/>
        <w:rPr>
          <w:ins w:id="331" w:author="Master Repository Process" w:date="2022-05-27T14:27:00Z"/>
        </w:rPr>
      </w:pPr>
      <w:bookmarkStart w:id="332" w:name="_Toc104290818"/>
      <w:ins w:id="333" w:author="Master Repository Process" w:date="2022-05-27T14:27:00Z">
        <w:r>
          <w:rPr>
            <w:rStyle w:val="CharSectno"/>
          </w:rPr>
          <w:t>18A</w:t>
        </w:r>
        <w:r>
          <w:t>.</w:t>
        </w:r>
        <w:r>
          <w:tab/>
          <w:t>Things fixed to land that are to be permanently removed</w:t>
        </w:r>
        <w:bookmarkEnd w:id="332"/>
      </w:ins>
    </w:p>
    <w:p>
      <w:pPr>
        <w:pStyle w:val="Subsection"/>
        <w:rPr>
          <w:ins w:id="334" w:author="Master Repository Process" w:date="2022-05-27T14:27:00Z"/>
        </w:rPr>
      </w:pPr>
      <w:ins w:id="335" w:author="Master Repository Process" w:date="2022-05-27T14:27:00Z">
        <w:r>
          <w:tab/>
          <w:t>(1)</w:t>
        </w:r>
        <w:r>
          <w:tab/>
          <w:t xml:space="preserve">Despite section 3A(1)(f) and (g), a thing fixed to land, or an estate or interest in such a thing, is taken not to be land in relation to a particular transaction if — </w:t>
        </w:r>
      </w:ins>
    </w:p>
    <w:p>
      <w:pPr>
        <w:pStyle w:val="Indenta"/>
        <w:rPr>
          <w:ins w:id="336" w:author="Master Repository Process" w:date="2022-05-27T14:27:00Z"/>
        </w:rPr>
      </w:pPr>
      <w:ins w:id="337" w:author="Master Repository Process" w:date="2022-05-27T14:27:00Z">
        <w:r>
          <w:tab/>
          <w:t>(a)</w:t>
        </w:r>
        <w:r>
          <w:tab/>
          <w:t>the transaction is the transfer, or an agreement for the transfer, of the thing or the estate or interest in the thing; and</w:t>
        </w:r>
      </w:ins>
    </w:p>
    <w:p>
      <w:pPr>
        <w:pStyle w:val="Indenta"/>
        <w:rPr>
          <w:ins w:id="338" w:author="Master Repository Process" w:date="2022-05-27T14:27:00Z"/>
        </w:rPr>
      </w:pPr>
      <w:ins w:id="339" w:author="Master Repository Process" w:date="2022-05-27T14:27:00Z">
        <w:r>
          <w:tab/>
          <w:t>(b)</w:t>
        </w:r>
        <w:r>
          <w:tab/>
          <w:t xml:space="preserve">none of the following are transferred as part of the transaction or another transaction that is aggregated with the transaction under section 37 — </w:t>
        </w:r>
      </w:ins>
    </w:p>
    <w:p>
      <w:pPr>
        <w:pStyle w:val="Indenti"/>
        <w:rPr>
          <w:ins w:id="340" w:author="Master Repository Process" w:date="2022-05-27T14:27:00Z"/>
        </w:rPr>
      </w:pPr>
      <w:ins w:id="341" w:author="Master Repository Process" w:date="2022-05-27T14:27:00Z">
        <w:r>
          <w:tab/>
          <w:t>(i)</w:t>
        </w:r>
        <w:r>
          <w:tab/>
          <w:t>the land, or an estate or interest in the land, to which the thing is fixed;</w:t>
        </w:r>
      </w:ins>
    </w:p>
    <w:p>
      <w:pPr>
        <w:pStyle w:val="Indenti"/>
        <w:rPr>
          <w:ins w:id="342" w:author="Master Repository Process" w:date="2022-05-27T14:27:00Z"/>
        </w:rPr>
      </w:pPr>
      <w:ins w:id="343" w:author="Master Repository Process" w:date="2022-05-27T14:27:00Z">
        <w:r>
          <w:tab/>
          <w:t>(ii)</w:t>
        </w:r>
        <w:r>
          <w:tab/>
          <w:t>if the land to which the thing is fixed is land the subject of a mining tenement — the mining tenement, or an estate or interest in the mining tenement;</w:t>
        </w:r>
      </w:ins>
    </w:p>
    <w:p>
      <w:pPr>
        <w:pStyle w:val="Indenta"/>
        <w:rPr>
          <w:ins w:id="344" w:author="Master Repository Process" w:date="2022-05-27T14:27:00Z"/>
        </w:rPr>
      </w:pPr>
      <w:ins w:id="345" w:author="Master Repository Process" w:date="2022-05-27T14:27:00Z">
        <w:r>
          <w:tab/>
        </w:r>
        <w:r>
          <w:tab/>
          <w:t>and</w:t>
        </w:r>
      </w:ins>
    </w:p>
    <w:p>
      <w:pPr>
        <w:pStyle w:val="Indenta"/>
        <w:rPr>
          <w:ins w:id="346" w:author="Master Repository Process" w:date="2022-05-27T14:27:00Z"/>
        </w:rPr>
      </w:pPr>
      <w:ins w:id="347" w:author="Master Repository Process" w:date="2022-05-27T14:27:00Z">
        <w:r>
          <w:tab/>
          <w:t>(c)</w:t>
        </w:r>
        <w:r>
          <w:tab/>
          <w:t>there is an agreement, arrangement or understanding relating to the transaction under which the thing is to be permanently removed from the land.</w:t>
        </w:r>
      </w:ins>
    </w:p>
    <w:p>
      <w:pPr>
        <w:pStyle w:val="Subsection"/>
        <w:rPr>
          <w:ins w:id="348" w:author="Master Repository Process" w:date="2022-05-27T14:27:00Z"/>
        </w:rPr>
      </w:pPr>
      <w:ins w:id="349" w:author="Master Repository Process" w:date="2022-05-27T14:27:00Z">
        <w:r>
          <w:tab/>
          <w:t>(2)</w:t>
        </w:r>
        <w:r>
          <w:tab/>
          <w:t>Subsection (1) applies whether or not the thing constitutes a fixture at law.</w:t>
        </w:r>
      </w:ins>
    </w:p>
    <w:p>
      <w:pPr>
        <w:pStyle w:val="Subsection"/>
        <w:rPr>
          <w:ins w:id="350" w:author="Master Repository Process" w:date="2022-05-27T14:27:00Z"/>
        </w:rPr>
      </w:pPr>
      <w:ins w:id="351" w:author="Master Repository Process" w:date="2022-05-27T14:27:00Z">
        <w:r>
          <w:tab/>
          <w:t>(3)</w:t>
        </w:r>
        <w:r>
          <w:tab/>
          <w:t>If subsection (1) applies to a thing fixed to land, or an estate or interest in such a thing, the thing is taken to be a chattel for the purposes of this Act.</w:t>
        </w:r>
      </w:ins>
    </w:p>
    <w:p>
      <w:pPr>
        <w:pStyle w:val="Subsection"/>
        <w:rPr>
          <w:ins w:id="352" w:author="Master Repository Process" w:date="2022-05-27T14:27:00Z"/>
        </w:rPr>
      </w:pPr>
      <w:ins w:id="353" w:author="Master Repository Process" w:date="2022-05-27T14:27:00Z">
        <w:r>
          <w:tab/>
          <w:t>(4)</w:t>
        </w:r>
        <w:r>
          <w:tab/>
          <w:t xml:space="preserve">Subsection (1) ceases to apply to a thing fixed to land, or an estate or interest in such a thing, if the thing is not permanently removed from the land within — </w:t>
        </w:r>
      </w:ins>
    </w:p>
    <w:p>
      <w:pPr>
        <w:pStyle w:val="Indenta"/>
        <w:rPr>
          <w:ins w:id="354" w:author="Master Repository Process" w:date="2022-05-27T14:27:00Z"/>
        </w:rPr>
      </w:pPr>
      <w:ins w:id="355" w:author="Master Repository Process" w:date="2022-05-27T14:27:00Z">
        <w:r>
          <w:tab/>
          <w:t>(a)</w:t>
        </w:r>
        <w:r>
          <w:tab/>
          <w:t>the period of 90 days after the day on which the transfer referred to in subsection (1)(a) occurs; or</w:t>
        </w:r>
      </w:ins>
    </w:p>
    <w:p>
      <w:pPr>
        <w:pStyle w:val="Indenta"/>
        <w:rPr>
          <w:ins w:id="356" w:author="Master Repository Process" w:date="2022-05-27T14:27:00Z"/>
        </w:rPr>
      </w:pPr>
      <w:ins w:id="357" w:author="Master Repository Process" w:date="2022-05-27T14:27:00Z">
        <w:r>
          <w:tab/>
          <w:t>(b)</w:t>
        </w:r>
        <w:r>
          <w:tab/>
          <w:t>any longer period allowed, on application within the period referred to in paragraph (a), by the Commissioner on any conditions the Commissioner thinks fit.</w:t>
        </w:r>
      </w:ins>
    </w:p>
    <w:p>
      <w:pPr>
        <w:pStyle w:val="Subsection"/>
        <w:rPr>
          <w:ins w:id="358" w:author="Master Repository Process" w:date="2022-05-27T14:27:00Z"/>
        </w:rPr>
      </w:pPr>
      <w:ins w:id="359" w:author="Master Repository Process" w:date="2022-05-27T14:27:00Z">
        <w:r>
          <w:tab/>
          <w:t>(5)</w:t>
        </w:r>
        <w:r>
          <w:tab/>
          <w:t>If a failure to remove a thing as referred to in subsection (4) occurs, the transferee must lodge a notice of the failure in the approved form within 2 months after the last day of the period that applies under subsection (4)(a) or (b).</w:t>
        </w:r>
      </w:ins>
    </w:p>
    <w:p>
      <w:pPr>
        <w:pStyle w:val="Subsection"/>
        <w:rPr>
          <w:ins w:id="360" w:author="Master Repository Process" w:date="2022-05-27T14:27:00Z"/>
        </w:rPr>
      </w:pPr>
      <w:ins w:id="361" w:author="Master Repository Process" w:date="2022-05-27T14:27:00Z">
        <w:r>
          <w:tab/>
        </w:r>
        <w:r>
          <w:tab/>
          <w:t>Penalty for this subsection: a fine of $20 000.</w:t>
        </w:r>
      </w:ins>
    </w:p>
    <w:p>
      <w:pPr>
        <w:pStyle w:val="Subsection"/>
        <w:rPr>
          <w:ins w:id="362" w:author="Master Repository Process" w:date="2022-05-27T14:27:00Z"/>
        </w:rPr>
      </w:pPr>
      <w:ins w:id="363" w:author="Master Repository Process" w:date="2022-05-27T14:27:00Z">
        <w:r>
          <w:tab/>
          <w:t>(6)</w:t>
        </w:r>
        <w:r>
          <w:tab/>
          <w:t>Subject to the Taxation Administration Act section 17, the Commissioner must make any reassessment necessary as a result of the operation of subsection (4).</w:t>
        </w:r>
      </w:ins>
    </w:p>
    <w:p>
      <w:pPr>
        <w:pStyle w:val="Footnotesection"/>
        <w:rPr>
          <w:ins w:id="364" w:author="Master Repository Process" w:date="2022-05-27T14:27:00Z"/>
        </w:rPr>
      </w:pPr>
      <w:ins w:id="365" w:author="Master Repository Process" w:date="2022-05-27T14:27:00Z">
        <w:r>
          <w:tab/>
          <w:t>[Section 18A inserted: No. 12 of 2019 s. 13.]</w:t>
        </w:r>
      </w:ins>
    </w:p>
    <w:p>
      <w:pPr>
        <w:pStyle w:val="Heading3"/>
        <w:spacing w:before="200"/>
        <w:rPr>
          <w:sz w:val="28"/>
        </w:rPr>
      </w:pPr>
      <w:bookmarkStart w:id="366" w:name="_Toc37946624"/>
      <w:bookmarkStart w:id="367" w:name="_Toc37947224"/>
      <w:bookmarkStart w:id="368" w:name="_Toc38031288"/>
      <w:bookmarkStart w:id="369" w:name="_Toc93309797"/>
      <w:bookmarkStart w:id="370" w:name="_Toc104290819"/>
      <w:bookmarkStart w:id="371" w:name="_Toc530491574"/>
      <w:bookmarkStart w:id="372" w:name="_Toc530492034"/>
      <w:bookmarkStart w:id="373" w:name="_Toc530493044"/>
      <w:bookmarkStart w:id="374" w:name="_Toc530556179"/>
      <w:bookmarkStart w:id="375" w:name="_Toc531692017"/>
      <w:bookmarkStart w:id="376" w:name="_Toc531855922"/>
      <w:bookmarkStart w:id="377" w:name="_Toc531858650"/>
      <w:bookmarkStart w:id="378" w:name="_Toc531859189"/>
      <w:r>
        <w:rPr>
          <w:rStyle w:val="CharDivNo"/>
          <w:sz w:val="28"/>
        </w:rPr>
        <w:t>Part 4</w:t>
      </w:r>
      <w:r>
        <w:rPr>
          <w:sz w:val="28"/>
        </w:rPr>
        <w:t> — </w:t>
      </w:r>
      <w:r>
        <w:rPr>
          <w:rStyle w:val="CharDivText"/>
          <w:sz w:val="28"/>
        </w:rPr>
        <w:t>Collection of transfer duty</w:t>
      </w:r>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Heading4"/>
        <w:spacing w:before="200"/>
        <w:rPr>
          <w:sz w:val="26"/>
        </w:rPr>
      </w:pPr>
      <w:bookmarkStart w:id="379" w:name="_Toc37946625"/>
      <w:bookmarkStart w:id="380" w:name="_Toc37947225"/>
      <w:bookmarkStart w:id="381" w:name="_Toc38031289"/>
      <w:bookmarkStart w:id="382" w:name="_Toc93309798"/>
      <w:bookmarkStart w:id="383" w:name="_Toc104290820"/>
      <w:bookmarkStart w:id="384" w:name="_Toc530491575"/>
      <w:bookmarkStart w:id="385" w:name="_Toc530492035"/>
      <w:bookmarkStart w:id="386" w:name="_Toc530493045"/>
      <w:bookmarkStart w:id="387" w:name="_Toc530556180"/>
      <w:bookmarkStart w:id="388" w:name="_Toc531692018"/>
      <w:bookmarkStart w:id="389" w:name="_Toc531855923"/>
      <w:bookmarkStart w:id="390" w:name="_Toc531858651"/>
      <w:bookmarkStart w:id="391" w:name="_Toc531859190"/>
      <w:r>
        <w:rPr>
          <w:sz w:val="26"/>
        </w:rPr>
        <w:t>Division 1 — Liability for transfer duty</w:t>
      </w:r>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Heading5"/>
        <w:spacing w:before="180"/>
      </w:pPr>
      <w:bookmarkStart w:id="392" w:name="_Toc104290821"/>
      <w:bookmarkStart w:id="393" w:name="_Toc531859191"/>
      <w:r>
        <w:rPr>
          <w:rStyle w:val="CharSectno"/>
        </w:rPr>
        <w:t>19</w:t>
      </w:r>
      <w:r>
        <w:t>.</w:t>
      </w:r>
      <w:r>
        <w:tab/>
        <w:t>When liability for duty arises</w:t>
      </w:r>
      <w:bookmarkEnd w:id="392"/>
      <w:bookmarkEnd w:id="393"/>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No. 17 of 2010 s. 5.]</w:t>
      </w:r>
    </w:p>
    <w:p>
      <w:pPr>
        <w:pStyle w:val="Heading5"/>
      </w:pPr>
      <w:bookmarkStart w:id="394" w:name="_Toc104290822"/>
      <w:bookmarkStart w:id="395" w:name="_Toc531859192"/>
      <w:r>
        <w:rPr>
          <w:rStyle w:val="CharSectno"/>
        </w:rPr>
        <w:t>20</w:t>
      </w:r>
      <w:r>
        <w:t>.</w:t>
      </w:r>
      <w:r>
        <w:tab/>
        <w:t>Who is liable to pay duty</w:t>
      </w:r>
      <w:bookmarkEnd w:id="394"/>
      <w:bookmarkEnd w:id="395"/>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396" w:name="_Toc104290823"/>
      <w:bookmarkStart w:id="397" w:name="_Toc531859193"/>
      <w:r>
        <w:rPr>
          <w:rStyle w:val="CharSectno"/>
        </w:rPr>
        <w:t>21</w:t>
      </w:r>
      <w:r>
        <w:t>.</w:t>
      </w:r>
      <w:r>
        <w:tab/>
        <w:t>Joint tenants to be treated as tenants in common in equal shares</w:t>
      </w:r>
      <w:bookmarkEnd w:id="396"/>
      <w:bookmarkEnd w:id="397"/>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398" w:name="_Toc37946629"/>
      <w:bookmarkStart w:id="399" w:name="_Toc37947229"/>
      <w:bookmarkStart w:id="400" w:name="_Toc38031293"/>
      <w:bookmarkStart w:id="401" w:name="_Toc93309802"/>
      <w:bookmarkStart w:id="402" w:name="_Toc104290824"/>
      <w:bookmarkStart w:id="403" w:name="_Toc530491579"/>
      <w:bookmarkStart w:id="404" w:name="_Toc530492039"/>
      <w:bookmarkStart w:id="405" w:name="_Toc530493049"/>
      <w:bookmarkStart w:id="406" w:name="_Toc530556184"/>
      <w:bookmarkStart w:id="407" w:name="_Toc531692022"/>
      <w:bookmarkStart w:id="408" w:name="_Toc531855927"/>
      <w:bookmarkStart w:id="409" w:name="_Toc531858655"/>
      <w:bookmarkStart w:id="410" w:name="_Toc531859194"/>
      <w:r>
        <w:rPr>
          <w:sz w:val="26"/>
        </w:rPr>
        <w:t>Division 2 — Lodging transaction records</w:t>
      </w:r>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5"/>
      </w:pPr>
      <w:bookmarkStart w:id="411" w:name="_Toc104290825"/>
      <w:bookmarkStart w:id="412" w:name="_Toc531859195"/>
      <w:r>
        <w:rPr>
          <w:rStyle w:val="CharSectno"/>
        </w:rPr>
        <w:t>22A</w:t>
      </w:r>
      <w:r>
        <w:t>.</w:t>
      </w:r>
      <w:r>
        <w:tab/>
        <w:t>Terms used</w:t>
      </w:r>
      <w:bookmarkEnd w:id="411"/>
      <w:bookmarkEnd w:id="412"/>
    </w:p>
    <w:p>
      <w:pPr>
        <w:pStyle w:val="Subsection"/>
      </w:pPr>
      <w:r>
        <w:tab/>
      </w:r>
      <w:r>
        <w:tab/>
        <w:t xml:space="preserve">In this Division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Footnotesection"/>
        <w:spacing w:before="100"/>
        <w:ind w:left="890" w:hanging="890"/>
      </w:pPr>
      <w:r>
        <w:tab/>
        <w:t>[Section 22A inserted: No. 2 of 2014 s. 50.]</w:t>
      </w:r>
    </w:p>
    <w:p>
      <w:pPr>
        <w:pStyle w:val="Heading5"/>
        <w:spacing w:before="240"/>
      </w:pPr>
      <w:bookmarkStart w:id="413" w:name="_Toc104290826"/>
      <w:bookmarkStart w:id="414" w:name="_Toc531859196"/>
      <w:r>
        <w:rPr>
          <w:rStyle w:val="CharSectno"/>
        </w:rPr>
        <w:t>22</w:t>
      </w:r>
      <w:r>
        <w:t>.</w:t>
      </w:r>
      <w:r>
        <w:tab/>
        <w:t>Transfer duty statement to be made if no instrument</w:t>
      </w:r>
      <w:bookmarkEnd w:id="413"/>
      <w:bookmarkEnd w:id="414"/>
    </w:p>
    <w:p>
      <w:pPr>
        <w:pStyle w:val="Subsection"/>
        <w:spacing w:before="180"/>
      </w:pPr>
      <w:r>
        <w:tab/>
        <w:t>(1)</w:t>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Subsection"/>
      </w:pPr>
      <w:r>
        <w:tab/>
        <w:t>(2)</w:t>
      </w:r>
      <w:r>
        <w:tab/>
        <w:t>For the purposes of subsection (1) and section 23(1)(a), an electronic conveyancing instrument that has been digitally signed is to be taken to be an instrument in hard copy form.</w:t>
      </w:r>
    </w:p>
    <w:p>
      <w:pPr>
        <w:pStyle w:val="Footnotesection"/>
        <w:spacing w:before="100"/>
        <w:ind w:left="890" w:hanging="890"/>
      </w:pPr>
      <w:r>
        <w:tab/>
        <w:t>[Section 22 amended: No. 2 of 2014 s. 51.]</w:t>
      </w:r>
    </w:p>
    <w:p>
      <w:pPr>
        <w:pStyle w:val="Heading5"/>
        <w:spacing w:before="240"/>
      </w:pPr>
      <w:bookmarkStart w:id="415" w:name="_Toc104290827"/>
      <w:bookmarkStart w:id="416" w:name="_Toc531859197"/>
      <w:r>
        <w:rPr>
          <w:rStyle w:val="CharSectno"/>
        </w:rPr>
        <w:t>23</w:t>
      </w:r>
      <w:r>
        <w:t>.</w:t>
      </w:r>
      <w:r>
        <w:tab/>
        <w:t>Instrument or statement for dutiable transaction, duty to lodge</w:t>
      </w:r>
      <w:bookmarkEnd w:id="415"/>
      <w:bookmarkEnd w:id="416"/>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pPr>
      <w:r>
        <w:tab/>
      </w:r>
      <w:r>
        <w:tab/>
        <w:t>within 2 months after the day on which liability for duty on the transaction arises.</w:t>
      </w:r>
    </w:p>
    <w:p>
      <w:pPr>
        <w:pStyle w:val="Penstart"/>
      </w:pPr>
      <w:r>
        <w:tab/>
        <w:t>Penalty: a fine of $5 000.</w:t>
      </w:r>
    </w:p>
    <w:p>
      <w:pPr>
        <w:pStyle w:val="Subsection"/>
      </w:pPr>
      <w:r>
        <w:tab/>
        <w:t>(2)</w:t>
      </w:r>
      <w:r>
        <w:tab/>
        <w:t>A person is not required to lodge an instrument in respect of a general conditional agreement in respect of which liability for duty does not arise under section 19(2).</w:t>
      </w:r>
    </w:p>
    <w:p>
      <w:pPr>
        <w:pStyle w:val="Subsection"/>
      </w:pPr>
      <w:r>
        <w:tab/>
        <w:t>(3)</w:t>
      </w:r>
      <w:r>
        <w:tab/>
        <w:t>If a transaction is effected by an electronic conveyancing instrument, the person liable to pay duty on the transaction is to be taken to have complied with subsection (1) when the instrument is digitally signed.</w:t>
      </w:r>
    </w:p>
    <w:p>
      <w:pPr>
        <w:pStyle w:val="Footnotesection"/>
      </w:pPr>
      <w:r>
        <w:tab/>
        <w:t>[Section 23 amended: No. 17 of 2010 s. 6; No. 2 of 2014 s. 52.]</w:t>
      </w:r>
    </w:p>
    <w:p>
      <w:pPr>
        <w:pStyle w:val="Heading5"/>
      </w:pPr>
      <w:bookmarkStart w:id="417" w:name="_Toc104290828"/>
      <w:bookmarkStart w:id="418" w:name="_Toc531859198"/>
      <w:r>
        <w:rPr>
          <w:rStyle w:val="CharSectno"/>
        </w:rPr>
        <w:t>24</w:t>
      </w:r>
      <w:r>
        <w:t>.</w:t>
      </w:r>
      <w:r>
        <w:tab/>
        <w:t>Form of dutiable transaction</w:t>
      </w:r>
      <w:bookmarkEnd w:id="417"/>
      <w:bookmarkEnd w:id="418"/>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419" w:name="_Toc37946634"/>
      <w:bookmarkStart w:id="420" w:name="_Toc37947234"/>
      <w:bookmarkStart w:id="421" w:name="_Toc38031298"/>
      <w:bookmarkStart w:id="422" w:name="_Toc93309807"/>
      <w:bookmarkStart w:id="423" w:name="_Toc104290829"/>
      <w:bookmarkStart w:id="424" w:name="_Toc530491584"/>
      <w:bookmarkStart w:id="425" w:name="_Toc530492044"/>
      <w:bookmarkStart w:id="426" w:name="_Toc530493054"/>
      <w:bookmarkStart w:id="427" w:name="_Toc530556189"/>
      <w:bookmarkStart w:id="428" w:name="_Toc531692027"/>
      <w:bookmarkStart w:id="429" w:name="_Toc531855932"/>
      <w:bookmarkStart w:id="430" w:name="_Toc531858660"/>
      <w:bookmarkStart w:id="431" w:name="_Toc531859199"/>
      <w:r>
        <w:rPr>
          <w:sz w:val="26"/>
        </w:rPr>
        <w:t>Division 3 — Payment of transfer duty</w:t>
      </w:r>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Heading5"/>
      </w:pPr>
      <w:bookmarkStart w:id="432" w:name="_Toc104290830"/>
      <w:bookmarkStart w:id="433" w:name="_Toc531859200"/>
      <w:r>
        <w:rPr>
          <w:rStyle w:val="CharSectno"/>
        </w:rPr>
        <w:t>25</w:t>
      </w:r>
      <w:r>
        <w:t>.</w:t>
      </w:r>
      <w:r>
        <w:tab/>
        <w:t>When duty must be paid</w:t>
      </w:r>
      <w:bookmarkEnd w:id="432"/>
      <w:bookmarkEnd w:id="433"/>
    </w:p>
    <w:p>
      <w:pPr>
        <w:pStyle w:val="Subsection"/>
      </w:pPr>
      <w:r>
        <w:tab/>
        <w:t>(1)</w:t>
      </w:r>
      <w:r>
        <w:tab/>
        <w:t>A person liable to pay duty on a dutiable transaction is to pay the duty within one month after the date of the assessment notice issued in relation to an assessment of the duty, 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25 inserted: No. 17 of 2010 s. 7; amended: No. 10 of 2013 s. 4.]</w:t>
      </w:r>
    </w:p>
    <w:p>
      <w:pPr>
        <w:pStyle w:val="Heading4"/>
        <w:rPr>
          <w:sz w:val="26"/>
        </w:rPr>
      </w:pPr>
      <w:bookmarkStart w:id="434" w:name="_Toc37946636"/>
      <w:bookmarkStart w:id="435" w:name="_Toc37947236"/>
      <w:bookmarkStart w:id="436" w:name="_Toc38031300"/>
      <w:bookmarkStart w:id="437" w:name="_Toc93309809"/>
      <w:bookmarkStart w:id="438" w:name="_Toc104290831"/>
      <w:bookmarkStart w:id="439" w:name="_Toc530491586"/>
      <w:bookmarkStart w:id="440" w:name="_Toc530492046"/>
      <w:bookmarkStart w:id="441" w:name="_Toc530493056"/>
      <w:bookmarkStart w:id="442" w:name="_Toc530556191"/>
      <w:bookmarkStart w:id="443" w:name="_Toc531692029"/>
      <w:bookmarkStart w:id="444" w:name="_Toc531855934"/>
      <w:bookmarkStart w:id="445" w:name="_Toc531858662"/>
      <w:bookmarkStart w:id="446" w:name="_Toc531859201"/>
      <w:r>
        <w:rPr>
          <w:sz w:val="26"/>
        </w:rPr>
        <w:t>Division 4 — Rate of transfer duty</w:t>
      </w:r>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Heading5"/>
        <w:spacing w:before="180"/>
      </w:pPr>
      <w:bookmarkStart w:id="447" w:name="_Toc104290832"/>
      <w:bookmarkStart w:id="448" w:name="_Toc531859202"/>
      <w:r>
        <w:rPr>
          <w:rStyle w:val="CharSectno"/>
        </w:rPr>
        <w:t>26</w:t>
      </w:r>
      <w:r>
        <w:t>.</w:t>
      </w:r>
      <w:r>
        <w:tab/>
        <w:t>Rate of transfer duty</w:t>
      </w:r>
      <w:bookmarkEnd w:id="447"/>
      <w:bookmarkEnd w:id="448"/>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449" w:name="_Toc37946638"/>
      <w:bookmarkStart w:id="450" w:name="_Toc37947238"/>
      <w:bookmarkStart w:id="451" w:name="_Toc38031302"/>
      <w:bookmarkStart w:id="452" w:name="_Toc93309811"/>
      <w:bookmarkStart w:id="453" w:name="_Toc104290833"/>
      <w:bookmarkStart w:id="454" w:name="_Toc530491588"/>
      <w:bookmarkStart w:id="455" w:name="_Toc530492048"/>
      <w:bookmarkStart w:id="456" w:name="_Toc530493058"/>
      <w:bookmarkStart w:id="457" w:name="_Toc530556193"/>
      <w:bookmarkStart w:id="458" w:name="_Toc531692031"/>
      <w:bookmarkStart w:id="459" w:name="_Toc531855936"/>
      <w:bookmarkStart w:id="460" w:name="_Toc531858664"/>
      <w:bookmarkStart w:id="461" w:name="_Toc531859203"/>
      <w:r>
        <w:rPr>
          <w:sz w:val="26"/>
        </w:rPr>
        <w:t>Division 5 — Dutiable value</w:t>
      </w:r>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Heading4"/>
        <w:rPr>
          <w:sz w:val="26"/>
        </w:rPr>
      </w:pPr>
      <w:bookmarkStart w:id="462" w:name="_Toc37946639"/>
      <w:bookmarkStart w:id="463" w:name="_Toc37947239"/>
      <w:bookmarkStart w:id="464" w:name="_Toc38031303"/>
      <w:bookmarkStart w:id="465" w:name="_Toc93309812"/>
      <w:bookmarkStart w:id="466" w:name="_Toc104290834"/>
      <w:bookmarkStart w:id="467" w:name="_Toc530491589"/>
      <w:bookmarkStart w:id="468" w:name="_Toc530492049"/>
      <w:bookmarkStart w:id="469" w:name="_Toc530493059"/>
      <w:bookmarkStart w:id="470" w:name="_Toc530556194"/>
      <w:bookmarkStart w:id="471" w:name="_Toc531692032"/>
      <w:bookmarkStart w:id="472" w:name="_Toc531855937"/>
      <w:bookmarkStart w:id="473" w:name="_Toc531858665"/>
      <w:bookmarkStart w:id="474" w:name="_Toc531859204"/>
      <w:r>
        <w:rPr>
          <w:sz w:val="26"/>
        </w:rPr>
        <w:t>Subdivision 1 — Dutiable value</w:t>
      </w:r>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Heading5"/>
        <w:spacing w:before="180"/>
      </w:pPr>
      <w:bookmarkStart w:id="475" w:name="_Toc104290835"/>
      <w:bookmarkStart w:id="476" w:name="_Toc531859205"/>
      <w:r>
        <w:rPr>
          <w:rStyle w:val="CharSectno"/>
        </w:rPr>
        <w:t>27</w:t>
      </w:r>
      <w:r>
        <w:t>.</w:t>
      </w:r>
      <w:r>
        <w:tab/>
        <w:t>Dutiable value of dutiable transactions, unless otherwise provided</w:t>
      </w:r>
      <w:bookmarkEnd w:id="475"/>
      <w:bookmarkEnd w:id="476"/>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spacing w:before="180"/>
      </w:pPr>
      <w:bookmarkStart w:id="477" w:name="_Toc104290836"/>
      <w:bookmarkStart w:id="478" w:name="_Toc531859206"/>
      <w:r>
        <w:rPr>
          <w:rStyle w:val="CharSectno"/>
        </w:rPr>
        <w:t>28</w:t>
      </w:r>
      <w:r>
        <w:t>.</w:t>
      </w:r>
      <w:r>
        <w:tab/>
        <w:t>Dutiable value of certain dutiable transactions</w:t>
      </w:r>
      <w:bookmarkEnd w:id="477"/>
      <w:bookmarkEnd w:id="478"/>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pPr>
      <w:r>
        <w:tab/>
        <w:t>(4)</w:t>
      </w:r>
      <w:r>
        <w:tab/>
        <w:t xml:space="preserve">The dutiable value of a dutiable transaction that is the grant of a lease </w:t>
      </w:r>
      <w:ins w:id="479" w:author="Master Repository Process" w:date="2022-05-27T14:27:00Z">
        <w:r>
          <w:t xml:space="preserve">(other than a pastoral lease) </w:t>
        </w:r>
      </w:ins>
      <w:r>
        <w:t xml:space="preserve">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rPr>
          <w:ins w:id="480" w:author="Master Repository Process" w:date="2022-05-27T14:27:00Z"/>
        </w:rPr>
      </w:pPr>
      <w:ins w:id="481" w:author="Master Repository Process" w:date="2022-05-27T14:27:00Z">
        <w:r>
          <w:tab/>
          <w:t>(4A)</w:t>
        </w:r>
        <w:r>
          <w:tab/>
          <w:t xml:space="preserve">The dutiable value of a dutiable transaction that is the grant of a pastoral lease is the sale price subject to the payment of which the lease is granted under the </w:t>
        </w:r>
        <w:r>
          <w:rPr>
            <w:i/>
          </w:rPr>
          <w:t>Land Administration Act 1997</w:t>
        </w:r>
        <w:r>
          <w:t xml:space="preserve"> section 101.</w:t>
        </w:r>
      </w:ins>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127(2)(d), is the amount by which the unencumbered value of the dutiable property transferred exceeds the value of the member’s interest in the superannuation fund.</w:t>
      </w:r>
    </w:p>
    <w:p>
      <w:pPr>
        <w:pStyle w:val="Footnotesection"/>
        <w:ind w:left="890" w:hanging="890"/>
      </w:pPr>
      <w:r>
        <w:tab/>
        <w:t>[Section 28 amended: No. 30 of 2008 s. 24; No. 32 of 2012 s. </w:t>
      </w:r>
      <w:del w:id="482" w:author="Master Repository Process" w:date="2022-05-27T14:27:00Z">
        <w:r>
          <w:delText>4</w:delText>
        </w:r>
      </w:del>
      <w:ins w:id="483" w:author="Master Repository Process" w:date="2022-05-27T14:27:00Z">
        <w:r>
          <w:t>4; No. 12 of 2019 s. 14</w:t>
        </w:r>
      </w:ins>
      <w:r>
        <w:t>.]</w:t>
      </w:r>
    </w:p>
    <w:p>
      <w:pPr>
        <w:pStyle w:val="Heading5"/>
        <w:spacing w:before="240"/>
      </w:pPr>
      <w:bookmarkStart w:id="484" w:name="_Toc104290837"/>
      <w:bookmarkStart w:id="485" w:name="_Toc531859207"/>
      <w:r>
        <w:rPr>
          <w:rStyle w:val="CharSectno"/>
        </w:rPr>
        <w:t>29</w:t>
      </w:r>
      <w:r>
        <w:t>.</w:t>
      </w:r>
      <w:r>
        <w:tab/>
        <w:t>Dutiable value of certain dutiable transactions relating to corporation or unit trust scheme property on winding up</w:t>
      </w:r>
      <w:bookmarkEnd w:id="484"/>
      <w:bookmarkEnd w:id="485"/>
    </w:p>
    <w:p>
      <w:pPr>
        <w:pStyle w:val="Subsection"/>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spacing w:after="40"/>
      </w:pPr>
      <w:r>
        <w:tab/>
        <w:t>(a)</w:t>
      </w:r>
      <w:r>
        <w:tab/>
        <w:t xml:space="preserve">in relation to a corporation — determined in accordance with the following formula — </w:t>
      </w:r>
    </w:p>
    <w:p>
      <w:pPr>
        <w:pStyle w:val="Graphics"/>
        <w:spacing w:before="80"/>
        <w:ind w:left="1560"/>
        <w:rPr>
          <w:position w:val="-24"/>
        </w:rP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0.75pt">
            <v:imagedata r:id="rId15" o:title=""/>
          </v:shape>
        </w:pict>
      </w:r>
    </w:p>
    <w:p>
      <w:pPr>
        <w:pStyle w:val="Indenta"/>
      </w:pPr>
      <w:r>
        <w:tab/>
      </w:r>
      <w:r>
        <w:tab/>
        <w:t xml:space="preserve">where — </w:t>
      </w:r>
    </w:p>
    <w:p>
      <w:pPr>
        <w:pStyle w:val="Indenta"/>
      </w:pPr>
      <w:r>
        <w:tab/>
      </w:r>
      <w:r>
        <w:tab/>
        <w:t>DV is the dutiable value;</w:t>
      </w:r>
    </w:p>
    <w:p>
      <w:pPr>
        <w:pStyle w:val="Indenta"/>
        <w:keepNext/>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or a person related to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pPr>
      <w:r>
        <w:rPr>
          <w:position w:val="-24"/>
        </w:rPr>
        <w:pict>
          <v:shape id="_x0000_i1026" type="#_x0000_t75" style="width:66.75pt;height:30.75pt">
            <v:imagedata r:id="rId15" o:title=""/>
          </v:shape>
        </w:pi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keepNext/>
      </w:pPr>
      <w:r>
        <w:tab/>
        <w:t>(ii)</w:t>
      </w:r>
      <w:r>
        <w:tab/>
        <w:t xml:space="preserve">the amount that is the total of — </w:t>
      </w:r>
    </w:p>
    <w:p>
      <w:pPr>
        <w:pStyle w:val="IndentI0"/>
      </w:pPr>
      <w:r>
        <w:tab/>
        <w:t>(I)</w:t>
      </w:r>
      <w:r>
        <w:tab/>
        <w:t>the amount (if any) owing to the unit holder that the unit holder has released the trustee of the unit trust scheme from paying in the relevant period; and</w:t>
      </w:r>
    </w:p>
    <w:p>
      <w:pPr>
        <w:pStyle w:val="IndentI0"/>
      </w:pPr>
      <w:r>
        <w:tab/>
        <w:t>(II)</w:t>
      </w:r>
      <w:r>
        <w:tab/>
        <w:t>the amount (if any) of any liability that the unit holder, or a person related to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PermNoteHeading"/>
      </w:pPr>
      <w:r>
        <w:tab/>
        <w:t>Note for this subsection:</w:t>
      </w:r>
    </w:p>
    <w:p>
      <w:pPr>
        <w:pStyle w:val="PermNoteText"/>
      </w:pPr>
      <w:r>
        <w:tab/>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PermNoteText"/>
      </w:pPr>
      <w:r>
        <w:tab/>
      </w:r>
      <w:r>
        <w:tab/>
        <w:t>There are no liquid assets to satisfy the liability and the liquidator distributes the assets subject to the liability.  A receives assets of $450 000 ($100 000 in excess of A’s entitlement) comprising $400 000 of dutiable property and $50 000 non</w:t>
      </w:r>
      <w:r>
        <w:noBreakHyphen/>
        <w:t>dutiable property and assumes the whole mortgage.  B receives assets comprising dutiable property of $350 000.</w:t>
      </w:r>
    </w:p>
    <w:p>
      <w:pPr>
        <w:pStyle w:val="PermNoteText"/>
      </w:pPr>
      <w:r>
        <w:tab/>
      </w:r>
      <w:r>
        <w:tab/>
        <w:t>A’s duty assessment:</w:t>
      </w:r>
    </w:p>
    <w:p>
      <w:pPr>
        <w:pStyle w:val="PermNoteText"/>
        <w:rPr>
          <w:u w:val="single"/>
        </w:rPr>
      </w:pPr>
      <w:r>
        <w:tab/>
      </w:r>
      <w:r>
        <w:tab/>
      </w:r>
      <w:r>
        <w:rPr>
          <w:u w:val="single"/>
        </w:rPr>
        <w:t>$100 000 (excess entitlement) x $400 000 (value of dutiable property)</w:t>
      </w:r>
    </w:p>
    <w:p>
      <w:pPr>
        <w:pStyle w:val="PermNoteText"/>
        <w:spacing w:before="0"/>
        <w:jc w:val="center"/>
      </w:pPr>
      <w:r>
        <w:t>$450 000 (value of all property received)</w:t>
      </w:r>
    </w:p>
    <w:p>
      <w:pPr>
        <w:pStyle w:val="PermNoteText"/>
      </w:pPr>
      <w:r>
        <w:tab/>
      </w:r>
      <w:r>
        <w:tab/>
        <w:t>Transfer duty is charged on $88 888.</w:t>
      </w:r>
    </w:p>
    <w:p>
      <w:pPr>
        <w:pStyle w:val="PermNoteText"/>
      </w:pPr>
      <w:r>
        <w:tab/>
      </w:r>
      <w:r>
        <w:tab/>
        <w:t>B’s duty assessment:</w:t>
      </w:r>
    </w:p>
    <w:p>
      <w:pPr>
        <w:pStyle w:val="PermNoteText"/>
      </w:pPr>
      <w:r>
        <w:tab/>
      </w:r>
      <w:r>
        <w:tab/>
        <w:t>Nominal duty is charged, as B has received a distribution of assets equal to the shareholder entitlement.</w:t>
      </w:r>
    </w:p>
    <w:p>
      <w:pPr>
        <w:pStyle w:val="Subsection"/>
      </w:pPr>
      <w:r>
        <w:tab/>
        <w:t>(3)</w:t>
      </w:r>
      <w:r>
        <w:tab/>
        <w:t xml:space="preserve">In subsection (2)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pPr>
      <w:r>
        <w:tab/>
        <w:t>(4A)</w:t>
      </w:r>
      <w:r>
        <w:tab/>
        <w:t>For the purposes of paragraph (a)(ii)(II) or (b)(ii)(II) of the definition of the variable “A” in subsection (2),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(2) to all other transfers of corporation or unit trust scheme property in respect of the same corporation or unit trust scheme.</w:t>
      </w:r>
    </w:p>
    <w:p>
      <w:pPr>
        <w:pStyle w:val="Subsection"/>
      </w:pPr>
      <w:r>
        <w:tab/>
        <w:t>(4)</w:t>
      </w:r>
      <w:r>
        <w:tab/>
        <w:t xml:space="preserve">Subject to subsection (2), nominal duty is chargeable on a dutiable transaction that is a transfer of corporation or unit trust scheme property if — </w:t>
      </w:r>
    </w:p>
    <w:p>
      <w:pPr>
        <w:pStyle w:val="Indenta"/>
      </w:pPr>
      <w:r>
        <w:tab/>
        <w:t>(a)</w:t>
      </w:r>
      <w:r>
        <w:tab/>
        <w:t>in relation to a transfer of corporation property — the total value of the transaction to the shareholder, when the winding up begins, is equal to or less than the value of the shareholder’s entitlement to the net assets of the corporation at that time; or</w:t>
      </w:r>
    </w:p>
    <w:p>
      <w:pPr>
        <w:pStyle w:val="Indenta"/>
      </w:pPr>
      <w:r>
        <w:tab/>
        <w:t>(b)</w:t>
      </w:r>
      <w:r>
        <w:tab/>
        <w:t>in relation to a transfer of unit trust scheme property — the total value of the transaction to the unit holder, when the winding up begins, is equal to or less than the value of the unit holder’s entitlement to the net assets held in the unit trust scheme at that time.</w:t>
      </w:r>
    </w:p>
    <w:p>
      <w:pPr>
        <w:pStyle w:val="Subsection"/>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pPr>
      <w:r>
        <w:tab/>
        <w:t>(6)</w:t>
      </w:r>
      <w:r>
        <w:tab/>
        <w:t xml:space="preserve">In considering whether or not the Commissioner is satisfied for the purposes of subsection (5), the Commissioner may have regard to any of the following in relation to a corporation — </w:t>
      </w:r>
    </w:p>
    <w:p>
      <w:pPr>
        <w:pStyle w:val="Indenta"/>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keepNext/>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pPr>
      <w:r>
        <w:tab/>
        <w:t>(b)</w:t>
      </w:r>
      <w:r>
        <w:tab/>
        <w:t>whether or not the unit holder held units in a related unit trust scheme that owned the property before it was owned by the trustee of the unit trust scheme;</w:t>
      </w:r>
    </w:p>
    <w:p>
      <w:pPr>
        <w:pStyle w:val="Indenta"/>
      </w:pPr>
      <w:r>
        <w:tab/>
        <w:t>(c)</w:t>
      </w:r>
      <w:r>
        <w:tab/>
        <w:t>the period for which the property has been owned by the trustee of the unit trust scheme or a related unit trust scheme of the unit trust scheme;</w:t>
      </w:r>
    </w:p>
    <w:p>
      <w:pPr>
        <w:pStyle w:val="Indenta"/>
      </w:pPr>
      <w:r>
        <w:tab/>
        <w:t>(d)</w:t>
      </w:r>
      <w:r>
        <w:tab/>
        <w:t>any dealing in units of the unit trust scheme or a related unit trust scheme of the unit trust scheme by any one or more of the following —</w:t>
      </w:r>
    </w:p>
    <w:p>
      <w:pPr>
        <w:pStyle w:val="Indenti"/>
      </w:pPr>
      <w:r>
        <w:tab/>
        <w:t>(i)</w:t>
      </w:r>
      <w:r>
        <w:tab/>
        <w:t>the unit 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trustee of the unit trust scheme;</w:t>
      </w:r>
    </w:p>
    <w:p>
      <w:pPr>
        <w:pStyle w:val="Indenti"/>
      </w:pPr>
      <w:r>
        <w:tab/>
        <w:t>(ii)</w:t>
      </w:r>
      <w:r>
        <w:tab/>
        <w:t>the unit holder;</w:t>
      </w:r>
    </w:p>
    <w:p>
      <w:pPr>
        <w:pStyle w:val="Indenti"/>
        <w:keepNext/>
      </w:pPr>
      <w:r>
        <w:tab/>
        <w:t>(iii)</w:t>
      </w:r>
      <w:r>
        <w:tab/>
        <w:t>a related unit trust scheme,</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pPr>
      <w:r>
        <w:tab/>
        <w:t>(g)</w:t>
      </w:r>
      <w:r>
        <w:tab/>
        <w:t>any other matters the Commissioner considers relevant.</w:t>
      </w:r>
    </w:p>
    <w:p>
      <w:pPr>
        <w:pStyle w:val="Subsection"/>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Footnotesection"/>
      </w:pPr>
      <w:r>
        <w:tab/>
        <w:t>[Section 29</w:t>
      </w:r>
      <w:r>
        <w:rPr>
          <w:i w:val="0"/>
          <w:vertAlign w:val="superscript"/>
        </w:rPr>
        <w:t> </w:t>
      </w:r>
      <w:del w:id="486" w:author="Master Repository Process" w:date="2022-05-27T14:27:00Z">
        <w:r>
          <w:rPr>
            <w:i w:val="0"/>
            <w:vertAlign w:val="superscript"/>
          </w:rPr>
          <w:delText>3</w:delText>
        </w:r>
      </w:del>
      <w:ins w:id="487" w:author="Master Repository Process" w:date="2022-05-27T14:27:00Z">
        <w:r>
          <w:rPr>
            <w:i w:val="0"/>
            <w:vertAlign w:val="superscript"/>
          </w:rPr>
          <w:t>2</w:t>
        </w:r>
      </w:ins>
      <w:r>
        <w:t xml:space="preserve"> amended: No. 29 of 2012 s. 4.]</w:t>
      </w:r>
    </w:p>
    <w:p>
      <w:pPr>
        <w:pStyle w:val="Heading4"/>
        <w:rPr>
          <w:sz w:val="26"/>
        </w:rPr>
      </w:pPr>
      <w:bookmarkStart w:id="488" w:name="_Toc37946643"/>
      <w:bookmarkStart w:id="489" w:name="_Toc37947243"/>
      <w:bookmarkStart w:id="490" w:name="_Toc38031307"/>
      <w:bookmarkStart w:id="491" w:name="_Toc93309816"/>
      <w:bookmarkStart w:id="492" w:name="_Toc104290838"/>
      <w:bookmarkStart w:id="493" w:name="_Toc530491593"/>
      <w:bookmarkStart w:id="494" w:name="_Toc530492053"/>
      <w:bookmarkStart w:id="495" w:name="_Toc530493063"/>
      <w:bookmarkStart w:id="496" w:name="_Toc530556198"/>
      <w:bookmarkStart w:id="497" w:name="_Toc531692036"/>
      <w:bookmarkStart w:id="498" w:name="_Toc531855941"/>
      <w:bookmarkStart w:id="499" w:name="_Toc531858669"/>
      <w:bookmarkStart w:id="500" w:name="_Toc531859208"/>
      <w:r>
        <w:rPr>
          <w:sz w:val="26"/>
        </w:rPr>
        <w:t>Subdivision 2 — Consideration</w:t>
      </w:r>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Heading5"/>
      </w:pPr>
      <w:bookmarkStart w:id="501" w:name="_Toc104290839"/>
      <w:bookmarkStart w:id="502" w:name="_Toc531859209"/>
      <w:r>
        <w:rPr>
          <w:rStyle w:val="CharSectno"/>
        </w:rPr>
        <w:t>30</w:t>
      </w:r>
      <w:r>
        <w:t>.</w:t>
      </w:r>
      <w:r>
        <w:tab/>
        <w:t>Consideration for dutiable transaction</w:t>
      </w:r>
      <w:bookmarkEnd w:id="501"/>
      <w:bookmarkEnd w:id="502"/>
    </w:p>
    <w:p>
      <w:pPr>
        <w:pStyle w:val="Subsection"/>
        <w:keepNext/>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spacing w:before="180"/>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spacing w:before="180"/>
      </w:pPr>
      <w:r>
        <w:tab/>
        <w:t>(3)</w:t>
      </w:r>
      <w:r>
        <w:tab/>
        <w:t>It does not matter whether the consideration for a transaction on which duty is chargeable is paid or given or is required to be paid or given.</w:t>
      </w:r>
    </w:p>
    <w:p>
      <w:pPr>
        <w:pStyle w:val="Heading5"/>
        <w:spacing w:before="240"/>
      </w:pPr>
      <w:bookmarkStart w:id="503" w:name="_Toc104290840"/>
      <w:bookmarkStart w:id="504" w:name="_Toc531859210"/>
      <w:r>
        <w:rPr>
          <w:rStyle w:val="CharSectno"/>
        </w:rPr>
        <w:t>31</w:t>
      </w:r>
      <w:r>
        <w:t>.</w:t>
      </w:r>
      <w:r>
        <w:tab/>
        <w:t>Changes to consideration before transfer, consequences of</w:t>
      </w:r>
      <w:bookmarkEnd w:id="503"/>
      <w:bookmarkEnd w:id="504"/>
    </w:p>
    <w:p>
      <w:pPr>
        <w:pStyle w:val="Subsection"/>
        <w:spacing w:before="180"/>
      </w:pPr>
      <w:r>
        <w:tab/>
        <w:t>(1)</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not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180"/>
      </w:pPr>
      <w:r>
        <w:tab/>
      </w:r>
      <w:r>
        <w:tab/>
        <w:t>the Commissioner is to assess or, on the application of the taxpayer, reassess the liability to duty of the agreement in accordance with the reduced consideration.</w:t>
      </w:r>
    </w:p>
    <w:p>
      <w:pPr>
        <w:pStyle w:val="Subsection"/>
        <w:spacing w:before="180"/>
      </w:pPr>
      <w:r>
        <w:tab/>
        <w:t>(2)</w:t>
      </w:r>
      <w:r>
        <w:tab/>
        <w:t>Subsection (1) does not apply in respect of an agreement to which section 32 applies.</w:t>
      </w:r>
    </w:p>
    <w:p>
      <w:pPr>
        <w:pStyle w:val="Subsection"/>
        <w:keepNext/>
        <w:spacing w:before="180"/>
      </w:pPr>
      <w:r>
        <w:tab/>
        <w:t>(3)</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spacing w:before="100"/>
      </w:pPr>
      <w:r>
        <w:tab/>
        <w:t>(a)</w:t>
      </w:r>
      <w:r>
        <w:tab/>
        <w:t>the consideration under the agreement is increased; and</w:t>
      </w:r>
    </w:p>
    <w:p>
      <w:pPr>
        <w:pStyle w:val="Indenta"/>
        <w:spacing w:before="100"/>
      </w:pPr>
      <w:r>
        <w:tab/>
        <w:t>(b)</w:t>
      </w:r>
      <w:r>
        <w:tab/>
        <w:t>the increased consideration is not less than the unencumbered value of the dutiable property when the agreement was entered into,</w:t>
      </w:r>
    </w:p>
    <w:p>
      <w:pPr>
        <w:pStyle w:val="Subsection"/>
      </w:pPr>
      <w:r>
        <w:tab/>
      </w:r>
      <w:r>
        <w:tab/>
        <w:t>the Commissioner is to assess or reassess the liability to duty of the agreement in accordance with the increased consideration.</w:t>
      </w:r>
    </w:p>
    <w:p>
      <w:pPr>
        <w:pStyle w:val="Subsection"/>
        <w:keepNext/>
      </w:pPr>
      <w:r>
        <w:tab/>
        <w:t>(5)</w:t>
      </w:r>
      <w:r>
        <w:tab/>
        <w:t xml:space="preserve">If after a dutiable transaction is duty endorsed the consideration under the transaction is increased as referred to in subsection (4), the person liable to pay duty must lodge — </w:t>
      </w:r>
    </w:p>
    <w:p>
      <w:pPr>
        <w:pStyle w:val="Indenta"/>
        <w:spacing w:before="100"/>
      </w:pPr>
      <w:r>
        <w:tab/>
        <w:t>(a)</w:t>
      </w:r>
      <w:r>
        <w:tab/>
        <w:t>if the increase in consideration is effected by an instrument in hard copy form — that instrument and if there is more than one such instrument, each of them; or</w:t>
      </w:r>
    </w:p>
    <w:p>
      <w:pPr>
        <w:pStyle w:val="Indenta"/>
        <w:spacing w:before="100"/>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keepLines/>
      </w:pPr>
      <w:r>
        <w:tab/>
        <w:t>(6)</w:t>
      </w:r>
      <w:r>
        <w:tab/>
        <w:t>Duty is chargeable on a reassessment under this section in relation to a transaction at the same rate and using the same thresholds that applied when liability for duty on the transaction initially arose.</w:t>
      </w:r>
    </w:p>
    <w:p>
      <w:pPr>
        <w:pStyle w:val="Heading5"/>
        <w:keepNext w:val="0"/>
        <w:keepLines w:val="0"/>
        <w:spacing w:before="240"/>
      </w:pPr>
      <w:bookmarkStart w:id="505" w:name="_Toc104290841"/>
      <w:bookmarkStart w:id="506" w:name="_Toc531859211"/>
      <w:r>
        <w:rPr>
          <w:rStyle w:val="CharSectno"/>
        </w:rPr>
        <w:t>32</w:t>
      </w:r>
      <w:r>
        <w:t>.</w:t>
      </w:r>
      <w:r>
        <w:tab/>
        <w:t>Contingent consideration not paid, consequences of</w:t>
      </w:r>
      <w:bookmarkEnd w:id="505"/>
      <w:bookmarkEnd w:id="506"/>
    </w:p>
    <w:p>
      <w:pPr>
        <w:pStyle w:val="Subsection"/>
        <w:spacing w:before="180"/>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spacing w:before="180"/>
      </w:pPr>
      <w:r>
        <w:tab/>
        <w:t>(2)</w:t>
      </w:r>
      <w:r>
        <w:tab/>
        <w:t>For the purposes of this section, the Taxation Administration Act section 17 applies as if the original assessment had been made when liability to duty on the agreement arose.</w:t>
      </w:r>
    </w:p>
    <w:p>
      <w:pPr>
        <w:pStyle w:val="Subsection"/>
        <w:spacing w:before="180"/>
      </w:pPr>
      <w:r>
        <w:tab/>
        <w:t>(3)</w:t>
      </w:r>
      <w:r>
        <w:tab/>
        <w:t>In this section, a reference to the happening of an event includes a reference to an event not happening.</w:t>
      </w:r>
    </w:p>
    <w:p>
      <w:pPr>
        <w:pStyle w:val="Heading5"/>
        <w:keepNext w:val="0"/>
        <w:keepLines w:val="0"/>
        <w:spacing w:before="240"/>
      </w:pPr>
      <w:bookmarkStart w:id="507" w:name="_Toc104290842"/>
      <w:bookmarkStart w:id="508" w:name="_Toc531859212"/>
      <w:r>
        <w:rPr>
          <w:rStyle w:val="CharSectno"/>
        </w:rPr>
        <w:t>33</w:t>
      </w:r>
      <w:r>
        <w:t>.</w:t>
      </w:r>
      <w:r>
        <w:tab/>
        <w:t>Agreement by instalments determined before final payment, consequences of</w:t>
      </w:r>
      <w:bookmarkEnd w:id="507"/>
      <w:bookmarkEnd w:id="508"/>
    </w:p>
    <w:p>
      <w:pPr>
        <w:pStyle w:val="Subsection"/>
        <w:spacing w:before="180"/>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spacing w:before="180"/>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spacing w:before="180"/>
      </w:pPr>
      <w:r>
        <w:tab/>
        <w:t>(3)</w:t>
      </w:r>
      <w:r>
        <w:tab/>
        <w:t>For the purposes of this section, the Taxation Administration Act section 17 applies as if the original assessment had been made when the determination was made.</w:t>
      </w:r>
    </w:p>
    <w:p>
      <w:pPr>
        <w:pStyle w:val="Heading5"/>
      </w:pPr>
      <w:bookmarkStart w:id="509" w:name="_Toc104290843"/>
      <w:bookmarkStart w:id="510" w:name="_Toc531859213"/>
      <w:r>
        <w:rPr>
          <w:rStyle w:val="CharSectno"/>
        </w:rPr>
        <w:t>34</w:t>
      </w:r>
      <w:r>
        <w:t>.</w:t>
      </w:r>
      <w:r>
        <w:tab/>
        <w:t>Options conferred by dutiable transactions that are exercised or not renewed, consequences of</w:t>
      </w:r>
      <w:bookmarkEnd w:id="509"/>
      <w:bookmarkEnd w:id="510"/>
    </w:p>
    <w:p>
      <w:pPr>
        <w:pStyle w:val="Subsection"/>
        <w:keepNext/>
        <w:spacing w:before="120"/>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511" w:name="_Toc104290844"/>
      <w:bookmarkStart w:id="512" w:name="_Toc531859214"/>
      <w:r>
        <w:rPr>
          <w:rStyle w:val="CharSectno"/>
        </w:rPr>
        <w:t>35</w:t>
      </w:r>
      <w:r>
        <w:t>.</w:t>
      </w:r>
      <w:r>
        <w:tab/>
        <w:t>Option to acquire dutiable property, duty paid on to be credited</w:t>
      </w:r>
      <w:bookmarkEnd w:id="511"/>
      <w:bookmarkEnd w:id="512"/>
    </w:p>
    <w:p>
      <w:pPr>
        <w:pStyle w:val="Subsection"/>
        <w:spacing w:before="120"/>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keepNext/>
      </w:pPr>
      <w:r>
        <w:tab/>
        <w:t>(c)</w:t>
      </w:r>
      <w:r>
        <w:tab/>
        <w:t>the option is exercised,</w:t>
      </w:r>
    </w:p>
    <w:p>
      <w:pPr>
        <w:pStyle w:val="Subsection"/>
        <w:spacing w:before="120"/>
      </w:pPr>
      <w:r>
        <w:tab/>
      </w:r>
      <w:r>
        <w:tab/>
        <w:t>the amount of duty payable on the transfer of, or the agreement for the transfer of, dutiable property is to be reduced by the amount of duty paid on the grant or renewal of the option to acquire the property.</w:t>
      </w:r>
    </w:p>
    <w:p>
      <w:pPr>
        <w:pStyle w:val="PermNoteHeading"/>
        <w:spacing w:before="80"/>
      </w:pPr>
      <w:r>
        <w:tab/>
        <w:t>Note for this section:</w:t>
      </w:r>
    </w:p>
    <w:p>
      <w:pPr>
        <w:pStyle w:val="PermNoteText"/>
        <w:spacing w:before="60"/>
      </w:pPr>
      <w:r>
        <w:tab/>
      </w:r>
      <w:r>
        <w:tab/>
        <w:t>For example, consideration is paid for the grant of an option to acquire dutiable property.  The transaction provides for the renewal of the right for further consideration.</w:t>
      </w:r>
    </w:p>
    <w:p>
      <w:pPr>
        <w:pStyle w:val="PermNoteText"/>
        <w:spacing w:before="60"/>
      </w:pPr>
      <w:r>
        <w:tab/>
      </w:r>
      <w:r>
        <w:tab/>
        <w:t>The transaction also provides that the consideration paid for the grant and renewal of the option forms part of the consideration for the property if the option is exercised.</w:t>
      </w:r>
    </w:p>
    <w:p>
      <w:pPr>
        <w:pStyle w:val="PermNoteText"/>
        <w:spacing w:before="60"/>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PermNoteText"/>
        <w:spacing w:before="60"/>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PermNoteText"/>
        <w:spacing w:before="60"/>
        <w:rPr>
          <w:snapToGrid w:val="0"/>
        </w:rPr>
      </w:pPr>
      <w:r>
        <w:rPr>
          <w:snapToGrid w:val="0"/>
        </w:rPr>
        <w:tab/>
      </w:r>
      <w:r>
        <w:rPr>
          <w:snapToGrid w:val="0"/>
        </w:rPr>
        <w:tab/>
        <w:t>The amount of duty payable on the second dutiable transaction is reduced by the amount of duty paid on the first dutiable transaction.</w:t>
      </w:r>
    </w:p>
    <w:p>
      <w:pPr>
        <w:pStyle w:val="PermNoteText"/>
        <w:spacing w:before="60"/>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Heading4"/>
        <w:rPr>
          <w:sz w:val="26"/>
        </w:rPr>
      </w:pPr>
      <w:bookmarkStart w:id="513" w:name="_Toc37946650"/>
      <w:bookmarkStart w:id="514" w:name="_Toc37947250"/>
      <w:bookmarkStart w:id="515" w:name="_Toc38031314"/>
      <w:bookmarkStart w:id="516" w:name="_Toc93309823"/>
      <w:bookmarkStart w:id="517" w:name="_Toc104290845"/>
      <w:bookmarkStart w:id="518" w:name="_Toc530491600"/>
      <w:bookmarkStart w:id="519" w:name="_Toc530492060"/>
      <w:bookmarkStart w:id="520" w:name="_Toc530493070"/>
      <w:bookmarkStart w:id="521" w:name="_Toc530556205"/>
      <w:bookmarkStart w:id="522" w:name="_Toc531692043"/>
      <w:bookmarkStart w:id="523" w:name="_Toc531855948"/>
      <w:bookmarkStart w:id="524" w:name="_Toc531858676"/>
      <w:bookmarkStart w:id="525" w:name="_Toc531859215"/>
      <w:r>
        <w:rPr>
          <w:sz w:val="26"/>
        </w:rPr>
        <w:t>Subdivision 3 — Unencumbered value</w:t>
      </w:r>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Heading5"/>
        <w:spacing w:before="160"/>
      </w:pPr>
      <w:bookmarkStart w:id="526" w:name="_Toc104290846"/>
      <w:bookmarkStart w:id="527" w:name="_Toc531859216"/>
      <w:r>
        <w:rPr>
          <w:rStyle w:val="CharSectno"/>
        </w:rPr>
        <w:t>36</w:t>
      </w:r>
      <w:r>
        <w:t>.</w:t>
      </w:r>
      <w:r>
        <w:tab/>
      </w:r>
      <w:del w:id="528" w:author="Master Repository Process" w:date="2022-05-27T14:27:00Z">
        <w:r>
          <w:delText>Unencumbered</w:delText>
        </w:r>
      </w:del>
      <w:ins w:id="529" w:author="Master Repository Process" w:date="2022-05-27T14:27:00Z">
        <w:r>
          <w:t>Determining unencumbered</w:t>
        </w:r>
      </w:ins>
      <w:r>
        <w:t xml:space="preserve"> value of property</w:t>
      </w:r>
      <w:bookmarkEnd w:id="526"/>
      <w:del w:id="530" w:author="Master Repository Process" w:date="2022-05-27T14:27:00Z">
        <w:r>
          <w:delText>, determining</w:delText>
        </w:r>
      </w:del>
      <w:bookmarkEnd w:id="527"/>
    </w:p>
    <w:p>
      <w:pPr>
        <w:pStyle w:val="Subsection"/>
        <w:spacing w:before="120"/>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spacing w:before="60"/>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keepLines/>
      </w:pPr>
      <w:r>
        <w:tab/>
        <w:t>(ii)</w:t>
      </w:r>
      <w:r>
        <w:tab/>
        <w:t>for which a dominant purpose of any party to the scheme or arrangement was, in the opinion of the Commissioner, the reduction of the value of the property.</w:t>
      </w:r>
    </w:p>
    <w:p>
      <w:pPr>
        <w:pStyle w:val="PermNoteHeading"/>
      </w:pPr>
      <w:r>
        <w:tab/>
        <w:t>Note for this subsection:</w:t>
      </w:r>
    </w:p>
    <w:p>
      <w:pPr>
        <w:pStyle w:val="PermNoteText"/>
      </w:pPr>
      <w:r>
        <w:tab/>
      </w:r>
      <w:r>
        <w:tab/>
        <w:t xml:space="preserve">Example for paragraph (c) — </w:t>
      </w:r>
    </w:p>
    <w:p>
      <w:pPr>
        <w:pStyle w:val="PermNoteText"/>
      </w:pPr>
      <w:r>
        <w:tab/>
      </w:r>
      <w: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PermNoteText"/>
      </w:pPr>
      <w:r>
        <w:tab/>
      </w:r>
      <w: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keepNext/>
      </w:pPr>
      <w:r>
        <w:tab/>
        <w:t>(4)</w:t>
      </w:r>
      <w:r>
        <w:tab/>
        <w:t xml:space="preserve">When determining the unencumbered value of property — </w:t>
      </w:r>
    </w:p>
    <w:p>
      <w:pPr>
        <w:pStyle w:val="Indenta"/>
      </w:pPr>
      <w:r>
        <w:tab/>
        <w:t>(aa)</w:t>
      </w:r>
      <w:r>
        <w:tab/>
        <w:t>the ordinary principles of valuation apply, except to the extent that those principles are modified due to the operation of another paragraph of this subsection; and</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it is to be assumed that a hypothetical purchaser would, when negotiating the price of property, have knowledge of all existing information relating to the property; and</w:t>
      </w:r>
    </w:p>
    <w:p>
      <w:pPr>
        <w:pStyle w:val="Indenta"/>
      </w:pPr>
      <w:r>
        <w:tab/>
        <w:t>(ca)</w:t>
      </w:r>
      <w:r>
        <w:tab/>
        <w:t xml:space="preserve">information relating to the property (including the right to and use of the information) — </w:t>
      </w:r>
    </w:p>
    <w:p>
      <w:pPr>
        <w:pStyle w:val="Indenti"/>
      </w:pPr>
      <w:r>
        <w:tab/>
        <w:t>(i)</w:t>
      </w:r>
      <w:r>
        <w:tab/>
        <w:t>will be regarded as an attribute of the property; and</w:t>
      </w:r>
    </w:p>
    <w:p>
      <w:pPr>
        <w:pStyle w:val="Indenti"/>
      </w:pPr>
      <w:r>
        <w:tab/>
        <w:t>(ii)</w:t>
      </w:r>
      <w:r>
        <w:tab/>
        <w:t>will not be regarded as something to which an independent value can be ascribed</w:t>
      </w:r>
      <w:del w:id="531" w:author="Master Repository Process" w:date="2022-05-27T14:27:00Z">
        <w:r>
          <w:delText>;</w:delText>
        </w:r>
      </w:del>
      <w:ins w:id="532" w:author="Master Repository Process" w:date="2022-05-27T14:27:00Z">
        <w:r>
          <w:t>.</w:t>
        </w:r>
      </w:ins>
    </w:p>
    <w:p>
      <w:pPr>
        <w:pStyle w:val="Indenta"/>
        <w:rPr>
          <w:del w:id="533" w:author="Master Repository Process" w:date="2022-05-27T14:27:00Z"/>
        </w:rPr>
      </w:pPr>
      <w:r>
        <w:tab/>
      </w:r>
      <w:del w:id="534" w:author="Master Repository Process" w:date="2022-05-27T14:27:00Z">
        <w:r>
          <w:tab/>
          <w:delText>and</w:delText>
        </w:r>
      </w:del>
    </w:p>
    <w:p>
      <w:pPr>
        <w:pStyle w:val="Subsection"/>
      </w:pPr>
      <w:del w:id="535" w:author="Master Repository Process" w:date="2022-05-27T14:27:00Z">
        <w:r>
          <w:tab/>
          <w:delText>(c)</w:delText>
        </w:r>
        <w:r>
          <w:tab/>
        </w:r>
      </w:del>
      <w:ins w:id="536" w:author="Master Repository Process" w:date="2022-05-27T14:27:00Z">
        <w:r>
          <w:t>(5)</w:t>
        </w:r>
        <w:r>
          <w:tab/>
          <w:t xml:space="preserve">When determining the unencumbered value of property </w:t>
        </w:r>
      </w:ins>
      <w:r>
        <w:t xml:space="preserve">that is land — </w:t>
      </w:r>
    </w:p>
    <w:p>
      <w:pPr>
        <w:pStyle w:val="Indenta"/>
      </w:pPr>
      <w:r>
        <w:tab/>
        <w:t>(</w:t>
      </w:r>
      <w:del w:id="537" w:author="Master Repository Process" w:date="2022-05-27T14:27:00Z">
        <w:r>
          <w:delText>i</w:delText>
        </w:r>
      </w:del>
      <w:ins w:id="538" w:author="Master Repository Process" w:date="2022-05-27T14:27:00Z">
        <w:r>
          <w:t>a</w:t>
        </w:r>
      </w:ins>
      <w:r>
        <w:t>)</w:t>
      </w:r>
      <w:r>
        <w:tab/>
        <w:t xml:space="preserve">if the land is the subject of an agreement </w:t>
      </w:r>
      <w:del w:id="539" w:author="Master Repository Process" w:date="2022-05-27T14:27:00Z">
        <w:r>
          <w:delText>to</w:delText>
        </w:r>
      </w:del>
      <w:ins w:id="540" w:author="Master Repository Process" w:date="2022-05-27T14:27:00Z">
        <w:r>
          <w:t>for</w:t>
        </w:r>
      </w:ins>
      <w:r>
        <w:t xml:space="preserve"> transfer, any improvement made to the land at the expense of the purchaser or transferee before the date liability to duty arises on the agreement is to be taken not to have been made to the land; and</w:t>
      </w:r>
    </w:p>
    <w:p>
      <w:pPr>
        <w:pStyle w:val="Indenta"/>
      </w:pPr>
      <w:r>
        <w:tab/>
        <w:t>(</w:t>
      </w:r>
      <w:del w:id="541" w:author="Master Repository Process" w:date="2022-05-27T14:27:00Z">
        <w:r>
          <w:delText>ii</w:delText>
        </w:r>
      </w:del>
      <w:ins w:id="542" w:author="Master Repository Process" w:date="2022-05-27T14:27:00Z">
        <w:r>
          <w:t>b</w:t>
        </w:r>
      </w:ins>
      <w:r>
        <w:t>)</w:t>
      </w:r>
      <w:r>
        <w:tab/>
        <w:t>if the land is the subject of a transfer, any improvement made to the land at the expense of the transferee before the land is transferred is to be taken not to have been made to the land; and</w:t>
      </w:r>
    </w:p>
    <w:p>
      <w:pPr>
        <w:pStyle w:val="Indenta"/>
      </w:pPr>
      <w:r>
        <w:tab/>
        <w:t>(</w:t>
      </w:r>
      <w:del w:id="543" w:author="Master Repository Process" w:date="2022-05-27T14:27:00Z">
        <w:r>
          <w:delText>iii)</w:delText>
        </w:r>
        <w:r>
          <w:tab/>
        </w:r>
      </w:del>
      <w:ins w:id="544" w:author="Master Repository Process" w:date="2022-05-27T14:27:00Z">
        <w:r>
          <w:t>c)</w:t>
        </w:r>
        <w:r>
          <w:tab/>
          <w:t xml:space="preserve">the value is to be determined </w:t>
        </w:r>
      </w:ins>
      <w:r>
        <w:t>having regard to the use of the land that would best enhance its commercial value; and</w:t>
      </w:r>
    </w:p>
    <w:p>
      <w:pPr>
        <w:pStyle w:val="Indenta"/>
      </w:pPr>
      <w:del w:id="545" w:author="Master Repository Process" w:date="2022-05-27T14:27:00Z">
        <w:r>
          <w:tab/>
          <w:delText>(iv)</w:delText>
        </w:r>
        <w:r>
          <w:tab/>
        </w:r>
      </w:del>
      <w:ins w:id="546" w:author="Master Repository Process" w:date="2022-05-27T14:27:00Z">
        <w:r>
          <w:tab/>
          <w:t>(d)</w:t>
        </w:r>
        <w:r>
          <w:tab/>
          <w:t xml:space="preserve">the value is to be determined </w:t>
        </w:r>
      </w:ins>
      <w:r>
        <w:t xml:space="preserve">having regard to commercial advantages (such as goodwill) that — </w:t>
      </w:r>
    </w:p>
    <w:p>
      <w:pPr>
        <w:pStyle w:val="Indenti"/>
      </w:pPr>
      <w:r>
        <w:tab/>
        <w:t>(</w:t>
      </w:r>
      <w:del w:id="547" w:author="Master Repository Process" w:date="2022-05-27T14:27:00Z">
        <w:r>
          <w:delText>I</w:delText>
        </w:r>
      </w:del>
      <w:ins w:id="548" w:author="Master Repository Process" w:date="2022-05-27T14:27:00Z">
        <w:r>
          <w:t>i</w:t>
        </w:r>
      </w:ins>
      <w:r>
        <w:t>)</w:t>
      </w:r>
      <w:r>
        <w:tab/>
        <w:t>attach to the location or other aspects of the land; and</w:t>
      </w:r>
    </w:p>
    <w:p>
      <w:pPr>
        <w:pStyle w:val="Indenti"/>
      </w:pPr>
      <w:r>
        <w:tab/>
        <w:t>(</w:t>
      </w:r>
      <w:del w:id="549" w:author="Master Repository Process" w:date="2022-05-27T14:27:00Z">
        <w:r>
          <w:delText>II</w:delText>
        </w:r>
      </w:del>
      <w:ins w:id="550" w:author="Master Repository Process" w:date="2022-05-27T14:27:00Z">
        <w:r>
          <w:t>ii</w:t>
        </w:r>
      </w:ins>
      <w:r>
        <w:t>)</w:t>
      </w:r>
      <w:r>
        <w:tab/>
        <w:t>would affect the price that a reasonable purchaser would be willing to pay for the land</w:t>
      </w:r>
      <w:del w:id="551" w:author="Master Repository Process" w:date="2022-05-27T14:27:00Z">
        <w:r>
          <w:delText>.</w:delText>
        </w:r>
      </w:del>
      <w:ins w:id="552" w:author="Master Repository Process" w:date="2022-05-27T14:27:00Z">
        <w:r>
          <w:t>;</w:t>
        </w:r>
      </w:ins>
    </w:p>
    <w:p>
      <w:pPr>
        <w:pStyle w:val="Indenta"/>
        <w:rPr>
          <w:ins w:id="553" w:author="Master Repository Process" w:date="2022-05-27T14:27:00Z"/>
        </w:rPr>
      </w:pPr>
      <w:ins w:id="554" w:author="Master Repository Process" w:date="2022-05-27T14:27:00Z">
        <w:r>
          <w:tab/>
        </w:r>
        <w:r>
          <w:tab/>
          <w:t>and</w:t>
        </w:r>
      </w:ins>
    </w:p>
    <w:p>
      <w:pPr>
        <w:pStyle w:val="Indenta"/>
        <w:rPr>
          <w:ins w:id="555" w:author="Master Repository Process" w:date="2022-05-27T14:27:00Z"/>
        </w:rPr>
      </w:pPr>
      <w:ins w:id="556" w:author="Master Repository Process" w:date="2022-05-27T14:27:00Z">
        <w:r>
          <w:tab/>
          <w:t>(e)</w:t>
        </w:r>
        <w:r>
          <w:tab/>
          <w:t>if section 36A applies, the value is to be determined having regard to that section.</w:t>
        </w:r>
      </w:ins>
    </w:p>
    <w:p>
      <w:pPr>
        <w:pStyle w:val="Footnotesection"/>
        <w:rPr>
          <w:ins w:id="557" w:author="Master Repository Process" w:date="2022-05-27T14:27:00Z"/>
        </w:rPr>
      </w:pPr>
      <w:r>
        <w:tab/>
        <w:t>[Section 36 amended: No. 1 of 2015 s. </w:t>
      </w:r>
      <w:del w:id="558" w:author="Master Repository Process" w:date="2022-05-27T14:27:00Z">
        <w:r>
          <w:delText>24</w:delText>
        </w:r>
      </w:del>
      <w:ins w:id="559" w:author="Master Repository Process" w:date="2022-05-27T14:27:00Z">
        <w:r>
          <w:t>24; No. 12 of 2019 s. 15.]</w:t>
        </w:r>
      </w:ins>
    </w:p>
    <w:p>
      <w:pPr>
        <w:pStyle w:val="Heading5"/>
        <w:rPr>
          <w:ins w:id="560" w:author="Master Repository Process" w:date="2022-05-27T14:27:00Z"/>
        </w:rPr>
      </w:pPr>
      <w:bookmarkStart w:id="561" w:name="_Toc104290847"/>
      <w:ins w:id="562" w:author="Master Repository Process" w:date="2022-05-27T14:27:00Z">
        <w:r>
          <w:rPr>
            <w:rStyle w:val="CharSectno"/>
          </w:rPr>
          <w:t>36A</w:t>
        </w:r>
        <w:r>
          <w:t>.</w:t>
        </w:r>
        <w:r>
          <w:tab/>
          <w:t>Determining unencumbered value: fixtures and mining tenement fixtures</w:t>
        </w:r>
        <w:bookmarkEnd w:id="561"/>
      </w:ins>
    </w:p>
    <w:p>
      <w:pPr>
        <w:pStyle w:val="Subsection"/>
        <w:rPr>
          <w:ins w:id="563" w:author="Master Repository Process" w:date="2022-05-27T14:27:00Z"/>
        </w:rPr>
      </w:pPr>
      <w:ins w:id="564" w:author="Master Repository Process" w:date="2022-05-27T14:27:00Z">
        <w:r>
          <w:tab/>
          <w:t>(1)</w:t>
        </w:r>
        <w:r>
          <w:tab/>
          <w:t xml:space="preserve">In this section — </w:t>
        </w:r>
      </w:ins>
    </w:p>
    <w:p>
      <w:pPr>
        <w:pStyle w:val="Defstart"/>
        <w:rPr>
          <w:ins w:id="565" w:author="Master Repository Process" w:date="2022-05-27T14:27:00Z"/>
        </w:rPr>
      </w:pPr>
      <w:ins w:id="566" w:author="Master Repository Process" w:date="2022-05-27T14:27:00Z">
        <w:r>
          <w:tab/>
        </w:r>
        <w:r>
          <w:rPr>
            <w:rStyle w:val="CharDefText"/>
          </w:rPr>
          <w:t>mining tenement fixture</w:t>
        </w:r>
        <w:r>
          <w:t xml:space="preserve">, in relation to a mining tenement, means a thing that — </w:t>
        </w:r>
      </w:ins>
    </w:p>
    <w:p>
      <w:pPr>
        <w:pStyle w:val="Defpara"/>
        <w:rPr>
          <w:ins w:id="567" w:author="Master Repository Process" w:date="2022-05-27T14:27:00Z"/>
        </w:rPr>
      </w:pPr>
      <w:ins w:id="568" w:author="Master Repository Process" w:date="2022-05-27T14:27:00Z">
        <w:r>
          <w:tab/>
          <w:t>(a)</w:t>
        </w:r>
        <w:r>
          <w:tab/>
          <w:t>under the authority (whether direct or indirect) of the mining tenement, is fixed to land that is the subject of the mining tenement; and</w:t>
        </w:r>
      </w:ins>
    </w:p>
    <w:p>
      <w:pPr>
        <w:pStyle w:val="Defpara"/>
        <w:rPr>
          <w:ins w:id="569" w:author="Master Repository Process" w:date="2022-05-27T14:27:00Z"/>
        </w:rPr>
      </w:pPr>
      <w:ins w:id="570" w:author="Master Repository Process" w:date="2022-05-27T14:27:00Z">
        <w:r>
          <w:tab/>
          <w:t>(b)</w:t>
        </w:r>
        <w:r>
          <w:tab/>
          <w:t>would be part of that land as a fixture if the mining tenement were a freehold estate in the land.</w:t>
        </w:r>
      </w:ins>
    </w:p>
    <w:p>
      <w:pPr>
        <w:pStyle w:val="Subsection"/>
        <w:rPr>
          <w:ins w:id="571" w:author="Master Repository Process" w:date="2022-05-27T14:27:00Z"/>
        </w:rPr>
      </w:pPr>
      <w:ins w:id="572" w:author="Master Repository Process" w:date="2022-05-27T14:27:00Z">
        <w:r>
          <w:tab/>
          <w:t>(2)</w:t>
        </w:r>
        <w:r>
          <w:tab/>
          <w:t>In determining the unencumbered value of dutiable property that is land, anything that is part of the land as a fixture is to be taken into account even if the dutiable transaction does not, or purports not to, apply to the fixture as well as the land.</w:t>
        </w:r>
      </w:ins>
    </w:p>
    <w:p>
      <w:pPr>
        <w:pStyle w:val="Subsection"/>
        <w:rPr>
          <w:ins w:id="573" w:author="Master Repository Process" w:date="2022-05-27T14:27:00Z"/>
        </w:rPr>
      </w:pPr>
      <w:ins w:id="574" w:author="Master Repository Process" w:date="2022-05-27T14:27:00Z">
        <w:r>
          <w:tab/>
          <w:t>(3)</w:t>
        </w:r>
        <w:r>
          <w:tab/>
          <w:t>Subsection (2) does not apply if the value of the fixture would, apart from that subsection, be taken into account separately in determining the dutiable value of the dutiable transaction relating to the land or another dutiable transaction that is aggregated with that dutiable transaction under section 37.</w:t>
        </w:r>
      </w:ins>
    </w:p>
    <w:p>
      <w:pPr>
        <w:pStyle w:val="Subsection"/>
        <w:rPr>
          <w:ins w:id="575" w:author="Master Repository Process" w:date="2022-05-27T14:27:00Z"/>
        </w:rPr>
      </w:pPr>
      <w:ins w:id="576" w:author="Master Repository Process" w:date="2022-05-27T14:27:00Z">
        <w:r>
          <w:tab/>
          <w:t>(4)</w:t>
        </w:r>
        <w:r>
          <w:tab/>
          <w:t>In determining the unencumbered value of dutiable property that is a mining tenement or an estate or interest in a mining tenement, anything that is a mining tenement fixture in relation to the mining tenement is to be taken into account even if the dutiable transaction does not, or purports not to, apply to the mining tenement fixture as well as the mining tenement or the estate or interest in the mining tenement.</w:t>
        </w:r>
      </w:ins>
    </w:p>
    <w:p>
      <w:pPr>
        <w:pStyle w:val="Subsection"/>
        <w:rPr>
          <w:ins w:id="577" w:author="Master Repository Process" w:date="2022-05-27T14:27:00Z"/>
        </w:rPr>
      </w:pPr>
      <w:ins w:id="578" w:author="Master Repository Process" w:date="2022-05-27T14:27:00Z">
        <w:r>
          <w:tab/>
          <w:t>(5)</w:t>
        </w:r>
        <w:r>
          <w:tab/>
          <w:t>Subsection (4) does not apply if the value of the mining tenement fixture would, apart from that subsection, be taken into account separately in determining the dutiable value of the dutiable transaction relating to the mining tenement or the estate or interest in the mining tenement or another dutiable transaction that is aggregated with that dutiable transaction under section 37.</w:t>
        </w:r>
      </w:ins>
    </w:p>
    <w:p>
      <w:pPr>
        <w:pStyle w:val="Subsection"/>
        <w:rPr>
          <w:ins w:id="579" w:author="Master Repository Process" w:date="2022-05-27T14:27:00Z"/>
        </w:rPr>
      </w:pPr>
      <w:ins w:id="580" w:author="Master Repository Process" w:date="2022-05-27T14:27:00Z">
        <w:r>
          <w:tab/>
          <w:t>(6)</w:t>
        </w:r>
        <w:r>
          <w:tab/>
          <w:t>In this section, a reference to land does not include anything that is land under section 3A(1)(b), (c), (f) or (g).</w:t>
        </w:r>
      </w:ins>
    </w:p>
    <w:p>
      <w:pPr>
        <w:pStyle w:val="Footnotesection"/>
      </w:pPr>
      <w:ins w:id="581" w:author="Master Repository Process" w:date="2022-05-27T14:27:00Z">
        <w:r>
          <w:tab/>
          <w:t>[Section 36A inserted: No. 12 of 2019 s. 16</w:t>
        </w:r>
      </w:ins>
      <w:r>
        <w:t>.]</w:t>
      </w:r>
    </w:p>
    <w:p>
      <w:pPr>
        <w:pStyle w:val="Heading4"/>
        <w:rPr>
          <w:sz w:val="26"/>
        </w:rPr>
      </w:pPr>
      <w:bookmarkStart w:id="582" w:name="_Toc37946653"/>
      <w:bookmarkStart w:id="583" w:name="_Toc37947253"/>
      <w:bookmarkStart w:id="584" w:name="_Toc38031317"/>
      <w:bookmarkStart w:id="585" w:name="_Toc93309826"/>
      <w:bookmarkStart w:id="586" w:name="_Toc104290848"/>
      <w:bookmarkStart w:id="587" w:name="_Toc530491602"/>
      <w:bookmarkStart w:id="588" w:name="_Toc530492062"/>
      <w:bookmarkStart w:id="589" w:name="_Toc530493072"/>
      <w:bookmarkStart w:id="590" w:name="_Toc530556207"/>
      <w:bookmarkStart w:id="591" w:name="_Toc531692045"/>
      <w:bookmarkStart w:id="592" w:name="_Toc531855950"/>
      <w:bookmarkStart w:id="593" w:name="_Toc531858678"/>
      <w:bookmarkStart w:id="594" w:name="_Toc531859217"/>
      <w:r>
        <w:rPr>
          <w:sz w:val="26"/>
        </w:rPr>
        <w:t>Subdivision 4 — Miscellaneous</w:t>
      </w:r>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Heading5"/>
      </w:pPr>
      <w:bookmarkStart w:id="595" w:name="_Toc104290849"/>
      <w:bookmarkStart w:id="596" w:name="_Toc531859218"/>
      <w:r>
        <w:rPr>
          <w:rStyle w:val="CharSectno"/>
        </w:rPr>
        <w:t>37</w:t>
      </w:r>
      <w:r>
        <w:t>.</w:t>
      </w:r>
      <w:r>
        <w:tab/>
        <w:t>Aggregation of dutiable transactions</w:t>
      </w:r>
      <w:bookmarkEnd w:id="595"/>
      <w:bookmarkEnd w:id="596"/>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spacing w:before="120"/>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Next w:val="0"/>
        <w:keepLines w:val="0"/>
        <w:spacing w:before="180"/>
      </w:pPr>
      <w:bookmarkStart w:id="597" w:name="_Toc104290850"/>
      <w:bookmarkStart w:id="598" w:name="_Toc531859219"/>
      <w:r>
        <w:rPr>
          <w:rStyle w:val="CharSectno"/>
        </w:rPr>
        <w:t>38</w:t>
      </w:r>
      <w:r>
        <w:t>.</w:t>
      </w:r>
      <w:r>
        <w:tab/>
        <w:t>Transactions as to dutiable and not dutiable property, duty on</w:t>
      </w:r>
      <w:bookmarkEnd w:id="597"/>
      <w:bookmarkEnd w:id="598"/>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599" w:name="_Toc104290851"/>
      <w:bookmarkStart w:id="600" w:name="_Toc531859220"/>
      <w:r>
        <w:rPr>
          <w:rStyle w:val="CharSectno"/>
        </w:rPr>
        <w:t>39</w:t>
      </w:r>
      <w:r>
        <w:t>.</w:t>
      </w:r>
      <w:r>
        <w:tab/>
        <w:t>Partitions of property, dutiable values in case of</w:t>
      </w:r>
      <w:bookmarkEnd w:id="599"/>
      <w:bookmarkEnd w:id="600"/>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spacing w:before="120" w:after="40"/>
      </w:pPr>
      <w:r>
        <w:tab/>
        <w:t>(2)</w:t>
      </w:r>
      <w:r>
        <w:tab/>
        <w:t xml:space="preserve">The dutiable value of a partition is to be determined in accordance with the following formula — </w:t>
      </w:r>
    </w:p>
    <w:p>
      <w:pPr>
        <w:pStyle w:val="Graphics"/>
        <w:ind w:left="896"/>
      </w:pPr>
      <w:r>
        <w:rPr>
          <w:position w:val="-24"/>
        </w:rPr>
        <w:pict>
          <v:shape id="_x0000_i1027" type="#_x0000_t75" style="width:66.75pt;height:30.75pt">
            <v:imagedata r:id="rId15" o:title=""/>
          </v:shape>
        </w:pict>
      </w:r>
    </w:p>
    <w:p>
      <w:pPr>
        <w:pStyle w:val="Subsection"/>
      </w:pPr>
      <w:r>
        <w:tab/>
      </w:r>
      <w:r>
        <w:tab/>
        <w:t xml:space="preserve">where — </w:t>
      </w:r>
    </w:p>
    <w:p>
      <w:pPr>
        <w:pStyle w:val="Subsection"/>
        <w:spacing w:before="120"/>
      </w:pPr>
      <w:r>
        <w:tab/>
      </w:r>
      <w:r>
        <w:tab/>
        <w:t>DV is the dutiable value;</w:t>
      </w:r>
    </w:p>
    <w:p>
      <w:pPr>
        <w:pStyle w:val="Subsection"/>
        <w:keepNext/>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pPr>
      <w:r>
        <w:tab/>
        <w:t>(3)</w:t>
      </w:r>
      <w:r>
        <w:tab/>
        <w:t>The minimum amount of duty payable on a transaction that effects a partition is the amount of nominal duty.</w:t>
      </w:r>
    </w:p>
    <w:p>
      <w:pPr>
        <w:pStyle w:val="PermNoteHeading"/>
      </w:pPr>
      <w:r>
        <w:tab/>
        <w:t>Note for this section:</w:t>
      </w:r>
    </w:p>
    <w:p>
      <w:pPr>
        <w:pStyle w:val="PermNoteText"/>
      </w:pPr>
      <w:r>
        <w:tab/>
      </w:r>
      <w:r>
        <w:tab/>
        <w:t>For example, A and B own lot 1 which has an unencumbered value of $400 000 and a boat that has an unencumbered value of $300 000.</w:t>
      </w:r>
    </w:p>
    <w:p>
      <w:pPr>
        <w:pStyle w:val="PermNoteText"/>
      </w:pPr>
      <w:r>
        <w:tab/>
      </w:r>
      <w:r>
        <w:tab/>
        <w:t>The total value of the property being partitioned is $700 000 and A and B are each entitled to $350 000.</w:t>
      </w:r>
    </w:p>
    <w:p>
      <w:pPr>
        <w:pStyle w:val="PermNoteText"/>
      </w:pPr>
      <w:r>
        <w:tab/>
      </w:r>
      <w:r>
        <w:tab/>
        <w:t>A is taking lot 1 by way of partition and the value of that lot exceeds A’s entitlement by $50 000.</w:t>
      </w:r>
    </w:p>
    <w:p>
      <w:pPr>
        <w:pStyle w:val="PermNoteText"/>
      </w:pPr>
      <w:r>
        <w:tab/>
      </w:r>
      <w:r>
        <w:tab/>
        <w:t>A’s duty assessment:</w:t>
      </w:r>
    </w:p>
    <w:p>
      <w:pPr>
        <w:pStyle w:val="PermNoteText"/>
        <w:rPr>
          <w:u w:val="single"/>
        </w:rPr>
      </w:pPr>
      <w:r>
        <w:tab/>
      </w:r>
      <w:r>
        <w:tab/>
      </w:r>
      <w:r>
        <w:rPr>
          <w:u w:val="single"/>
        </w:rPr>
        <w:t>$50 000 (excess entitlement) x $400 000 (value of dutiable property)</w:t>
      </w:r>
    </w:p>
    <w:p>
      <w:pPr>
        <w:pStyle w:val="PermNoteText"/>
        <w:spacing w:before="0"/>
        <w:jc w:val="center"/>
      </w:pPr>
      <w:r>
        <w:t>$700 000 (value of all property)</w:t>
      </w:r>
    </w:p>
    <w:p>
      <w:pPr>
        <w:pStyle w:val="PermNoteText"/>
      </w:pPr>
      <w:r>
        <w:tab/>
      </w:r>
      <w:r>
        <w:tab/>
        <w:t>The dutiable value for the transfer of land to A is $28 571.</w:t>
      </w:r>
    </w:p>
    <w:p>
      <w:pPr>
        <w:pStyle w:val="Subsection"/>
        <w:rPr>
          <w:ins w:id="601" w:author="Master Repository Process" w:date="2022-05-27T14:27:00Z"/>
        </w:rPr>
      </w:pPr>
      <w:ins w:id="602" w:author="Master Repository Process" w:date="2022-05-27T14:27:00Z">
        <w:r>
          <w:tab/>
          <w:t>(4)</w:t>
        </w:r>
        <w:r>
          <w:tab/>
          <w:t>This section does not apply to a transaction if section 78 or 78A applies to the transaction or if the transaction is a subsequent transfer referred to in section 120A.</w:t>
        </w:r>
      </w:ins>
    </w:p>
    <w:p>
      <w:pPr>
        <w:pStyle w:val="Footnotesection"/>
        <w:rPr>
          <w:ins w:id="603" w:author="Master Repository Process" w:date="2022-05-27T14:27:00Z"/>
        </w:rPr>
      </w:pPr>
      <w:ins w:id="604" w:author="Master Repository Process" w:date="2022-05-27T14:27:00Z">
        <w:r>
          <w:tab/>
          <w:t>[Section 39 amended: No. 12 of 2019 s. 17.]</w:t>
        </w:r>
      </w:ins>
    </w:p>
    <w:p>
      <w:pPr>
        <w:pStyle w:val="Heading5"/>
      </w:pPr>
      <w:bookmarkStart w:id="605" w:name="_Toc104290852"/>
      <w:bookmarkStart w:id="606" w:name="_Toc531859221"/>
      <w:r>
        <w:rPr>
          <w:rStyle w:val="CharSectno"/>
        </w:rPr>
        <w:t>40</w:t>
      </w:r>
      <w:r>
        <w:t>.</w:t>
      </w:r>
      <w:r>
        <w:tab/>
        <w:t>Exchanges of dutiable property, duty on</w:t>
      </w:r>
      <w:bookmarkEnd w:id="605"/>
      <w:bookmarkEnd w:id="606"/>
    </w:p>
    <w:p>
      <w:pPr>
        <w:pStyle w:val="Subsection"/>
        <w:spacing w:before="100"/>
      </w:pPr>
      <w:r>
        <w:tab/>
      </w:r>
      <w:r>
        <w:tab/>
        <w:t>Duty is chargeable on any dutiable transactions effecting an exchange of dutiable property for any other dutiable property as if the exchange involved —</w:t>
      </w:r>
    </w:p>
    <w:p>
      <w:pPr>
        <w:pStyle w:val="Indenta"/>
      </w:pPr>
      <w:r>
        <w:tab/>
        <w:t>(a)</w:t>
      </w:r>
      <w:r>
        <w:tab/>
        <w:t>the transfer of the first</w:t>
      </w:r>
      <w:r>
        <w:noBreakHyphen/>
        <w:t>mentioned property for consideration equal to the unencumbered value of that property; and</w:t>
      </w:r>
    </w:p>
    <w:p>
      <w:pPr>
        <w:pStyle w:val="Indenta"/>
      </w:pPr>
      <w:r>
        <w:tab/>
        <w:t>(b)</w:t>
      </w:r>
      <w:r>
        <w:tab/>
        <w:t>the transfer of the second</w:t>
      </w:r>
      <w:r>
        <w:noBreakHyphen/>
        <w:t>mentioned property for consideration equal to the unencumbered value of that property.</w:t>
      </w:r>
    </w:p>
    <w:p>
      <w:pPr>
        <w:pStyle w:val="Heading4"/>
        <w:spacing w:before="180"/>
        <w:rPr>
          <w:sz w:val="26"/>
        </w:rPr>
      </w:pPr>
      <w:bookmarkStart w:id="607" w:name="_Toc37946658"/>
      <w:bookmarkStart w:id="608" w:name="_Toc37947258"/>
      <w:bookmarkStart w:id="609" w:name="_Toc38031322"/>
      <w:bookmarkStart w:id="610" w:name="_Toc93309831"/>
      <w:bookmarkStart w:id="611" w:name="_Toc104290853"/>
      <w:bookmarkStart w:id="612" w:name="_Toc530491607"/>
      <w:bookmarkStart w:id="613" w:name="_Toc530492067"/>
      <w:bookmarkStart w:id="614" w:name="_Toc530493077"/>
      <w:bookmarkStart w:id="615" w:name="_Toc530556212"/>
      <w:bookmarkStart w:id="616" w:name="_Toc531692050"/>
      <w:bookmarkStart w:id="617" w:name="_Toc531855955"/>
      <w:bookmarkStart w:id="618" w:name="_Toc531858683"/>
      <w:bookmarkStart w:id="619" w:name="_Toc531859222"/>
      <w:r>
        <w:rPr>
          <w:sz w:val="26"/>
        </w:rPr>
        <w:t>Division 6 — No double duty</w:t>
      </w:r>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Heading5"/>
        <w:spacing w:before="180"/>
      </w:pPr>
      <w:bookmarkStart w:id="620" w:name="_Toc104290854"/>
      <w:bookmarkStart w:id="621" w:name="_Toc531859223"/>
      <w:r>
        <w:rPr>
          <w:rStyle w:val="CharSectno"/>
        </w:rPr>
        <w:t>41</w:t>
      </w:r>
      <w:r>
        <w:t>.</w:t>
      </w:r>
      <w:r>
        <w:tab/>
        <w:t>No double duty — general</w:t>
      </w:r>
      <w:bookmarkEnd w:id="620"/>
      <w:bookmarkEnd w:id="621"/>
    </w:p>
    <w:p>
      <w:pPr>
        <w:pStyle w:val="Subsection"/>
        <w:spacing w:before="100"/>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0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spacing w:before="180"/>
      </w:pPr>
      <w:bookmarkStart w:id="622" w:name="_Toc104290855"/>
      <w:bookmarkStart w:id="623" w:name="_Toc531859224"/>
      <w:r>
        <w:rPr>
          <w:rStyle w:val="CharSectno"/>
        </w:rPr>
        <w:t>42</w:t>
      </w:r>
      <w:r>
        <w:t>.</w:t>
      </w:r>
      <w:r>
        <w:tab/>
        <w:t>No double duty — particular dutiable transactions</w:t>
      </w:r>
      <w:bookmarkEnd w:id="622"/>
      <w:bookmarkEnd w:id="623"/>
    </w:p>
    <w:p>
      <w:pPr>
        <w:pStyle w:val="Subsection"/>
        <w:spacing w:before="100"/>
      </w:pPr>
      <w:r>
        <w:tab/>
        <w:t>(1)</w:t>
      </w:r>
      <w:r>
        <w:tab/>
        <w:t>Duty is not chargeable on the transfer of dutiable property to a transferee in conformity with an agreement for the transfer of dutiable property if that agreement is duty endorsed.</w:t>
      </w:r>
    </w:p>
    <w:p>
      <w:pPr>
        <w:pStyle w:val="Subsection"/>
        <w:spacing w:before="100"/>
      </w:pPr>
      <w:r>
        <w:tab/>
        <w:t>(2)</w:t>
      </w:r>
      <w:r>
        <w:tab/>
        <w:t xml:space="preserve">Duty is not chargeable on the transfer of dutiable property to a transferee under an agreement for the transfer of dutiable property if — </w:t>
      </w:r>
    </w:p>
    <w:p>
      <w:pPr>
        <w:pStyle w:val="Indenta"/>
        <w:spacing w:before="60"/>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 on the basis that duty has been paid or is payable at the general or a concessional rate (that is, under Schedule 2 Division 1 or 2); and</w:t>
      </w:r>
    </w:p>
    <w:p>
      <w:pPr>
        <w:pStyle w:val="Indenta"/>
      </w:pPr>
      <w:r>
        <w:tab/>
        <w:t>(c)</w:t>
      </w:r>
      <w:r>
        <w:tab/>
        <w:t>duty would, but for this section, be chargeable on the transfer of the property at the rate at which duty was chargeable on the agreement.</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PermNoteHeading"/>
      </w:pPr>
      <w:r>
        <w:tab/>
        <w:t>Note for this subsection:</w:t>
      </w:r>
    </w:p>
    <w:p>
      <w:pPr>
        <w:pStyle w:val="PermNoteText"/>
      </w:pPr>
      <w:r>
        <w:tab/>
      </w:r>
      <w:r>
        <w:tab/>
        <w:t xml:space="preserve">Example for subsection (3) — </w:t>
      </w:r>
    </w:p>
    <w:p>
      <w:pPr>
        <w:pStyle w:val="PermNoteText"/>
      </w:pPr>
      <w:r>
        <w:tab/>
      </w:r>
      <w:r>
        <w:tab/>
        <w:t xml:space="preserve">On 1 July, under an agreement for the transfer of dutiable property, A agrees to sell land in Western Australia to B and C as tenants in common in the undivided shares of 90/100 to B and 10/100 to C for $100 000. </w:t>
      </w:r>
    </w:p>
    <w:p>
      <w:pPr>
        <w:pStyle w:val="PermNoteText"/>
      </w:pPr>
      <w:r>
        <w:tab/>
      </w:r>
      <w:r>
        <w:tab/>
        <w:t>At settlement, under the transfer, B and a new party, D are tenants in common in equal shares.</w:t>
      </w:r>
    </w:p>
    <w:p>
      <w:pPr>
        <w:pStyle w:val="PermNoteText"/>
      </w:pPr>
      <w:r>
        <w:tab/>
      </w:r>
      <w:r>
        <w:tab/>
        <w:t>Transfer duty is chargeable on the transfer of the property only to the extent of the change in the interests in the property between the agreement and the transfer.</w:t>
      </w:r>
    </w:p>
    <w:p>
      <w:pPr>
        <w:pStyle w:val="PermNoteText"/>
      </w:pPr>
      <w:r>
        <w:tab/>
      </w:r>
      <w:r>
        <w:tab/>
        <w:t>Transfer duty would be chargeable on the transfer of the property on 50/100 X $100 000, which is $50 000 i.e. 10/100 from C to D and 40/100 from B to D.</w:t>
      </w:r>
    </w:p>
    <w:p>
      <w:pPr>
        <w:pStyle w:val="Subsection"/>
      </w:pPr>
      <w:r>
        <w:tab/>
        <w:t>(4A)</w:t>
      </w:r>
      <w:r>
        <w:tab/>
        <w:t>If, but for this subsection, subsections (1) and (3) would both apply to the transfer of dutiable property, subsection (1) does not apply.</w:t>
      </w:r>
    </w:p>
    <w:p>
      <w:pPr>
        <w:pStyle w:val="Subsection"/>
        <w:rPr>
          <w:del w:id="624" w:author="Master Repository Process" w:date="2022-05-27T14:27:00Z"/>
        </w:rPr>
      </w:pPr>
      <w:r>
        <w:tab/>
        <w:t>(4B)</w:t>
      </w:r>
      <w:r>
        <w:tab/>
        <w:t xml:space="preserve">If an agreement </w:t>
      </w:r>
      <w:ins w:id="625" w:author="Master Repository Process" w:date="2022-05-27T14:27:00Z">
        <w:r>
          <w:t xml:space="preserve">is </w:t>
        </w:r>
      </w:ins>
      <w:r>
        <w:t xml:space="preserve">for the transfer of dutiable property </w:t>
      </w:r>
      <w:del w:id="626" w:author="Master Repository Process" w:date="2022-05-27T14:27:00Z">
        <w:r>
          <w:delText xml:space="preserve">is duty endorsed, duty is not chargeable on the transfer of the property under the agreement to the </w:delText>
        </w:r>
      </w:del>
      <w:ins w:id="627" w:author="Master Repository Process" w:date="2022-05-27T14:27:00Z">
        <w:r>
          <w:t xml:space="preserve">to a </w:t>
        </w:r>
      </w:ins>
      <w:r>
        <w:t xml:space="preserve">purchaser </w:t>
      </w:r>
      <w:ins w:id="628" w:author="Master Repository Process" w:date="2022-05-27T14:27:00Z">
        <w:r>
          <w:t xml:space="preserve">acting </w:t>
        </w:r>
      </w:ins>
      <w:r>
        <w:t xml:space="preserve">in the purchaser’s </w:t>
      </w:r>
      <w:ins w:id="629" w:author="Master Repository Process" w:date="2022-05-27T14:27:00Z">
        <w:r>
          <w:t xml:space="preserve">own capacity, but the property is transferred to the purchaser acting in a </w:t>
        </w:r>
      </w:ins>
      <w:r>
        <w:t>capacity as</w:t>
      </w:r>
      <w:del w:id="630" w:author="Master Repository Process" w:date="2022-05-27T14:27:00Z">
        <w:r>
          <w:delText xml:space="preserve"> — </w:delText>
        </w:r>
      </w:del>
    </w:p>
    <w:p>
      <w:pPr>
        <w:pStyle w:val="Subsection"/>
      </w:pPr>
      <w:del w:id="631" w:author="Master Repository Process" w:date="2022-05-27T14:27:00Z">
        <w:r>
          <w:tab/>
          <w:delText>(a)</w:delText>
        </w:r>
        <w:r>
          <w:tab/>
        </w:r>
      </w:del>
      <w:ins w:id="632" w:author="Master Repository Process" w:date="2022-05-27T14:27:00Z">
        <w:r>
          <w:t xml:space="preserve"> </w:t>
        </w:r>
      </w:ins>
      <w:r>
        <w:t xml:space="preserve">a trustee of a </w:t>
      </w:r>
      <w:del w:id="633" w:author="Master Repository Process" w:date="2022-05-27T14:27:00Z">
        <w:r>
          <w:delText>unit trust scheme if</w:delText>
        </w:r>
      </w:del>
      <w:ins w:id="634" w:author="Master Repository Process" w:date="2022-05-27T14:27:00Z">
        <w:r>
          <w:t>trust, subsection (1) does not apply to the transfer of the property unless</w:t>
        </w:r>
      </w:ins>
      <w:r>
        <w:t xml:space="preserve"> — </w:t>
      </w:r>
    </w:p>
    <w:p>
      <w:pPr>
        <w:pStyle w:val="Indenta"/>
      </w:pPr>
      <w:r>
        <w:tab/>
        <w:t>(</w:t>
      </w:r>
      <w:del w:id="635" w:author="Master Repository Process" w:date="2022-05-27T14:27:00Z">
        <w:r>
          <w:delText>i</w:delText>
        </w:r>
      </w:del>
      <w:ins w:id="636" w:author="Master Repository Process" w:date="2022-05-27T14:27:00Z">
        <w:r>
          <w:t>a</w:t>
        </w:r>
      </w:ins>
      <w:r>
        <w:t>)</w:t>
      </w:r>
      <w:r>
        <w:tab/>
        <w:t xml:space="preserve">the purchaser is an individual and </w:t>
      </w:r>
      <w:ins w:id="637" w:author="Master Repository Process" w:date="2022-05-27T14:27:00Z">
        <w:r>
          <w:t xml:space="preserve">the trust is a unit trust scheme in which the purchaser </w:t>
        </w:r>
      </w:ins>
      <w:r>
        <w:t>is the sole unit holder</w:t>
      </w:r>
      <w:del w:id="638" w:author="Master Repository Process" w:date="2022-05-27T14:27:00Z">
        <w:r>
          <w:delText xml:space="preserve"> in the unit trust</w:delText>
        </w:r>
      </w:del>
      <w:r>
        <w:t>; or</w:t>
      </w:r>
    </w:p>
    <w:p>
      <w:pPr>
        <w:pStyle w:val="Indenti"/>
        <w:rPr>
          <w:del w:id="639" w:author="Master Repository Process" w:date="2022-05-27T14:27:00Z"/>
        </w:rPr>
      </w:pPr>
      <w:r>
        <w:tab/>
        <w:t>(</w:t>
      </w:r>
      <w:del w:id="640" w:author="Master Repository Process" w:date="2022-05-27T14:27:00Z">
        <w:r>
          <w:delText>ii</w:delText>
        </w:r>
      </w:del>
      <w:ins w:id="641" w:author="Master Repository Process" w:date="2022-05-27T14:27:00Z">
        <w:r>
          <w:t>b</w:t>
        </w:r>
      </w:ins>
      <w:r>
        <w:t>)</w:t>
      </w:r>
      <w:r>
        <w:tab/>
        <w:t xml:space="preserve">the </w:t>
      </w:r>
      <w:ins w:id="642" w:author="Master Repository Process" w:date="2022-05-27T14:27:00Z">
        <w:r>
          <w:t xml:space="preserve">trust is a unit trust scheme in which the </w:t>
        </w:r>
      </w:ins>
      <w:r>
        <w:t xml:space="preserve">purchaser is a unit holder </w:t>
      </w:r>
      <w:del w:id="643" w:author="Master Repository Process" w:date="2022-05-27T14:27:00Z">
        <w:r>
          <w:delText xml:space="preserve">in the unit trust </w:delText>
        </w:r>
      </w:del>
      <w:r>
        <w:t xml:space="preserve">and </w:t>
      </w:r>
      <w:del w:id="644" w:author="Master Repository Process" w:date="2022-05-27T14:27:00Z">
        <w:r>
          <w:delText>is</w:delText>
        </w:r>
      </w:del>
      <w:ins w:id="645" w:author="Master Repository Process" w:date="2022-05-27T14:27:00Z">
        <w:r>
          <w:t>each of the other unit holders are</w:t>
        </w:r>
      </w:ins>
      <w:r>
        <w:t xml:space="preserve"> related, as referred to in section 43(1)(a), (b), (c), (</w:t>
      </w:r>
      <w:ins w:id="646" w:author="Master Repository Process" w:date="2022-05-27T14:27:00Z">
        <w:r>
          <w:t>ca), (cb), (</w:t>
        </w:r>
      </w:ins>
      <w:r>
        <w:t xml:space="preserve">d) or (e), to </w:t>
      </w:r>
      <w:del w:id="647" w:author="Master Repository Process" w:date="2022-05-27T14:27:00Z">
        <w:r>
          <w:delText xml:space="preserve">each of </w:delText>
        </w:r>
      </w:del>
      <w:r>
        <w:t xml:space="preserve">the </w:t>
      </w:r>
      <w:del w:id="648" w:author="Master Repository Process" w:date="2022-05-27T14:27:00Z">
        <w:r>
          <w:delText>other unit holders;</w:delText>
        </w:r>
      </w:del>
    </w:p>
    <w:p>
      <w:pPr>
        <w:pStyle w:val="Indenta"/>
      </w:pPr>
      <w:del w:id="649" w:author="Master Repository Process" w:date="2022-05-27T14:27:00Z">
        <w:r>
          <w:tab/>
        </w:r>
        <w:r>
          <w:tab/>
        </w:r>
      </w:del>
      <w:ins w:id="650" w:author="Master Repository Process" w:date="2022-05-27T14:27:00Z">
        <w:r>
          <w:t xml:space="preserve">purchaser; </w:t>
        </w:r>
      </w:ins>
      <w:r>
        <w:t>or</w:t>
      </w:r>
    </w:p>
    <w:p>
      <w:pPr>
        <w:pStyle w:val="Indenta"/>
      </w:pPr>
      <w:del w:id="651" w:author="Master Repository Process" w:date="2022-05-27T14:27:00Z">
        <w:r>
          <w:tab/>
          <w:delText>(b)</w:delText>
        </w:r>
        <w:r>
          <w:tab/>
          <w:delText>a trustee, other than a trustee of</w:delText>
        </w:r>
      </w:del>
      <w:ins w:id="652" w:author="Master Repository Process" w:date="2022-05-27T14:27:00Z">
        <w:r>
          <w:tab/>
          <w:t>(c)</w:t>
        </w:r>
        <w:r>
          <w:tab/>
          <w:t>the trust is not</w:t>
        </w:r>
      </w:ins>
      <w:r>
        <w:t xml:space="preserve"> a discretionary trust or a unit trust scheme</w:t>
      </w:r>
      <w:del w:id="653" w:author="Master Repository Process" w:date="2022-05-27T14:27:00Z">
        <w:r>
          <w:delText>, if the</w:delText>
        </w:r>
      </w:del>
      <w:ins w:id="654" w:author="Master Repository Process" w:date="2022-05-27T14:27:00Z">
        <w:r>
          <w:t xml:space="preserve"> and each</w:t>
        </w:r>
      </w:ins>
      <w:r>
        <w:t xml:space="preserve"> beneficiary </w:t>
      </w:r>
      <w:del w:id="655" w:author="Master Repository Process" w:date="2022-05-27T14:27:00Z">
        <w:r>
          <w:delText>and</w:delText>
        </w:r>
      </w:del>
      <w:ins w:id="656" w:author="Master Repository Process" w:date="2022-05-27T14:27:00Z">
        <w:r>
          <w:t>of</w:t>
        </w:r>
      </w:ins>
      <w:r>
        <w:t xml:space="preserve"> the </w:t>
      </w:r>
      <w:del w:id="657" w:author="Master Repository Process" w:date="2022-05-27T14:27:00Z">
        <w:r>
          <w:delText>purchaser are</w:delText>
        </w:r>
      </w:del>
      <w:ins w:id="658" w:author="Master Repository Process" w:date="2022-05-27T14:27:00Z">
        <w:r>
          <w:t>trust is</w:t>
        </w:r>
      </w:ins>
      <w:r>
        <w:t xml:space="preserve"> related</w:t>
      </w:r>
      <w:ins w:id="659" w:author="Master Repository Process" w:date="2022-05-27T14:27:00Z">
        <w:r>
          <w:t>,</w:t>
        </w:r>
      </w:ins>
      <w:r>
        <w:t xml:space="preserve"> as referred to in section 43(1)(a), (b), (c), (</w:t>
      </w:r>
      <w:ins w:id="660" w:author="Master Repository Process" w:date="2022-05-27T14:27:00Z">
        <w:r>
          <w:t>ca), (cb), (</w:t>
        </w:r>
      </w:ins>
      <w:r>
        <w:t>d) or (e</w:t>
      </w:r>
      <w:del w:id="661" w:author="Master Repository Process" w:date="2022-05-27T14:27:00Z">
        <w:r>
          <w:delText>).</w:delText>
        </w:r>
      </w:del>
      <w:ins w:id="662" w:author="Master Repository Process" w:date="2022-05-27T14:27:00Z">
        <w:r>
          <w:t>), to the purchaser.</w:t>
        </w:r>
      </w:ins>
    </w:p>
    <w:p>
      <w:pPr>
        <w:pStyle w:val="Subsection"/>
      </w:pPr>
      <w:r>
        <w:tab/>
        <w:t>(4C)</w:t>
      </w:r>
      <w:r>
        <w:tab/>
        <w:t xml:space="preserve">A reference in subsection (4B) to a unit holder or to a beneficiary is limited to a reference to a unit holder or beneficiary </w:t>
      </w:r>
      <w:del w:id="663" w:author="Master Repository Process" w:date="2022-05-27T14:27:00Z">
        <w:r>
          <w:delText>whose interest in the scheme or trust is a beneficial interest</w:delText>
        </w:r>
      </w:del>
      <w:ins w:id="664" w:author="Master Repository Process" w:date="2022-05-27T14:27:00Z">
        <w:r>
          <w:t>acting in their own capacity and not as agent, trustee or otherwise on behalf of any other person</w:t>
        </w:r>
      </w:ins>
      <w:r>
        <w:t>.</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keepNext/>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PermNoteHeading"/>
      </w:pPr>
      <w:r>
        <w:tab/>
        <w:t>Note for this subsection:</w:t>
      </w:r>
    </w:p>
    <w:p>
      <w:pPr>
        <w:pStyle w:val="PermNoteText"/>
      </w:pPr>
      <w:r>
        <w:tab/>
      </w:r>
      <w:r>
        <w:tab/>
        <w:t xml:space="preserve">Example for subsection (8) — </w:t>
      </w:r>
    </w:p>
    <w:p>
      <w:pPr>
        <w:pStyle w:val="PermNoteText"/>
      </w:pPr>
      <w:r>
        <w:tab/>
      </w:r>
      <w:r>
        <w:tab/>
        <w:t xml:space="preserve">On 1 July, under an agreement for the transfer of dutiable property, A agrees to sell land in Western Australia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PermNoteText"/>
      </w:pPr>
      <w:r>
        <w:tab/>
      </w:r>
      <w: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spacing w:before="120"/>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spacing w:before="120"/>
      </w:pPr>
      <w:r>
        <w:tab/>
        <w:t>(12)</w:t>
      </w:r>
      <w:r>
        <w:tab/>
        <w:t>Duty is not chargeable on a transfer of dutiable property resulting from a dutiable transaction referred to in section 11(1)(d) if the vesting of the dutiable property is duty endorsed.</w:t>
      </w:r>
    </w:p>
    <w:p>
      <w:pPr>
        <w:pStyle w:val="Subsection"/>
        <w:spacing w:before="120"/>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Subsection"/>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spacing w:before="120"/>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Footnotesection"/>
        <w:ind w:left="890" w:hanging="890"/>
      </w:pPr>
      <w:r>
        <w:tab/>
        <w:t>[Section 42 amended: No. 32 of 2012 s. 5 and 6</w:t>
      </w:r>
      <w:ins w:id="665" w:author="Master Repository Process" w:date="2022-05-27T14:27:00Z">
        <w:r>
          <w:t>; No. 12 of 2019 s. 18</w:t>
        </w:r>
      </w:ins>
      <w:r>
        <w:t>.]</w:t>
      </w:r>
    </w:p>
    <w:p>
      <w:pPr>
        <w:pStyle w:val="Heading5"/>
      </w:pPr>
      <w:bookmarkStart w:id="666" w:name="_Toc104290856"/>
      <w:bookmarkStart w:id="667" w:name="_Toc531859225"/>
      <w:r>
        <w:rPr>
          <w:rStyle w:val="CharSectno"/>
        </w:rPr>
        <w:t>43</w:t>
      </w:r>
      <w:r>
        <w:t>.</w:t>
      </w:r>
      <w:r>
        <w:tab/>
        <w:t>Persons related to purchaser for s. 42(2)(a)</w:t>
      </w:r>
      <w:bookmarkEnd w:id="666"/>
      <w:bookmarkEnd w:id="667"/>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a child or remoter lineal descendant of</w:t>
      </w:r>
      <w:del w:id="668" w:author="Master Repository Process" w:date="2022-05-27T14:27:00Z">
        <w:r>
          <w:delText xml:space="preserve"> — </w:delText>
        </w:r>
      </w:del>
      <w:ins w:id="669" w:author="Master Repository Process" w:date="2022-05-27T14:27:00Z">
        <w:r>
          <w:t xml:space="preserve"> the purchaser;</w:t>
        </w:r>
      </w:ins>
    </w:p>
    <w:p>
      <w:pPr>
        <w:pStyle w:val="Indenti"/>
        <w:rPr>
          <w:del w:id="670" w:author="Master Repository Process" w:date="2022-05-27T14:27:00Z"/>
        </w:rPr>
      </w:pPr>
      <w:r>
        <w:tab/>
        <w:t>(</w:t>
      </w:r>
      <w:del w:id="671" w:author="Master Repository Process" w:date="2022-05-27T14:27:00Z">
        <w:r>
          <w:delText>i)</w:delText>
        </w:r>
        <w:r>
          <w:tab/>
          <w:delText>the purchaser; or</w:delText>
        </w:r>
      </w:del>
    </w:p>
    <w:p>
      <w:pPr>
        <w:pStyle w:val="Indenta"/>
      </w:pPr>
      <w:del w:id="672" w:author="Master Repository Process" w:date="2022-05-27T14:27:00Z">
        <w:r>
          <w:tab/>
          <w:delText>(ii)</w:delText>
        </w:r>
        <w:r>
          <w:tab/>
          <w:delText>the purchaser’s</w:delText>
        </w:r>
      </w:del>
      <w:ins w:id="673" w:author="Master Repository Process" w:date="2022-05-27T14:27:00Z">
        <w:r>
          <w:t>ca)</w:t>
        </w:r>
        <w:r>
          <w:tab/>
          <w:t>a</w:t>
        </w:r>
      </w:ins>
      <w:r>
        <w:t xml:space="preserve"> spouse or de facto partner</w:t>
      </w:r>
      <w:ins w:id="674" w:author="Master Repository Process" w:date="2022-05-27T14:27:00Z">
        <w:r>
          <w:t xml:space="preserve"> of a child, or remoter lineal descendant, of the purchaser</w:t>
        </w:r>
      </w:ins>
      <w:r>
        <w:t>;</w:t>
      </w:r>
    </w:p>
    <w:p>
      <w:pPr>
        <w:pStyle w:val="Indenta"/>
        <w:rPr>
          <w:ins w:id="675" w:author="Master Repository Process" w:date="2022-05-27T14:27:00Z"/>
        </w:rPr>
      </w:pPr>
      <w:ins w:id="676" w:author="Master Repository Process" w:date="2022-05-27T14:27:00Z">
        <w:r>
          <w:tab/>
          <w:t>(cb)</w:t>
        </w:r>
        <w:r>
          <w:tab/>
          <w:t>a spouse or de facto partner of a parent, or remoter lineal ancestor, of the purchaser;</w:t>
        </w:r>
      </w:ins>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 xml:space="preserve">as a trustee other than a trustee referred to in paragraph (a) or (b), unless — </w:t>
      </w:r>
    </w:p>
    <w:p>
      <w:pPr>
        <w:pStyle w:val="Indenti"/>
      </w:pPr>
      <w:r>
        <w:tab/>
        <w:t>(i)</w:t>
      </w:r>
      <w:r>
        <w:tab/>
        <w:t>the purchaser and the transferee are related as referred to in subsection (1)(a), (b), (c), (</w:t>
      </w:r>
      <w:ins w:id="677" w:author="Master Repository Process" w:date="2022-05-27T14:27:00Z">
        <w:r>
          <w:t>ca), (cb), (</w:t>
        </w:r>
      </w:ins>
      <w:r>
        <w:t>d) or (e); and</w:t>
      </w:r>
    </w:p>
    <w:p>
      <w:pPr>
        <w:pStyle w:val="Indenti"/>
      </w:pPr>
      <w:r>
        <w:tab/>
        <w:t>(ii)</w:t>
      </w:r>
      <w:r>
        <w:tab/>
        <w:t>the purchaser and the beneficiary are related as referred to in subsection (1)(a), (b), (c), (</w:t>
      </w:r>
      <w:ins w:id="678" w:author="Master Repository Process" w:date="2022-05-27T14:27:00Z">
        <w:r>
          <w:t>ca), (cb), (</w:t>
        </w:r>
      </w:ins>
      <w:r>
        <w:t>d) or (e).</w:t>
      </w:r>
    </w:p>
    <w:p>
      <w:pPr>
        <w:pStyle w:val="Footnotesection"/>
        <w:ind w:left="890" w:hanging="890"/>
      </w:pPr>
      <w:r>
        <w:tab/>
        <w:t>[Section 43 amended: No. 32 of 2012 s. </w:t>
      </w:r>
      <w:del w:id="679" w:author="Master Repository Process" w:date="2022-05-27T14:27:00Z">
        <w:r>
          <w:delText>7</w:delText>
        </w:r>
      </w:del>
      <w:ins w:id="680" w:author="Master Repository Process" w:date="2022-05-27T14:27:00Z">
        <w:r>
          <w:t>7; No. 12 of 2019 s. 19</w:t>
        </w:r>
      </w:ins>
      <w:r>
        <w:t>.]</w:t>
      </w:r>
    </w:p>
    <w:p>
      <w:pPr>
        <w:pStyle w:val="Heading4"/>
        <w:rPr>
          <w:sz w:val="26"/>
        </w:rPr>
      </w:pPr>
      <w:bookmarkStart w:id="681" w:name="_Toc37946662"/>
      <w:bookmarkStart w:id="682" w:name="_Toc37947262"/>
      <w:bookmarkStart w:id="683" w:name="_Toc38031326"/>
      <w:bookmarkStart w:id="684" w:name="_Toc93309835"/>
      <w:bookmarkStart w:id="685" w:name="_Toc104290857"/>
      <w:bookmarkStart w:id="686" w:name="_Toc530491611"/>
      <w:bookmarkStart w:id="687" w:name="_Toc530492071"/>
      <w:bookmarkStart w:id="688" w:name="_Toc530493081"/>
      <w:bookmarkStart w:id="689" w:name="_Toc530556216"/>
      <w:bookmarkStart w:id="690" w:name="_Toc531692054"/>
      <w:bookmarkStart w:id="691" w:name="_Toc531855959"/>
      <w:bookmarkStart w:id="692" w:name="_Toc531858687"/>
      <w:bookmarkStart w:id="693" w:name="_Toc531859226"/>
      <w:r>
        <w:rPr>
          <w:sz w:val="26"/>
        </w:rPr>
        <w:t>Division 7 — Interim assessment of transfer duty</w:t>
      </w:r>
      <w:bookmarkEnd w:id="681"/>
      <w:bookmarkEnd w:id="682"/>
      <w:bookmarkEnd w:id="683"/>
      <w:bookmarkEnd w:id="684"/>
      <w:bookmarkEnd w:id="685"/>
      <w:bookmarkEnd w:id="686"/>
      <w:bookmarkEnd w:id="687"/>
      <w:bookmarkEnd w:id="688"/>
      <w:bookmarkEnd w:id="689"/>
      <w:bookmarkEnd w:id="690"/>
      <w:bookmarkEnd w:id="691"/>
      <w:bookmarkEnd w:id="692"/>
      <w:bookmarkEnd w:id="693"/>
    </w:p>
    <w:p>
      <w:pPr>
        <w:pStyle w:val="Footnoteheading"/>
      </w:pPr>
      <w:r>
        <w:tab/>
        <w:t>[Heading inserted: No. 10 of 2013 s. 5.]</w:t>
      </w:r>
    </w:p>
    <w:p>
      <w:pPr>
        <w:pStyle w:val="Heading5"/>
        <w:spacing w:before="180"/>
      </w:pPr>
      <w:bookmarkStart w:id="694" w:name="_Toc104290858"/>
      <w:bookmarkStart w:id="695" w:name="_Toc531859227"/>
      <w:r>
        <w:rPr>
          <w:rStyle w:val="CharSectno"/>
        </w:rPr>
        <w:t>44A</w:t>
      </w:r>
      <w:r>
        <w:t>.</w:t>
      </w:r>
      <w:r>
        <w:tab/>
        <w:t>Interim assessment of transfer duty</w:t>
      </w:r>
      <w:bookmarkEnd w:id="694"/>
      <w:bookmarkEnd w:id="695"/>
    </w:p>
    <w:p>
      <w:pPr>
        <w:pStyle w:val="Subsection"/>
      </w:pPr>
      <w:r>
        <w:tab/>
        <w:t>(1)</w:t>
      </w:r>
      <w:r>
        <w:tab/>
        <w:t xml:space="preserve">The Commissioner may make an assessment (an </w:t>
      </w:r>
      <w:r>
        <w:rPr>
          <w:rStyle w:val="CharDefText"/>
        </w:rPr>
        <w:t>interim assessment</w:t>
      </w:r>
      <w:r>
        <w:t xml:space="preserve">) of a portion of the duty payable on a dutiable transaction if — </w:t>
      </w:r>
    </w:p>
    <w:p>
      <w:pPr>
        <w:pStyle w:val="Indenta"/>
      </w:pPr>
      <w:r>
        <w:tab/>
        <w:t>(a)</w:t>
      </w:r>
      <w:r>
        <w:tab/>
        <w:t>the Commissioner is satisfied that duty is payable on the transaction; and</w:t>
      </w:r>
    </w:p>
    <w:p>
      <w:pPr>
        <w:pStyle w:val="Indenta"/>
      </w:pPr>
      <w:r>
        <w:tab/>
        <w:t>(b)</w:t>
      </w:r>
      <w:r>
        <w:tab/>
        <w:t xml:space="preserve">one of the following applies — </w:t>
      </w:r>
    </w:p>
    <w:p>
      <w:pPr>
        <w:pStyle w:val="Indenti"/>
      </w:pPr>
      <w:r>
        <w:tab/>
        <w:t>(i)</w:t>
      </w:r>
      <w:r>
        <w:tab/>
        <w:t>more than 6 months have elapsed since the day on which a transaction record was lodged under section 23;</w:t>
      </w:r>
    </w:p>
    <w:p>
      <w:pPr>
        <w:pStyle w:val="Indenti"/>
      </w:pPr>
      <w:r>
        <w:tab/>
        <w:t>(ii)</w:t>
      </w:r>
      <w:r>
        <w:tab/>
        <w:t>more than 6 months have elapsed since the day on which a transaction record ought to have been lodged under section 23;</w:t>
      </w:r>
    </w:p>
    <w:p>
      <w:pPr>
        <w:pStyle w:val="Indenti"/>
      </w:pPr>
      <w:r>
        <w:tab/>
        <w:t>(iii)</w:t>
      </w:r>
      <w:r>
        <w:tab/>
        <w:t>the Commissioner is satisfied that it will not be possible to obtain the information necessary to determine the dutiable value of the transaction within the 6 months referred to in subparagraph (ii);</w:t>
      </w:r>
    </w:p>
    <w:p>
      <w:pPr>
        <w:pStyle w:val="Indenta"/>
      </w:pPr>
      <w:r>
        <w:tab/>
      </w:r>
      <w:r>
        <w:tab/>
        <w:t>and</w:t>
      </w:r>
    </w:p>
    <w:p>
      <w:pPr>
        <w:pStyle w:val="Indenta"/>
      </w:pPr>
      <w:r>
        <w:tab/>
        <w:t>(c)</w:t>
      </w:r>
      <w:r>
        <w:tab/>
        <w:t>the Commissioner is satisfied that a portion of the dutiable value of the transaction can be determined.</w:t>
      </w:r>
    </w:p>
    <w:p>
      <w:pPr>
        <w:pStyle w:val="Subsection"/>
      </w:pPr>
      <w:r>
        <w:tab/>
        <w:t>(2)</w:t>
      </w:r>
      <w:r>
        <w:tab/>
        <w:t>For the purposes of subsection (1)(b)(ii), the day on which a transaction record ought to have been lodged is the last day of the 2</w:t>
      </w:r>
      <w:r>
        <w:noBreakHyphen/>
        <w:t>month period referred to in section 23(1).</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dutiable transaction;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dutiable transaction;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dutiable value of the dutiable transaction were the full dutiable value of the transaction.</w:t>
      </w:r>
    </w:p>
    <w:p>
      <w:pPr>
        <w:pStyle w:val="Subsection"/>
      </w:pPr>
      <w:r>
        <w:tab/>
        <w:t>(5)</w:t>
      </w:r>
      <w:r>
        <w:tab/>
        <w:t>Section 37 may apply, when relevant, for the purposes of this section, and when so applying, the reference in section 37(6)(a) to the dutiable value for a transaction includes a reference to a portion of the dutiable value for a transaction.</w:t>
      </w:r>
    </w:p>
    <w:p>
      <w:pPr>
        <w:pStyle w:val="Footnotesection"/>
        <w:ind w:left="890" w:hanging="890"/>
      </w:pPr>
      <w:r>
        <w:tab/>
        <w:t>[Section 44A inserted: No. 10 of 2013 s. 5.]</w:t>
      </w:r>
    </w:p>
    <w:p>
      <w:pPr>
        <w:pStyle w:val="Heading3"/>
        <w:keepNext w:val="0"/>
        <w:pageBreakBefore/>
        <w:rPr>
          <w:sz w:val="28"/>
        </w:rPr>
      </w:pPr>
      <w:bookmarkStart w:id="696" w:name="_Toc37946664"/>
      <w:bookmarkStart w:id="697" w:name="_Toc37947264"/>
      <w:bookmarkStart w:id="698" w:name="_Toc38031328"/>
      <w:bookmarkStart w:id="699" w:name="_Toc93309837"/>
      <w:bookmarkStart w:id="700" w:name="_Toc104290859"/>
      <w:bookmarkStart w:id="701" w:name="_Toc530491613"/>
      <w:bookmarkStart w:id="702" w:name="_Toc530492073"/>
      <w:bookmarkStart w:id="703" w:name="_Toc530493083"/>
      <w:bookmarkStart w:id="704" w:name="_Toc530556218"/>
      <w:bookmarkStart w:id="705" w:name="_Toc531692056"/>
      <w:bookmarkStart w:id="706" w:name="_Toc531855961"/>
      <w:bookmarkStart w:id="707" w:name="_Toc531858689"/>
      <w:bookmarkStart w:id="708" w:name="_Toc531859228"/>
      <w:r>
        <w:rPr>
          <w:rStyle w:val="CharDivNo"/>
          <w:sz w:val="28"/>
        </w:rPr>
        <w:t>Part 5</w:t>
      </w:r>
      <w:r>
        <w:rPr>
          <w:sz w:val="28"/>
        </w:rPr>
        <w:t> — </w:t>
      </w:r>
      <w:r>
        <w:rPr>
          <w:rStyle w:val="CharDivText"/>
          <w:sz w:val="28"/>
        </w:rPr>
        <w:t>Application of this Chapter to certain transactions</w:t>
      </w:r>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Heading4"/>
        <w:keepNext w:val="0"/>
        <w:rPr>
          <w:sz w:val="26"/>
        </w:rPr>
      </w:pPr>
      <w:bookmarkStart w:id="709" w:name="_Toc37946665"/>
      <w:bookmarkStart w:id="710" w:name="_Toc37947265"/>
      <w:bookmarkStart w:id="711" w:name="_Toc38031329"/>
      <w:bookmarkStart w:id="712" w:name="_Toc93309838"/>
      <w:bookmarkStart w:id="713" w:name="_Toc104290860"/>
      <w:bookmarkStart w:id="714" w:name="_Toc530491614"/>
      <w:bookmarkStart w:id="715" w:name="_Toc530492074"/>
      <w:bookmarkStart w:id="716" w:name="_Toc530493084"/>
      <w:bookmarkStart w:id="717" w:name="_Toc530556219"/>
      <w:bookmarkStart w:id="718" w:name="_Toc531692057"/>
      <w:bookmarkStart w:id="719" w:name="_Toc531855962"/>
      <w:bookmarkStart w:id="720" w:name="_Toc531858690"/>
      <w:bookmarkStart w:id="721" w:name="_Toc531859229"/>
      <w:r>
        <w:rPr>
          <w:sz w:val="26"/>
        </w:rPr>
        <w:t>Division 1 — Simultaneous put and call options</w:t>
      </w:r>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Heading4"/>
        <w:rPr>
          <w:sz w:val="26"/>
        </w:rPr>
      </w:pPr>
      <w:bookmarkStart w:id="722" w:name="_Toc37946666"/>
      <w:bookmarkStart w:id="723" w:name="_Toc37947266"/>
      <w:bookmarkStart w:id="724" w:name="_Toc38031330"/>
      <w:bookmarkStart w:id="725" w:name="_Toc93309839"/>
      <w:bookmarkStart w:id="726" w:name="_Toc104290861"/>
      <w:bookmarkStart w:id="727" w:name="_Toc530491615"/>
      <w:bookmarkStart w:id="728" w:name="_Toc530492075"/>
      <w:bookmarkStart w:id="729" w:name="_Toc530493085"/>
      <w:bookmarkStart w:id="730" w:name="_Toc530556220"/>
      <w:bookmarkStart w:id="731" w:name="_Toc531692058"/>
      <w:bookmarkStart w:id="732" w:name="_Toc531855963"/>
      <w:bookmarkStart w:id="733" w:name="_Toc531858691"/>
      <w:bookmarkStart w:id="734" w:name="_Toc531859230"/>
      <w:r>
        <w:rPr>
          <w:sz w:val="26"/>
        </w:rPr>
        <w:t>Subdivision 1 — Terms used in this Division</w:t>
      </w:r>
      <w:bookmarkEnd w:id="722"/>
      <w:bookmarkEnd w:id="723"/>
      <w:bookmarkEnd w:id="724"/>
      <w:bookmarkEnd w:id="725"/>
      <w:bookmarkEnd w:id="726"/>
      <w:bookmarkEnd w:id="727"/>
      <w:bookmarkEnd w:id="728"/>
      <w:bookmarkEnd w:id="729"/>
      <w:bookmarkEnd w:id="730"/>
      <w:bookmarkEnd w:id="731"/>
      <w:bookmarkEnd w:id="732"/>
      <w:bookmarkEnd w:id="733"/>
      <w:bookmarkEnd w:id="734"/>
    </w:p>
    <w:p>
      <w:pPr>
        <w:pStyle w:val="Heading5"/>
        <w:keepNext w:val="0"/>
      </w:pPr>
      <w:bookmarkStart w:id="735" w:name="_Toc104290862"/>
      <w:bookmarkStart w:id="736" w:name="_Toc531859231"/>
      <w:r>
        <w:rPr>
          <w:rStyle w:val="CharSectno"/>
        </w:rPr>
        <w:t>44</w:t>
      </w:r>
      <w:r>
        <w:t>.</w:t>
      </w:r>
      <w:r>
        <w:tab/>
        <w:t>Terms used</w:t>
      </w:r>
      <w:bookmarkEnd w:id="735"/>
      <w:bookmarkEnd w:id="736"/>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Heading4"/>
        <w:rPr>
          <w:sz w:val="26"/>
        </w:rPr>
      </w:pPr>
      <w:bookmarkStart w:id="737" w:name="_Toc37946668"/>
      <w:bookmarkStart w:id="738" w:name="_Toc37947268"/>
      <w:bookmarkStart w:id="739" w:name="_Toc38031332"/>
      <w:bookmarkStart w:id="740" w:name="_Toc93309841"/>
      <w:bookmarkStart w:id="741" w:name="_Toc104290863"/>
      <w:bookmarkStart w:id="742" w:name="_Toc530491617"/>
      <w:bookmarkStart w:id="743" w:name="_Toc530492077"/>
      <w:bookmarkStart w:id="744" w:name="_Toc530493087"/>
      <w:bookmarkStart w:id="745" w:name="_Toc530556222"/>
      <w:bookmarkStart w:id="746" w:name="_Toc531692060"/>
      <w:bookmarkStart w:id="747" w:name="_Toc531855965"/>
      <w:bookmarkStart w:id="748" w:name="_Toc531858693"/>
      <w:bookmarkStart w:id="749" w:name="_Toc531859232"/>
      <w:r>
        <w:rPr>
          <w:sz w:val="26"/>
        </w:rPr>
        <w:t>Subdivision 2 — Simultaneous put and call options</w:t>
      </w:r>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Heading5"/>
        <w:spacing w:before="240"/>
      </w:pPr>
      <w:bookmarkStart w:id="750" w:name="_Toc104290864"/>
      <w:bookmarkStart w:id="751" w:name="_Toc531859233"/>
      <w:r>
        <w:rPr>
          <w:rStyle w:val="CharSectno"/>
        </w:rPr>
        <w:t>45</w:t>
      </w:r>
      <w:r>
        <w:t>.</w:t>
      </w:r>
      <w:r>
        <w:tab/>
        <w:t>Call option of simultaneous put and call option to be taken to be agreement for transfer of option property</w:t>
      </w:r>
      <w:bookmarkEnd w:id="750"/>
      <w:bookmarkEnd w:id="751"/>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752" w:name="_Toc104290865"/>
      <w:bookmarkStart w:id="753" w:name="_Toc531859234"/>
      <w:r>
        <w:rPr>
          <w:rStyle w:val="CharSectno"/>
        </w:rPr>
        <w:t>46</w:t>
      </w:r>
      <w:r>
        <w:t>.</w:t>
      </w:r>
      <w:r>
        <w:tab/>
        <w:t>Simultaneous put and call option, dutiable value of</w:t>
      </w:r>
      <w:bookmarkEnd w:id="752"/>
      <w:bookmarkEnd w:id="753"/>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754" w:name="_Toc104290866"/>
      <w:bookmarkStart w:id="755" w:name="_Toc531859235"/>
      <w:r>
        <w:rPr>
          <w:rStyle w:val="CharSectno"/>
        </w:rPr>
        <w:t>47</w:t>
      </w:r>
      <w:r>
        <w:t>.</w:t>
      </w:r>
      <w:r>
        <w:tab/>
        <w:t>Dutiable transaction referred to in s. 45, duty paid on to be credited</w:t>
      </w:r>
      <w:bookmarkEnd w:id="754"/>
      <w:bookmarkEnd w:id="755"/>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spacing w:before="180"/>
      </w:pPr>
      <w:bookmarkStart w:id="756" w:name="_Toc104290867"/>
      <w:bookmarkStart w:id="757" w:name="_Toc531859236"/>
      <w:r>
        <w:rPr>
          <w:rStyle w:val="CharSectno"/>
        </w:rPr>
        <w:t>48</w:t>
      </w:r>
      <w:r>
        <w:t>.</w:t>
      </w:r>
      <w:r>
        <w:tab/>
        <w:t>Simultaneous put and call option not exercised or assigned, consequences of</w:t>
      </w:r>
      <w:bookmarkEnd w:id="756"/>
      <w:bookmarkEnd w:id="757"/>
    </w:p>
    <w:p>
      <w:pPr>
        <w:pStyle w:val="Subsection"/>
        <w:keepNext/>
        <w:keepLines/>
        <w:spacing w:before="120"/>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spacing w:before="120"/>
      </w:pPr>
      <w:r>
        <w:tab/>
      </w:r>
      <w:r>
        <w:tab/>
        <w:t>this Division does not apply and the Commissioner, on the application of the taxpayer, is to assess or reassess the liability to duty of the call option.</w:t>
      </w:r>
    </w:p>
    <w:p>
      <w:pPr>
        <w:pStyle w:val="Subsection"/>
        <w:spacing w:before="120"/>
      </w:pPr>
      <w:r>
        <w:tab/>
        <w:t>(2)</w:t>
      </w:r>
      <w:r>
        <w:tab/>
        <w:t>For the purposes of this section, the Taxation Administration Act section 17 applies as if the original assessment had been made when the call option and the put option had both expired or were rescinded or cancelled.</w:t>
      </w:r>
    </w:p>
    <w:p>
      <w:pPr>
        <w:pStyle w:val="Heading4"/>
        <w:rPr>
          <w:sz w:val="26"/>
        </w:rPr>
      </w:pPr>
      <w:bookmarkStart w:id="758" w:name="_Toc37946673"/>
      <w:bookmarkStart w:id="759" w:name="_Toc37947273"/>
      <w:bookmarkStart w:id="760" w:name="_Toc38031337"/>
      <w:bookmarkStart w:id="761" w:name="_Toc93309846"/>
      <w:bookmarkStart w:id="762" w:name="_Toc104290868"/>
      <w:bookmarkStart w:id="763" w:name="_Toc530491622"/>
      <w:bookmarkStart w:id="764" w:name="_Toc530492082"/>
      <w:bookmarkStart w:id="765" w:name="_Toc530493092"/>
      <w:bookmarkStart w:id="766" w:name="_Toc530556227"/>
      <w:bookmarkStart w:id="767" w:name="_Toc531692065"/>
      <w:bookmarkStart w:id="768" w:name="_Toc531855970"/>
      <w:bookmarkStart w:id="769" w:name="_Toc531858698"/>
      <w:bookmarkStart w:id="770" w:name="_Toc531859237"/>
      <w:r>
        <w:rPr>
          <w:sz w:val="26"/>
        </w:rPr>
        <w:t>Subdivision 3 — Assignment of call option</w:t>
      </w:r>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Heading5"/>
        <w:spacing w:before="180"/>
      </w:pPr>
      <w:bookmarkStart w:id="771" w:name="_Toc104290869"/>
      <w:bookmarkStart w:id="772" w:name="_Toc531859238"/>
      <w:r>
        <w:rPr>
          <w:rStyle w:val="CharSectno"/>
        </w:rPr>
        <w:t>49</w:t>
      </w:r>
      <w:r>
        <w:t>.</w:t>
      </w:r>
      <w:r>
        <w:tab/>
        <w:t>Assignment of call option to be taken to be agreement for transfer of option property</w:t>
      </w:r>
      <w:bookmarkEnd w:id="771"/>
      <w:bookmarkEnd w:id="772"/>
    </w:p>
    <w:p>
      <w:pPr>
        <w:pStyle w:val="Subsection"/>
        <w:spacing w:before="120"/>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773" w:name="_Toc104290870"/>
      <w:bookmarkStart w:id="774" w:name="_Toc531859239"/>
      <w:r>
        <w:rPr>
          <w:rStyle w:val="CharSectno"/>
        </w:rPr>
        <w:t>50</w:t>
      </w:r>
      <w:r>
        <w:t>.</w:t>
      </w:r>
      <w:r>
        <w:tab/>
        <w:t>Assignment of call option, dutiable value of</w:t>
      </w:r>
      <w:bookmarkEnd w:id="773"/>
      <w:bookmarkEnd w:id="774"/>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775" w:name="_Toc104290871"/>
      <w:bookmarkStart w:id="776" w:name="_Toc531859240"/>
      <w:r>
        <w:rPr>
          <w:rStyle w:val="CharSectno"/>
        </w:rPr>
        <w:t>51</w:t>
      </w:r>
      <w:r>
        <w:t>.</w:t>
      </w:r>
      <w:r>
        <w:tab/>
        <w:t>Dutiable transaction referred to in s. 49, duty paid on to be credited</w:t>
      </w:r>
      <w:bookmarkEnd w:id="775"/>
      <w:bookmarkEnd w:id="776"/>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777" w:name="_Toc104290872"/>
      <w:bookmarkStart w:id="778" w:name="_Toc531859241"/>
      <w:r>
        <w:rPr>
          <w:rStyle w:val="CharSectno"/>
        </w:rPr>
        <w:t>52</w:t>
      </w:r>
      <w:r>
        <w:t>.</w:t>
      </w:r>
      <w:r>
        <w:tab/>
        <w:t>Assigned call option not exercised or further assigned, consequences of</w:t>
      </w:r>
      <w:bookmarkEnd w:id="777"/>
      <w:bookmarkEnd w:id="778"/>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rPr>
          <w:sz w:val="26"/>
        </w:rPr>
      </w:pPr>
      <w:bookmarkStart w:id="779" w:name="_Toc37946678"/>
      <w:bookmarkStart w:id="780" w:name="_Toc37947278"/>
      <w:bookmarkStart w:id="781" w:name="_Toc38031342"/>
      <w:bookmarkStart w:id="782" w:name="_Toc93309851"/>
      <w:bookmarkStart w:id="783" w:name="_Toc104290873"/>
      <w:bookmarkStart w:id="784" w:name="_Toc530491627"/>
      <w:bookmarkStart w:id="785" w:name="_Toc530492087"/>
      <w:bookmarkStart w:id="786" w:name="_Toc530493097"/>
      <w:bookmarkStart w:id="787" w:name="_Toc530556232"/>
      <w:bookmarkStart w:id="788" w:name="_Toc531692070"/>
      <w:bookmarkStart w:id="789" w:name="_Toc531855975"/>
      <w:bookmarkStart w:id="790" w:name="_Toc531858703"/>
      <w:bookmarkStart w:id="791" w:name="_Toc531859242"/>
      <w:r>
        <w:rPr>
          <w:sz w:val="26"/>
        </w:rPr>
        <w:t>Division 2 — Discretionary trust acquisitions and surrenders</w:t>
      </w:r>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Heading4"/>
        <w:rPr>
          <w:sz w:val="26"/>
        </w:rPr>
      </w:pPr>
      <w:bookmarkStart w:id="792" w:name="_Toc37946679"/>
      <w:bookmarkStart w:id="793" w:name="_Toc37947279"/>
      <w:bookmarkStart w:id="794" w:name="_Toc38031343"/>
      <w:bookmarkStart w:id="795" w:name="_Toc93309852"/>
      <w:bookmarkStart w:id="796" w:name="_Toc104290874"/>
      <w:bookmarkStart w:id="797" w:name="_Toc530491628"/>
      <w:bookmarkStart w:id="798" w:name="_Toc530492088"/>
      <w:bookmarkStart w:id="799" w:name="_Toc530493098"/>
      <w:bookmarkStart w:id="800" w:name="_Toc530556233"/>
      <w:bookmarkStart w:id="801" w:name="_Toc531692071"/>
      <w:bookmarkStart w:id="802" w:name="_Toc531855976"/>
      <w:bookmarkStart w:id="803" w:name="_Toc531858704"/>
      <w:bookmarkStart w:id="804" w:name="_Toc531859243"/>
      <w:r>
        <w:rPr>
          <w:sz w:val="26"/>
        </w:rPr>
        <w:t>Subdivision 1 — Terms used in this Division</w:t>
      </w:r>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Heading5"/>
        <w:spacing w:before="240"/>
      </w:pPr>
      <w:bookmarkStart w:id="805" w:name="_Toc104290875"/>
      <w:bookmarkStart w:id="806" w:name="_Toc531859244"/>
      <w:r>
        <w:rPr>
          <w:rStyle w:val="CharSectno"/>
        </w:rPr>
        <w:t>53</w:t>
      </w:r>
      <w:r>
        <w:t>.</w:t>
      </w:r>
      <w:r>
        <w:tab/>
        <w:t>References to partnership or trust holding property</w:t>
      </w:r>
      <w:bookmarkEnd w:id="805"/>
      <w:bookmarkEnd w:id="806"/>
    </w:p>
    <w:p>
      <w:pPr>
        <w:pStyle w:val="Subsection"/>
        <w:spacing w:before="180"/>
      </w:pPr>
      <w:r>
        <w:tab/>
      </w:r>
      <w:r>
        <w:tab/>
        <w:t>A reference to a partnership or trust holding property is a reference to the holding of the property by the partners for the partnership or the trustees under the trust.</w:t>
      </w:r>
    </w:p>
    <w:p>
      <w:pPr>
        <w:pStyle w:val="Heading5"/>
        <w:spacing w:before="240"/>
      </w:pPr>
      <w:bookmarkStart w:id="807" w:name="_Toc104290876"/>
      <w:bookmarkStart w:id="808" w:name="_Toc531859245"/>
      <w:r>
        <w:rPr>
          <w:rStyle w:val="CharSectno"/>
        </w:rPr>
        <w:t>54</w:t>
      </w:r>
      <w:r>
        <w:t>.</w:t>
      </w:r>
      <w:r>
        <w:tab/>
        <w:t>References to taker in default</w:t>
      </w:r>
      <w:bookmarkEnd w:id="807"/>
      <w:bookmarkEnd w:id="808"/>
    </w:p>
    <w:p>
      <w:pPr>
        <w:pStyle w:val="Subsection"/>
        <w:spacing w:before="180"/>
      </w:pPr>
      <w:r>
        <w:tab/>
      </w:r>
      <w:r>
        <w:tab/>
        <w:t>A reference to a taker in default is to a beneficiary of a discretionary trust that has an interest in the discretionary trust in default of an appointment by the trustee, or trustees, of the discretionary trust.</w:t>
      </w:r>
    </w:p>
    <w:p>
      <w:pPr>
        <w:pStyle w:val="Heading5"/>
        <w:spacing w:before="240"/>
      </w:pPr>
      <w:bookmarkStart w:id="809" w:name="_Toc104290877"/>
      <w:bookmarkStart w:id="810" w:name="_Toc531859246"/>
      <w:r>
        <w:rPr>
          <w:rStyle w:val="CharSectno"/>
        </w:rPr>
        <w:t>55</w:t>
      </w:r>
      <w:r>
        <w:t>.</w:t>
      </w:r>
      <w:r>
        <w:tab/>
        <w:t>References to trust acquisition</w:t>
      </w:r>
      <w:bookmarkEnd w:id="809"/>
      <w:bookmarkEnd w:id="810"/>
    </w:p>
    <w:p>
      <w:pPr>
        <w:pStyle w:val="Subsection"/>
        <w:spacing w:before="180"/>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spacing w:before="240"/>
      </w:pPr>
      <w:bookmarkStart w:id="811" w:name="_Toc104290878"/>
      <w:bookmarkStart w:id="812" w:name="_Toc531859247"/>
      <w:r>
        <w:rPr>
          <w:rStyle w:val="CharSectno"/>
        </w:rPr>
        <w:t>56</w:t>
      </w:r>
      <w:r>
        <w:t>.</w:t>
      </w:r>
      <w:r>
        <w:tab/>
        <w:t>References to trust surrender</w:t>
      </w:r>
      <w:bookmarkEnd w:id="811"/>
      <w:bookmarkEnd w:id="812"/>
    </w:p>
    <w:p>
      <w:pPr>
        <w:pStyle w:val="Subsection"/>
        <w:keepNext/>
        <w:keepLines/>
        <w:spacing w:before="180"/>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813" w:name="_Toc104290879"/>
      <w:bookmarkStart w:id="814" w:name="_Toc531859248"/>
      <w:r>
        <w:rPr>
          <w:rStyle w:val="CharSectno"/>
        </w:rPr>
        <w:t>57</w:t>
      </w:r>
      <w:r>
        <w:t>.</w:t>
      </w:r>
      <w:r>
        <w:tab/>
        <w:t>When discretionary trust holds indirect interest in dutiable property</w:t>
      </w:r>
      <w:bookmarkEnd w:id="813"/>
      <w:bookmarkEnd w:id="814"/>
    </w:p>
    <w:p>
      <w:pPr>
        <w:pStyle w:val="Subsection"/>
        <w:widowControl w:val="0"/>
        <w:spacing w:before="120"/>
      </w:pPr>
      <w:r>
        <w:tab/>
        <w:t>(1)</w:t>
      </w:r>
      <w:r>
        <w:tab/>
        <w:t>A discretionary trust holds an indirect interest in dutiable property if an entity linked to the trustee of the discretionary trust is entitled to dutiable property.</w:t>
      </w:r>
    </w:p>
    <w:p>
      <w:pPr>
        <w:pStyle w:val="Subsection"/>
        <w:spacing w:before="120"/>
      </w:pPr>
      <w:r>
        <w:tab/>
        <w:t>(2)</w:t>
      </w:r>
      <w:r>
        <w:tab/>
      </w:r>
      <w:del w:id="815" w:author="Master Repository Process" w:date="2022-05-27T14:27:00Z">
        <w:r>
          <w:delText>Section</w:delText>
        </w:r>
      </w:del>
      <w:ins w:id="816" w:author="Master Repository Process" w:date="2022-05-27T14:27:00Z">
        <w:r>
          <w:t>Sections</w:t>
        </w:r>
      </w:ins>
      <w:r>
        <w:t xml:space="preserve"> 156 </w:t>
      </w:r>
      <w:del w:id="817" w:author="Master Repository Process" w:date="2022-05-27T14:27:00Z">
        <w:r>
          <w:delText>applies</w:delText>
        </w:r>
      </w:del>
      <w:ins w:id="818" w:author="Master Repository Process" w:date="2022-05-27T14:27:00Z">
        <w:r>
          <w:t>and 156A apply</w:t>
        </w:r>
      </w:ins>
      <w:r>
        <w:t xml:space="preserve"> where it is necessary to determine whether an entity is linked to a trustee of a discretionary trust for the purposes of subsection (1) or section 59(a)(ii) or 61(b).</w:t>
      </w:r>
    </w:p>
    <w:p>
      <w:pPr>
        <w:pStyle w:val="Subsection"/>
        <w:spacing w:before="120"/>
      </w:pPr>
      <w:r>
        <w:tab/>
        <w:t>(3)</w:t>
      </w:r>
      <w:r>
        <w:tab/>
        <w:t xml:space="preserve">In applying </w:t>
      </w:r>
      <w:del w:id="819" w:author="Master Repository Process" w:date="2022-05-27T14:27:00Z">
        <w:r>
          <w:delText>section</w:delText>
        </w:r>
      </w:del>
      <w:ins w:id="820" w:author="Master Repository Process" w:date="2022-05-27T14:27:00Z">
        <w:r>
          <w:t>sections</w:t>
        </w:r>
      </w:ins>
      <w:r>
        <w:t> 156</w:t>
      </w:r>
      <w:ins w:id="821" w:author="Master Repository Process" w:date="2022-05-27T14:27:00Z">
        <w:r>
          <w:t xml:space="preserve"> and 156A</w:t>
        </w:r>
      </w:ins>
      <w:r>
        <w:t>, the trustee of the discretionary trust is the main entity, despite section 152(2</w:t>
      </w:r>
      <w:ins w:id="822" w:author="Master Repository Process" w:date="2022-05-27T14:27:00Z">
        <w:r>
          <w:t>) and (3</w:t>
        </w:r>
      </w:ins>
      <w:r>
        <w:t>).</w:t>
      </w:r>
    </w:p>
    <w:p>
      <w:pPr>
        <w:pStyle w:val="Footnotesection"/>
        <w:rPr>
          <w:ins w:id="823" w:author="Master Repository Process" w:date="2022-05-27T14:27:00Z"/>
        </w:rPr>
      </w:pPr>
      <w:ins w:id="824" w:author="Master Repository Process" w:date="2022-05-27T14:27:00Z">
        <w:r>
          <w:tab/>
          <w:t>[Section 57 amended: No. 12 of 2019 s. 20.]</w:t>
        </w:r>
      </w:ins>
    </w:p>
    <w:p>
      <w:pPr>
        <w:pStyle w:val="Heading4"/>
        <w:rPr>
          <w:sz w:val="26"/>
        </w:rPr>
      </w:pPr>
      <w:bookmarkStart w:id="825" w:name="_Toc37946685"/>
      <w:bookmarkStart w:id="826" w:name="_Toc37947285"/>
      <w:bookmarkStart w:id="827" w:name="_Toc38031349"/>
      <w:bookmarkStart w:id="828" w:name="_Toc93309858"/>
      <w:bookmarkStart w:id="829" w:name="_Toc104290880"/>
      <w:bookmarkStart w:id="830" w:name="_Toc530491634"/>
      <w:bookmarkStart w:id="831" w:name="_Toc530492094"/>
      <w:bookmarkStart w:id="832" w:name="_Toc530493104"/>
      <w:bookmarkStart w:id="833" w:name="_Toc530556239"/>
      <w:bookmarkStart w:id="834" w:name="_Toc531692077"/>
      <w:bookmarkStart w:id="835" w:name="_Toc531855982"/>
      <w:bookmarkStart w:id="836" w:name="_Toc531858710"/>
      <w:bookmarkStart w:id="837" w:name="_Toc531859249"/>
      <w:r>
        <w:rPr>
          <w:sz w:val="26"/>
        </w:rPr>
        <w:t>Subdivision 2 — Trust acquisitions and trust surrenders</w:t>
      </w:r>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Heading5"/>
        <w:spacing w:before="200"/>
      </w:pPr>
      <w:bookmarkStart w:id="838" w:name="_Toc104290881"/>
      <w:bookmarkStart w:id="839" w:name="_Toc531859250"/>
      <w:r>
        <w:rPr>
          <w:rStyle w:val="CharSectno"/>
        </w:rPr>
        <w:t>58</w:t>
      </w:r>
      <w:r>
        <w:t>.</w:t>
      </w:r>
      <w:r>
        <w:tab/>
        <w:t>When person acquires interest in discretionary trust</w:t>
      </w:r>
      <w:bookmarkEnd w:id="838"/>
      <w:bookmarkEnd w:id="839"/>
    </w:p>
    <w:p>
      <w:pPr>
        <w:pStyle w:val="Subsection"/>
        <w:spacing w:before="12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840" w:name="_Toc104290882"/>
      <w:bookmarkStart w:id="841" w:name="_Toc531859251"/>
      <w:r>
        <w:rPr>
          <w:rStyle w:val="CharSectno"/>
        </w:rPr>
        <w:t>59</w:t>
      </w:r>
      <w:r>
        <w:t>.</w:t>
      </w:r>
      <w:r>
        <w:tab/>
        <w:t>Trust acquisition or trust surrender, dutiable value of</w:t>
      </w:r>
      <w:bookmarkEnd w:id="840"/>
      <w:bookmarkEnd w:id="841"/>
    </w:p>
    <w:p>
      <w:pPr>
        <w:pStyle w:val="Subsection"/>
        <w:spacing w:before="12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842" w:name="_Toc104290883"/>
      <w:bookmarkStart w:id="843" w:name="_Toc531859252"/>
      <w:r>
        <w:rPr>
          <w:rStyle w:val="CharSectno"/>
        </w:rPr>
        <w:t>60</w:t>
      </w:r>
      <w:r>
        <w:t>.</w:t>
      </w:r>
      <w:r>
        <w:tab/>
        <w:t>References to interest in discretionary trust of taker in default</w:t>
      </w:r>
      <w:bookmarkEnd w:id="842"/>
      <w:bookmarkEnd w:id="843"/>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844" w:name="_Toc104290884"/>
      <w:bookmarkStart w:id="845" w:name="_Toc531859253"/>
      <w:r>
        <w:rPr>
          <w:rStyle w:val="CharSectno"/>
        </w:rPr>
        <w:t>61</w:t>
      </w:r>
      <w:r>
        <w:t>.</w:t>
      </w:r>
      <w:r>
        <w:tab/>
        <w:t>Taker in default’s interest, value of for s. 59(b)</w:t>
      </w:r>
      <w:bookmarkEnd w:id="844"/>
      <w:bookmarkEnd w:id="845"/>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 xml:space="preserve">to land </w:t>
      </w:r>
      <w:ins w:id="846" w:author="Master Repository Process" w:date="2022-05-27T14:27:00Z">
        <w:r>
          <w:t xml:space="preserve">assets </w:t>
        </w:r>
      </w:ins>
      <w:r>
        <w:t>were a reference to dutiable property; and</w:t>
      </w:r>
    </w:p>
    <w:p>
      <w:pPr>
        <w:pStyle w:val="Indenti"/>
      </w:pPr>
      <w:r>
        <w:tab/>
        <w:t>(ii)</w:t>
      </w:r>
      <w:r>
        <w:tab/>
        <w:t xml:space="preserve">to the main </w:t>
      </w:r>
      <w:ins w:id="847" w:author="Master Repository Process" w:date="2022-05-27T14:27:00Z">
        <w:r>
          <w:t xml:space="preserve">entity’s total direct or indirect interest in the linked </w:t>
        </w:r>
      </w:ins>
      <w:r>
        <w:t xml:space="preserve">entity </w:t>
      </w:r>
      <w:ins w:id="848" w:author="Master Repository Process" w:date="2022-05-27T14:27:00Z">
        <w:r>
          <w:t xml:space="preserve">calculated under section 154A </w:t>
        </w:r>
      </w:ins>
      <w:r>
        <w:t xml:space="preserve">were a reference to the </w:t>
      </w:r>
      <w:ins w:id="849" w:author="Master Repository Process" w:date="2022-05-27T14:27:00Z">
        <w:r>
          <w:t xml:space="preserve">total direct or indirect interest that the </w:t>
        </w:r>
      </w:ins>
      <w:r>
        <w:t>trustee of the discretionary trust</w:t>
      </w:r>
      <w:ins w:id="850" w:author="Master Repository Process" w:date="2022-05-27T14:27:00Z">
        <w:r>
          <w:t xml:space="preserve"> has in the linked entity, calculated under section 154A(2) to (5) as if the trustee of the discretionary trust were a higher entity referred to in that section</w:t>
        </w:r>
      </w:ins>
      <w:r>
        <w:t>.</w:t>
      </w:r>
    </w:p>
    <w:p>
      <w:pPr>
        <w:pStyle w:val="Footnotesection"/>
        <w:rPr>
          <w:ins w:id="851" w:author="Master Repository Process" w:date="2022-05-27T14:27:00Z"/>
        </w:rPr>
      </w:pPr>
      <w:ins w:id="852" w:author="Master Repository Process" w:date="2022-05-27T14:27:00Z">
        <w:r>
          <w:tab/>
          <w:t>[Section 61 amended: No. 12 of 2019 s. 21.]</w:t>
        </w:r>
      </w:ins>
    </w:p>
    <w:p>
      <w:pPr>
        <w:pStyle w:val="PermNoteHeading"/>
      </w:pPr>
      <w:r>
        <w:tab/>
        <w:t>Note for this section:</w:t>
      </w:r>
    </w:p>
    <w:p>
      <w:pPr>
        <w:pStyle w:val="PermNoteText"/>
      </w:pPr>
      <w:r>
        <w:tab/>
      </w:r>
      <w:r>
        <w:tab/>
        <w:t>For example, if the taker in default had a 50% interest in the trust and the trust held dutiable property of $1 000 000, the value of the taker in default’s interest would be $500 000.</w:t>
      </w:r>
    </w:p>
    <w:p>
      <w:pPr>
        <w:pStyle w:val="Heading5"/>
      </w:pPr>
      <w:bookmarkStart w:id="853" w:name="_Toc104290885"/>
      <w:bookmarkStart w:id="854" w:name="_Toc531859254"/>
      <w:r>
        <w:rPr>
          <w:rStyle w:val="CharSectno"/>
        </w:rPr>
        <w:t>62</w:t>
      </w:r>
      <w:r>
        <w:t>.</w:t>
      </w:r>
      <w:r>
        <w:tab/>
        <w:t>When trust acquisition or trust surrender is not dutiable transaction</w:t>
      </w:r>
      <w:bookmarkEnd w:id="853"/>
      <w:bookmarkEnd w:id="854"/>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855" w:name="_Toc37946691"/>
      <w:bookmarkStart w:id="856" w:name="_Toc37947291"/>
      <w:bookmarkStart w:id="857" w:name="_Toc38031355"/>
      <w:bookmarkStart w:id="858" w:name="_Toc93309864"/>
      <w:bookmarkStart w:id="859" w:name="_Toc104290886"/>
      <w:bookmarkStart w:id="860" w:name="_Toc530491640"/>
      <w:bookmarkStart w:id="861" w:name="_Toc530492100"/>
      <w:bookmarkStart w:id="862" w:name="_Toc530493110"/>
      <w:bookmarkStart w:id="863" w:name="_Toc530556245"/>
      <w:bookmarkStart w:id="864" w:name="_Toc531692083"/>
      <w:bookmarkStart w:id="865" w:name="_Toc531855988"/>
      <w:bookmarkStart w:id="866" w:name="_Toc531858716"/>
      <w:bookmarkStart w:id="867" w:name="_Toc531859255"/>
      <w:r>
        <w:rPr>
          <w:sz w:val="26"/>
        </w:rPr>
        <w:t>Division 3 — Corporate trustees</w:t>
      </w:r>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Heading4"/>
        <w:rPr>
          <w:sz w:val="26"/>
        </w:rPr>
      </w:pPr>
      <w:bookmarkStart w:id="868" w:name="_Toc37946692"/>
      <w:bookmarkStart w:id="869" w:name="_Toc37947292"/>
      <w:bookmarkStart w:id="870" w:name="_Toc38031356"/>
      <w:bookmarkStart w:id="871" w:name="_Toc93309865"/>
      <w:bookmarkStart w:id="872" w:name="_Toc104290887"/>
      <w:bookmarkStart w:id="873" w:name="_Toc530491641"/>
      <w:bookmarkStart w:id="874" w:name="_Toc530492101"/>
      <w:bookmarkStart w:id="875" w:name="_Toc530493111"/>
      <w:bookmarkStart w:id="876" w:name="_Toc530556246"/>
      <w:bookmarkStart w:id="877" w:name="_Toc531692084"/>
      <w:bookmarkStart w:id="878" w:name="_Toc531855989"/>
      <w:bookmarkStart w:id="879" w:name="_Toc531858717"/>
      <w:bookmarkStart w:id="880" w:name="_Toc531859256"/>
      <w:r>
        <w:rPr>
          <w:sz w:val="26"/>
        </w:rPr>
        <w:t>Subdivision 1 — Terms used in this Division</w:t>
      </w:r>
      <w:bookmarkEnd w:id="868"/>
      <w:bookmarkEnd w:id="869"/>
      <w:bookmarkEnd w:id="870"/>
      <w:bookmarkEnd w:id="871"/>
      <w:bookmarkEnd w:id="872"/>
      <w:bookmarkEnd w:id="873"/>
      <w:bookmarkEnd w:id="874"/>
      <w:bookmarkEnd w:id="875"/>
      <w:bookmarkEnd w:id="876"/>
      <w:bookmarkEnd w:id="877"/>
      <w:bookmarkEnd w:id="878"/>
      <w:bookmarkEnd w:id="879"/>
      <w:bookmarkEnd w:id="880"/>
    </w:p>
    <w:p>
      <w:pPr>
        <w:pStyle w:val="Heading5"/>
      </w:pPr>
      <w:bookmarkStart w:id="881" w:name="_Toc104290888"/>
      <w:bookmarkStart w:id="882" w:name="_Toc531859257"/>
      <w:r>
        <w:rPr>
          <w:rStyle w:val="CharSectno"/>
        </w:rPr>
        <w:t>63</w:t>
      </w:r>
      <w:r>
        <w:t>.</w:t>
      </w:r>
      <w:r>
        <w:tab/>
        <w:t>Terms used</w:t>
      </w:r>
      <w:bookmarkEnd w:id="881"/>
      <w:bookmarkEnd w:id="882"/>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883" w:name="_Toc104290889"/>
      <w:bookmarkStart w:id="884" w:name="_Toc531859258"/>
      <w:r>
        <w:rPr>
          <w:rStyle w:val="CharSectno"/>
        </w:rPr>
        <w:t>64</w:t>
      </w:r>
      <w:r>
        <w:t>.</w:t>
      </w:r>
      <w:r>
        <w:tab/>
        <w:t>References to trustee of discretionary trust holding property</w:t>
      </w:r>
      <w:bookmarkEnd w:id="883"/>
      <w:bookmarkEnd w:id="884"/>
    </w:p>
    <w:p>
      <w:pPr>
        <w:pStyle w:val="Subsection"/>
      </w:pPr>
      <w:r>
        <w:tab/>
      </w:r>
      <w:r>
        <w:tab/>
        <w:t>A reference to a trustee of a discretionary trust holding property is a reference to the holding of the property by the trustee under the trust.</w:t>
      </w:r>
    </w:p>
    <w:p>
      <w:pPr>
        <w:pStyle w:val="Heading5"/>
      </w:pPr>
      <w:bookmarkStart w:id="885" w:name="_Toc104290890"/>
      <w:bookmarkStart w:id="886" w:name="_Toc531859259"/>
      <w:r>
        <w:rPr>
          <w:rStyle w:val="CharSectno"/>
        </w:rPr>
        <w:t>65</w:t>
      </w:r>
      <w:r>
        <w:t>.</w:t>
      </w:r>
      <w:r>
        <w:tab/>
        <w:t>References to corporate trustee</w:t>
      </w:r>
      <w:bookmarkEnd w:id="885"/>
      <w:bookmarkEnd w:id="886"/>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spacing w:before="180"/>
      </w:pPr>
      <w:bookmarkStart w:id="887" w:name="_Toc104290891"/>
      <w:bookmarkStart w:id="888" w:name="_Toc531859260"/>
      <w:r>
        <w:rPr>
          <w:rStyle w:val="CharSectno"/>
        </w:rPr>
        <w:t>66</w:t>
      </w:r>
      <w:r>
        <w:t>.</w:t>
      </w:r>
      <w:r>
        <w:tab/>
        <w:t>When corporate trustee holds indirect interest in dutiable property</w:t>
      </w:r>
      <w:bookmarkEnd w:id="887"/>
      <w:bookmarkEnd w:id="888"/>
    </w:p>
    <w:p>
      <w:pPr>
        <w:pStyle w:val="Subsection"/>
      </w:pPr>
      <w:r>
        <w:tab/>
        <w:t>(1)</w:t>
      </w:r>
      <w:r>
        <w:tab/>
        <w:t>A corporate trustee holds an indirect interest in dutiable property if an entity linked to the trustee is entitled to dutiable property.</w:t>
      </w:r>
    </w:p>
    <w:p>
      <w:pPr>
        <w:pStyle w:val="Subsection"/>
      </w:pPr>
      <w:r>
        <w:tab/>
        <w:t>(2)</w:t>
      </w:r>
      <w:r>
        <w:tab/>
      </w:r>
      <w:del w:id="889" w:author="Master Repository Process" w:date="2022-05-27T14:27:00Z">
        <w:r>
          <w:delText>Section</w:delText>
        </w:r>
      </w:del>
      <w:ins w:id="890" w:author="Master Repository Process" w:date="2022-05-27T14:27:00Z">
        <w:r>
          <w:t>Sections</w:t>
        </w:r>
      </w:ins>
      <w:r>
        <w:t xml:space="preserve"> 156 </w:t>
      </w:r>
      <w:del w:id="891" w:author="Master Repository Process" w:date="2022-05-27T14:27:00Z">
        <w:r>
          <w:delText>applies</w:delText>
        </w:r>
      </w:del>
      <w:ins w:id="892" w:author="Master Repository Process" w:date="2022-05-27T14:27:00Z">
        <w:r>
          <w:t>and 156A apply</w:t>
        </w:r>
      </w:ins>
      <w:r>
        <w:t xml:space="preserve"> where it is necessary to determine whether an entity is linked to a corporate trustee for the purposes of subsection (1).</w:t>
      </w:r>
    </w:p>
    <w:p>
      <w:pPr>
        <w:pStyle w:val="Subsection"/>
      </w:pPr>
      <w:r>
        <w:tab/>
        <w:t>(3)</w:t>
      </w:r>
      <w:r>
        <w:tab/>
        <w:t xml:space="preserve">In applying </w:t>
      </w:r>
      <w:del w:id="893" w:author="Master Repository Process" w:date="2022-05-27T14:27:00Z">
        <w:r>
          <w:delText>section</w:delText>
        </w:r>
      </w:del>
      <w:ins w:id="894" w:author="Master Repository Process" w:date="2022-05-27T14:27:00Z">
        <w:r>
          <w:t>sections</w:t>
        </w:r>
      </w:ins>
      <w:r>
        <w:t> 156</w:t>
      </w:r>
      <w:ins w:id="895" w:author="Master Repository Process" w:date="2022-05-27T14:27:00Z">
        <w:r>
          <w:t xml:space="preserve"> and 156A</w:t>
        </w:r>
      </w:ins>
      <w:r>
        <w:t>, the corporate trustee is the main entity, despite section 152(2</w:t>
      </w:r>
      <w:ins w:id="896" w:author="Master Repository Process" w:date="2022-05-27T14:27:00Z">
        <w:r>
          <w:t>) and (3</w:t>
        </w:r>
      </w:ins>
      <w:r>
        <w:t>).</w:t>
      </w:r>
    </w:p>
    <w:p>
      <w:pPr>
        <w:pStyle w:val="Footnotesection"/>
        <w:rPr>
          <w:ins w:id="897" w:author="Master Repository Process" w:date="2022-05-27T14:27:00Z"/>
        </w:rPr>
      </w:pPr>
      <w:ins w:id="898" w:author="Master Repository Process" w:date="2022-05-27T14:27:00Z">
        <w:r>
          <w:tab/>
          <w:t>[Section 66 amended: No. 12 of 2019 s. 22.]</w:t>
        </w:r>
      </w:ins>
    </w:p>
    <w:p>
      <w:pPr>
        <w:pStyle w:val="Heading4"/>
        <w:rPr>
          <w:sz w:val="26"/>
        </w:rPr>
      </w:pPr>
      <w:bookmarkStart w:id="899" w:name="_Toc37946697"/>
      <w:bookmarkStart w:id="900" w:name="_Toc37947297"/>
      <w:bookmarkStart w:id="901" w:name="_Toc38031361"/>
      <w:bookmarkStart w:id="902" w:name="_Toc93309870"/>
      <w:bookmarkStart w:id="903" w:name="_Toc104290892"/>
      <w:bookmarkStart w:id="904" w:name="_Toc530491646"/>
      <w:bookmarkStart w:id="905" w:name="_Toc530492106"/>
      <w:bookmarkStart w:id="906" w:name="_Toc530493116"/>
      <w:bookmarkStart w:id="907" w:name="_Toc530556251"/>
      <w:bookmarkStart w:id="908" w:name="_Toc531692089"/>
      <w:bookmarkStart w:id="909" w:name="_Toc531855994"/>
      <w:bookmarkStart w:id="910" w:name="_Toc531858722"/>
      <w:bookmarkStart w:id="911" w:name="_Toc531859261"/>
      <w:r>
        <w:rPr>
          <w:sz w:val="26"/>
        </w:rPr>
        <w:t>Subdivision 2 — Disposition of shares in a corporate trustee</w:t>
      </w:r>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Heading5"/>
        <w:spacing w:before="180"/>
      </w:pPr>
      <w:bookmarkStart w:id="912" w:name="_Toc104290893"/>
      <w:bookmarkStart w:id="913" w:name="_Toc531859262"/>
      <w:r>
        <w:rPr>
          <w:rStyle w:val="CharSectno"/>
        </w:rPr>
        <w:t>67</w:t>
      </w:r>
      <w:r>
        <w:t>.</w:t>
      </w:r>
      <w:r>
        <w:tab/>
        <w:t xml:space="preserve">Share disposition taken to be agreement </w:t>
      </w:r>
      <w:r>
        <w:rPr>
          <w:snapToGrid w:val="0"/>
        </w:rPr>
        <w:t>for transfer of</w:t>
      </w:r>
      <w:r>
        <w:t xml:space="preserve"> trust property</w:t>
      </w:r>
      <w:bookmarkEnd w:id="912"/>
      <w:bookmarkEnd w:id="913"/>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w:t>
      </w:r>
      <w:ins w:id="914" w:author="Master Repository Process" w:date="2022-05-27T14:27:00Z">
        <w:r>
          <w:t>, or will or may result,</w:t>
        </w:r>
      </w:ins>
      <w:r>
        <w:t xml:space="preserve"> in a change in </w:t>
      </w:r>
      <w:del w:id="915" w:author="Master Repository Process" w:date="2022-05-27T14:27:00Z">
        <w:r>
          <w:delText>the</w:delText>
        </w:r>
      </w:del>
      <w:ins w:id="916" w:author="Master Repository Process" w:date="2022-05-27T14:27:00Z">
        <w:r>
          <w:t>any</w:t>
        </w:r>
      </w:ins>
      <w:r>
        <w:t xml:space="preserve"> beneficial </w:t>
      </w:r>
      <w:del w:id="917" w:author="Master Repository Process" w:date="2022-05-27T14:27:00Z">
        <w:r>
          <w:delText>ownership of</w:delText>
        </w:r>
      </w:del>
      <w:ins w:id="918" w:author="Master Repository Process" w:date="2022-05-27T14:27:00Z">
        <w:r>
          <w:t>interest, whether vested or contingent, in</w:t>
        </w:r>
      </w:ins>
      <w:r>
        <w:t xml:space="preserve"> dutiable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w:t>
      </w:r>
    </w:p>
    <w:p>
      <w:pPr>
        <w:pStyle w:val="Footnotesection"/>
        <w:rPr>
          <w:ins w:id="919" w:author="Master Repository Process" w:date="2022-05-27T14:27:00Z"/>
        </w:rPr>
      </w:pPr>
      <w:ins w:id="920" w:author="Master Repository Process" w:date="2022-05-27T14:27:00Z">
        <w:r>
          <w:tab/>
          <w:t>[Section 67 amended: No. 12 of 2019 s. 23.]</w:t>
        </w:r>
      </w:ins>
    </w:p>
    <w:p>
      <w:pPr>
        <w:pStyle w:val="Heading5"/>
        <w:spacing w:before="180"/>
      </w:pPr>
      <w:bookmarkStart w:id="921" w:name="_Toc104290894"/>
      <w:bookmarkStart w:id="922" w:name="_Toc531859263"/>
      <w:r>
        <w:rPr>
          <w:rStyle w:val="CharSectno"/>
        </w:rPr>
        <w:t>68</w:t>
      </w:r>
      <w:r>
        <w:t>.</w:t>
      </w:r>
      <w:r>
        <w:tab/>
        <w:t>Transaction referred to in s. 67, dutiable value of</w:t>
      </w:r>
      <w:bookmarkEnd w:id="921"/>
      <w:bookmarkEnd w:id="922"/>
    </w:p>
    <w:p>
      <w:pPr>
        <w:pStyle w:val="Subsection"/>
        <w:spacing w:before="120"/>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spacing w:before="120"/>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 xml:space="preserve">to land </w:t>
      </w:r>
      <w:ins w:id="923" w:author="Master Repository Process" w:date="2022-05-27T14:27:00Z">
        <w:r>
          <w:t xml:space="preserve">assets </w:t>
        </w:r>
      </w:ins>
      <w:r>
        <w:t>were a reference to dutiable property; and</w:t>
      </w:r>
    </w:p>
    <w:p>
      <w:pPr>
        <w:pStyle w:val="Indenta"/>
      </w:pPr>
      <w:r>
        <w:tab/>
        <w:t>(b)</w:t>
      </w:r>
      <w:r>
        <w:tab/>
        <w:t xml:space="preserve">to the main </w:t>
      </w:r>
      <w:ins w:id="924" w:author="Master Repository Process" w:date="2022-05-27T14:27:00Z">
        <w:r>
          <w:t xml:space="preserve">entity’s total direct or indirect interest in the linked </w:t>
        </w:r>
      </w:ins>
      <w:r>
        <w:t xml:space="preserve">entity </w:t>
      </w:r>
      <w:ins w:id="925" w:author="Master Repository Process" w:date="2022-05-27T14:27:00Z">
        <w:r>
          <w:t xml:space="preserve">calculated under section 154A </w:t>
        </w:r>
      </w:ins>
      <w:r>
        <w:t xml:space="preserve">were a reference to the </w:t>
      </w:r>
      <w:ins w:id="926" w:author="Master Repository Process" w:date="2022-05-27T14:27:00Z">
        <w:r>
          <w:t xml:space="preserve">total direct or indirect interest that the </w:t>
        </w:r>
      </w:ins>
      <w:r>
        <w:t>corporate trustee</w:t>
      </w:r>
      <w:ins w:id="927" w:author="Master Repository Process" w:date="2022-05-27T14:27:00Z">
        <w:r>
          <w:t xml:space="preserve"> has in the linked entity, calculated under section 154A(2) to (5) as if the corporate trustee were a higher entity referred to in that section</w:t>
        </w:r>
      </w:ins>
      <w:r>
        <w:t>.</w:t>
      </w:r>
    </w:p>
    <w:p>
      <w:pPr>
        <w:pStyle w:val="Subsection"/>
        <w:spacing w:before="120"/>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Footnotesection"/>
        <w:rPr>
          <w:ins w:id="928" w:author="Master Repository Process" w:date="2022-05-27T14:27:00Z"/>
        </w:rPr>
      </w:pPr>
      <w:ins w:id="929" w:author="Master Repository Process" w:date="2022-05-27T14:27:00Z">
        <w:r>
          <w:tab/>
          <w:t>[Section 68 amended: No. 12 of 2019 s. 24.]</w:t>
        </w:r>
      </w:ins>
    </w:p>
    <w:p>
      <w:pPr>
        <w:pStyle w:val="Heading5"/>
        <w:spacing w:before="180"/>
      </w:pPr>
      <w:bookmarkStart w:id="930" w:name="_Toc104290895"/>
      <w:bookmarkStart w:id="931" w:name="_Toc531859264"/>
      <w:r>
        <w:rPr>
          <w:rStyle w:val="CharSectno"/>
        </w:rPr>
        <w:t>69</w:t>
      </w:r>
      <w:r>
        <w:t>.</w:t>
      </w:r>
      <w:r>
        <w:tab/>
        <w:t>Person liable to pay duty on disposition of share</w:t>
      </w:r>
      <w:bookmarkEnd w:id="930"/>
      <w:bookmarkEnd w:id="931"/>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932" w:name="_Toc37946701"/>
      <w:bookmarkStart w:id="933" w:name="_Toc37947301"/>
      <w:bookmarkStart w:id="934" w:name="_Toc38031365"/>
      <w:bookmarkStart w:id="935" w:name="_Toc93309874"/>
      <w:bookmarkStart w:id="936" w:name="_Toc104290896"/>
      <w:bookmarkStart w:id="937" w:name="_Toc530491650"/>
      <w:bookmarkStart w:id="938" w:name="_Toc530492110"/>
      <w:bookmarkStart w:id="939" w:name="_Toc530493120"/>
      <w:bookmarkStart w:id="940" w:name="_Toc530556255"/>
      <w:bookmarkStart w:id="941" w:name="_Toc531692093"/>
      <w:bookmarkStart w:id="942" w:name="_Toc531855998"/>
      <w:bookmarkStart w:id="943" w:name="_Toc531858726"/>
      <w:bookmarkStart w:id="944" w:name="_Toc531859265"/>
      <w:r>
        <w:rPr>
          <w:sz w:val="26"/>
        </w:rPr>
        <w:t>Division 4 — Partnerships</w:t>
      </w:r>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Heading4"/>
        <w:rPr>
          <w:sz w:val="26"/>
        </w:rPr>
      </w:pPr>
      <w:bookmarkStart w:id="945" w:name="_Toc37946702"/>
      <w:bookmarkStart w:id="946" w:name="_Toc37947302"/>
      <w:bookmarkStart w:id="947" w:name="_Toc38031366"/>
      <w:bookmarkStart w:id="948" w:name="_Toc93309875"/>
      <w:bookmarkStart w:id="949" w:name="_Toc104290897"/>
      <w:bookmarkStart w:id="950" w:name="_Toc530491651"/>
      <w:bookmarkStart w:id="951" w:name="_Toc530492111"/>
      <w:bookmarkStart w:id="952" w:name="_Toc530493121"/>
      <w:bookmarkStart w:id="953" w:name="_Toc530556256"/>
      <w:bookmarkStart w:id="954" w:name="_Toc531692094"/>
      <w:bookmarkStart w:id="955" w:name="_Toc531855999"/>
      <w:bookmarkStart w:id="956" w:name="_Toc531858727"/>
      <w:bookmarkStart w:id="957" w:name="_Toc531859266"/>
      <w:r>
        <w:rPr>
          <w:sz w:val="26"/>
        </w:rPr>
        <w:t>Subdivision 1 — Terms used in this Division</w:t>
      </w:r>
      <w:bookmarkEnd w:id="945"/>
      <w:bookmarkEnd w:id="946"/>
      <w:bookmarkEnd w:id="947"/>
      <w:bookmarkEnd w:id="948"/>
      <w:bookmarkEnd w:id="949"/>
      <w:bookmarkEnd w:id="950"/>
      <w:bookmarkEnd w:id="951"/>
      <w:bookmarkEnd w:id="952"/>
      <w:bookmarkEnd w:id="953"/>
      <w:bookmarkEnd w:id="954"/>
      <w:bookmarkEnd w:id="955"/>
      <w:bookmarkEnd w:id="956"/>
      <w:bookmarkEnd w:id="957"/>
    </w:p>
    <w:p>
      <w:pPr>
        <w:pStyle w:val="Heading5"/>
        <w:spacing w:before="180"/>
      </w:pPr>
      <w:bookmarkStart w:id="958" w:name="_Toc104290898"/>
      <w:bookmarkStart w:id="959" w:name="_Toc531859267"/>
      <w:r>
        <w:rPr>
          <w:rStyle w:val="CharSectno"/>
        </w:rPr>
        <w:t>70</w:t>
      </w:r>
      <w:r>
        <w:t>.</w:t>
      </w:r>
      <w:r>
        <w:tab/>
        <w:t>Term used: dutiable property</w:t>
      </w:r>
      <w:bookmarkEnd w:id="958"/>
      <w:bookmarkEnd w:id="959"/>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land in Western Australia;</w:t>
      </w:r>
    </w:p>
    <w:p>
      <w:pPr>
        <w:pStyle w:val="Defpara"/>
      </w:pPr>
      <w:r>
        <w:tab/>
        <w:t>(b)</w:t>
      </w:r>
      <w:r>
        <w:tab/>
        <w:t>a chattel in Western Australia</w:t>
      </w:r>
      <w:del w:id="960" w:author="Master Repository Process" w:date="2022-05-27T14:27:00Z">
        <w:r>
          <w:delText>.</w:delText>
        </w:r>
      </w:del>
      <w:ins w:id="961" w:author="Master Repository Process" w:date="2022-05-27T14:27:00Z">
        <w:r>
          <w:t>;</w:t>
        </w:r>
      </w:ins>
    </w:p>
    <w:p>
      <w:pPr>
        <w:pStyle w:val="Indenta"/>
        <w:rPr>
          <w:ins w:id="962" w:author="Master Repository Process" w:date="2022-05-27T14:27:00Z"/>
        </w:rPr>
      </w:pPr>
      <w:ins w:id="963" w:author="Master Repository Process" w:date="2022-05-27T14:27:00Z">
        <w:r>
          <w:tab/>
          <w:t>(c)</w:t>
        </w:r>
        <w:r>
          <w:tab/>
          <w:t>a fixed infrastructure control right;</w:t>
        </w:r>
      </w:ins>
    </w:p>
    <w:p>
      <w:pPr>
        <w:pStyle w:val="Indenta"/>
        <w:rPr>
          <w:ins w:id="964" w:author="Master Repository Process" w:date="2022-05-27T14:27:00Z"/>
        </w:rPr>
      </w:pPr>
      <w:ins w:id="965" w:author="Master Repository Process" w:date="2022-05-27T14:27:00Z">
        <w:r>
          <w:tab/>
          <w:t>(d)</w:t>
        </w:r>
        <w:r>
          <w:tab/>
          <w:t>a fixed infrastructure access right;</w:t>
        </w:r>
      </w:ins>
    </w:p>
    <w:p>
      <w:pPr>
        <w:pStyle w:val="Indenta"/>
        <w:rPr>
          <w:ins w:id="966" w:author="Master Repository Process" w:date="2022-05-27T14:27:00Z"/>
        </w:rPr>
      </w:pPr>
      <w:ins w:id="967" w:author="Master Repository Process" w:date="2022-05-27T14:27:00Z">
        <w:r>
          <w:tab/>
          <w:t>(e)</w:t>
        </w:r>
        <w:r>
          <w:tab/>
          <w:t>a fixed infrastructure statutory licence;</w:t>
        </w:r>
      </w:ins>
    </w:p>
    <w:p>
      <w:pPr>
        <w:pStyle w:val="Indenta"/>
        <w:rPr>
          <w:ins w:id="968" w:author="Master Repository Process" w:date="2022-05-27T14:27:00Z"/>
        </w:rPr>
      </w:pPr>
      <w:ins w:id="969" w:author="Master Repository Process" w:date="2022-05-27T14:27:00Z">
        <w:r>
          <w:tab/>
          <w:t>(f)</w:t>
        </w:r>
        <w:r>
          <w:tab/>
          <w:t>a derivative mining right.</w:t>
        </w:r>
      </w:ins>
    </w:p>
    <w:p>
      <w:pPr>
        <w:pStyle w:val="Footnotesection"/>
      </w:pPr>
      <w:r>
        <w:tab/>
        <w:t>[Section 70 amended: No. 17 of 2010 s. </w:t>
      </w:r>
      <w:del w:id="970" w:author="Master Repository Process" w:date="2022-05-27T14:27:00Z">
        <w:r>
          <w:delText>12</w:delText>
        </w:r>
      </w:del>
      <w:ins w:id="971" w:author="Master Repository Process" w:date="2022-05-27T14:27:00Z">
        <w:r>
          <w:t>12; No. 12 of 2019 s. 25</w:t>
        </w:r>
      </w:ins>
      <w:r>
        <w:t>.]</w:t>
      </w:r>
    </w:p>
    <w:p>
      <w:pPr>
        <w:pStyle w:val="Heading5"/>
      </w:pPr>
      <w:bookmarkStart w:id="972" w:name="_Toc104290899"/>
      <w:bookmarkStart w:id="973" w:name="_Toc531859268"/>
      <w:r>
        <w:rPr>
          <w:rStyle w:val="CharSectno"/>
        </w:rPr>
        <w:t>71</w:t>
      </w:r>
      <w:r>
        <w:t>.</w:t>
      </w:r>
      <w:r>
        <w:tab/>
        <w:t>References to partnership or trust holding property</w:t>
      </w:r>
      <w:bookmarkEnd w:id="972"/>
      <w:bookmarkEnd w:id="973"/>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974" w:name="_Toc104290900"/>
      <w:bookmarkStart w:id="975" w:name="_Toc531859269"/>
      <w:r>
        <w:rPr>
          <w:rStyle w:val="CharSectno"/>
        </w:rPr>
        <w:t>72</w:t>
      </w:r>
      <w:r>
        <w:t>.</w:t>
      </w:r>
      <w:r>
        <w:tab/>
        <w:t>References to partnership acquisition</w:t>
      </w:r>
      <w:bookmarkEnd w:id="974"/>
      <w:bookmarkEnd w:id="975"/>
    </w:p>
    <w:p>
      <w:pPr>
        <w:pStyle w:val="Subsection"/>
      </w:pPr>
      <w:r>
        <w:tab/>
      </w:r>
      <w:r>
        <w:tab/>
        <w:t xml:space="preserve">A reference to a partnership acquisition is to a person acquiring a partnership interest in a partnership that holds — </w:t>
      </w:r>
    </w:p>
    <w:p>
      <w:pPr>
        <w:pStyle w:val="Indenta"/>
      </w:pPr>
      <w:r>
        <w:tab/>
        <w:t>(a)</w:t>
      </w:r>
      <w:r>
        <w:tab/>
        <w:t>land in Western Australia; or</w:t>
      </w:r>
    </w:p>
    <w:p>
      <w:pPr>
        <w:pStyle w:val="Indenta"/>
        <w:rPr>
          <w:ins w:id="976" w:author="Master Repository Process" w:date="2022-05-27T14:27:00Z"/>
        </w:rPr>
      </w:pPr>
      <w:r>
        <w:tab/>
        <w:t>(b)</w:t>
      </w:r>
      <w:r>
        <w:tab/>
      </w:r>
      <w:ins w:id="977" w:author="Master Repository Process" w:date="2022-05-27T14:27:00Z">
        <w:r>
          <w:t>a fixed infrastructure control right; or</w:t>
        </w:r>
      </w:ins>
    </w:p>
    <w:p>
      <w:pPr>
        <w:pStyle w:val="Indenta"/>
        <w:rPr>
          <w:ins w:id="978" w:author="Master Repository Process" w:date="2022-05-27T14:27:00Z"/>
        </w:rPr>
      </w:pPr>
      <w:ins w:id="979" w:author="Master Repository Process" w:date="2022-05-27T14:27:00Z">
        <w:r>
          <w:tab/>
          <w:t>(c)</w:t>
        </w:r>
        <w:r>
          <w:tab/>
          <w:t>a fixed infrastructure access right; or</w:t>
        </w:r>
      </w:ins>
    </w:p>
    <w:p>
      <w:pPr>
        <w:pStyle w:val="Indenta"/>
        <w:rPr>
          <w:ins w:id="980" w:author="Master Repository Process" w:date="2022-05-27T14:27:00Z"/>
        </w:rPr>
      </w:pPr>
      <w:ins w:id="981" w:author="Master Repository Process" w:date="2022-05-27T14:27:00Z">
        <w:r>
          <w:tab/>
          <w:t>(d)</w:t>
        </w:r>
        <w:r>
          <w:tab/>
          <w:t>a derivative mining right; or</w:t>
        </w:r>
      </w:ins>
    </w:p>
    <w:p>
      <w:pPr>
        <w:pStyle w:val="Indenta"/>
      </w:pPr>
      <w:ins w:id="982" w:author="Master Repository Process" w:date="2022-05-27T14:27:00Z">
        <w:r>
          <w:tab/>
          <w:t>(e)</w:t>
        </w:r>
        <w:r>
          <w:tab/>
        </w:r>
      </w:ins>
      <w:r>
        <w:t xml:space="preserve">an indirect interest in </w:t>
      </w:r>
      <w:del w:id="983" w:author="Master Repository Process" w:date="2022-05-27T14:27:00Z">
        <w:r>
          <w:delText xml:space="preserve">land </w:delText>
        </w:r>
      </w:del>
      <w:ins w:id="984" w:author="Master Repository Process" w:date="2022-05-27T14:27:00Z">
        <w:r>
          <w:t xml:space="preserve">property referred to </w:t>
        </w:r>
      </w:ins>
      <w:r>
        <w:t xml:space="preserve">in </w:t>
      </w:r>
      <w:del w:id="985" w:author="Master Repository Process" w:date="2022-05-27T14:27:00Z">
        <w:r>
          <w:delText>Western Australia.</w:delText>
        </w:r>
      </w:del>
      <w:ins w:id="986" w:author="Master Repository Process" w:date="2022-05-27T14:27:00Z">
        <w:r>
          <w:t>paragraph (a), (b), (c) or (d).</w:t>
        </w:r>
      </w:ins>
    </w:p>
    <w:p>
      <w:pPr>
        <w:pStyle w:val="Footnotesection"/>
      </w:pPr>
      <w:r>
        <w:tab/>
        <w:t>[Section 72 amended: No. 17 of 2010 s. </w:t>
      </w:r>
      <w:del w:id="987" w:author="Master Repository Process" w:date="2022-05-27T14:27:00Z">
        <w:r>
          <w:delText>13</w:delText>
        </w:r>
      </w:del>
      <w:ins w:id="988" w:author="Master Repository Process" w:date="2022-05-27T14:27:00Z">
        <w:r>
          <w:t>13; No. 12 of 2019 s. 26</w:t>
        </w:r>
      </w:ins>
      <w:r>
        <w:t>.]</w:t>
      </w:r>
    </w:p>
    <w:p>
      <w:pPr>
        <w:pStyle w:val="Heading5"/>
      </w:pPr>
      <w:bookmarkStart w:id="989" w:name="_Toc531859270"/>
      <w:bookmarkStart w:id="990" w:name="_Toc104290901"/>
      <w:r>
        <w:rPr>
          <w:rStyle w:val="CharSectno"/>
        </w:rPr>
        <w:t>73</w:t>
      </w:r>
      <w:r>
        <w:t>.</w:t>
      </w:r>
      <w:r>
        <w:tab/>
        <w:t xml:space="preserve">When partnership holds indirect interest in </w:t>
      </w:r>
      <w:del w:id="991" w:author="Master Repository Process" w:date="2022-05-27T14:27:00Z">
        <w:r>
          <w:delText>WA land</w:delText>
        </w:r>
      </w:del>
      <w:bookmarkEnd w:id="989"/>
      <w:ins w:id="992" w:author="Master Repository Process" w:date="2022-05-27T14:27:00Z">
        <w:r>
          <w:t>property</w:t>
        </w:r>
      </w:ins>
      <w:bookmarkEnd w:id="990"/>
    </w:p>
    <w:p>
      <w:pPr>
        <w:pStyle w:val="Subsection"/>
      </w:pPr>
      <w:r>
        <w:tab/>
        <w:t>(1)</w:t>
      </w:r>
      <w:r>
        <w:tab/>
        <w:t xml:space="preserve">A partnership holds an indirect interest in </w:t>
      </w:r>
      <w:del w:id="993" w:author="Master Repository Process" w:date="2022-05-27T14:27:00Z">
        <w:r>
          <w:delText xml:space="preserve">land </w:delText>
        </w:r>
      </w:del>
      <w:ins w:id="994" w:author="Master Repository Process" w:date="2022-05-27T14:27:00Z">
        <w:r>
          <w:t xml:space="preserve">property of a kind referred to </w:t>
        </w:r>
      </w:ins>
      <w:r>
        <w:t xml:space="preserve">in </w:t>
      </w:r>
      <w:del w:id="995" w:author="Master Repository Process" w:date="2022-05-27T14:27:00Z">
        <w:r>
          <w:delText>Western Australia</w:delText>
        </w:r>
      </w:del>
      <w:ins w:id="996" w:author="Master Repository Process" w:date="2022-05-27T14:27:00Z">
        <w:r>
          <w:t>section 72(a), (b), (c) or (d)</w:t>
        </w:r>
      </w:ins>
      <w:r>
        <w:t xml:space="preserve"> if an entity linked to the partnership is entitled to </w:t>
      </w:r>
      <w:del w:id="997" w:author="Master Repository Process" w:date="2022-05-27T14:27:00Z">
        <w:r>
          <w:delText>land in Western Australia</w:delText>
        </w:r>
      </w:del>
      <w:ins w:id="998" w:author="Master Repository Process" w:date="2022-05-27T14:27:00Z">
        <w:r>
          <w:t>property of that kind</w:t>
        </w:r>
      </w:ins>
      <w:r>
        <w:t>.</w:t>
      </w:r>
    </w:p>
    <w:p>
      <w:pPr>
        <w:pStyle w:val="Subsection"/>
      </w:pPr>
      <w:r>
        <w:tab/>
        <w:t>(2)</w:t>
      </w:r>
      <w:r>
        <w:tab/>
      </w:r>
      <w:del w:id="999" w:author="Master Repository Process" w:date="2022-05-27T14:27:00Z">
        <w:r>
          <w:delText>Section</w:delText>
        </w:r>
      </w:del>
      <w:ins w:id="1000" w:author="Master Repository Process" w:date="2022-05-27T14:27:00Z">
        <w:r>
          <w:t>Sections</w:t>
        </w:r>
      </w:ins>
      <w:r>
        <w:t xml:space="preserve"> 156 </w:t>
      </w:r>
      <w:del w:id="1001" w:author="Master Repository Process" w:date="2022-05-27T14:27:00Z">
        <w:r>
          <w:delText>applies</w:delText>
        </w:r>
      </w:del>
      <w:ins w:id="1002" w:author="Master Repository Process" w:date="2022-05-27T14:27:00Z">
        <w:r>
          <w:t>and 156A apply</w:t>
        </w:r>
      </w:ins>
      <w:r>
        <w:t xml:space="preserve"> where it is necessary to determine whether an entity is linked to a partnership for the purposes of subsection (1) or section 76(a)(ii) or 77(1)(b).</w:t>
      </w:r>
    </w:p>
    <w:p>
      <w:pPr>
        <w:pStyle w:val="Subsection"/>
      </w:pPr>
      <w:r>
        <w:tab/>
        <w:t>(3)</w:t>
      </w:r>
      <w:r>
        <w:tab/>
        <w:t xml:space="preserve">In applying </w:t>
      </w:r>
      <w:del w:id="1003" w:author="Master Repository Process" w:date="2022-05-27T14:27:00Z">
        <w:r>
          <w:delText>section</w:delText>
        </w:r>
      </w:del>
      <w:ins w:id="1004" w:author="Master Repository Process" w:date="2022-05-27T14:27:00Z">
        <w:r>
          <w:t>sections</w:t>
        </w:r>
      </w:ins>
      <w:r>
        <w:t> 156</w:t>
      </w:r>
      <w:ins w:id="1005" w:author="Master Repository Process" w:date="2022-05-27T14:27:00Z">
        <w:r>
          <w:t xml:space="preserve"> and 156A</w:t>
        </w:r>
      </w:ins>
      <w:r>
        <w:t>, the partnership is the main entity, despite section 152(2</w:t>
      </w:r>
      <w:ins w:id="1006" w:author="Master Repository Process" w:date="2022-05-27T14:27:00Z">
        <w:r>
          <w:t>) and (3</w:t>
        </w:r>
      </w:ins>
      <w:r>
        <w:t>).</w:t>
      </w:r>
    </w:p>
    <w:p>
      <w:pPr>
        <w:pStyle w:val="Footnotesection"/>
        <w:rPr>
          <w:ins w:id="1007" w:author="Master Repository Process" w:date="2022-05-27T14:27:00Z"/>
        </w:rPr>
      </w:pPr>
      <w:ins w:id="1008" w:author="Master Repository Process" w:date="2022-05-27T14:27:00Z">
        <w:r>
          <w:tab/>
          <w:t>[Section 73 amended: No. 12 of 2019 s. 27.]</w:t>
        </w:r>
      </w:ins>
    </w:p>
    <w:p>
      <w:pPr>
        <w:pStyle w:val="Heading5"/>
      </w:pPr>
      <w:bookmarkStart w:id="1009" w:name="_Toc104290902"/>
      <w:bookmarkStart w:id="1010" w:name="_Toc531859271"/>
      <w:r>
        <w:rPr>
          <w:rStyle w:val="CharSectno"/>
        </w:rPr>
        <w:t>74</w:t>
      </w:r>
      <w:r>
        <w:t>.</w:t>
      </w:r>
      <w:r>
        <w:tab/>
        <w:t>References to partner’s partnership interest</w:t>
      </w:r>
      <w:bookmarkEnd w:id="1009"/>
      <w:bookmarkEnd w:id="1010"/>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Heading4"/>
        <w:rPr>
          <w:sz w:val="26"/>
        </w:rPr>
      </w:pPr>
      <w:bookmarkStart w:id="1011" w:name="_Toc37946708"/>
      <w:bookmarkStart w:id="1012" w:name="_Toc37947308"/>
      <w:bookmarkStart w:id="1013" w:name="_Toc38031372"/>
      <w:bookmarkStart w:id="1014" w:name="_Toc93309881"/>
      <w:bookmarkStart w:id="1015" w:name="_Toc104290903"/>
      <w:bookmarkStart w:id="1016" w:name="_Toc530491657"/>
      <w:bookmarkStart w:id="1017" w:name="_Toc530492117"/>
      <w:bookmarkStart w:id="1018" w:name="_Toc530493127"/>
      <w:bookmarkStart w:id="1019" w:name="_Toc530556262"/>
      <w:bookmarkStart w:id="1020" w:name="_Toc531692100"/>
      <w:bookmarkStart w:id="1021" w:name="_Toc531856005"/>
      <w:bookmarkStart w:id="1022" w:name="_Toc531858733"/>
      <w:bookmarkStart w:id="1023" w:name="_Toc531859272"/>
      <w:r>
        <w:rPr>
          <w:sz w:val="26"/>
        </w:rPr>
        <w:t>Subdivision 2 — Acquiring partnership interests</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pPr>
        <w:pStyle w:val="Heading5"/>
      </w:pPr>
      <w:bookmarkStart w:id="1024" w:name="_Toc104290904"/>
      <w:bookmarkStart w:id="1025" w:name="_Toc531859273"/>
      <w:r>
        <w:rPr>
          <w:rStyle w:val="CharSectno"/>
        </w:rPr>
        <w:t>75</w:t>
      </w:r>
      <w:r>
        <w:t>.</w:t>
      </w:r>
      <w:r>
        <w:tab/>
        <w:t>When person acquires partnership interest</w:t>
      </w:r>
      <w:bookmarkEnd w:id="1024"/>
      <w:bookmarkEnd w:id="1025"/>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1026" w:name="_Toc104290905"/>
      <w:bookmarkStart w:id="1027" w:name="_Toc531859274"/>
      <w:r>
        <w:rPr>
          <w:rStyle w:val="CharSectno"/>
        </w:rPr>
        <w:t>76</w:t>
      </w:r>
      <w:r>
        <w:t>.</w:t>
      </w:r>
      <w:r>
        <w:tab/>
        <w:t>Partnership acquisition, dutiable value of</w:t>
      </w:r>
      <w:bookmarkEnd w:id="1026"/>
      <w:bookmarkEnd w:id="1027"/>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keepNext/>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1028" w:name="_Toc104290906"/>
      <w:bookmarkStart w:id="1029" w:name="_Toc531859275"/>
      <w:r>
        <w:rPr>
          <w:rStyle w:val="CharSectno"/>
        </w:rPr>
        <w:t>77</w:t>
      </w:r>
      <w:r>
        <w:t>.</w:t>
      </w:r>
      <w:r>
        <w:tab/>
        <w:t>Partnership interest, value of for s. 76(b)</w:t>
      </w:r>
      <w:bookmarkEnd w:id="1028"/>
      <w:bookmarkEnd w:id="1029"/>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 xml:space="preserve">to land </w:t>
      </w:r>
      <w:ins w:id="1030" w:author="Master Repository Process" w:date="2022-05-27T14:27:00Z">
        <w:r>
          <w:t xml:space="preserve">assets </w:t>
        </w:r>
      </w:ins>
      <w:r>
        <w:t>were a reference to dutiable property; and</w:t>
      </w:r>
    </w:p>
    <w:p>
      <w:pPr>
        <w:pStyle w:val="Indenti"/>
      </w:pPr>
      <w:r>
        <w:tab/>
        <w:t>(ii)</w:t>
      </w:r>
      <w:r>
        <w:tab/>
        <w:t xml:space="preserve">to the main </w:t>
      </w:r>
      <w:ins w:id="1031" w:author="Master Repository Process" w:date="2022-05-27T14:27:00Z">
        <w:r>
          <w:t xml:space="preserve">entity’s total direct or indirect interest in the linked </w:t>
        </w:r>
      </w:ins>
      <w:r>
        <w:t xml:space="preserve">entity </w:t>
      </w:r>
      <w:ins w:id="1032" w:author="Master Repository Process" w:date="2022-05-27T14:27:00Z">
        <w:r>
          <w:t xml:space="preserve">calculated under section 154A </w:t>
        </w:r>
      </w:ins>
      <w:r>
        <w:t xml:space="preserve">were a reference to the </w:t>
      </w:r>
      <w:ins w:id="1033" w:author="Master Repository Process" w:date="2022-05-27T14:27:00Z">
        <w:r>
          <w:t xml:space="preserve">total direct or indirect interest that the </w:t>
        </w:r>
      </w:ins>
      <w:r>
        <w:t>partnership</w:t>
      </w:r>
      <w:ins w:id="1034" w:author="Master Repository Process" w:date="2022-05-27T14:27:00Z">
        <w:r>
          <w:t xml:space="preserve"> has in the linked entity, calculated under section 154A(2) to (5) as if the partnership were a higher entity referred to in that section</w:t>
        </w:r>
      </w:ins>
      <w:r>
        <w:t>.</w:t>
      </w:r>
    </w:p>
    <w:p>
      <w:pPr>
        <w:pStyle w:val="Subsection"/>
      </w:pPr>
      <w:r>
        <w:tab/>
        <w:t>(2)</w:t>
      </w:r>
      <w:r>
        <w:tab/>
        <w:t xml:space="preserve">In determining the value of a partnership interest the subject of a new partner’s partnership acquisition on formation of a partnership, the value of any dutiable property the partner contributed to the partnership on its formation </w:t>
      </w:r>
      <w:ins w:id="1035" w:author="Master Repository Process" w:date="2022-05-27T14:27:00Z">
        <w:r>
          <w:t xml:space="preserve">(other than any joint property) </w:t>
        </w:r>
      </w:ins>
      <w:r>
        <w:t>is to be disregarded.</w:t>
      </w:r>
    </w:p>
    <w:p>
      <w:pPr>
        <w:pStyle w:val="Subsection"/>
        <w:rPr>
          <w:ins w:id="1036" w:author="Master Repository Process" w:date="2022-05-27T14:27:00Z"/>
        </w:rPr>
      </w:pPr>
      <w:ins w:id="1037" w:author="Master Repository Process" w:date="2022-05-27T14:27:00Z">
        <w:r>
          <w:tab/>
          <w:t>(2A)</w:t>
        </w:r>
        <w:r>
          <w:tab/>
          <w:t xml:space="preserve">In determining the value of a partnership interest the subject of a new partner’s partnership acquisition on formation of a partnership, the value determined under subsections (1) and (2) is to be reduced, for each interest in joint property the new partner contributed to the partnership on its formation, by — </w:t>
        </w:r>
      </w:ins>
    </w:p>
    <w:p>
      <w:pPr>
        <w:pStyle w:val="Indenta"/>
        <w:rPr>
          <w:ins w:id="1038" w:author="Master Repository Process" w:date="2022-05-27T14:27:00Z"/>
        </w:rPr>
      </w:pPr>
      <w:ins w:id="1039" w:author="Master Repository Process" w:date="2022-05-27T14:27:00Z">
        <w:r>
          <w:tab/>
          <w:t>(a)</w:t>
        </w:r>
        <w:r>
          <w:tab/>
          <w:t>the unencumbered value, when liability for duty on the transaction arises, of that interest; or</w:t>
        </w:r>
      </w:ins>
    </w:p>
    <w:p>
      <w:pPr>
        <w:pStyle w:val="Indenta"/>
        <w:rPr>
          <w:ins w:id="1040" w:author="Master Repository Process" w:date="2022-05-27T14:27:00Z"/>
        </w:rPr>
      </w:pPr>
      <w:ins w:id="1041" w:author="Master Repository Process" w:date="2022-05-27T14:27:00Z">
        <w:r>
          <w:tab/>
          <w:t>(b)</w:t>
        </w:r>
        <w:r>
          <w:tab/>
          <w:t xml:space="preserve">if the amount determined under paragraph (a) is greater than the amount (the </w:t>
        </w:r>
        <w:r>
          <w:rPr>
            <w:rStyle w:val="CharDefText"/>
          </w:rPr>
          <w:t>cap amount</w:t>
        </w:r>
        <w:r>
          <w:t>) determined by applying the new partner’s partnership interest to the total unencumbered value, when liability for duty on the transaction arises, of the joint property to which that interest relates — the cap amount.</w:t>
        </w:r>
      </w:ins>
    </w:p>
    <w:p>
      <w:pPr>
        <w:pStyle w:val="Subsection"/>
        <w:rPr>
          <w:ins w:id="1042" w:author="Master Repository Process" w:date="2022-05-27T14:27:00Z"/>
        </w:rPr>
      </w:pPr>
      <w:ins w:id="1043" w:author="Master Repository Process" w:date="2022-05-27T14:27:00Z">
        <w:r>
          <w:tab/>
          <w:t>(2B)</w:t>
        </w:r>
        <w:r>
          <w:tab/>
          <w:t>For the purposes of subsections (2) and (2A), joint property is property held by the new partner jointly with 1 or more other partners.</w:t>
        </w:r>
      </w:ins>
    </w:p>
    <w:p>
      <w:pPr>
        <w:pStyle w:val="Subsection"/>
      </w:pPr>
      <w:r>
        <w:tab/>
        <w:t>(3)</w:t>
      </w:r>
      <w:r>
        <w:tab/>
        <w:t xml:space="preserve">For the purposes of </w:t>
      </w:r>
      <w:del w:id="1044" w:author="Master Repository Process" w:date="2022-05-27T14:27:00Z">
        <w:r>
          <w:delText>subsection</w:delText>
        </w:r>
      </w:del>
      <w:ins w:id="1045" w:author="Master Repository Process" w:date="2022-05-27T14:27:00Z">
        <w:r>
          <w:t>subsections</w:t>
        </w:r>
      </w:ins>
      <w:r>
        <w:t> (2</w:t>
      </w:r>
      <w:ins w:id="1046" w:author="Master Repository Process" w:date="2022-05-27T14:27:00Z">
        <w:r>
          <w:t>) and (2A</w:t>
        </w:r>
      </w:ins>
      <w:r>
        <w:t xml:space="preserve">), a person is a new partner only if — </w:t>
      </w:r>
    </w:p>
    <w:p>
      <w:pPr>
        <w:pStyle w:val="Indenta"/>
      </w:pPr>
      <w:r>
        <w:tab/>
        <w:t>(a)</w:t>
      </w:r>
      <w:r>
        <w:tab/>
        <w:t>the person was not in partnership with any partners of the partnership immediately before its formation; or</w:t>
      </w:r>
    </w:p>
    <w:p>
      <w:pPr>
        <w:pStyle w:val="Indenta"/>
        <w:keepLines/>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Footnotesection"/>
        <w:rPr>
          <w:ins w:id="1047" w:author="Master Repository Process" w:date="2022-05-27T14:27:00Z"/>
        </w:rPr>
      </w:pPr>
      <w:ins w:id="1048" w:author="Master Repository Process" w:date="2022-05-27T14:27:00Z">
        <w:r>
          <w:tab/>
          <w:t>[Section 77 amended: No. 12 of 2019 s. 28.]</w:t>
        </w:r>
      </w:ins>
    </w:p>
    <w:p>
      <w:pPr>
        <w:pStyle w:val="Heading5"/>
      </w:pPr>
      <w:bookmarkStart w:id="1049" w:name="_Toc104290907"/>
      <w:bookmarkStart w:id="1050" w:name="_Toc531859276"/>
      <w:r>
        <w:rPr>
          <w:rStyle w:val="CharSectno"/>
        </w:rPr>
        <w:t>78</w:t>
      </w:r>
      <w:r>
        <w:t>.</w:t>
      </w:r>
      <w:r>
        <w:tab/>
      </w:r>
      <w:del w:id="1051" w:author="Master Repository Process" w:date="2022-05-27T14:27:00Z">
        <w:r>
          <w:delText>Transfer</w:delText>
        </w:r>
      </w:del>
      <w:ins w:id="1052" w:author="Master Repository Process" w:date="2022-05-27T14:27:00Z">
        <w:r>
          <w:t>Dutiable value of transfer</w:t>
        </w:r>
      </w:ins>
      <w:r>
        <w:t xml:space="preserve"> of dutiable property </w:t>
      </w:r>
      <w:del w:id="1053" w:author="Master Repository Process" w:date="2022-05-27T14:27:00Z">
        <w:r>
          <w:delText xml:space="preserve">of partnership </w:delText>
        </w:r>
      </w:del>
      <w:r>
        <w:t>to retiring partner</w:t>
      </w:r>
      <w:bookmarkEnd w:id="1049"/>
      <w:del w:id="1054" w:author="Master Repository Process" w:date="2022-05-27T14:27:00Z">
        <w:r>
          <w:delText>, dutiable value of</w:delText>
        </w:r>
      </w:del>
      <w:bookmarkEnd w:id="1050"/>
    </w:p>
    <w:p>
      <w:pPr>
        <w:pStyle w:val="Subsection"/>
        <w:rPr>
          <w:ins w:id="1055" w:author="Master Repository Process" w:date="2022-05-27T14:27:00Z"/>
        </w:rPr>
      </w:pPr>
      <w:r>
        <w:tab/>
        <w:t>(1)</w:t>
      </w:r>
      <w:r>
        <w:tab/>
        <w:t>This section applies if</w:t>
      </w:r>
      <w:del w:id="1056" w:author="Master Repository Process" w:date="2022-05-27T14:27:00Z">
        <w:r>
          <w:delText xml:space="preserve">, on </w:delText>
        </w:r>
      </w:del>
      <w:ins w:id="1057" w:author="Master Repository Process" w:date="2022-05-27T14:27:00Z">
        <w:r>
          <w:t xml:space="preserve"> — </w:t>
        </w:r>
      </w:ins>
    </w:p>
    <w:p>
      <w:pPr>
        <w:pStyle w:val="Indenta"/>
      </w:pPr>
      <w:ins w:id="1058" w:author="Master Repository Process" w:date="2022-05-27T14:27:00Z">
        <w:r>
          <w:tab/>
          <w:t>(a)</w:t>
        </w:r>
        <w:r>
          <w:tab/>
        </w:r>
      </w:ins>
      <w:r>
        <w:t xml:space="preserve">a person (the </w:t>
      </w:r>
      <w:r>
        <w:rPr>
          <w:rStyle w:val="CharDefText"/>
        </w:rPr>
        <w:t>retiring partner</w:t>
      </w:r>
      <w:r>
        <w:t xml:space="preserve">) </w:t>
      </w:r>
      <w:del w:id="1059" w:author="Master Repository Process" w:date="2022-05-27T14:27:00Z">
        <w:r>
          <w:delText>ceasing</w:delText>
        </w:r>
      </w:del>
      <w:ins w:id="1060" w:author="Master Repository Process" w:date="2022-05-27T14:27:00Z">
        <w:r>
          <w:t>ceases</w:t>
        </w:r>
      </w:ins>
      <w:r>
        <w:t xml:space="preserve"> to be a partner in a partnership because of the retiring partner’s retirement from the partnership or its dissolution</w:t>
      </w:r>
      <w:del w:id="1061" w:author="Master Repository Process" w:date="2022-05-27T14:27:00Z">
        <w:r>
          <w:delText>, dutiable property of the partnership is transferred or agreed to be transferred to the retiring partner.</w:delText>
        </w:r>
      </w:del>
      <w:ins w:id="1062" w:author="Master Repository Process" w:date="2022-05-27T14:27:00Z">
        <w:r>
          <w:t>; and</w:t>
        </w:r>
      </w:ins>
    </w:p>
    <w:p>
      <w:pPr>
        <w:pStyle w:val="Indenta"/>
        <w:rPr>
          <w:ins w:id="1063" w:author="Master Repository Process" w:date="2022-05-27T14:27:00Z"/>
        </w:rPr>
      </w:pPr>
      <w:del w:id="1064" w:author="Master Repository Process" w:date="2022-05-27T14:27:00Z">
        <w:r>
          <w:tab/>
          <w:delText>(2)</w:delText>
        </w:r>
        <w:r>
          <w:tab/>
          <w:delText>The dutiable value of a transfer of, or an agreement for the transfer of</w:delText>
        </w:r>
      </w:del>
      <w:ins w:id="1065" w:author="Master Repository Process" w:date="2022-05-27T14:27:00Z">
        <w:r>
          <w:tab/>
          <w:t>(b)</w:t>
        </w:r>
        <w:r>
          <w:tab/>
          <w:t>on the retirement or dissolution</w:t>
        </w:r>
      </w:ins>
      <w:r>
        <w:t xml:space="preserve">, dutiable property </w:t>
      </w:r>
      <w:ins w:id="1066" w:author="Master Repository Process" w:date="2022-05-27T14:27:00Z">
        <w:r>
          <w:t xml:space="preserve">(the </w:t>
        </w:r>
        <w:r>
          <w:rPr>
            <w:rStyle w:val="CharDefText"/>
          </w:rPr>
          <w:t>transfer property</w:t>
        </w:r>
        <w:r>
          <w:t xml:space="preserve">) of the partnership is transferred or agreed to be transferred </w:t>
        </w:r>
      </w:ins>
      <w:r>
        <w:t>to the retiring partner</w:t>
      </w:r>
      <w:del w:id="1067" w:author="Master Repository Process" w:date="2022-05-27T14:27:00Z">
        <w:r>
          <w:delText xml:space="preserve"> must</w:delText>
        </w:r>
      </w:del>
      <w:ins w:id="1068" w:author="Master Repository Process" w:date="2022-05-27T14:27:00Z">
        <w:r>
          <w:t>; and</w:t>
        </w:r>
      </w:ins>
    </w:p>
    <w:p>
      <w:pPr>
        <w:pStyle w:val="Indenta"/>
        <w:rPr>
          <w:ins w:id="1069" w:author="Master Repository Process" w:date="2022-05-27T14:27:00Z"/>
        </w:rPr>
      </w:pPr>
      <w:ins w:id="1070" w:author="Master Repository Process" w:date="2022-05-27T14:27:00Z">
        <w:r>
          <w:tab/>
          <w:t>(c)</w:t>
        </w:r>
        <w:r>
          <w:tab/>
          <w:t xml:space="preserve">the transfer property is, or is an interest in, a particular item of dutiable property (the </w:t>
        </w:r>
        <w:r>
          <w:rPr>
            <w:rStyle w:val="CharDefText"/>
          </w:rPr>
          <w:t>relevant partnership property</w:t>
        </w:r>
        <w:r>
          <w:t>) held by the partnership immediately before the retirement or dissolution.</w:t>
        </w:r>
      </w:ins>
    </w:p>
    <w:p>
      <w:pPr>
        <w:pStyle w:val="Subsection"/>
        <w:rPr>
          <w:ins w:id="1071" w:author="Master Repository Process" w:date="2022-05-27T14:27:00Z"/>
        </w:rPr>
      </w:pPr>
      <w:ins w:id="1072" w:author="Master Repository Process" w:date="2022-05-27T14:27:00Z">
        <w:r>
          <w:tab/>
          <w:t>(2)</w:t>
        </w:r>
        <w:r>
          <w:tab/>
          <w:t xml:space="preserve">In determining the dutiable value of the dutiable transaction that is the transfer or agreement referred to in subsection (1)(b), the unencumbered value of the transfer property is to be determined as follows — </w:t>
        </w:r>
      </w:ins>
    </w:p>
    <w:p>
      <w:pPr>
        <w:pStyle w:val="Indenta"/>
        <w:rPr>
          <w:ins w:id="1073" w:author="Master Repository Process" w:date="2022-05-27T14:27:00Z"/>
        </w:rPr>
      </w:pPr>
      <w:ins w:id="1074" w:author="Master Repository Process" w:date="2022-05-27T14:27:00Z">
        <w:r>
          <w:tab/>
          <w:t>(a)</w:t>
        </w:r>
        <w:r>
          <w:tab/>
          <w:t xml:space="preserve">first, the aggregate unencumbered value of the following is to be determined — </w:t>
        </w:r>
      </w:ins>
    </w:p>
    <w:p>
      <w:pPr>
        <w:pStyle w:val="Indenti"/>
        <w:rPr>
          <w:ins w:id="1075" w:author="Master Repository Process" w:date="2022-05-27T14:27:00Z"/>
        </w:rPr>
      </w:pPr>
      <w:ins w:id="1076" w:author="Master Repository Process" w:date="2022-05-27T14:27:00Z">
        <w:r>
          <w:tab/>
          <w:t>(i)</w:t>
        </w:r>
        <w:r>
          <w:tab/>
          <w:t>the transfer property;</w:t>
        </w:r>
      </w:ins>
    </w:p>
    <w:p>
      <w:pPr>
        <w:pStyle w:val="Indenti"/>
        <w:rPr>
          <w:ins w:id="1077" w:author="Master Repository Process" w:date="2022-05-27T14:27:00Z"/>
        </w:rPr>
      </w:pPr>
      <w:ins w:id="1078" w:author="Master Repository Process" w:date="2022-05-27T14:27:00Z">
        <w:r>
          <w:tab/>
          <w:t>(ii)</w:t>
        </w:r>
        <w:r>
          <w:tab/>
          <w:t>if the transfer property is an interest in the relevant partnership property — relevant retained property (if any) in relation to the transfer property;</w:t>
        </w:r>
      </w:ins>
    </w:p>
    <w:p>
      <w:pPr>
        <w:pStyle w:val="Subsection"/>
        <w:spacing w:before="180"/>
        <w:rPr>
          <w:del w:id="1079" w:author="Master Repository Process" w:date="2022-05-27T14:27:00Z"/>
        </w:rPr>
      </w:pPr>
      <w:ins w:id="1080" w:author="Master Repository Process" w:date="2022-05-27T14:27:00Z">
        <w:r>
          <w:tab/>
          <w:t>(b)</w:t>
        </w:r>
        <w:r>
          <w:tab/>
          <w:t>second, the value determined in accordance with paragraph (a) is to</w:t>
        </w:r>
      </w:ins>
      <w:r>
        <w:t xml:space="preserve"> be reduced by an amount calculated by applying the retiring partner’s partnership interest in the partnership to the unencumbered value</w:t>
      </w:r>
      <w:del w:id="1081" w:author="Master Repository Process" w:date="2022-05-27T14:27:00Z">
        <w:r>
          <w:delText xml:space="preserve"> of the dutiable property immediately before the retirement or dissolution.</w:delText>
        </w:r>
      </w:del>
    </w:p>
    <w:p>
      <w:pPr>
        <w:pStyle w:val="PermNoteHeading"/>
        <w:rPr>
          <w:del w:id="1082" w:author="Master Repository Process" w:date="2022-05-27T14:27:00Z"/>
        </w:rPr>
      </w:pPr>
      <w:del w:id="1083" w:author="Master Repository Process" w:date="2022-05-27T14:27:00Z">
        <w:r>
          <w:tab/>
          <w:delText>Note for this subsection:</w:delText>
        </w:r>
      </w:del>
    </w:p>
    <w:p>
      <w:pPr>
        <w:pStyle w:val="PermNoteText"/>
        <w:rPr>
          <w:del w:id="1084" w:author="Master Repository Process" w:date="2022-05-27T14:27:00Z"/>
        </w:rPr>
      </w:pPr>
      <w:del w:id="1085" w:author="Master Repository Process" w:date="2022-05-27T14:27:00Z">
        <w:r>
          <w:tab/>
        </w:r>
        <w:r>
          <w:tab/>
          <w:delText>Example for subsection (2) —</w:delText>
        </w:r>
      </w:del>
    </w:p>
    <w:p>
      <w:pPr>
        <w:pStyle w:val="Indenta"/>
        <w:rPr>
          <w:ins w:id="1086" w:author="Master Repository Process" w:date="2022-05-27T14:27:00Z"/>
        </w:rPr>
      </w:pPr>
      <w:del w:id="1087" w:author="Master Repository Process" w:date="2022-05-27T14:27:00Z">
        <w:r>
          <w:tab/>
        </w:r>
        <w:r>
          <w:tab/>
          <w:delText>A, B and C are in partnership in equal shares.  B had a one</w:delText>
        </w:r>
        <w:r>
          <w:noBreakHyphen/>
          <w:delText xml:space="preserve">third partnership interest </w:delText>
        </w:r>
      </w:del>
      <w:ins w:id="1088" w:author="Master Repository Process" w:date="2022-05-27T14:27:00Z">
        <w:r>
          <w:t xml:space="preserve">, </w:t>
        </w:r>
      </w:ins>
      <w:r>
        <w:t xml:space="preserve">immediately before </w:t>
      </w:r>
      <w:ins w:id="1089" w:author="Master Repository Process" w:date="2022-05-27T14:27:00Z">
        <w:r>
          <w:t>the retirement or dissolution, of the relevant partnership property.</w:t>
        </w:r>
      </w:ins>
    </w:p>
    <w:p>
      <w:pPr>
        <w:pStyle w:val="Subsection"/>
        <w:rPr>
          <w:ins w:id="1090" w:author="Master Repository Process" w:date="2022-05-27T14:27:00Z"/>
        </w:rPr>
      </w:pPr>
      <w:ins w:id="1091" w:author="Master Repository Process" w:date="2022-05-27T14:27:00Z">
        <w:r>
          <w:tab/>
          <w:t>(3)</w:t>
        </w:r>
        <w:r>
          <w:tab/>
          <w:t xml:space="preserve">Property is relevant retained property in relation to the transfer property for the purposes of subsection (2)(a)(ii) if — </w:t>
        </w:r>
      </w:ins>
    </w:p>
    <w:p>
      <w:pPr>
        <w:pStyle w:val="Indenta"/>
        <w:rPr>
          <w:ins w:id="1092" w:author="Master Repository Process" w:date="2022-05-27T14:27:00Z"/>
        </w:rPr>
      </w:pPr>
      <w:ins w:id="1093" w:author="Master Repository Process" w:date="2022-05-27T14:27:00Z">
        <w:r>
          <w:tab/>
          <w:t>(a)</w:t>
        </w:r>
        <w:r>
          <w:tab/>
          <w:t>the property is also an interest in the relevant partnership property; and</w:t>
        </w:r>
      </w:ins>
    </w:p>
    <w:p>
      <w:pPr>
        <w:pStyle w:val="Indenta"/>
        <w:rPr>
          <w:ins w:id="1094" w:author="Master Repository Process" w:date="2022-05-27T14:27:00Z"/>
        </w:rPr>
      </w:pPr>
      <w:ins w:id="1095" w:author="Master Repository Process" w:date="2022-05-27T14:27:00Z">
        <w:r>
          <w:tab/>
          <w:t>(b)</w:t>
        </w:r>
        <w:r>
          <w:tab/>
          <w:t xml:space="preserve">immediately before the retirement or dissolution, the </w:t>
        </w:r>
      </w:ins>
      <w:r>
        <w:t>retiring</w:t>
      </w:r>
      <w:del w:id="1096" w:author="Master Repository Process" w:date="2022-05-27T14:27:00Z">
        <w:r>
          <w:delText>.  On B ceasing to be a</w:delText>
        </w:r>
      </w:del>
      <w:r>
        <w:t xml:space="preserve"> partner</w:t>
      </w:r>
      <w:del w:id="1097" w:author="Master Repository Process" w:date="2022-05-27T14:27:00Z">
        <w:r>
          <w:delText>, A</w:delText>
        </w:r>
      </w:del>
      <w:ins w:id="1098" w:author="Master Repository Process" w:date="2022-05-27T14:27:00Z">
        <w:r>
          <w:t xml:space="preserve"> was the legal owner of the property</w:t>
        </w:r>
      </w:ins>
      <w:r>
        <w:t xml:space="preserve"> and </w:t>
      </w:r>
      <w:del w:id="1099" w:author="Master Repository Process" w:date="2022-05-27T14:27:00Z">
        <w:r>
          <w:delText>C</w:delText>
        </w:r>
      </w:del>
      <w:ins w:id="1100" w:author="Master Repository Process" w:date="2022-05-27T14:27:00Z">
        <w:r>
          <w:t>held it for the partnership; and</w:t>
        </w:r>
      </w:ins>
    </w:p>
    <w:p>
      <w:pPr>
        <w:pStyle w:val="Indenta"/>
        <w:rPr>
          <w:ins w:id="1101" w:author="Master Repository Process" w:date="2022-05-27T14:27:00Z"/>
        </w:rPr>
      </w:pPr>
      <w:ins w:id="1102" w:author="Master Repository Process" w:date="2022-05-27T14:27:00Z">
        <w:r>
          <w:tab/>
          <w:t>(c)</w:t>
        </w:r>
        <w:r>
          <w:tab/>
          <w:t>immediately after the retirement or dissolution, the retiring partner remains the legal owner of the property but no longer holds it for the partnership.</w:t>
        </w:r>
      </w:ins>
    </w:p>
    <w:p>
      <w:pPr>
        <w:pStyle w:val="Subsection"/>
        <w:rPr>
          <w:ins w:id="1103" w:author="Master Repository Process" w:date="2022-05-27T14:27:00Z"/>
        </w:rPr>
      </w:pPr>
      <w:ins w:id="1104" w:author="Master Repository Process" w:date="2022-05-27T14:27:00Z">
        <w:r>
          <w:tab/>
          <w:t>(4)</w:t>
        </w:r>
        <w:r>
          <w:tab/>
          <w:t>This section does not apply to a</w:t>
        </w:r>
      </w:ins>
      <w:r>
        <w:t xml:space="preserve"> transfer </w:t>
      </w:r>
      <w:del w:id="1105" w:author="Master Repository Process" w:date="2022-05-27T14:27:00Z">
        <w:r>
          <w:delText>land to B.  The</w:delText>
        </w:r>
      </w:del>
      <w:ins w:id="1106" w:author="Master Repository Process" w:date="2022-05-27T14:27:00Z">
        <w:r>
          <w:t>that is taken to occur under section 78A(2).</w:t>
        </w:r>
      </w:ins>
    </w:p>
    <w:p>
      <w:pPr>
        <w:pStyle w:val="Footnotesection"/>
        <w:rPr>
          <w:ins w:id="1107" w:author="Master Repository Process" w:date="2022-05-27T14:27:00Z"/>
        </w:rPr>
      </w:pPr>
      <w:ins w:id="1108" w:author="Master Repository Process" w:date="2022-05-27T14:27:00Z">
        <w:r>
          <w:tab/>
          <w:t>[Section 78 inserted: No. 12 of 2019 s. 29.]</w:t>
        </w:r>
      </w:ins>
    </w:p>
    <w:p>
      <w:pPr>
        <w:pStyle w:val="Heading5"/>
        <w:rPr>
          <w:ins w:id="1109" w:author="Master Repository Process" w:date="2022-05-27T14:27:00Z"/>
        </w:rPr>
      </w:pPr>
      <w:bookmarkStart w:id="1110" w:name="_Toc104290908"/>
      <w:ins w:id="1111" w:author="Master Repository Process" w:date="2022-05-27T14:27:00Z">
        <w:r>
          <w:rPr>
            <w:rStyle w:val="CharSectno"/>
          </w:rPr>
          <w:t>78A</w:t>
        </w:r>
        <w:r>
          <w:t>.</w:t>
        </w:r>
        <w:r>
          <w:tab/>
          <w:t>Certain retained property taken to be transferred to retiring partner</w:t>
        </w:r>
        <w:bookmarkEnd w:id="1110"/>
      </w:ins>
    </w:p>
    <w:p>
      <w:pPr>
        <w:pStyle w:val="Subsection"/>
        <w:rPr>
          <w:ins w:id="1112" w:author="Master Repository Process" w:date="2022-05-27T14:27:00Z"/>
        </w:rPr>
      </w:pPr>
      <w:ins w:id="1113" w:author="Master Repository Process" w:date="2022-05-27T14:27:00Z">
        <w:r>
          <w:tab/>
          <w:t>(1)</w:t>
        </w:r>
        <w:r>
          <w:tab/>
          <w:t xml:space="preserve">This section applies if — </w:t>
        </w:r>
      </w:ins>
    </w:p>
    <w:p>
      <w:pPr>
        <w:pStyle w:val="Indenta"/>
        <w:rPr>
          <w:ins w:id="1114" w:author="Master Repository Process" w:date="2022-05-27T14:27:00Z"/>
        </w:rPr>
      </w:pPr>
      <w:ins w:id="1115" w:author="Master Repository Process" w:date="2022-05-27T14:27:00Z">
        <w:r>
          <w:tab/>
          <w:t>(a)</w:t>
        </w:r>
        <w:r>
          <w:tab/>
          <w:t xml:space="preserve">a person (a </w:t>
        </w:r>
        <w:r>
          <w:rPr>
            <w:rStyle w:val="CharDefText"/>
          </w:rPr>
          <w:t>retiring partner</w:t>
        </w:r>
        <w:r>
          <w:t>) ceases to be a partner in a partnership because of the retiring partner’s retirement from the partnership or its dissolution; and</w:t>
        </w:r>
      </w:ins>
    </w:p>
    <w:p>
      <w:pPr>
        <w:pStyle w:val="Indenta"/>
        <w:rPr>
          <w:ins w:id="1116" w:author="Master Repository Process" w:date="2022-05-27T14:27:00Z"/>
        </w:rPr>
      </w:pPr>
      <w:ins w:id="1117" w:author="Master Repository Process" w:date="2022-05-27T14:27:00Z">
        <w:r>
          <w:tab/>
          <w:t>(b)</w:t>
        </w:r>
        <w:r>
          <w:tab/>
          <w:t xml:space="preserve">immediately before the retirement or dissolution, the retiring partner was the legal owner of dutiable property (the </w:t>
        </w:r>
        <w:r>
          <w:rPr>
            <w:rStyle w:val="CharDefText"/>
          </w:rPr>
          <w:t>retained property</w:t>
        </w:r>
        <w:r>
          <w:t>) and held the property for the partnership; and</w:t>
        </w:r>
      </w:ins>
    </w:p>
    <w:p>
      <w:pPr>
        <w:pStyle w:val="Indenta"/>
        <w:rPr>
          <w:ins w:id="1118" w:author="Master Repository Process" w:date="2022-05-27T14:27:00Z"/>
        </w:rPr>
      </w:pPr>
      <w:ins w:id="1119" w:author="Master Repository Process" w:date="2022-05-27T14:27:00Z">
        <w:r>
          <w:tab/>
          <w:t>(c)</w:t>
        </w:r>
        <w:r>
          <w:tab/>
          <w:t>immediately after the retirement or dissolution, the retiring partner remains the legal owner of the retained property but no longer holds it for the partnership; and</w:t>
        </w:r>
      </w:ins>
    </w:p>
    <w:p>
      <w:pPr>
        <w:pStyle w:val="Indenta"/>
        <w:rPr>
          <w:ins w:id="1120" w:author="Master Repository Process" w:date="2022-05-27T14:27:00Z"/>
        </w:rPr>
      </w:pPr>
      <w:ins w:id="1121" w:author="Master Repository Process" w:date="2022-05-27T14:27:00Z">
        <w:r>
          <w:tab/>
          <w:t>(d)</w:t>
        </w:r>
        <w:r>
          <w:tab/>
          <w:t xml:space="preserve">the retained property is, or is an interest in, a particular item of dutiable property (the </w:t>
        </w:r>
        <w:r>
          <w:rPr>
            <w:rStyle w:val="CharDefText"/>
          </w:rPr>
          <w:t>relevant partnership property</w:t>
        </w:r>
        <w:r>
          <w:t>) held by the partnership immediately before the retirement or dissolution; and</w:t>
        </w:r>
      </w:ins>
    </w:p>
    <w:p>
      <w:pPr>
        <w:pStyle w:val="Indenta"/>
        <w:rPr>
          <w:ins w:id="1122" w:author="Master Repository Process" w:date="2022-05-27T14:27:00Z"/>
        </w:rPr>
      </w:pPr>
      <w:ins w:id="1123" w:author="Master Repository Process" w:date="2022-05-27T14:27:00Z">
        <w:r>
          <w:tab/>
          <w:t>(e)</w:t>
        </w:r>
        <w:r>
          <w:tab/>
          <w:t>the retained property is or includes property referred to in section 72(a) to (d).</w:t>
        </w:r>
      </w:ins>
    </w:p>
    <w:p>
      <w:pPr>
        <w:pStyle w:val="Subsection"/>
        <w:rPr>
          <w:ins w:id="1124" w:author="Master Repository Process" w:date="2022-05-27T14:27:00Z"/>
        </w:rPr>
      </w:pPr>
      <w:ins w:id="1125" w:author="Master Repository Process" w:date="2022-05-27T14:27:00Z">
        <w:r>
          <w:tab/>
          <w:t>(2)</w:t>
        </w:r>
        <w:r>
          <w:tab/>
          <w:t>When the retirement or dissolution occurs, there is taken to be a dutiable transaction consisting of the transfer of the retained property to the retiring partner.</w:t>
        </w:r>
      </w:ins>
    </w:p>
    <w:p>
      <w:pPr>
        <w:pStyle w:val="Subsection"/>
        <w:rPr>
          <w:ins w:id="1126" w:author="Master Repository Process" w:date="2022-05-27T14:27:00Z"/>
        </w:rPr>
      </w:pPr>
      <w:ins w:id="1127" w:author="Master Repository Process" w:date="2022-05-27T14:27:00Z">
        <w:r>
          <w:tab/>
          <w:t>(3)</w:t>
        </w:r>
        <w:r>
          <w:tab/>
          <w:t>In determining the</w:t>
        </w:r>
      </w:ins>
      <w:r>
        <w:t xml:space="preserve"> dutiable value of </w:t>
      </w:r>
      <w:del w:id="1128" w:author="Master Repository Process" w:date="2022-05-27T14:27:00Z">
        <w:r>
          <w:delText>the land acquired by B will</w:delText>
        </w:r>
      </w:del>
      <w:ins w:id="1129" w:author="Master Repository Process" w:date="2022-05-27T14:27:00Z">
        <w:r>
          <w:t xml:space="preserve">a dutiable transaction under subsection (2) (a </w:t>
        </w:r>
        <w:r>
          <w:rPr>
            <w:rStyle w:val="CharDefText"/>
          </w:rPr>
          <w:t>deemed transaction</w:t>
        </w:r>
        <w:r>
          <w:t xml:space="preserve">), the unencumbered value of the retained property is to be determined as follows — </w:t>
        </w:r>
      </w:ins>
    </w:p>
    <w:p>
      <w:pPr>
        <w:pStyle w:val="Indenta"/>
        <w:rPr>
          <w:ins w:id="1130" w:author="Master Repository Process" w:date="2022-05-27T14:27:00Z"/>
        </w:rPr>
      </w:pPr>
      <w:ins w:id="1131" w:author="Master Repository Process" w:date="2022-05-27T14:27:00Z">
        <w:r>
          <w:tab/>
          <w:t>(a)</w:t>
        </w:r>
        <w:r>
          <w:tab/>
          <w:t xml:space="preserve">first, the unencumbered value of the retained property when liability for duty on the deemed transaction arises is to be determined; </w:t>
        </w:r>
      </w:ins>
    </w:p>
    <w:p>
      <w:pPr>
        <w:pStyle w:val="Indenta"/>
      </w:pPr>
      <w:ins w:id="1132" w:author="Master Repository Process" w:date="2022-05-27T14:27:00Z">
        <w:r>
          <w:tab/>
          <w:t>(b)</w:t>
        </w:r>
        <w:r>
          <w:tab/>
          <w:t>second, the value determined in accordance with paragraph (a) is to</w:t>
        </w:r>
      </w:ins>
      <w:r>
        <w:t xml:space="preserve"> be reduced by </w:t>
      </w:r>
      <w:del w:id="1133" w:author="Master Repository Process" w:date="2022-05-27T14:27:00Z">
        <w:r>
          <w:delText>one</w:delText>
        </w:r>
        <w:r>
          <w:noBreakHyphen/>
          <w:delText>third</w:delText>
        </w:r>
      </w:del>
      <w:ins w:id="1134" w:author="Master Repository Process" w:date="2022-05-27T14:27:00Z">
        <w:r>
          <w:t>an amount calculated by applying the retiring partner’s partnership interest in the partnership to the unencumbered value, immediately before the retirement or dissolution, of the relevant partnership property</w:t>
        </w:r>
      </w:ins>
      <w:r>
        <w:t>.</w:t>
      </w:r>
    </w:p>
    <w:p>
      <w:pPr>
        <w:pStyle w:val="Subsection"/>
        <w:rPr>
          <w:ins w:id="1135" w:author="Master Repository Process" w:date="2022-05-27T14:27:00Z"/>
        </w:rPr>
      </w:pPr>
      <w:ins w:id="1136" w:author="Master Repository Process" w:date="2022-05-27T14:27:00Z">
        <w:r>
          <w:tab/>
          <w:t>(4)</w:t>
        </w:r>
        <w:r>
          <w:tab/>
          <w:t>This section does not apply to retained property if the unencumbered value of the retained property is to be taken into account in determining the dutiable value of a transaction to which section 78 applies.</w:t>
        </w:r>
      </w:ins>
    </w:p>
    <w:p>
      <w:pPr>
        <w:pStyle w:val="Footnotesection"/>
        <w:rPr>
          <w:ins w:id="1137" w:author="Master Repository Process" w:date="2022-05-27T14:27:00Z"/>
        </w:rPr>
      </w:pPr>
      <w:ins w:id="1138" w:author="Master Repository Process" w:date="2022-05-27T14:27:00Z">
        <w:r>
          <w:tab/>
          <w:t>[Section 78A inserted: No. 12 of 2019 s. 29.]</w:t>
        </w:r>
      </w:ins>
    </w:p>
    <w:p>
      <w:pPr>
        <w:pStyle w:val="Heading4"/>
        <w:keepNext w:val="0"/>
        <w:pageBreakBefore/>
        <w:spacing w:before="0"/>
        <w:rPr>
          <w:sz w:val="26"/>
        </w:rPr>
      </w:pPr>
      <w:bookmarkStart w:id="1139" w:name="_Toc37946714"/>
      <w:bookmarkStart w:id="1140" w:name="_Toc37947314"/>
      <w:bookmarkStart w:id="1141" w:name="_Toc38031378"/>
      <w:bookmarkStart w:id="1142" w:name="_Toc93309887"/>
      <w:bookmarkStart w:id="1143" w:name="_Toc104290909"/>
      <w:bookmarkStart w:id="1144" w:name="_Toc530491662"/>
      <w:bookmarkStart w:id="1145" w:name="_Toc530492122"/>
      <w:bookmarkStart w:id="1146" w:name="_Toc530493132"/>
      <w:bookmarkStart w:id="1147" w:name="_Toc530556267"/>
      <w:bookmarkStart w:id="1148" w:name="_Toc531692105"/>
      <w:bookmarkStart w:id="1149" w:name="_Toc531856010"/>
      <w:bookmarkStart w:id="1150" w:name="_Toc531858738"/>
      <w:bookmarkStart w:id="1151" w:name="_Toc531859277"/>
      <w:r>
        <w:rPr>
          <w:sz w:val="26"/>
        </w:rPr>
        <w:t>Division 5 — Western Australian business assets</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pPr>
        <w:pStyle w:val="Heading4"/>
        <w:rPr>
          <w:sz w:val="26"/>
        </w:rPr>
      </w:pPr>
      <w:bookmarkStart w:id="1152" w:name="_Toc37946715"/>
      <w:bookmarkStart w:id="1153" w:name="_Toc37947315"/>
      <w:bookmarkStart w:id="1154" w:name="_Toc38031379"/>
      <w:bookmarkStart w:id="1155" w:name="_Toc93309888"/>
      <w:bookmarkStart w:id="1156" w:name="_Toc104290910"/>
      <w:bookmarkStart w:id="1157" w:name="_Toc530491663"/>
      <w:bookmarkStart w:id="1158" w:name="_Toc530492123"/>
      <w:bookmarkStart w:id="1159" w:name="_Toc530493133"/>
      <w:bookmarkStart w:id="1160" w:name="_Toc530556268"/>
      <w:bookmarkStart w:id="1161" w:name="_Toc531692106"/>
      <w:bookmarkStart w:id="1162" w:name="_Toc531856011"/>
      <w:bookmarkStart w:id="1163" w:name="_Toc531858739"/>
      <w:bookmarkStart w:id="1164" w:name="_Toc531859278"/>
      <w:r>
        <w:rPr>
          <w:sz w:val="26"/>
        </w:rPr>
        <w:t>Subdivision 1 — Terms used in this Division</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Heading5"/>
        <w:keepNext w:val="0"/>
        <w:keepLines w:val="0"/>
      </w:pPr>
      <w:bookmarkStart w:id="1165" w:name="_Toc104290911"/>
      <w:bookmarkStart w:id="1166" w:name="_Toc531859279"/>
      <w:r>
        <w:rPr>
          <w:rStyle w:val="CharSectno"/>
        </w:rPr>
        <w:t>79</w:t>
      </w:r>
      <w:r>
        <w:t>.</w:t>
      </w:r>
      <w:r>
        <w:tab/>
        <w:t>Terms used</w:t>
      </w:r>
      <w:bookmarkEnd w:id="1165"/>
      <w:bookmarkEnd w:id="1166"/>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rPr>
          <w:ins w:id="1167" w:author="Master Repository Process" w:date="2022-05-27T14:27:00Z"/>
        </w:rPr>
      </w:pPr>
      <w:r>
        <w:rPr>
          <w:b/>
        </w:rPr>
        <w:tab/>
      </w:r>
      <w:r>
        <w:rPr>
          <w:rStyle w:val="CharDefText"/>
        </w:rPr>
        <w:t>business licence</w:t>
      </w:r>
      <w:del w:id="1168" w:author="Master Repository Process" w:date="2022-05-27T14:27:00Z">
        <w:r>
          <w:delText xml:space="preserve"> </w:delText>
        </w:r>
      </w:del>
      <w:ins w:id="1169" w:author="Master Repository Process" w:date="2022-05-27T14:27:00Z">
        <w:r>
          <w:t xml:space="preserve"> — </w:t>
        </w:r>
      </w:ins>
    </w:p>
    <w:p>
      <w:pPr>
        <w:pStyle w:val="Defpara"/>
      </w:pPr>
      <w:ins w:id="1170" w:author="Master Repository Process" w:date="2022-05-27T14:27:00Z">
        <w:r>
          <w:tab/>
          <w:t>(a)</w:t>
        </w:r>
        <w:r>
          <w:tab/>
        </w:r>
      </w:ins>
      <w:r>
        <w:t xml:space="preserve">means a licence, permit or authority which is issued, granted or given under — </w:t>
      </w:r>
    </w:p>
    <w:p>
      <w:pPr>
        <w:pStyle w:val="Defsubpara"/>
      </w:pPr>
      <w:r>
        <w:tab/>
        <w:t>(</w:t>
      </w:r>
      <w:del w:id="1171" w:author="Master Repository Process" w:date="2022-05-27T14:27:00Z">
        <w:r>
          <w:delText>a</w:delText>
        </w:r>
      </w:del>
      <w:ins w:id="1172" w:author="Master Repository Process" w:date="2022-05-27T14:27:00Z">
        <w:r>
          <w:t>i</w:t>
        </w:r>
      </w:ins>
      <w:r>
        <w:t>)</w:t>
      </w:r>
      <w:r>
        <w:tab/>
        <w:t>a written law and which is required by a written law to be held by a person carrying out an activity for gain or reward; or</w:t>
      </w:r>
    </w:p>
    <w:p>
      <w:pPr>
        <w:pStyle w:val="Defsubpara"/>
      </w:pPr>
      <w:r>
        <w:tab/>
        <w:t>(</w:t>
      </w:r>
      <w:del w:id="1173" w:author="Master Repository Process" w:date="2022-05-27T14:27:00Z">
        <w:r>
          <w:delText>b</w:delText>
        </w:r>
      </w:del>
      <w:ins w:id="1174" w:author="Master Repository Process" w:date="2022-05-27T14:27:00Z">
        <w:r>
          <w:t>ii</w:t>
        </w:r>
      </w:ins>
      <w:r>
        <w:t>)</w:t>
      </w:r>
      <w:r>
        <w:tab/>
        <w:t>a law of the Commonwealth and which is required by a law of the Commonwealth to be held by a person carrying out an activity in Western Australia for gain or reward;</w:t>
      </w:r>
    </w:p>
    <w:p>
      <w:pPr>
        <w:pStyle w:val="Defpara"/>
        <w:rPr>
          <w:ins w:id="1175" w:author="Master Repository Process" w:date="2022-05-27T14:27:00Z"/>
        </w:rPr>
      </w:pPr>
      <w:ins w:id="1176" w:author="Master Repository Process" w:date="2022-05-27T14:27:00Z">
        <w:r>
          <w:tab/>
        </w:r>
        <w:r>
          <w:tab/>
          <w:t>but</w:t>
        </w:r>
      </w:ins>
    </w:p>
    <w:p>
      <w:pPr>
        <w:pStyle w:val="Defpara"/>
        <w:rPr>
          <w:ins w:id="1177" w:author="Master Repository Process" w:date="2022-05-27T14:27:00Z"/>
        </w:rPr>
      </w:pPr>
      <w:ins w:id="1178" w:author="Master Repository Process" w:date="2022-05-27T14:27:00Z">
        <w:r>
          <w:tab/>
          <w:t>(b)</w:t>
        </w:r>
        <w:r>
          <w:tab/>
          <w:t>does not include a fixed infrastructure access right, a fixed infrastructure control right or a fixed infrastructure statutory licence;</w:t>
        </w:r>
      </w:ins>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keepLines w:val="0"/>
      </w:pPr>
      <w:r>
        <w:tab/>
        <w:t>(i)</w:t>
      </w:r>
      <w:r>
        <w:tab/>
        <w:t>anything mentioned in paragraph (a) or (b); or</w:t>
      </w:r>
    </w:p>
    <w:p>
      <w:pPr>
        <w:pStyle w:val="Defsubpara"/>
        <w:keepLines w:val="0"/>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keepLines w:val="0"/>
      </w:pPr>
      <w:r>
        <w:tab/>
        <w:t>(i)</w:t>
      </w:r>
      <w:r>
        <w:tab/>
        <w:t>been carried on in or from Western Australia; or</w:t>
      </w:r>
    </w:p>
    <w:p>
      <w:pPr>
        <w:pStyle w:val="Defsubpara"/>
        <w:keepLines w:val="0"/>
      </w:pPr>
      <w:r>
        <w:tab/>
        <w:t>(ii)</w:t>
      </w:r>
      <w:r>
        <w:tab/>
        <w:t>supplied commodities or provided services to customers in Western Australia;</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Western Australia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Footnotesection"/>
        <w:rPr>
          <w:ins w:id="1179" w:author="Master Repository Process" w:date="2022-05-27T14:27:00Z"/>
        </w:rPr>
      </w:pPr>
      <w:ins w:id="1180" w:author="Master Repository Process" w:date="2022-05-27T14:27:00Z">
        <w:r>
          <w:tab/>
          <w:t>[Section 79 amended: No. 12 of 2019 s. 30.]</w:t>
        </w:r>
      </w:ins>
    </w:p>
    <w:p>
      <w:pPr>
        <w:pStyle w:val="Heading4"/>
        <w:rPr>
          <w:sz w:val="26"/>
        </w:rPr>
      </w:pPr>
      <w:bookmarkStart w:id="1181" w:name="_Toc37946717"/>
      <w:bookmarkStart w:id="1182" w:name="_Toc37947317"/>
      <w:bookmarkStart w:id="1183" w:name="_Toc38031381"/>
      <w:bookmarkStart w:id="1184" w:name="_Toc93309890"/>
      <w:bookmarkStart w:id="1185" w:name="_Toc104290912"/>
      <w:bookmarkStart w:id="1186" w:name="_Toc530491665"/>
      <w:bookmarkStart w:id="1187" w:name="_Toc530492125"/>
      <w:bookmarkStart w:id="1188" w:name="_Toc530493135"/>
      <w:bookmarkStart w:id="1189" w:name="_Toc530556270"/>
      <w:bookmarkStart w:id="1190" w:name="_Toc531692108"/>
      <w:bookmarkStart w:id="1191" w:name="_Toc531856013"/>
      <w:bookmarkStart w:id="1192" w:name="_Toc531858741"/>
      <w:bookmarkStart w:id="1193" w:name="_Toc531859280"/>
      <w:r>
        <w:rPr>
          <w:sz w:val="26"/>
        </w:rPr>
        <w:t>Subdivision 2 — Particular transactions involving business assets</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pPr>
        <w:pStyle w:val="Heading5"/>
      </w:pPr>
      <w:bookmarkStart w:id="1194" w:name="_Toc104290913"/>
      <w:bookmarkStart w:id="1195" w:name="_Toc531859281"/>
      <w:r>
        <w:rPr>
          <w:rStyle w:val="CharSectno"/>
        </w:rPr>
        <w:t>80</w:t>
      </w:r>
      <w:r>
        <w:t>.</w:t>
      </w:r>
      <w:r>
        <w:tab/>
        <w:t xml:space="preserve">Some transactions involving business licences to be taken to be agreements </w:t>
      </w:r>
      <w:del w:id="1196" w:author="Master Repository Process" w:date="2022-05-27T14:27:00Z">
        <w:r>
          <w:delText>to</w:delText>
        </w:r>
      </w:del>
      <w:ins w:id="1197" w:author="Master Repository Process" w:date="2022-05-27T14:27:00Z">
        <w:r>
          <w:t>for</w:t>
        </w:r>
      </w:ins>
      <w:r>
        <w:t xml:space="preserve"> transfer</w:t>
      </w:r>
      <w:bookmarkEnd w:id="1194"/>
      <w:del w:id="1198" w:author="Master Repository Process" w:date="2022-05-27T14:27:00Z">
        <w:r>
          <w:delText xml:space="preserve"> WA business assets</w:delText>
        </w:r>
      </w:del>
      <w:bookmarkEnd w:id="1195"/>
    </w:p>
    <w:p>
      <w:pPr>
        <w:pStyle w:val="Subsection"/>
      </w:pPr>
      <w:r>
        <w:tab/>
      </w:r>
      <w:r>
        <w:tab/>
        <w:t xml:space="preserve">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w:t>
      </w:r>
      <w:del w:id="1199" w:author="Master Repository Process" w:date="2022-05-27T14:27:00Z">
        <w:r>
          <w:delText>to</w:delText>
        </w:r>
      </w:del>
      <w:ins w:id="1200" w:author="Master Repository Process" w:date="2022-05-27T14:27:00Z">
        <w:r>
          <w:t>for the</w:t>
        </w:r>
      </w:ins>
      <w:r>
        <w:t xml:space="preserve"> transfer </w:t>
      </w:r>
      <w:del w:id="1201" w:author="Master Repository Process" w:date="2022-05-27T14:27:00Z">
        <w:r>
          <w:delText>a Western Australian</w:delText>
        </w:r>
      </w:del>
      <w:ins w:id="1202" w:author="Master Repository Process" w:date="2022-05-27T14:27:00Z">
        <w:r>
          <w:t>to the other person of the</w:t>
        </w:r>
      </w:ins>
      <w:r>
        <w:t xml:space="preserve"> business </w:t>
      </w:r>
      <w:del w:id="1203" w:author="Master Repository Process" w:date="2022-05-27T14:27:00Z">
        <w:r>
          <w:delText>asset and</w:delText>
        </w:r>
      </w:del>
      <w:ins w:id="1204" w:author="Master Repository Process" w:date="2022-05-27T14:27:00Z">
        <w:r>
          <w:t>licence that</w:t>
        </w:r>
      </w:ins>
      <w:r>
        <w:t xml:space="preserve"> is </w:t>
      </w:r>
      <w:del w:id="1205" w:author="Master Repository Process" w:date="2022-05-27T14:27:00Z">
        <w:r>
          <w:delText xml:space="preserve">liable </w:delText>
        </w:r>
      </w:del>
      <w:r>
        <w:t xml:space="preserve">to </w:t>
      </w:r>
      <w:del w:id="1206" w:author="Master Repository Process" w:date="2022-05-27T14:27:00Z">
        <w:r>
          <w:delText>duty accordingly</w:delText>
        </w:r>
      </w:del>
      <w:ins w:id="1207" w:author="Master Repository Process" w:date="2022-05-27T14:27:00Z">
        <w:r>
          <w:t>be relinquished or is not to be renewed</w:t>
        </w:r>
      </w:ins>
      <w:r>
        <w:t>.</w:t>
      </w:r>
    </w:p>
    <w:p>
      <w:pPr>
        <w:pStyle w:val="Footnotesection"/>
        <w:rPr>
          <w:ins w:id="1208" w:author="Master Repository Process" w:date="2022-05-27T14:27:00Z"/>
        </w:rPr>
      </w:pPr>
      <w:ins w:id="1209" w:author="Master Repository Process" w:date="2022-05-27T14:27:00Z">
        <w:r>
          <w:tab/>
          <w:t>[Section 80 amended: No. 12 of 2019 s. 31.]</w:t>
        </w:r>
      </w:ins>
    </w:p>
    <w:p>
      <w:pPr>
        <w:pStyle w:val="Heading5"/>
      </w:pPr>
      <w:bookmarkStart w:id="1210" w:name="_Toc104290914"/>
      <w:bookmarkStart w:id="1211" w:name="_Toc531859282"/>
      <w:r>
        <w:rPr>
          <w:rStyle w:val="CharSectno"/>
        </w:rPr>
        <w:t>81</w:t>
      </w:r>
      <w:r>
        <w:t>.</w:t>
      </w:r>
      <w:r>
        <w:tab/>
        <w:t>Transactions for particular WA business assets that are not dutiable transactions</w:t>
      </w:r>
      <w:bookmarkEnd w:id="1210"/>
      <w:bookmarkEnd w:id="1211"/>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w:t>
      </w:r>
      <w:ins w:id="1212" w:author="Master Repository Process" w:date="2022-05-27T14:27:00Z">
        <w:r>
          <w:t>, a fixed infrastructure control right, a fixed infrastructure access right or a fixed infrastructure statutory licence,</w:t>
        </w:r>
      </w:ins>
      <w:r>
        <w:t xml:space="preserve">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Footnotesection"/>
        <w:rPr>
          <w:ins w:id="1213" w:author="Master Repository Process" w:date="2022-05-27T14:27:00Z"/>
        </w:rPr>
      </w:pPr>
      <w:ins w:id="1214" w:author="Master Repository Process" w:date="2022-05-27T14:27:00Z">
        <w:r>
          <w:tab/>
          <w:t>[Section 81 amended: No. 12 of 2019 s. 32.]</w:t>
        </w:r>
      </w:ins>
    </w:p>
    <w:p>
      <w:pPr>
        <w:pStyle w:val="Heading4"/>
        <w:rPr>
          <w:sz w:val="26"/>
        </w:rPr>
      </w:pPr>
      <w:bookmarkStart w:id="1215" w:name="_Toc37946720"/>
      <w:bookmarkStart w:id="1216" w:name="_Toc37947320"/>
      <w:bookmarkStart w:id="1217" w:name="_Toc38031384"/>
      <w:bookmarkStart w:id="1218" w:name="_Toc93309893"/>
      <w:bookmarkStart w:id="1219" w:name="_Toc104290915"/>
      <w:bookmarkStart w:id="1220" w:name="_Toc530491668"/>
      <w:bookmarkStart w:id="1221" w:name="_Toc530492128"/>
      <w:bookmarkStart w:id="1222" w:name="_Toc530493138"/>
      <w:bookmarkStart w:id="1223" w:name="_Toc530556273"/>
      <w:bookmarkStart w:id="1224" w:name="_Toc531692111"/>
      <w:bookmarkStart w:id="1225" w:name="_Toc531856016"/>
      <w:bookmarkStart w:id="1226" w:name="_Toc531858744"/>
      <w:bookmarkStart w:id="1227" w:name="_Toc531859283"/>
      <w:r>
        <w:rPr>
          <w:sz w:val="26"/>
        </w:rPr>
        <w:t>Subdivision 3 — Dutiable value of dutiable transactions for business assets</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p>
    <w:p>
      <w:pPr>
        <w:pStyle w:val="Heading5"/>
        <w:spacing w:before="240"/>
      </w:pPr>
      <w:bookmarkStart w:id="1228" w:name="_Toc104290916"/>
      <w:bookmarkStart w:id="1229" w:name="_Toc531859284"/>
      <w:r>
        <w:rPr>
          <w:rStyle w:val="CharSectno"/>
        </w:rPr>
        <w:t>82</w:t>
      </w:r>
      <w:r>
        <w:t>.</w:t>
      </w:r>
      <w:r>
        <w:tab/>
        <w:t>Dutiable transaction for business asset, dutiable value of</w:t>
      </w:r>
      <w:bookmarkEnd w:id="1228"/>
      <w:bookmarkEnd w:id="1229"/>
    </w:p>
    <w:p>
      <w:pPr>
        <w:pStyle w:val="Subsection"/>
        <w:keepNext/>
        <w:keepLines/>
      </w:pPr>
      <w:r>
        <w:tab/>
      </w:r>
      <w:r>
        <w:tab/>
        <w:t xml:space="preserve">The dutiable value of a dutiable transaction for a business asset is to be determined — </w:t>
      </w:r>
    </w:p>
    <w:p>
      <w:pPr>
        <w:pStyle w:val="Indenta"/>
        <w:keepNext/>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spacing w:before="240"/>
      </w:pPr>
      <w:bookmarkStart w:id="1230" w:name="_Toc104290917"/>
      <w:bookmarkStart w:id="1231" w:name="_Toc531859285"/>
      <w:r>
        <w:rPr>
          <w:rStyle w:val="CharSectno"/>
        </w:rPr>
        <w:t>83</w:t>
      </w:r>
      <w:r>
        <w:t>.</w:t>
      </w:r>
      <w:r>
        <w:tab/>
        <w:t>Certain business licences required by Cwlth law, dutiable value of for s. 82(a)</w:t>
      </w:r>
      <w:bookmarkEnd w:id="1230"/>
      <w:bookmarkEnd w:id="1231"/>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the portion of the consideration for the transaction that relates to the carrying out of an activity in Western Australia under the authority of the business licence.</w:t>
      </w:r>
    </w:p>
    <w:p>
      <w:pPr>
        <w:pStyle w:val="Heading5"/>
        <w:spacing w:before="240"/>
      </w:pPr>
      <w:bookmarkStart w:id="1232" w:name="_Toc104290918"/>
      <w:bookmarkStart w:id="1233" w:name="_Toc531859286"/>
      <w:r>
        <w:rPr>
          <w:rStyle w:val="CharSectno"/>
        </w:rPr>
        <w:t>84</w:t>
      </w:r>
      <w:r>
        <w:t>.</w:t>
      </w:r>
      <w:r>
        <w:tab/>
        <w:t>Business licences required by WA law, dutiable value of for s. 82(b)</w:t>
      </w:r>
      <w:bookmarkEnd w:id="1232"/>
      <w:bookmarkEnd w:id="1233"/>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keepNext/>
        <w:spacing w:before="60"/>
      </w:pPr>
      <w:r>
        <w:tab/>
        <w:t>(b)</w:t>
      </w:r>
      <w:r>
        <w:tab/>
        <w:t xml:space="preserve">the unencumbered value of the business licence the subject of the transaction at the time when liability for duty on the transaction arises if — </w:t>
      </w:r>
    </w:p>
    <w:p>
      <w:pPr>
        <w:pStyle w:val="Indenti"/>
        <w:spacing w:before="60"/>
      </w:pPr>
      <w:r>
        <w:tab/>
        <w:t>(i)</w:t>
      </w:r>
      <w:r>
        <w:tab/>
        <w:t>there is no consideration for the transaction; or</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Heading5"/>
        <w:spacing w:before="240"/>
      </w:pPr>
      <w:bookmarkStart w:id="1234" w:name="_Toc104290919"/>
      <w:bookmarkStart w:id="1235" w:name="_Toc531859287"/>
      <w:r>
        <w:rPr>
          <w:rStyle w:val="CharSectno"/>
        </w:rPr>
        <w:t>85</w:t>
      </w:r>
      <w:r>
        <w:t>.</w:t>
      </w:r>
      <w:r>
        <w:tab/>
        <w:t>Dutiable value of business asset where principal place of business is in WA</w:t>
      </w:r>
      <w:bookmarkEnd w:id="1234"/>
      <w:bookmarkEnd w:id="1235"/>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rPr>
          <w:del w:id="1236" w:author="Master Repository Process" w:date="2022-05-27T14:27:00Z"/>
        </w:rPr>
      </w:pPr>
      <w:del w:id="1237" w:author="Master Repository Process" w:date="2022-05-27T14:27:00Z">
        <w:r>
          <w:rPr>
            <w:position w:val="-24"/>
          </w:rPr>
          <w:pict>
            <v:shape id="_x0000_i1028" type="#_x0000_t75" style="width:114.75pt;height:30.75pt">
              <v:imagedata r:id="rId16" o:title=""/>
            </v:shape>
          </w:pict>
        </w:r>
      </w:del>
    </w:p>
    <w:p>
      <w:pPr>
        <w:pStyle w:val="Graphics"/>
        <w:spacing w:before="60"/>
        <w:ind w:left="958"/>
        <w:rPr>
          <w:ins w:id="1238" w:author="Master Repository Process" w:date="2022-05-27T14:27:00Z"/>
        </w:rPr>
      </w:pPr>
      <w:ins w:id="1239" w:author="Master Repository Process" w:date="2022-05-27T14:27:00Z">
        <w:r>
          <w:rPr>
            <w:position w:val="-24"/>
          </w:rPr>
          <w:pict>
            <v:shape id="_x0000_i1029" type="#_x0000_t75" style="width:117pt;height:30.75pt">
              <v:imagedata r:id="rId16" o:title=""/>
            </v:shape>
          </w:pict>
        </w:r>
      </w:ins>
    </w:p>
    <w:p>
      <w:pPr>
        <w:pStyle w:val="Subsection"/>
        <w:spacing w:before="120"/>
      </w:pPr>
      <w:r>
        <w:tab/>
      </w:r>
      <w:r>
        <w:tab/>
        <w:t>where —</w:t>
      </w:r>
    </w:p>
    <w:p>
      <w:pPr>
        <w:pStyle w:val="Subsection"/>
        <w:spacing w:before="60"/>
      </w:pPr>
      <w:r>
        <w:tab/>
      </w:r>
      <w:r>
        <w:tab/>
        <w:t xml:space="preserve">DV is </w:t>
      </w:r>
      <w:r>
        <w:rPr>
          <w:snapToGrid w:val="0"/>
        </w:rPr>
        <w:t>the</w:t>
      </w:r>
      <w:r>
        <w:t xml:space="preserve"> dutiable value;</w:t>
      </w:r>
    </w:p>
    <w:p>
      <w:pPr>
        <w:pStyle w:val="Subsection"/>
        <w:spacing w:before="60"/>
      </w:pPr>
      <w:r>
        <w:tab/>
      </w:r>
      <w:r>
        <w:tab/>
        <w:t xml:space="preserve">CUV is — </w:t>
      </w:r>
    </w:p>
    <w:p>
      <w:pPr>
        <w:pStyle w:val="Indenta"/>
        <w:spacing w:before="60"/>
      </w:pPr>
      <w:r>
        <w:tab/>
        <w:t>(a)</w:t>
      </w:r>
      <w:r>
        <w:tab/>
        <w:t>the consideration for the transaction; or</w:t>
      </w:r>
    </w:p>
    <w:p>
      <w:pPr>
        <w:pStyle w:val="Indenta"/>
        <w:spacing w:before="60"/>
      </w:pPr>
      <w:r>
        <w:tab/>
        <w:t>(b)</w:t>
      </w:r>
      <w:r>
        <w:tab/>
        <w:t xml:space="preserve">the unencumbered value of the business asset the subject of the transaction if — </w:t>
      </w:r>
    </w:p>
    <w:p>
      <w:pPr>
        <w:pStyle w:val="Indenti"/>
        <w:spacing w:before="60"/>
      </w:pPr>
      <w:r>
        <w:tab/>
        <w:t>(i)</w:t>
      </w:r>
      <w:r>
        <w:tab/>
        <w:t xml:space="preserve">there is no consideration for the transaction; or </w:t>
      </w:r>
    </w:p>
    <w:p>
      <w:pPr>
        <w:pStyle w:val="Indenti"/>
        <w:spacing w:before="60"/>
      </w:pPr>
      <w:r>
        <w:tab/>
        <w:t>(ii)</w:t>
      </w:r>
      <w:r>
        <w:tab/>
        <w:t>the consideration cannot be ascertained when liability for duty on the transaction arises; or</w:t>
      </w:r>
    </w:p>
    <w:p>
      <w:pPr>
        <w:pStyle w:val="Indenti"/>
        <w:spacing w:before="6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spacing w:before="160"/>
      </w:pPr>
      <w:bookmarkStart w:id="1240" w:name="_Toc104290920"/>
      <w:bookmarkStart w:id="1241" w:name="_Toc531859288"/>
      <w:r>
        <w:rPr>
          <w:rStyle w:val="CharSectno"/>
        </w:rPr>
        <w:t>86</w:t>
      </w:r>
      <w:r>
        <w:t>.</w:t>
      </w:r>
      <w:r>
        <w:tab/>
        <w:t>Dutiable value of business asset where principal place of business is out of WA</w:t>
      </w:r>
      <w:bookmarkEnd w:id="1240"/>
      <w:bookmarkEnd w:id="1241"/>
    </w:p>
    <w:p>
      <w:pPr>
        <w:pStyle w:val="Subsection"/>
        <w:spacing w:before="120"/>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rPr>
          <w:del w:id="1242" w:author="Master Repository Process" w:date="2022-05-27T14:27:00Z"/>
        </w:rPr>
      </w:pPr>
      <w:del w:id="1243" w:author="Master Repository Process" w:date="2022-05-27T14:27:00Z">
        <w:r>
          <w:rPr>
            <w:position w:val="-24"/>
          </w:rPr>
          <w:pict>
            <v:shape id="_x0000_i1030" type="#_x0000_t75" style="width:99pt;height:30.75pt">
              <v:imagedata r:id="rId17" o:title=""/>
            </v:shape>
          </w:pict>
        </w:r>
      </w:del>
    </w:p>
    <w:p>
      <w:pPr>
        <w:pStyle w:val="Graphics"/>
        <w:spacing w:before="60"/>
        <w:ind w:left="907"/>
        <w:rPr>
          <w:ins w:id="1244" w:author="Master Repository Process" w:date="2022-05-27T14:27:00Z"/>
        </w:rPr>
      </w:pPr>
      <w:ins w:id="1245" w:author="Master Repository Process" w:date="2022-05-27T14:27:00Z">
        <w:r>
          <w:rPr>
            <w:position w:val="-24"/>
          </w:rPr>
          <w:pict>
            <v:shape id="_x0000_i1031" type="#_x0000_t75" style="width:101.25pt;height:30.75pt">
              <v:imagedata r:id="rId17" o:title=""/>
            </v:shape>
          </w:pict>
        </w:r>
      </w:ins>
    </w:p>
    <w:p>
      <w:pPr>
        <w:pStyle w:val="Subsection"/>
        <w:keepLines/>
        <w:spacing w:before="80"/>
      </w:pPr>
      <w:r>
        <w:tab/>
      </w:r>
      <w:r>
        <w:tab/>
        <w:t>where —</w:t>
      </w:r>
    </w:p>
    <w:p>
      <w:pPr>
        <w:pStyle w:val="Subsection"/>
        <w:spacing w:before="80"/>
      </w:pPr>
      <w:r>
        <w:tab/>
      </w:r>
      <w:r>
        <w:tab/>
        <w:t xml:space="preserve">DV is </w:t>
      </w:r>
      <w:r>
        <w:rPr>
          <w:snapToGrid w:val="0"/>
        </w:rPr>
        <w:t>the</w:t>
      </w:r>
      <w:r>
        <w:t xml:space="preserve"> dutiable value;</w:t>
      </w:r>
    </w:p>
    <w:p>
      <w:pPr>
        <w:pStyle w:val="Subsection"/>
        <w:spacing w:before="8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80"/>
      </w:pPr>
      <w:r>
        <w:tab/>
      </w:r>
      <w:r>
        <w:tab/>
        <w:t>TS is the gross amount (in Australian dollars) of all the commodities supplied and services provided by the business in the last 3 completed financial years preceding the transaction;</w:t>
      </w:r>
    </w:p>
    <w:p>
      <w:pPr>
        <w:pStyle w:val="Subsection"/>
        <w:spacing w:before="18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1246" w:name="_Toc37946726"/>
      <w:bookmarkStart w:id="1247" w:name="_Toc37947326"/>
      <w:bookmarkStart w:id="1248" w:name="_Toc38031390"/>
      <w:bookmarkStart w:id="1249" w:name="_Toc93309899"/>
      <w:bookmarkStart w:id="1250" w:name="_Toc104290921"/>
      <w:bookmarkStart w:id="1251" w:name="_Toc530491674"/>
      <w:bookmarkStart w:id="1252" w:name="_Toc530492134"/>
      <w:bookmarkStart w:id="1253" w:name="_Toc530493144"/>
      <w:bookmarkStart w:id="1254" w:name="_Toc530556279"/>
      <w:bookmarkStart w:id="1255" w:name="_Toc531692117"/>
      <w:bookmarkStart w:id="1256" w:name="_Toc531856022"/>
      <w:bookmarkStart w:id="1257" w:name="_Toc531858750"/>
      <w:bookmarkStart w:id="1258" w:name="_Toc531859289"/>
      <w:r>
        <w:rPr>
          <w:sz w:val="26"/>
        </w:rPr>
        <w:t>Division 6 — Conditional agreements</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pPr>
        <w:pStyle w:val="Heading5"/>
        <w:spacing w:before="240"/>
      </w:pPr>
      <w:bookmarkStart w:id="1259" w:name="_Toc104290922"/>
      <w:bookmarkStart w:id="1260" w:name="_Toc531859290"/>
      <w:r>
        <w:rPr>
          <w:rStyle w:val="CharSectno"/>
        </w:rPr>
        <w:t>87</w:t>
      </w:r>
      <w:r>
        <w:t>.</w:t>
      </w:r>
      <w:r>
        <w:tab/>
        <w:t>References to conditional agreement</w:t>
      </w:r>
      <w:bookmarkEnd w:id="1259"/>
      <w:bookmarkEnd w:id="1260"/>
    </w:p>
    <w:p>
      <w:pPr>
        <w:pStyle w:val="Subsection"/>
        <w:spacing w:before="180"/>
      </w:pPr>
      <w:r>
        <w:tab/>
        <w:t>(1)</w:t>
      </w:r>
      <w:r>
        <w:tab/>
        <w:t xml:space="preserve">A reference to a conditional agreement is to an agreement for the transfer of dutiable property where — </w:t>
      </w:r>
    </w:p>
    <w:p>
      <w:pPr>
        <w:pStyle w:val="Indenta"/>
        <w:spacing w:before="100"/>
      </w:pPr>
      <w:r>
        <w:tab/>
        <w:t>(a)</w:t>
      </w:r>
      <w:r>
        <w:tab/>
        <w:t>completion of the agreement is conditional on the happening of one or more of the events described in subsection (2) and specified in an instrument effecting or evidencing the agreement; and</w:t>
      </w:r>
    </w:p>
    <w:p>
      <w:pPr>
        <w:pStyle w:val="Indenta"/>
        <w:spacing w:before="100"/>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keepNext/>
        <w:keepLines/>
        <w:spacing w:before="100"/>
      </w:pPr>
      <w:r>
        <w:tab/>
        <w:t>(c)</w:t>
      </w:r>
      <w:r>
        <w:tab/>
        <w:t>a person related to a party to the agreement does not have control over the happening of the event,</w:t>
      </w:r>
    </w:p>
    <w:p>
      <w:pPr>
        <w:pStyle w:val="Subsection"/>
        <w:keepNext/>
        <w:keepLines/>
        <w:spacing w:before="100"/>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keepNext/>
      </w:pPr>
      <w:r>
        <w:tab/>
        <w:t>(5)</w:t>
      </w:r>
      <w:r>
        <w:tab/>
        <w:t xml:space="preserve">For the purposes of subsection (1)(c), the following persons are related persons —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rPr>
          <w:snapToGrid w:val="0"/>
        </w:rPr>
      </w:pPr>
      <w:r>
        <w:rPr>
          <w:snapToGrid w:val="0"/>
        </w:rPr>
        <w:tab/>
        <w:t>(i)</w:t>
      </w:r>
      <w:r>
        <w:rPr>
          <w:snapToGrid w:val="0"/>
        </w:rPr>
        <w:tab/>
        <w:t xml:space="preserve">a corporation and a trustee if — </w:t>
      </w:r>
    </w:p>
    <w:p>
      <w:pPr>
        <w:pStyle w:val="Indenti"/>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rPr>
          <w:snapToGrid w:val="0"/>
        </w:rPr>
      </w:pPr>
      <w:r>
        <w:rPr>
          <w:snapToGrid w:val="0"/>
        </w:rPr>
        <w:tab/>
        <w:t>(ii)</w:t>
      </w:r>
      <w:r>
        <w:rPr>
          <w:snapToGrid w:val="0"/>
        </w:rPr>
        <w:tab/>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pPr>
      <w:r>
        <w:tab/>
        <w:t>(6)</w:t>
      </w:r>
      <w:r>
        <w:tab/>
        <w:t xml:space="preserve">A reference in subsection (5)(d)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 xml:space="preserve">a brother or sister of the person or </w:t>
      </w:r>
      <w:ins w:id="1261" w:author="Master Repository Process" w:date="2022-05-27T14:27:00Z">
        <w:r>
          <w:t xml:space="preserve">a child or </w:t>
        </w:r>
      </w:ins>
      <w:r>
        <w:t>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w:t>
      </w:r>
      <w:del w:id="1262" w:author="Master Repository Process" w:date="2022-05-27T14:27:00Z">
        <w:r>
          <w:delText>a), (</w:delText>
        </w:r>
      </w:del>
      <w:r>
        <w:t>b), (c) or (d) of a person referred to in paragraph (e); or</w:t>
      </w:r>
    </w:p>
    <w:p>
      <w:pPr>
        <w:pStyle w:val="Indenta"/>
      </w:pPr>
      <w:r>
        <w:tab/>
        <w:t>(g)</w:t>
      </w:r>
      <w:r>
        <w:tab/>
        <w:t>the spouse or de facto partner of a person mentioned in paragraph (a), (b), (c) or (d</w:t>
      </w:r>
      <w:del w:id="1263" w:author="Master Repository Process" w:date="2022-05-27T14:27:00Z">
        <w:r>
          <w:delText>),</w:delText>
        </w:r>
      </w:del>
      <w:ins w:id="1264" w:author="Master Repository Process" w:date="2022-05-27T14:27:00Z">
        <w:r>
          <w:t>); or</w:t>
        </w:r>
      </w:ins>
    </w:p>
    <w:p>
      <w:pPr>
        <w:pStyle w:val="Indenta"/>
        <w:rPr>
          <w:ins w:id="1265" w:author="Master Repository Process" w:date="2022-05-27T14:27:00Z"/>
        </w:rPr>
      </w:pPr>
      <w:ins w:id="1266" w:author="Master Repository Process" w:date="2022-05-27T14:27:00Z">
        <w:r>
          <w:tab/>
          <w:t>(h)</w:t>
        </w:r>
        <w:r>
          <w:tab/>
          <w:t>a child or remoter lineal descendant of a former spouse or former de facto partner of a person,</w:t>
        </w:r>
      </w:ins>
    </w:p>
    <w:p>
      <w:pPr>
        <w:pStyle w:val="Subsection"/>
      </w:pPr>
      <w:r>
        <w:tab/>
      </w:r>
      <w:r>
        <w:tab/>
        <w:t>or more than one of them.</w:t>
      </w:r>
    </w:p>
    <w:p>
      <w:pPr>
        <w:pStyle w:val="Footnotesection"/>
        <w:ind w:left="890" w:hanging="890"/>
      </w:pPr>
      <w:r>
        <w:tab/>
        <w:t>[Section 87 amended: No. 17 of 2010 s. </w:t>
      </w:r>
      <w:del w:id="1267" w:author="Master Repository Process" w:date="2022-05-27T14:27:00Z">
        <w:r>
          <w:delText>8</w:delText>
        </w:r>
      </w:del>
      <w:ins w:id="1268" w:author="Master Repository Process" w:date="2022-05-27T14:27:00Z">
        <w:r>
          <w:t>8; No. 12 of 2019 s. 33</w:t>
        </w:r>
      </w:ins>
      <w:r>
        <w:t>.]</w:t>
      </w:r>
    </w:p>
    <w:p>
      <w:pPr>
        <w:pStyle w:val="Heading5"/>
        <w:keepLines w:val="0"/>
        <w:spacing w:before="240"/>
      </w:pPr>
      <w:bookmarkStart w:id="1269" w:name="_Toc104290923"/>
      <w:bookmarkStart w:id="1270" w:name="_Toc531859291"/>
      <w:r>
        <w:rPr>
          <w:rStyle w:val="CharSectno"/>
        </w:rPr>
        <w:t>88A</w:t>
      </w:r>
      <w:r>
        <w:t>.</w:t>
      </w:r>
      <w:r>
        <w:tab/>
        <w:t>General conditional agreements, no duty on if terminated on relevant grounds</w:t>
      </w:r>
      <w:bookmarkEnd w:id="1269"/>
      <w:bookmarkEnd w:id="1270"/>
    </w:p>
    <w:p>
      <w:pPr>
        <w:pStyle w:val="Subsection"/>
        <w:spacing w:before="180"/>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spacing w:before="180"/>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ind w:left="890" w:hanging="890"/>
      </w:pPr>
      <w:r>
        <w:tab/>
        <w:t>[Section 88A inserted: No. 17 of 2010 s. 9.]</w:t>
      </w:r>
    </w:p>
    <w:p>
      <w:pPr>
        <w:pStyle w:val="Heading5"/>
        <w:spacing w:before="240"/>
      </w:pPr>
      <w:bookmarkStart w:id="1271" w:name="_Toc104290924"/>
      <w:bookmarkStart w:id="1272" w:name="_Toc531859292"/>
      <w:r>
        <w:rPr>
          <w:rStyle w:val="CharSectno"/>
        </w:rPr>
        <w:t>88</w:t>
      </w:r>
      <w:r>
        <w:t>.</w:t>
      </w:r>
      <w:r>
        <w:tab/>
        <w:t>References to farming land conditional agreement</w:t>
      </w:r>
      <w:bookmarkEnd w:id="1271"/>
      <w:bookmarkEnd w:id="1272"/>
    </w:p>
    <w:p>
      <w:pPr>
        <w:pStyle w:val="Subsection"/>
        <w:spacing w:before="180"/>
      </w:pPr>
      <w:r>
        <w:tab/>
      </w:r>
      <w:r>
        <w:tab/>
        <w:t>A reference to a farming land conditional agreement is to a conditional agreement the subject of which is solely or dominantly farming land within the meaning of section 99(1).</w:t>
      </w:r>
    </w:p>
    <w:p>
      <w:pPr>
        <w:pStyle w:val="Heading5"/>
        <w:keepLines w:val="0"/>
        <w:spacing w:before="180"/>
      </w:pPr>
      <w:bookmarkStart w:id="1273" w:name="_Toc104290925"/>
      <w:bookmarkStart w:id="1274" w:name="_Toc531859293"/>
      <w:r>
        <w:rPr>
          <w:rStyle w:val="CharSectno"/>
        </w:rPr>
        <w:t>89</w:t>
      </w:r>
      <w:r>
        <w:t>.</w:t>
      </w:r>
      <w:r>
        <w:tab/>
        <w:t>References to mining tenement conditional agreement</w:t>
      </w:r>
      <w:bookmarkEnd w:id="1273"/>
      <w:bookmarkEnd w:id="1274"/>
    </w:p>
    <w:p>
      <w:pPr>
        <w:pStyle w:val="Subsection"/>
        <w:spacing w:before="80"/>
      </w:pPr>
      <w:r>
        <w:tab/>
      </w:r>
      <w:r>
        <w:tab/>
        <w:t>A reference to a mining tenement conditional agreement is to a conditional agreement the subject of which is a mining tenement.</w:t>
      </w:r>
    </w:p>
    <w:p>
      <w:pPr>
        <w:pStyle w:val="Heading5"/>
        <w:spacing w:before="180"/>
      </w:pPr>
      <w:bookmarkStart w:id="1275" w:name="_Toc104290926"/>
      <w:bookmarkStart w:id="1276" w:name="_Toc531859294"/>
      <w:r>
        <w:rPr>
          <w:rStyle w:val="CharSectno"/>
        </w:rPr>
        <w:t>90</w:t>
      </w:r>
      <w:r>
        <w:t>.</w:t>
      </w:r>
      <w:r>
        <w:tab/>
        <w:t>References to issue of title conditional agreement</w:t>
      </w:r>
      <w:bookmarkEnd w:id="1275"/>
      <w:bookmarkEnd w:id="1276"/>
    </w:p>
    <w:p>
      <w:pPr>
        <w:pStyle w:val="Subsection"/>
        <w:spacing w:before="120"/>
      </w:pPr>
      <w:r>
        <w:tab/>
      </w:r>
      <w:r>
        <w:tab/>
        <w:t xml:space="preserve">A reference to an issue of title conditional agreement is to a conditional agreement — </w:t>
      </w:r>
    </w:p>
    <w:p>
      <w:pPr>
        <w:pStyle w:val="Indenta"/>
        <w:spacing w:before="60"/>
      </w:pPr>
      <w:r>
        <w:tab/>
        <w:t>(a)</w:t>
      </w:r>
      <w:r>
        <w:tab/>
        <w:t>for the sale of land conditional on the happening of one or more of the events described in section 87(2)(j) or (m); or</w:t>
      </w:r>
    </w:p>
    <w:p>
      <w:pPr>
        <w:pStyle w:val="Indenta"/>
        <w:spacing w:before="60"/>
      </w:pPr>
      <w:r>
        <w:tab/>
        <w:t>(b)</w:t>
      </w:r>
      <w:r>
        <w:tab/>
        <w:t xml:space="preserve">for — </w:t>
      </w:r>
    </w:p>
    <w:p>
      <w:pPr>
        <w:pStyle w:val="Indenti"/>
        <w:spacing w:before="60"/>
      </w:pPr>
      <w:r>
        <w:tab/>
        <w:t>(i)</w:t>
      </w:r>
      <w:r>
        <w:tab/>
        <w:t>the sale of a strata lot; and</w:t>
      </w:r>
    </w:p>
    <w:p>
      <w:pPr>
        <w:pStyle w:val="Indenti"/>
        <w:spacing w:before="60"/>
      </w:pPr>
      <w:r>
        <w:tab/>
        <w:t>(ii)</w:t>
      </w:r>
      <w:r>
        <w:tab/>
        <w:t>the construction on the strata lot, after liability for duty on the agreement arises, of a building for commercial, residential or mixed use purposes.</w:t>
      </w:r>
    </w:p>
    <w:p>
      <w:pPr>
        <w:pStyle w:val="Footnotesection"/>
        <w:spacing w:before="80"/>
        <w:ind w:left="890" w:hanging="890"/>
      </w:pPr>
      <w:r>
        <w:tab/>
        <w:t>[Section 90 inserted: No. 17 of 2010 s. 10.]</w:t>
      </w:r>
    </w:p>
    <w:p>
      <w:pPr>
        <w:pStyle w:val="Heading5"/>
        <w:spacing w:before="180"/>
      </w:pPr>
      <w:bookmarkStart w:id="1277" w:name="_Toc104290927"/>
      <w:bookmarkStart w:id="1278" w:name="_Toc531859295"/>
      <w:r>
        <w:rPr>
          <w:rStyle w:val="CharSectno"/>
        </w:rPr>
        <w:t>91</w:t>
      </w:r>
      <w:r>
        <w:t>.</w:t>
      </w:r>
      <w:r>
        <w:tab/>
        <w:t>References to subdivision conditional agreement</w:t>
      </w:r>
      <w:bookmarkEnd w:id="1277"/>
      <w:bookmarkEnd w:id="1278"/>
    </w:p>
    <w:p>
      <w:pPr>
        <w:pStyle w:val="Subsection"/>
        <w:spacing w:before="120"/>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4"/>
        <w:rPr>
          <w:ins w:id="1279" w:author="Master Repository Process" w:date="2022-05-27T14:27:00Z"/>
        </w:rPr>
      </w:pPr>
      <w:bookmarkStart w:id="1280" w:name="_Toc37946733"/>
      <w:bookmarkStart w:id="1281" w:name="_Toc37947333"/>
      <w:bookmarkStart w:id="1282" w:name="_Toc38031397"/>
      <w:bookmarkStart w:id="1283" w:name="_Toc93309906"/>
      <w:bookmarkStart w:id="1284" w:name="_Toc104290928"/>
      <w:ins w:id="1285" w:author="Master Repository Process" w:date="2022-05-27T14:27:00Z">
        <w:r>
          <w:rPr>
            <w:sz w:val="26"/>
          </w:rPr>
          <w:t>Division 7</w:t>
        </w:r>
        <w:r>
          <w:t> — Rights relating to fixed infrastructure</w:t>
        </w:r>
        <w:bookmarkEnd w:id="1280"/>
        <w:bookmarkEnd w:id="1281"/>
        <w:bookmarkEnd w:id="1282"/>
        <w:bookmarkEnd w:id="1283"/>
        <w:bookmarkEnd w:id="1284"/>
      </w:ins>
    </w:p>
    <w:p>
      <w:pPr>
        <w:pStyle w:val="Footnoteheading"/>
        <w:rPr>
          <w:ins w:id="1286" w:author="Master Repository Process" w:date="2022-05-27T14:27:00Z"/>
        </w:rPr>
      </w:pPr>
      <w:ins w:id="1287" w:author="Master Repository Process" w:date="2022-05-27T14:27:00Z">
        <w:r>
          <w:tab/>
          <w:t>[Heading inserted: No. 12 of 2019 s. 34.]</w:t>
        </w:r>
      </w:ins>
    </w:p>
    <w:p>
      <w:pPr>
        <w:pStyle w:val="Heading5"/>
        <w:rPr>
          <w:ins w:id="1288" w:author="Master Repository Process" w:date="2022-05-27T14:27:00Z"/>
        </w:rPr>
      </w:pPr>
      <w:bookmarkStart w:id="1289" w:name="_Toc104290929"/>
      <w:ins w:id="1290" w:author="Master Repository Process" w:date="2022-05-27T14:27:00Z">
        <w:r>
          <w:rPr>
            <w:rStyle w:val="CharSectno"/>
          </w:rPr>
          <w:t>91A</w:t>
        </w:r>
        <w:r>
          <w:t>.</w:t>
        </w:r>
        <w:r>
          <w:tab/>
          <w:t>Terms used</w:t>
        </w:r>
        <w:bookmarkEnd w:id="1289"/>
      </w:ins>
    </w:p>
    <w:p>
      <w:pPr>
        <w:pStyle w:val="Subsection"/>
        <w:rPr>
          <w:ins w:id="1291" w:author="Master Repository Process" w:date="2022-05-27T14:27:00Z"/>
        </w:rPr>
      </w:pPr>
      <w:ins w:id="1292" w:author="Master Repository Process" w:date="2022-05-27T14:27:00Z">
        <w:r>
          <w:tab/>
          <w:t>(1)</w:t>
        </w:r>
        <w:r>
          <w:tab/>
          <w:t xml:space="preserve">In this Division — </w:t>
        </w:r>
      </w:ins>
    </w:p>
    <w:p>
      <w:pPr>
        <w:pStyle w:val="Defstart"/>
        <w:rPr>
          <w:ins w:id="1293" w:author="Master Repository Process" w:date="2022-05-27T14:27:00Z"/>
        </w:rPr>
      </w:pPr>
      <w:ins w:id="1294" w:author="Master Repository Process" w:date="2022-05-27T14:27:00Z">
        <w:r>
          <w:tab/>
        </w:r>
        <w:r>
          <w:rPr>
            <w:rStyle w:val="CharDefText"/>
          </w:rPr>
          <w:t>fixed infrastructure</w:t>
        </w:r>
        <w:r>
          <w:rPr>
            <w:rStyle w:val="CharDefText"/>
            <w:b w:val="0"/>
            <w:i w:val="0"/>
          </w:rPr>
          <w:t xml:space="preserve"> </w:t>
        </w:r>
        <w:r>
          <w:t>means dutiable property that is land in Western Australia that is a thing to which section 3A(1)(f) applies;</w:t>
        </w:r>
      </w:ins>
    </w:p>
    <w:p>
      <w:pPr>
        <w:pStyle w:val="Defstart"/>
        <w:rPr>
          <w:ins w:id="1295" w:author="Master Repository Process" w:date="2022-05-27T14:27:00Z"/>
        </w:rPr>
      </w:pPr>
      <w:ins w:id="1296" w:author="Master Repository Process" w:date="2022-05-27T14:27:00Z">
        <w:r>
          <w:tab/>
        </w:r>
        <w:r>
          <w:rPr>
            <w:rStyle w:val="CharDefText"/>
          </w:rPr>
          <w:t>fixed infrastructure access right</w:t>
        </w:r>
        <w:r>
          <w:t xml:space="preserve"> means a licence or other right that authorises access to or use of any land for — </w:t>
        </w:r>
      </w:ins>
    </w:p>
    <w:p>
      <w:pPr>
        <w:pStyle w:val="Defpara"/>
        <w:rPr>
          <w:ins w:id="1297" w:author="Master Repository Process" w:date="2022-05-27T14:27:00Z"/>
        </w:rPr>
      </w:pPr>
      <w:ins w:id="1298" w:author="Master Repository Process" w:date="2022-05-27T14:27:00Z">
        <w:r>
          <w:tab/>
          <w:t>(a)</w:t>
        </w:r>
        <w:r>
          <w:tab/>
          <w:t>a purpose related to the control, operation, use, construction, inspection, testing, maintenance or repair of fixed infrastructure or of things used in conjunction with fixed infrastructure; or</w:t>
        </w:r>
      </w:ins>
    </w:p>
    <w:p>
      <w:pPr>
        <w:pStyle w:val="Defpara"/>
        <w:rPr>
          <w:ins w:id="1299" w:author="Master Repository Process" w:date="2022-05-27T14:27:00Z"/>
        </w:rPr>
      </w:pPr>
      <w:ins w:id="1300" w:author="Master Repository Process" w:date="2022-05-27T14:27:00Z">
        <w:r>
          <w:tab/>
          <w:t>(b)</w:t>
        </w:r>
        <w:r>
          <w:tab/>
          <w:t>any other purpose associated with fixed infrastructure;</w:t>
        </w:r>
      </w:ins>
    </w:p>
    <w:p>
      <w:pPr>
        <w:pStyle w:val="Defstart"/>
        <w:keepNext/>
        <w:rPr>
          <w:ins w:id="1301" w:author="Master Repository Process" w:date="2022-05-27T14:27:00Z"/>
        </w:rPr>
      </w:pPr>
      <w:ins w:id="1302" w:author="Master Repository Process" w:date="2022-05-27T14:27:00Z">
        <w:r>
          <w:tab/>
        </w:r>
        <w:r>
          <w:rPr>
            <w:rStyle w:val="CharDefText"/>
          </w:rPr>
          <w:t>fixed infrastructure control right</w:t>
        </w:r>
        <w:r>
          <w:t xml:space="preserve"> — </w:t>
        </w:r>
      </w:ins>
    </w:p>
    <w:p>
      <w:pPr>
        <w:pStyle w:val="Defpara"/>
        <w:rPr>
          <w:ins w:id="1303" w:author="Master Repository Process" w:date="2022-05-27T14:27:00Z"/>
        </w:rPr>
      </w:pPr>
      <w:ins w:id="1304" w:author="Master Repository Process" w:date="2022-05-27T14:27:00Z">
        <w:r>
          <w:tab/>
          <w:t>(a)</w:t>
        </w:r>
        <w:r>
          <w:tab/>
          <w:t>means a lease, licence or other right that enables the holder to have the day</w:t>
        </w:r>
        <w:r>
          <w:noBreakHyphen/>
          <w:t>to</w:t>
        </w:r>
        <w:r>
          <w:noBreakHyphen/>
          <w:t>day control, and the operation or use, of fixed infrastructure; but</w:t>
        </w:r>
      </w:ins>
    </w:p>
    <w:p>
      <w:pPr>
        <w:pStyle w:val="Defpara"/>
        <w:rPr>
          <w:ins w:id="1305" w:author="Master Repository Process" w:date="2022-05-27T14:27:00Z"/>
        </w:rPr>
      </w:pPr>
      <w:ins w:id="1306" w:author="Master Repository Process" w:date="2022-05-27T14:27:00Z">
        <w:r>
          <w:tab/>
          <w:t>(b)</w:t>
        </w:r>
        <w:r>
          <w:tab/>
          <w:t xml:space="preserve">does not include — </w:t>
        </w:r>
      </w:ins>
    </w:p>
    <w:p>
      <w:pPr>
        <w:pStyle w:val="Defsubpara"/>
        <w:rPr>
          <w:ins w:id="1307" w:author="Master Repository Process" w:date="2022-05-27T14:27:00Z"/>
        </w:rPr>
      </w:pPr>
      <w:ins w:id="1308" w:author="Master Repository Process" w:date="2022-05-27T14:27:00Z">
        <w:r>
          <w:tab/>
          <w:t>(i)</w:t>
        </w:r>
        <w:r>
          <w:tab/>
          <w:t>a security interest; or</w:t>
        </w:r>
      </w:ins>
    </w:p>
    <w:p>
      <w:pPr>
        <w:pStyle w:val="Defsubpara"/>
        <w:rPr>
          <w:ins w:id="1309" w:author="Master Repository Process" w:date="2022-05-27T14:27:00Z"/>
        </w:rPr>
      </w:pPr>
      <w:ins w:id="1310" w:author="Master Repository Process" w:date="2022-05-27T14:27:00Z">
        <w:r>
          <w:tab/>
          <w:t>(ii)</w:t>
        </w:r>
        <w:r>
          <w:tab/>
          <w:t>a fixed infrastructure statutory licence;</w:t>
        </w:r>
      </w:ins>
    </w:p>
    <w:p>
      <w:pPr>
        <w:pStyle w:val="Defstart"/>
        <w:rPr>
          <w:ins w:id="1311" w:author="Master Repository Process" w:date="2022-05-27T14:27:00Z"/>
        </w:rPr>
      </w:pPr>
      <w:ins w:id="1312" w:author="Master Repository Process" w:date="2022-05-27T14:27:00Z">
        <w:r>
          <w:tab/>
        </w:r>
        <w:r>
          <w:rPr>
            <w:rStyle w:val="CharDefText"/>
          </w:rPr>
          <w:t>fixed infrastructure statutory licence</w:t>
        </w:r>
        <w:r>
          <w:t xml:space="preserve"> means a licence, permit or authority that is issued, granted or given under a written law or a law of the Commonwealth (the </w:t>
        </w:r>
        <w:r>
          <w:rPr>
            <w:rStyle w:val="CharDefText"/>
          </w:rPr>
          <w:t>issuing law</w:t>
        </w:r>
        <w:r>
          <w:t xml:space="preserve">) if — </w:t>
        </w:r>
      </w:ins>
    </w:p>
    <w:p>
      <w:pPr>
        <w:pStyle w:val="Defpara"/>
        <w:rPr>
          <w:ins w:id="1313" w:author="Master Repository Process" w:date="2022-05-27T14:27:00Z"/>
        </w:rPr>
      </w:pPr>
      <w:ins w:id="1314" w:author="Master Repository Process" w:date="2022-05-27T14:27:00Z">
        <w:r>
          <w:tab/>
          <w:t>(a)</w:t>
        </w:r>
        <w:r>
          <w:tab/>
          <w:t xml:space="preserve">the licence, permit or authority authorises the ownership, control, operation or use of a thing (the </w:t>
        </w:r>
        <w:r>
          <w:rPr>
            <w:rStyle w:val="CharDefText"/>
          </w:rPr>
          <w:t>relevant activity</w:t>
        </w:r>
        <w:r>
          <w:t>); and</w:t>
        </w:r>
      </w:ins>
    </w:p>
    <w:p>
      <w:pPr>
        <w:pStyle w:val="Indenta"/>
        <w:rPr>
          <w:ins w:id="1315" w:author="Master Repository Process" w:date="2022-05-27T14:27:00Z"/>
        </w:rPr>
      </w:pPr>
      <w:ins w:id="1316" w:author="Master Repository Process" w:date="2022-05-27T14:27:00Z">
        <w:r>
          <w:tab/>
          <w:t>(b)</w:t>
        </w:r>
        <w:r>
          <w:tab/>
          <w:t>the issuing law prohibits a person that does not hold such a licence, permit or authority from engaging in the relevant activity; and</w:t>
        </w:r>
      </w:ins>
    </w:p>
    <w:p>
      <w:pPr>
        <w:pStyle w:val="Indenta"/>
        <w:rPr>
          <w:ins w:id="1317" w:author="Master Repository Process" w:date="2022-05-27T14:27:00Z"/>
        </w:rPr>
      </w:pPr>
      <w:ins w:id="1318" w:author="Master Repository Process" w:date="2022-05-27T14:27:00Z">
        <w:r>
          <w:tab/>
          <w:t>(c)</w:t>
        </w:r>
        <w:r>
          <w:tab/>
          <w:t>the thing referred to in paragraph (a) is fixed infrastructure;</w:t>
        </w:r>
      </w:ins>
    </w:p>
    <w:p>
      <w:pPr>
        <w:pStyle w:val="Defstart"/>
        <w:rPr>
          <w:ins w:id="1319" w:author="Master Repository Process" w:date="2022-05-27T14:27:00Z"/>
        </w:rPr>
      </w:pPr>
      <w:ins w:id="1320" w:author="Master Repository Process" w:date="2022-05-27T14:27:00Z">
        <w:r>
          <w:tab/>
        </w:r>
        <w:r>
          <w:rPr>
            <w:rStyle w:val="CharDefText"/>
          </w:rPr>
          <w:t>landholder</w:t>
        </w:r>
        <w:r>
          <w:t xml:space="preserve"> has the meaning given in section 148(1);</w:t>
        </w:r>
      </w:ins>
    </w:p>
    <w:p>
      <w:pPr>
        <w:pStyle w:val="Defstart"/>
        <w:rPr>
          <w:ins w:id="1321" w:author="Master Repository Process" w:date="2022-05-27T14:27:00Z"/>
        </w:rPr>
      </w:pPr>
      <w:ins w:id="1322" w:author="Master Repository Process" w:date="2022-05-27T14:27:00Z">
        <w:r>
          <w:tab/>
        </w:r>
        <w:r>
          <w:rPr>
            <w:rStyle w:val="CharDefText"/>
          </w:rPr>
          <w:t>linked entity</w:t>
        </w:r>
        <w:r>
          <w:t xml:space="preserve"> has the meaning given in section 148(1).</w:t>
        </w:r>
      </w:ins>
    </w:p>
    <w:p>
      <w:pPr>
        <w:pStyle w:val="Subsection"/>
        <w:rPr>
          <w:ins w:id="1323" w:author="Master Repository Process" w:date="2022-05-27T14:27:00Z"/>
        </w:rPr>
      </w:pPr>
      <w:ins w:id="1324" w:author="Master Repository Process" w:date="2022-05-27T14:27:00Z">
        <w:r>
          <w:tab/>
          <w:t>(2)</w:t>
        </w:r>
        <w:r>
          <w:tab/>
          <w:t xml:space="preserve">In the definition of </w:t>
        </w:r>
        <w:r>
          <w:rPr>
            <w:rStyle w:val="CharDefText"/>
          </w:rPr>
          <w:t>fixed infrastructure access right</w:t>
        </w:r>
        <w:r>
          <w:t xml:space="preserve"> in subsection (1), a reference to land does not include anything that is land under section 3A(1)(f) or (g).</w:t>
        </w:r>
      </w:ins>
    </w:p>
    <w:p>
      <w:pPr>
        <w:pStyle w:val="Subsection"/>
        <w:rPr>
          <w:ins w:id="1325" w:author="Master Repository Process" w:date="2022-05-27T14:27:00Z"/>
        </w:rPr>
      </w:pPr>
      <w:ins w:id="1326" w:author="Master Repository Process" w:date="2022-05-27T14:27:00Z">
        <w:r>
          <w:tab/>
          <w:t>(3)</w:t>
        </w:r>
        <w:r>
          <w:tab/>
          <w:t>Despite subsection (1), anything that is land is not a fixed infrastructure control right, fixed infrastructure access right or fixed infrastructure statutory licence.</w:t>
        </w:r>
      </w:ins>
    </w:p>
    <w:p>
      <w:pPr>
        <w:pStyle w:val="Subsection"/>
        <w:keepLines/>
        <w:rPr>
          <w:ins w:id="1327" w:author="Master Repository Process" w:date="2022-05-27T14:27:00Z"/>
        </w:rPr>
      </w:pPr>
      <w:ins w:id="1328" w:author="Master Repository Process" w:date="2022-05-27T14:27:00Z">
        <w:r>
          <w:tab/>
          <w:t>(4)</w:t>
        </w:r>
        <w:r>
          <w:tab/>
          <w:t xml:space="preserve">The regulations may prescribe classes of right that, despite subsection (1), are excluded from the definition of </w:t>
        </w:r>
        <w:r>
          <w:rPr>
            <w:rStyle w:val="CharDefText"/>
          </w:rPr>
          <w:t>fixed infrastructure access right</w:t>
        </w:r>
        <w:r>
          <w:t xml:space="preserve">, </w:t>
        </w:r>
        <w:r>
          <w:rPr>
            <w:rStyle w:val="CharDefText"/>
          </w:rPr>
          <w:t>fixed infrastructure control right</w:t>
        </w:r>
        <w:r>
          <w:t xml:space="preserve"> or </w:t>
        </w:r>
        <w:r>
          <w:rPr>
            <w:rStyle w:val="CharDefText"/>
          </w:rPr>
          <w:t>fixed infrastructure statutory licence</w:t>
        </w:r>
        <w:r>
          <w:rPr>
            <w:b/>
          </w:rPr>
          <w:t xml:space="preserve"> </w:t>
        </w:r>
        <w:r>
          <w:t>in that subsection.</w:t>
        </w:r>
      </w:ins>
    </w:p>
    <w:p>
      <w:pPr>
        <w:pStyle w:val="Footnotesection"/>
        <w:rPr>
          <w:ins w:id="1329" w:author="Master Repository Process" w:date="2022-05-27T14:27:00Z"/>
        </w:rPr>
      </w:pPr>
      <w:ins w:id="1330" w:author="Master Repository Process" w:date="2022-05-27T14:27:00Z">
        <w:r>
          <w:tab/>
          <w:t>[Section 91A inserted: No. 12 of 2019 s. 34.]</w:t>
        </w:r>
      </w:ins>
    </w:p>
    <w:p>
      <w:pPr>
        <w:pStyle w:val="Heading5"/>
        <w:rPr>
          <w:ins w:id="1331" w:author="Master Repository Process" w:date="2022-05-27T14:27:00Z"/>
        </w:rPr>
      </w:pPr>
      <w:bookmarkStart w:id="1332" w:name="_Toc104290930"/>
      <w:ins w:id="1333" w:author="Master Repository Process" w:date="2022-05-27T14:27:00Z">
        <w:r>
          <w:rPr>
            <w:rStyle w:val="CharSectno"/>
          </w:rPr>
          <w:t>91B</w:t>
        </w:r>
        <w:r>
          <w:t>.</w:t>
        </w:r>
        <w:r>
          <w:tab/>
          <w:t>Some transactions involving fixed infrastructure statutory licences to be taken to be agreements for transfer</w:t>
        </w:r>
        <w:bookmarkEnd w:id="1332"/>
      </w:ins>
    </w:p>
    <w:p>
      <w:pPr>
        <w:pStyle w:val="Subsection"/>
        <w:rPr>
          <w:ins w:id="1334" w:author="Master Repository Process" w:date="2022-05-27T14:27:00Z"/>
        </w:rPr>
      </w:pPr>
      <w:ins w:id="1335" w:author="Master Repository Process" w:date="2022-05-27T14:27:00Z">
        <w:r>
          <w:tab/>
        </w:r>
        <w:r>
          <w:tab/>
          <w:t>When a person agrees to relinquish a fixed infrastructure statutory licence held by that person, or agrees not to apply for a renewal of such a fixed infrastructure statutory licence, so that it, or another, can be issued, granted or given to another person, that agreement is taken to be an agreement for the transfer to the other person of the fixed infrastructure statutory licence that is to be relinquished or is not to be renewed.</w:t>
        </w:r>
      </w:ins>
    </w:p>
    <w:p>
      <w:pPr>
        <w:pStyle w:val="Footnotesection"/>
        <w:rPr>
          <w:ins w:id="1336" w:author="Master Repository Process" w:date="2022-05-27T14:27:00Z"/>
        </w:rPr>
      </w:pPr>
      <w:ins w:id="1337" w:author="Master Repository Process" w:date="2022-05-27T14:27:00Z">
        <w:r>
          <w:tab/>
          <w:t>[Section 91B inserted: No. 12 of 2019 s. 34.]</w:t>
        </w:r>
      </w:ins>
    </w:p>
    <w:p>
      <w:pPr>
        <w:pStyle w:val="Heading5"/>
        <w:rPr>
          <w:ins w:id="1338" w:author="Master Repository Process" w:date="2022-05-27T14:27:00Z"/>
        </w:rPr>
      </w:pPr>
      <w:bookmarkStart w:id="1339" w:name="_Toc104290931"/>
      <w:ins w:id="1340" w:author="Master Repository Process" w:date="2022-05-27T14:27:00Z">
        <w:r>
          <w:rPr>
            <w:rStyle w:val="CharSectno"/>
          </w:rPr>
          <w:t>91C</w:t>
        </w:r>
        <w:r>
          <w:t>.</w:t>
        </w:r>
        <w:r>
          <w:tab/>
          <w:t>Which transactions as to fixed infrastructure access rights and fixed infrastructure statutory licences are dutiable</w:t>
        </w:r>
        <w:bookmarkEnd w:id="1339"/>
      </w:ins>
    </w:p>
    <w:p>
      <w:pPr>
        <w:pStyle w:val="Subsection"/>
        <w:rPr>
          <w:ins w:id="1341" w:author="Master Repository Process" w:date="2022-05-27T14:27:00Z"/>
        </w:rPr>
      </w:pPr>
      <w:ins w:id="1342" w:author="Master Repository Process" w:date="2022-05-27T14:27:00Z">
        <w:r>
          <w:tab/>
          <w:t>(1)</w:t>
        </w:r>
        <w:r>
          <w:tab/>
          <w:t xml:space="preserve">For the purposes of this section, a transaction (the </w:t>
        </w:r>
        <w:r>
          <w:rPr>
            <w:rStyle w:val="CharDefText"/>
          </w:rPr>
          <w:t>fixed infrastructure transaction</w:t>
        </w:r>
        <w:r>
          <w:t>) is not a dutiable transaction to the extent that the fixed infrastructure transaction relates to dutiable property that consists of a fixed infrastructure access right or a fixed infrastructure statutory licence unless subsection (2), (3) or (4) applies.</w:t>
        </w:r>
      </w:ins>
    </w:p>
    <w:p>
      <w:pPr>
        <w:pStyle w:val="Subsection"/>
        <w:rPr>
          <w:ins w:id="1343" w:author="Master Repository Process" w:date="2022-05-27T14:27:00Z"/>
        </w:rPr>
      </w:pPr>
      <w:ins w:id="1344" w:author="Master Repository Process" w:date="2022-05-27T14:27:00Z">
        <w:r>
          <w:tab/>
          <w:t>(2)</w:t>
        </w:r>
        <w:r>
          <w:tab/>
          <w:t xml:space="preserve">This subsection applies if the dutiable property to which the fixed infrastructure transaction relates also includes any of the following — </w:t>
        </w:r>
      </w:ins>
    </w:p>
    <w:p>
      <w:pPr>
        <w:pStyle w:val="Indenta"/>
        <w:rPr>
          <w:ins w:id="1345" w:author="Master Repository Process" w:date="2022-05-27T14:27:00Z"/>
        </w:rPr>
      </w:pPr>
      <w:ins w:id="1346" w:author="Master Repository Process" w:date="2022-05-27T14:27:00Z">
        <w:r>
          <w:tab/>
          <w:t>(a)</w:t>
        </w:r>
        <w:r>
          <w:tab/>
          <w:t>fixed infrastructure (</w:t>
        </w:r>
        <w:r>
          <w:rPr>
            <w:rStyle w:val="CharDefText"/>
          </w:rPr>
          <w:t>relevant fixed infrastructure</w:t>
        </w:r>
        <w:r>
          <w:t>) to which the fixed infrastructure access right or fixed infrastructure statutory licence relates;</w:t>
        </w:r>
      </w:ins>
    </w:p>
    <w:p>
      <w:pPr>
        <w:pStyle w:val="Indenta"/>
        <w:rPr>
          <w:ins w:id="1347" w:author="Master Repository Process" w:date="2022-05-27T14:27:00Z"/>
        </w:rPr>
      </w:pPr>
      <w:ins w:id="1348" w:author="Master Repository Process" w:date="2022-05-27T14:27:00Z">
        <w:r>
          <w:tab/>
          <w:t>(b)</w:t>
        </w:r>
        <w:r>
          <w:tab/>
          <w:t>an estate or interest in relevant fixed infrastructure;</w:t>
        </w:r>
      </w:ins>
    </w:p>
    <w:p>
      <w:pPr>
        <w:pStyle w:val="Indenta"/>
        <w:rPr>
          <w:ins w:id="1349" w:author="Master Repository Process" w:date="2022-05-27T14:27:00Z"/>
        </w:rPr>
      </w:pPr>
      <w:ins w:id="1350" w:author="Master Repository Process" w:date="2022-05-27T14:27:00Z">
        <w:r>
          <w:tab/>
          <w:t>(c)</w:t>
        </w:r>
        <w:r>
          <w:tab/>
          <w:t>a fixed infrastructure control right that relates to relevant fixed infrastructure.</w:t>
        </w:r>
      </w:ins>
    </w:p>
    <w:p>
      <w:pPr>
        <w:pStyle w:val="Subsection"/>
        <w:keepNext/>
        <w:rPr>
          <w:ins w:id="1351" w:author="Master Repository Process" w:date="2022-05-27T14:27:00Z"/>
        </w:rPr>
      </w:pPr>
      <w:ins w:id="1352" w:author="Master Repository Process" w:date="2022-05-27T14:27:00Z">
        <w:r>
          <w:tab/>
          <w:t>(3)</w:t>
        </w:r>
        <w:r>
          <w:tab/>
          <w:t xml:space="preserve">This subsection applies if — </w:t>
        </w:r>
      </w:ins>
    </w:p>
    <w:p>
      <w:pPr>
        <w:pStyle w:val="Indenta"/>
        <w:rPr>
          <w:ins w:id="1353" w:author="Master Repository Process" w:date="2022-05-27T14:27:00Z"/>
        </w:rPr>
      </w:pPr>
      <w:ins w:id="1354" w:author="Master Repository Process" w:date="2022-05-27T14:27:00Z">
        <w:r>
          <w:tab/>
          <w:t>(a)</w:t>
        </w:r>
        <w:r>
          <w:tab/>
          <w:t>there is another transaction that is a dutiable transaction and that relates to any dutiable property referred to in subsection (2)(a), (b) or (c); and</w:t>
        </w:r>
      </w:ins>
    </w:p>
    <w:p>
      <w:pPr>
        <w:pStyle w:val="Indenta"/>
        <w:rPr>
          <w:ins w:id="1355" w:author="Master Repository Process" w:date="2022-05-27T14:27:00Z"/>
        </w:rPr>
      </w:pPr>
      <w:ins w:id="1356" w:author="Master Repository Process" w:date="2022-05-27T14:27:00Z">
        <w:r>
          <w:tab/>
          <w:t>(b)</w:t>
        </w:r>
        <w:r>
          <w:tab/>
          <w:t>the fixed infrastructure transaction and the other transaction together form, evidence, give effect to or arise from what is, substantially one arrangement.</w:t>
        </w:r>
      </w:ins>
    </w:p>
    <w:p>
      <w:pPr>
        <w:pStyle w:val="Subsection"/>
        <w:rPr>
          <w:ins w:id="1357" w:author="Master Repository Process" w:date="2022-05-27T14:27:00Z"/>
        </w:rPr>
      </w:pPr>
      <w:ins w:id="1358" w:author="Master Repository Process" w:date="2022-05-27T14:27:00Z">
        <w:r>
          <w:tab/>
          <w:t>(4)</w:t>
        </w:r>
        <w:r>
          <w:tab/>
          <w:t xml:space="preserve">This subsection applies if — </w:t>
        </w:r>
      </w:ins>
    </w:p>
    <w:p>
      <w:pPr>
        <w:pStyle w:val="Indenta"/>
        <w:rPr>
          <w:ins w:id="1359" w:author="Master Repository Process" w:date="2022-05-27T14:27:00Z"/>
        </w:rPr>
      </w:pPr>
      <w:ins w:id="1360" w:author="Master Repository Process" w:date="2022-05-27T14:27:00Z">
        <w:r>
          <w:tab/>
          <w:t>(a)</w:t>
        </w:r>
        <w:r>
          <w:tab/>
          <w:t>there is a relevant acquisition of an interest in a landholder for the purposes of Chapter 3 or an agreement for the making of such an acquisition; and</w:t>
        </w:r>
      </w:ins>
    </w:p>
    <w:p>
      <w:pPr>
        <w:pStyle w:val="Indenta"/>
        <w:rPr>
          <w:ins w:id="1361" w:author="Master Repository Process" w:date="2022-05-27T14:27:00Z"/>
        </w:rPr>
      </w:pPr>
      <w:ins w:id="1362" w:author="Master Repository Process" w:date="2022-05-27T14:27:00Z">
        <w:r>
          <w:tab/>
          <w:t>(b)</w:t>
        </w:r>
        <w:r>
          <w:tab/>
          <w:t>the landholder, or a linked entity in respect of the landholder, is entitled to any property referred to in subsection (2)(a), (b) or (c); and</w:t>
        </w:r>
      </w:ins>
    </w:p>
    <w:p>
      <w:pPr>
        <w:pStyle w:val="Indenta"/>
        <w:rPr>
          <w:ins w:id="1363" w:author="Master Repository Process" w:date="2022-05-27T14:27:00Z"/>
        </w:rPr>
      </w:pPr>
      <w:ins w:id="1364" w:author="Master Repository Process" w:date="2022-05-27T14:27:00Z">
        <w:r>
          <w:tab/>
          <w:t>(c)</w:t>
        </w:r>
        <w:r>
          <w:tab/>
          <w:t>the fixed infrastructure transaction and the acquisition or agreement together form, evidence, give effect to or arise from what is, substantially one arrangement.</w:t>
        </w:r>
      </w:ins>
    </w:p>
    <w:p>
      <w:pPr>
        <w:pStyle w:val="Subsection"/>
        <w:rPr>
          <w:ins w:id="1365" w:author="Master Repository Process" w:date="2022-05-27T14:27:00Z"/>
        </w:rPr>
      </w:pPr>
      <w:ins w:id="1366" w:author="Master Repository Process" w:date="2022-05-27T14:27:00Z">
        <w:r>
          <w:tab/>
          <w:t>(5)</w:t>
        </w:r>
        <w:r>
          <w:tab/>
          <w:t>Section 37(2) applies in relation to transactions referred to in subsection (3)(b) as if the fixed infrastructure transaction were a dutiable transaction.</w:t>
        </w:r>
      </w:ins>
    </w:p>
    <w:p>
      <w:pPr>
        <w:pStyle w:val="Subsection"/>
        <w:rPr>
          <w:ins w:id="1367" w:author="Master Repository Process" w:date="2022-05-27T14:27:00Z"/>
        </w:rPr>
      </w:pPr>
      <w:ins w:id="1368" w:author="Master Repository Process" w:date="2022-05-27T14:27:00Z">
        <w:r>
          <w:tab/>
          <w:t>(6)</w:t>
        </w:r>
        <w:r>
          <w:tab/>
          <w:t>Section 14(4) and (5) apply in relation to a fixed infrastructure transaction and acquisition or agreement referred to in subsection (4)(c) as if they were a transaction and acquisition or agreement referred to in section 14(3).</w:t>
        </w:r>
      </w:ins>
    </w:p>
    <w:p>
      <w:pPr>
        <w:pStyle w:val="Subsection"/>
        <w:rPr>
          <w:ins w:id="1369" w:author="Master Repository Process" w:date="2022-05-27T14:27:00Z"/>
        </w:rPr>
      </w:pPr>
      <w:ins w:id="1370" w:author="Master Repository Process" w:date="2022-05-27T14:27:00Z">
        <w:r>
          <w:tab/>
          <w:t>(7)</w:t>
        </w:r>
        <w:r>
          <w:tab/>
          <w:t>For the purposes of the application of this section to a transaction that is a partnership acquisition, the partnership acquisition is taken to relate to the property of a kind referred to in section 72(a) to (d) held by the partnership or in which the partnership has an indirect interest under section 73.</w:t>
        </w:r>
      </w:ins>
    </w:p>
    <w:p>
      <w:pPr>
        <w:pStyle w:val="Footnotesection"/>
        <w:rPr>
          <w:ins w:id="1371" w:author="Master Repository Process" w:date="2022-05-27T14:27:00Z"/>
        </w:rPr>
      </w:pPr>
      <w:ins w:id="1372" w:author="Master Repository Process" w:date="2022-05-27T14:27:00Z">
        <w:r>
          <w:tab/>
          <w:t>[Section 91C inserted: No. 12 of 2019 s. 34.]</w:t>
        </w:r>
      </w:ins>
    </w:p>
    <w:p>
      <w:pPr>
        <w:pStyle w:val="Heading5"/>
        <w:rPr>
          <w:ins w:id="1373" w:author="Master Repository Process" w:date="2022-05-27T14:27:00Z"/>
        </w:rPr>
      </w:pPr>
      <w:bookmarkStart w:id="1374" w:name="_Toc104290932"/>
      <w:ins w:id="1375" w:author="Master Repository Process" w:date="2022-05-27T14:27:00Z">
        <w:r>
          <w:rPr>
            <w:rStyle w:val="CharSectno"/>
          </w:rPr>
          <w:t>91D</w:t>
        </w:r>
        <w:r>
          <w:t>.</w:t>
        </w:r>
        <w:r>
          <w:tab/>
          <w:t>Dutiable value of fixed infrastructure statutory licences</w:t>
        </w:r>
        <w:bookmarkEnd w:id="1374"/>
      </w:ins>
    </w:p>
    <w:p>
      <w:pPr>
        <w:pStyle w:val="Subsection"/>
        <w:rPr>
          <w:ins w:id="1376" w:author="Master Repository Process" w:date="2022-05-27T14:27:00Z"/>
        </w:rPr>
      </w:pPr>
      <w:ins w:id="1377" w:author="Master Repository Process" w:date="2022-05-27T14:27:00Z">
        <w:r>
          <w:tab/>
          <w:t>(1)</w:t>
        </w:r>
        <w:r>
          <w:tab/>
          <w:t xml:space="preserve">The dutiable value of a dutiable transaction for a fixed infrastructure statutory licence issued, granted or given under a law of the Commonwealth is the greater of — </w:t>
        </w:r>
      </w:ins>
    </w:p>
    <w:p>
      <w:pPr>
        <w:pStyle w:val="Indenta"/>
        <w:rPr>
          <w:ins w:id="1378" w:author="Master Repository Process" w:date="2022-05-27T14:27:00Z"/>
        </w:rPr>
      </w:pPr>
      <w:ins w:id="1379" w:author="Master Repository Process" w:date="2022-05-27T14:27:00Z">
        <w:r>
          <w:tab/>
          <w:t>(a)</w:t>
        </w:r>
        <w:r>
          <w:tab/>
          <w:t xml:space="preserve">the value of the fixed infrastructure statutory licence so far as it authorises the ownership, control, operation or use of fixed infrastructure (a </w:t>
        </w:r>
        <w:r>
          <w:rPr>
            <w:rStyle w:val="CharDefText"/>
          </w:rPr>
          <w:t>fixed infrastructure activity</w:t>
        </w:r>
        <w:r>
          <w:t>); or</w:t>
        </w:r>
      </w:ins>
    </w:p>
    <w:p>
      <w:pPr>
        <w:pStyle w:val="Indenta"/>
        <w:rPr>
          <w:ins w:id="1380" w:author="Master Repository Process" w:date="2022-05-27T14:27:00Z"/>
        </w:rPr>
      </w:pPr>
      <w:ins w:id="1381" w:author="Master Repository Process" w:date="2022-05-27T14:27:00Z">
        <w:r>
          <w:tab/>
          <w:t>(b)</w:t>
        </w:r>
        <w:r>
          <w:tab/>
          <w:t>the portion of the consideration for the transaction that relates to the carrying out of a fixed infrastructure activity under the authority of the licence.</w:t>
        </w:r>
      </w:ins>
    </w:p>
    <w:p>
      <w:pPr>
        <w:pStyle w:val="Subsection"/>
        <w:rPr>
          <w:ins w:id="1382" w:author="Master Repository Process" w:date="2022-05-27T14:27:00Z"/>
        </w:rPr>
      </w:pPr>
      <w:ins w:id="1383" w:author="Master Repository Process" w:date="2022-05-27T14:27:00Z">
        <w:r>
          <w:tab/>
          <w:t>(2)</w:t>
        </w:r>
        <w:r>
          <w:tab/>
          <w:t xml:space="preserve">The dutiable value of a dutiable transaction for a fixed infrastructure statutory licence issued, granted or given under a law of Western Australia is — </w:t>
        </w:r>
      </w:ins>
    </w:p>
    <w:p>
      <w:pPr>
        <w:pStyle w:val="Indenta"/>
        <w:rPr>
          <w:ins w:id="1384" w:author="Master Repository Process" w:date="2022-05-27T14:27:00Z"/>
        </w:rPr>
      </w:pPr>
      <w:ins w:id="1385" w:author="Master Repository Process" w:date="2022-05-27T14:27:00Z">
        <w:r>
          <w:tab/>
          <w:t>(a)</w:t>
        </w:r>
        <w:r>
          <w:tab/>
          <w:t>the consideration for the dutiable transaction; or</w:t>
        </w:r>
      </w:ins>
    </w:p>
    <w:p>
      <w:pPr>
        <w:pStyle w:val="Indenta"/>
        <w:rPr>
          <w:ins w:id="1386" w:author="Master Repository Process" w:date="2022-05-27T14:27:00Z"/>
        </w:rPr>
      </w:pPr>
      <w:ins w:id="1387" w:author="Master Repository Process" w:date="2022-05-27T14:27:00Z">
        <w:r>
          <w:tab/>
          <w:t>(b)</w:t>
        </w:r>
        <w:r>
          <w:tab/>
          <w:t xml:space="preserve">the unencumbered value of the fixed infrastructure statutory licence at the time when liability for duty on the transaction arises if — </w:t>
        </w:r>
      </w:ins>
    </w:p>
    <w:p>
      <w:pPr>
        <w:pStyle w:val="Indenti"/>
        <w:rPr>
          <w:ins w:id="1388" w:author="Master Repository Process" w:date="2022-05-27T14:27:00Z"/>
        </w:rPr>
      </w:pPr>
      <w:ins w:id="1389" w:author="Master Repository Process" w:date="2022-05-27T14:27:00Z">
        <w:r>
          <w:tab/>
          <w:t>(i)</w:t>
        </w:r>
        <w:r>
          <w:tab/>
          <w:t>there is no consideration for the transaction; or</w:t>
        </w:r>
      </w:ins>
    </w:p>
    <w:p>
      <w:pPr>
        <w:pStyle w:val="Indenti"/>
        <w:rPr>
          <w:ins w:id="1390" w:author="Master Repository Process" w:date="2022-05-27T14:27:00Z"/>
        </w:rPr>
      </w:pPr>
      <w:ins w:id="1391" w:author="Master Repository Process" w:date="2022-05-27T14:27:00Z">
        <w:r>
          <w:tab/>
          <w:t>(ii)</w:t>
        </w:r>
        <w:r>
          <w:tab/>
          <w:t>the consideration cannot be ascertained when liability for duty on the transaction arises; or</w:t>
        </w:r>
      </w:ins>
    </w:p>
    <w:p>
      <w:pPr>
        <w:pStyle w:val="Indenti"/>
        <w:rPr>
          <w:ins w:id="1392" w:author="Master Repository Process" w:date="2022-05-27T14:27:00Z"/>
        </w:rPr>
      </w:pPr>
      <w:ins w:id="1393" w:author="Master Repository Process" w:date="2022-05-27T14:27:00Z">
        <w:r>
          <w:tab/>
          <w:t>(iii)</w:t>
        </w:r>
        <w:r>
          <w:tab/>
          <w:t>the unencumbered value is greater than the consideration for the transaction.</w:t>
        </w:r>
      </w:ins>
    </w:p>
    <w:p>
      <w:pPr>
        <w:pStyle w:val="Footnotesection"/>
        <w:rPr>
          <w:ins w:id="1394" w:author="Master Repository Process" w:date="2022-05-27T14:27:00Z"/>
        </w:rPr>
      </w:pPr>
      <w:ins w:id="1395" w:author="Master Repository Process" w:date="2022-05-27T14:27:00Z">
        <w:r>
          <w:tab/>
          <w:t>[Section 91D inserted: No. 12 of 2019 s. 34.]</w:t>
        </w:r>
      </w:ins>
    </w:p>
    <w:p>
      <w:pPr>
        <w:pStyle w:val="Heading4"/>
        <w:rPr>
          <w:ins w:id="1396" w:author="Master Repository Process" w:date="2022-05-27T14:27:00Z"/>
        </w:rPr>
      </w:pPr>
      <w:bookmarkStart w:id="1397" w:name="_Toc37946738"/>
      <w:bookmarkStart w:id="1398" w:name="_Toc37947338"/>
      <w:bookmarkStart w:id="1399" w:name="_Toc38031402"/>
      <w:bookmarkStart w:id="1400" w:name="_Toc93309911"/>
      <w:bookmarkStart w:id="1401" w:name="_Toc104290933"/>
      <w:ins w:id="1402" w:author="Master Repository Process" w:date="2022-05-27T14:27:00Z">
        <w:r>
          <w:t>Division 8 — Derivative mining rights</w:t>
        </w:r>
        <w:bookmarkEnd w:id="1397"/>
        <w:bookmarkEnd w:id="1398"/>
        <w:bookmarkEnd w:id="1399"/>
        <w:bookmarkEnd w:id="1400"/>
        <w:bookmarkEnd w:id="1401"/>
      </w:ins>
    </w:p>
    <w:p>
      <w:pPr>
        <w:pStyle w:val="Footnoteheading"/>
        <w:keepNext/>
        <w:rPr>
          <w:ins w:id="1403" w:author="Master Repository Process" w:date="2022-05-27T14:27:00Z"/>
        </w:rPr>
      </w:pPr>
      <w:ins w:id="1404" w:author="Master Repository Process" w:date="2022-05-27T14:27:00Z">
        <w:r>
          <w:tab/>
          <w:t>[Heading inserted: No. 12 of 2019 s. 34.]</w:t>
        </w:r>
      </w:ins>
    </w:p>
    <w:p>
      <w:pPr>
        <w:pStyle w:val="Heading5"/>
        <w:rPr>
          <w:ins w:id="1405" w:author="Master Repository Process" w:date="2022-05-27T14:27:00Z"/>
        </w:rPr>
      </w:pPr>
      <w:bookmarkStart w:id="1406" w:name="_Toc104290934"/>
      <w:ins w:id="1407" w:author="Master Repository Process" w:date="2022-05-27T14:27:00Z">
        <w:r>
          <w:rPr>
            <w:rStyle w:val="CharSectno"/>
          </w:rPr>
          <w:t>91E</w:t>
        </w:r>
        <w:r>
          <w:t>.</w:t>
        </w:r>
        <w:r>
          <w:tab/>
          <w:t>Agreement for transfer of mining tenement conditional on grant of derivative mining right to transferor</w:t>
        </w:r>
        <w:bookmarkEnd w:id="1406"/>
      </w:ins>
    </w:p>
    <w:p>
      <w:pPr>
        <w:pStyle w:val="Subsection"/>
        <w:keepNext/>
        <w:rPr>
          <w:ins w:id="1408" w:author="Master Repository Process" w:date="2022-05-27T14:27:00Z"/>
        </w:rPr>
      </w:pPr>
      <w:ins w:id="1409" w:author="Master Repository Process" w:date="2022-05-27T14:27:00Z">
        <w:r>
          <w:tab/>
          <w:t>(1)</w:t>
        </w:r>
        <w:r>
          <w:tab/>
          <w:t xml:space="preserve">This section applies if — </w:t>
        </w:r>
      </w:ins>
    </w:p>
    <w:p>
      <w:pPr>
        <w:pStyle w:val="Indenta"/>
        <w:rPr>
          <w:ins w:id="1410" w:author="Master Repository Process" w:date="2022-05-27T14:27:00Z"/>
        </w:rPr>
      </w:pPr>
      <w:ins w:id="1411" w:author="Master Repository Process" w:date="2022-05-27T14:27:00Z">
        <w:r>
          <w:tab/>
          <w:t>(a)</w:t>
        </w:r>
        <w:r>
          <w:tab/>
          <w:t>there is an agreement for the transfer of a mining tenement from a person (</w:t>
        </w:r>
        <w:r>
          <w:rPr>
            <w:rStyle w:val="CharDefText"/>
          </w:rPr>
          <w:t>person A</w:t>
        </w:r>
        <w:r>
          <w:t>) to another person (</w:t>
        </w:r>
        <w:r>
          <w:rPr>
            <w:rStyle w:val="CharDefText"/>
          </w:rPr>
          <w:t>person B</w:t>
        </w:r>
        <w:r>
          <w:t>); and</w:t>
        </w:r>
      </w:ins>
    </w:p>
    <w:p>
      <w:pPr>
        <w:pStyle w:val="Indenta"/>
        <w:rPr>
          <w:ins w:id="1412" w:author="Master Repository Process" w:date="2022-05-27T14:27:00Z"/>
        </w:rPr>
      </w:pPr>
      <w:ins w:id="1413" w:author="Master Repository Process" w:date="2022-05-27T14:27:00Z">
        <w:r>
          <w:tab/>
          <w:t>(b)</w:t>
        </w:r>
        <w:r>
          <w:tab/>
          <w:t xml:space="preserve">it is a condition of the agreement for the transfer that after the transfer person B is to grant a derivative mining right (the </w:t>
        </w:r>
        <w:r>
          <w:rPr>
            <w:rStyle w:val="CharDefText"/>
          </w:rPr>
          <w:t>prospective right</w:t>
        </w:r>
        <w:r>
          <w:t>) in relation to the mining tenement to person A.</w:t>
        </w:r>
      </w:ins>
    </w:p>
    <w:p>
      <w:pPr>
        <w:pStyle w:val="Subsection"/>
        <w:rPr>
          <w:ins w:id="1414" w:author="Master Repository Process" w:date="2022-05-27T14:27:00Z"/>
        </w:rPr>
      </w:pPr>
      <w:ins w:id="1415" w:author="Master Repository Process" w:date="2022-05-27T14:27:00Z">
        <w:r>
          <w:tab/>
          <w:t>(2)</w:t>
        </w:r>
        <w:r>
          <w:tab/>
          <w:t>In determining the dutiable value of the agreement referred to in subsection (1)(a), the unencumbered value of the mining tenement is to be determined, despite section 36(1), having regard to the effect of the prospective right on the value of the mining tenement, as if the prospective right were in force when liability for duty on the agreement arose.</w:t>
        </w:r>
      </w:ins>
    </w:p>
    <w:p>
      <w:pPr>
        <w:pStyle w:val="Subsection"/>
        <w:rPr>
          <w:ins w:id="1416" w:author="Master Repository Process" w:date="2022-05-27T14:27:00Z"/>
        </w:rPr>
      </w:pPr>
      <w:ins w:id="1417" w:author="Master Repository Process" w:date="2022-05-27T14:27:00Z">
        <w:r>
          <w:tab/>
          <w:t>(3)</w:t>
        </w:r>
        <w:r>
          <w:tab/>
          <w:t>If the agreement referred to in subsection (1)(a) is duty endorsed, duty is not chargeable on the acquisition of the prospective right on its grant by person B.</w:t>
        </w:r>
      </w:ins>
    </w:p>
    <w:p>
      <w:pPr>
        <w:pStyle w:val="Footnotesection"/>
        <w:rPr>
          <w:ins w:id="1418" w:author="Master Repository Process" w:date="2022-05-27T14:27:00Z"/>
        </w:rPr>
      </w:pPr>
      <w:ins w:id="1419" w:author="Master Repository Process" w:date="2022-05-27T14:27:00Z">
        <w:r>
          <w:tab/>
          <w:t>[Section 91E inserted: No. 12 of 2019 s. 34.]</w:t>
        </w:r>
      </w:ins>
    </w:p>
    <w:p>
      <w:pPr>
        <w:pStyle w:val="Heading5"/>
        <w:rPr>
          <w:ins w:id="1420" w:author="Master Repository Process" w:date="2022-05-27T14:27:00Z"/>
        </w:rPr>
      </w:pPr>
      <w:bookmarkStart w:id="1421" w:name="_Toc104290935"/>
      <w:ins w:id="1422" w:author="Master Repository Process" w:date="2022-05-27T14:27:00Z">
        <w:r>
          <w:rPr>
            <w:rStyle w:val="CharSectno"/>
          </w:rPr>
          <w:t>91F</w:t>
        </w:r>
        <w:r>
          <w:t>.</w:t>
        </w:r>
        <w:r>
          <w:tab/>
          <w:t>Agreement for transfer of mining tenement conditional on grant of derivative mining right to current right holder</w:t>
        </w:r>
        <w:bookmarkEnd w:id="1421"/>
      </w:ins>
    </w:p>
    <w:p>
      <w:pPr>
        <w:pStyle w:val="Subsection"/>
        <w:rPr>
          <w:ins w:id="1423" w:author="Master Repository Process" w:date="2022-05-27T14:27:00Z"/>
        </w:rPr>
      </w:pPr>
      <w:ins w:id="1424" w:author="Master Repository Process" w:date="2022-05-27T14:27:00Z">
        <w:r>
          <w:tab/>
          <w:t>(1)</w:t>
        </w:r>
        <w:r>
          <w:tab/>
          <w:t xml:space="preserve">This section applies if — </w:t>
        </w:r>
      </w:ins>
    </w:p>
    <w:p>
      <w:pPr>
        <w:pStyle w:val="Indenta"/>
        <w:rPr>
          <w:ins w:id="1425" w:author="Master Repository Process" w:date="2022-05-27T14:27:00Z"/>
        </w:rPr>
      </w:pPr>
      <w:ins w:id="1426" w:author="Master Repository Process" w:date="2022-05-27T14:27:00Z">
        <w:r>
          <w:tab/>
          <w:t>(a)</w:t>
        </w:r>
        <w:r>
          <w:tab/>
          <w:t>there is an agreement for the transfer of a mining tenement to a person (</w:t>
        </w:r>
        <w:r>
          <w:rPr>
            <w:rStyle w:val="CharDefText"/>
          </w:rPr>
          <w:t>person A</w:t>
        </w:r>
        <w:r>
          <w:t>); and</w:t>
        </w:r>
      </w:ins>
    </w:p>
    <w:p>
      <w:pPr>
        <w:pStyle w:val="Indenta"/>
        <w:keepNext/>
        <w:rPr>
          <w:ins w:id="1427" w:author="Master Repository Process" w:date="2022-05-27T14:27:00Z"/>
        </w:rPr>
      </w:pPr>
      <w:ins w:id="1428" w:author="Master Repository Process" w:date="2022-05-27T14:27:00Z">
        <w:r>
          <w:tab/>
          <w:t>(b)</w:t>
        </w:r>
        <w:r>
          <w:tab/>
          <w:t xml:space="preserve">it is a condition of the agreement for the transfer that after the transfer person A is to grant a derivative mining right (the </w:t>
        </w:r>
        <w:r>
          <w:rPr>
            <w:rStyle w:val="CharDefText"/>
          </w:rPr>
          <w:t>prospective right</w:t>
        </w:r>
        <w:r>
          <w:t>) in relation to the mining tenement to another person (</w:t>
        </w:r>
        <w:r>
          <w:rPr>
            <w:rStyle w:val="CharDefText"/>
          </w:rPr>
          <w:t>person B</w:t>
        </w:r>
        <w:r>
          <w:t xml:space="preserve">) who — </w:t>
        </w:r>
      </w:ins>
    </w:p>
    <w:p>
      <w:pPr>
        <w:pStyle w:val="Indenti"/>
        <w:rPr>
          <w:ins w:id="1429" w:author="Master Repository Process" w:date="2022-05-27T14:27:00Z"/>
        </w:rPr>
      </w:pPr>
      <w:ins w:id="1430" w:author="Master Repository Process" w:date="2022-05-27T14:27:00Z">
        <w:r>
          <w:tab/>
          <w:t>(i)</w:t>
        </w:r>
        <w:r>
          <w:tab/>
          <w:t xml:space="preserve">when the agreement is made, holds a derivative mining right (the </w:t>
        </w:r>
        <w:r>
          <w:rPr>
            <w:rStyle w:val="CharDefText"/>
          </w:rPr>
          <w:t>previous right</w:t>
        </w:r>
        <w:r>
          <w:t>) in relation to the mining tenement that is substantially the same as the prospective right; and</w:t>
        </w:r>
      </w:ins>
    </w:p>
    <w:p>
      <w:pPr>
        <w:pStyle w:val="Indenti"/>
        <w:rPr>
          <w:ins w:id="1431" w:author="Master Repository Process" w:date="2022-05-27T14:27:00Z"/>
        </w:rPr>
      </w:pPr>
      <w:ins w:id="1432" w:author="Master Repository Process" w:date="2022-05-27T14:27:00Z">
        <w:r>
          <w:tab/>
          <w:t>(ii)</w:t>
        </w:r>
        <w:r>
          <w:tab/>
          <w:t>will hold the previous right until immediately before the transfer of the mining tenement.</w:t>
        </w:r>
      </w:ins>
    </w:p>
    <w:p>
      <w:pPr>
        <w:pStyle w:val="Subsection"/>
        <w:rPr>
          <w:ins w:id="1433" w:author="Master Repository Process" w:date="2022-05-27T14:27:00Z"/>
        </w:rPr>
      </w:pPr>
      <w:ins w:id="1434" w:author="Master Repository Process" w:date="2022-05-27T14:27:00Z">
        <w:r>
          <w:tab/>
          <w:t>(2)</w:t>
        </w:r>
        <w:r>
          <w:tab/>
          <w:t>In determining the dutiable value of the agreement referred to in subsection (1)(a), the unencumbered value of the mining tenement is to be determined, despite section 36(1), having regard to the effect of the previous right on the value of the mining tenement when liability for duty on the agreement arose.</w:t>
        </w:r>
      </w:ins>
    </w:p>
    <w:p>
      <w:pPr>
        <w:pStyle w:val="Subsection"/>
        <w:rPr>
          <w:ins w:id="1435" w:author="Master Repository Process" w:date="2022-05-27T14:27:00Z"/>
        </w:rPr>
      </w:pPr>
      <w:ins w:id="1436" w:author="Master Repository Process" w:date="2022-05-27T14:27:00Z">
        <w:r>
          <w:tab/>
          <w:t>(3)</w:t>
        </w:r>
        <w:r>
          <w:tab/>
          <w:t xml:space="preserve">Duty is not chargeable on the acquisition of the prospective right on its grant by person A if both of the following are duty endorsed — </w:t>
        </w:r>
      </w:ins>
    </w:p>
    <w:p>
      <w:pPr>
        <w:pStyle w:val="Indenta"/>
        <w:rPr>
          <w:ins w:id="1437" w:author="Master Repository Process" w:date="2022-05-27T14:27:00Z"/>
        </w:rPr>
      </w:pPr>
      <w:ins w:id="1438" w:author="Master Repository Process" w:date="2022-05-27T14:27:00Z">
        <w:r>
          <w:tab/>
          <w:t>(a)</w:t>
        </w:r>
        <w:r>
          <w:tab/>
          <w:t>the agreement referred to in subsection (1)(a);</w:t>
        </w:r>
      </w:ins>
    </w:p>
    <w:p>
      <w:pPr>
        <w:pStyle w:val="Indenta"/>
        <w:rPr>
          <w:ins w:id="1439" w:author="Master Repository Process" w:date="2022-05-27T14:27:00Z"/>
        </w:rPr>
      </w:pPr>
      <w:ins w:id="1440" w:author="Master Repository Process" w:date="2022-05-27T14:27:00Z">
        <w:r>
          <w:tab/>
          <w:t>(b)</w:t>
        </w:r>
        <w:r>
          <w:tab/>
          <w:t>the acquisition, on its grant, of the previous right.</w:t>
        </w:r>
      </w:ins>
    </w:p>
    <w:p>
      <w:pPr>
        <w:pStyle w:val="Footnotesection"/>
        <w:rPr>
          <w:ins w:id="1441" w:author="Master Repository Process" w:date="2022-05-27T14:27:00Z"/>
        </w:rPr>
      </w:pPr>
      <w:ins w:id="1442" w:author="Master Repository Process" w:date="2022-05-27T14:27:00Z">
        <w:r>
          <w:tab/>
          <w:t>[Section 91F inserted: No. 12 of 2019 s. 34.]</w:t>
        </w:r>
      </w:ins>
    </w:p>
    <w:p>
      <w:pPr>
        <w:pStyle w:val="Heading5"/>
        <w:rPr>
          <w:ins w:id="1443" w:author="Master Repository Process" w:date="2022-05-27T14:27:00Z"/>
        </w:rPr>
      </w:pPr>
      <w:bookmarkStart w:id="1444" w:name="_Toc104290936"/>
      <w:ins w:id="1445" w:author="Master Repository Process" w:date="2022-05-27T14:27:00Z">
        <w:r>
          <w:rPr>
            <w:rStyle w:val="CharSectno"/>
          </w:rPr>
          <w:t>91G</w:t>
        </w:r>
        <w:r>
          <w:t>.</w:t>
        </w:r>
        <w:r>
          <w:tab/>
          <w:t>Transfer or agreement for transfer of mining tenement to holder of derivative mining right</w:t>
        </w:r>
        <w:bookmarkEnd w:id="1444"/>
      </w:ins>
    </w:p>
    <w:p>
      <w:pPr>
        <w:pStyle w:val="Subsection"/>
        <w:rPr>
          <w:ins w:id="1446" w:author="Master Repository Process" w:date="2022-05-27T14:27:00Z"/>
        </w:rPr>
      </w:pPr>
      <w:ins w:id="1447" w:author="Master Repository Process" w:date="2022-05-27T14:27:00Z">
        <w:r>
          <w:tab/>
          <w:t>(1)</w:t>
        </w:r>
        <w:r>
          <w:tab/>
          <w:t xml:space="preserve">This section applies if — </w:t>
        </w:r>
      </w:ins>
    </w:p>
    <w:p>
      <w:pPr>
        <w:pStyle w:val="Indenta"/>
        <w:rPr>
          <w:ins w:id="1448" w:author="Master Repository Process" w:date="2022-05-27T14:27:00Z"/>
        </w:rPr>
      </w:pPr>
      <w:ins w:id="1449" w:author="Master Repository Process" w:date="2022-05-27T14:27:00Z">
        <w:r>
          <w:tab/>
          <w:t>(a)</w:t>
        </w:r>
        <w:r>
          <w:tab/>
          <w:t>a person (</w:t>
        </w:r>
        <w:r>
          <w:rPr>
            <w:rStyle w:val="CharDefText"/>
          </w:rPr>
          <w:t>person A</w:t>
        </w:r>
        <w:r>
          <w:t xml:space="preserve">) holds a derivative mining right (the </w:t>
        </w:r>
        <w:r>
          <w:rPr>
            <w:rStyle w:val="CharDefText"/>
          </w:rPr>
          <w:t>previous right</w:t>
        </w:r>
        <w:r>
          <w:t>) in relation to a mining tenement held by another person (</w:t>
        </w:r>
        <w:r>
          <w:rPr>
            <w:rStyle w:val="CharDefText"/>
          </w:rPr>
          <w:t>person B</w:t>
        </w:r>
        <w:r>
          <w:t>); and</w:t>
        </w:r>
      </w:ins>
    </w:p>
    <w:p>
      <w:pPr>
        <w:pStyle w:val="Indenta"/>
        <w:rPr>
          <w:ins w:id="1450" w:author="Master Repository Process" w:date="2022-05-27T14:27:00Z"/>
        </w:rPr>
      </w:pPr>
      <w:ins w:id="1451" w:author="Master Repository Process" w:date="2022-05-27T14:27:00Z">
        <w:r>
          <w:tab/>
          <w:t>(b)</w:t>
        </w:r>
        <w:r>
          <w:tab/>
          <w:t>the acquisition of the previous right, on its grant, is duty endorsed; and</w:t>
        </w:r>
      </w:ins>
    </w:p>
    <w:p>
      <w:pPr>
        <w:pStyle w:val="Indenta"/>
        <w:rPr>
          <w:ins w:id="1452" w:author="Master Repository Process" w:date="2022-05-27T14:27:00Z"/>
        </w:rPr>
      </w:pPr>
      <w:ins w:id="1453" w:author="Master Repository Process" w:date="2022-05-27T14:27:00Z">
        <w:r>
          <w:tab/>
          <w:t>(c)</w:t>
        </w:r>
        <w:r>
          <w:tab/>
          <w:t>there is a transfer, or agreement for the transfer, of the mining tenement from person B to person A; and</w:t>
        </w:r>
      </w:ins>
    </w:p>
    <w:p>
      <w:pPr>
        <w:pStyle w:val="Indenta"/>
        <w:rPr>
          <w:ins w:id="1454" w:author="Master Repository Process" w:date="2022-05-27T14:27:00Z"/>
        </w:rPr>
      </w:pPr>
      <w:ins w:id="1455" w:author="Master Repository Process" w:date="2022-05-27T14:27:00Z">
        <w:r>
          <w:tab/>
          <w:t>(d)</w:t>
        </w:r>
        <w:r>
          <w:tab/>
          <w:t>person A holds, or will hold, the previous right until immediately before the transfer of the mining tenement.</w:t>
        </w:r>
      </w:ins>
    </w:p>
    <w:p>
      <w:pPr>
        <w:pStyle w:val="Subsection"/>
        <w:rPr>
          <w:ins w:id="1456" w:author="Master Repository Process" w:date="2022-05-27T14:27:00Z"/>
        </w:rPr>
      </w:pPr>
      <w:ins w:id="1457" w:author="Master Repository Process" w:date="2022-05-27T14:27:00Z">
        <w:r>
          <w:tab/>
          <w:t>(2)</w:t>
        </w:r>
        <w:r>
          <w:tab/>
          <w:t>In determining the dutiable value of a transfer referred to in subsection (1)(c), the unencumbered value of the mining tenement is to be determined, despite section 36(1), having regard to the effect of the previous right on the value of the mining tenement, as if the previous right were in force when liability for duty on the transfer arose.</w:t>
        </w:r>
      </w:ins>
    </w:p>
    <w:p>
      <w:pPr>
        <w:pStyle w:val="Subsection"/>
        <w:rPr>
          <w:ins w:id="1458" w:author="Master Repository Process" w:date="2022-05-27T14:27:00Z"/>
        </w:rPr>
      </w:pPr>
      <w:ins w:id="1459" w:author="Master Repository Process" w:date="2022-05-27T14:27:00Z">
        <w:r>
          <w:tab/>
          <w:t>(3)</w:t>
        </w:r>
        <w:r>
          <w:tab/>
          <w:t>In determining the dutiable value of an agreement referred to in subsection (1)(c), the unencumbered value of the mining tenement is to be determined, despite section 36(1), having regard to the effect of the previous right on the value of the mining tenement when liability for duty on the agreement arose.</w:t>
        </w:r>
      </w:ins>
    </w:p>
    <w:p>
      <w:pPr>
        <w:pStyle w:val="Footnotesection"/>
        <w:rPr>
          <w:ins w:id="1460" w:author="Master Repository Process" w:date="2022-05-27T14:27:00Z"/>
        </w:rPr>
      </w:pPr>
      <w:ins w:id="1461" w:author="Master Repository Process" w:date="2022-05-27T14:27:00Z">
        <w:r>
          <w:tab/>
          <w:t>[Section 91G inserted: No. 12 of 2019 s. 34.]</w:t>
        </w:r>
      </w:ins>
    </w:p>
    <w:p>
      <w:pPr>
        <w:pStyle w:val="Heading5"/>
        <w:rPr>
          <w:ins w:id="1462" w:author="Master Repository Process" w:date="2022-05-27T14:27:00Z"/>
        </w:rPr>
      </w:pPr>
      <w:bookmarkStart w:id="1463" w:name="_Toc104290937"/>
      <w:ins w:id="1464" w:author="Master Repository Process" w:date="2022-05-27T14:27:00Z">
        <w:r>
          <w:rPr>
            <w:rStyle w:val="CharSectno"/>
          </w:rPr>
          <w:t>91H</w:t>
        </w:r>
        <w:r>
          <w:t>.</w:t>
        </w:r>
        <w:r>
          <w:tab/>
          <w:t>Acquisition of derivative mining right substantially the same as was held in relation to previous mining tenement</w:t>
        </w:r>
        <w:bookmarkEnd w:id="1463"/>
      </w:ins>
    </w:p>
    <w:p>
      <w:pPr>
        <w:pStyle w:val="Subsection"/>
        <w:rPr>
          <w:ins w:id="1465" w:author="Master Repository Process" w:date="2022-05-27T14:27:00Z"/>
        </w:rPr>
      </w:pPr>
      <w:ins w:id="1466" w:author="Master Repository Process" w:date="2022-05-27T14:27:00Z">
        <w:r>
          <w:tab/>
          <w:t>(1)</w:t>
        </w:r>
        <w:r>
          <w:tab/>
          <w:t>Duty is not chargeable on an acquisition of a derivative mining right by a person (</w:t>
        </w:r>
        <w:r>
          <w:rPr>
            <w:rStyle w:val="CharDefText"/>
          </w:rPr>
          <w:t>person A</w:t>
        </w:r>
        <w:r>
          <w:t>) on its grant by another person (</w:t>
        </w:r>
        <w:r>
          <w:rPr>
            <w:rStyle w:val="CharDefText"/>
          </w:rPr>
          <w:t>person B</w:t>
        </w:r>
        <w:r>
          <w:t xml:space="preserve">) if — </w:t>
        </w:r>
      </w:ins>
    </w:p>
    <w:p>
      <w:pPr>
        <w:pStyle w:val="Indenta"/>
        <w:rPr>
          <w:ins w:id="1467" w:author="Master Repository Process" w:date="2022-05-27T14:27:00Z"/>
        </w:rPr>
      </w:pPr>
      <w:ins w:id="1468" w:author="Master Repository Process" w:date="2022-05-27T14:27:00Z">
        <w:r>
          <w:tab/>
          <w:t>(a)</w:t>
        </w:r>
        <w:r>
          <w:tab/>
          <w:t>the derivative mining right relates to a mining lease granted to person B; and</w:t>
        </w:r>
      </w:ins>
    </w:p>
    <w:p>
      <w:pPr>
        <w:pStyle w:val="Indenta"/>
        <w:rPr>
          <w:ins w:id="1469" w:author="Master Repository Process" w:date="2022-05-27T14:27:00Z"/>
        </w:rPr>
      </w:pPr>
      <w:ins w:id="1470" w:author="Master Repository Process" w:date="2022-05-27T14:27:00Z">
        <w:r>
          <w:tab/>
          <w:t>(b)</w:t>
        </w:r>
        <w:r>
          <w:tab/>
          <w:t>before the grant of the mining lease, person B held a prospecting licence or an exploration licence in relation to land including the land the subject of the mining lease; and</w:t>
        </w:r>
      </w:ins>
    </w:p>
    <w:p>
      <w:pPr>
        <w:pStyle w:val="Indenta"/>
        <w:rPr>
          <w:ins w:id="1471" w:author="Master Repository Process" w:date="2022-05-27T14:27:00Z"/>
        </w:rPr>
      </w:pPr>
      <w:ins w:id="1472" w:author="Master Repository Process" w:date="2022-05-27T14:27:00Z">
        <w:r>
          <w:tab/>
          <w:t>(c)</w:t>
        </w:r>
        <w:r>
          <w:tab/>
          <w:t>person A held a derivative mining right in relation to the prospecting licence or exploration licence that was substantially the same as the derivative mining right in relation to the mining lease; and</w:t>
        </w:r>
      </w:ins>
    </w:p>
    <w:p>
      <w:pPr>
        <w:pStyle w:val="Indenta"/>
        <w:rPr>
          <w:ins w:id="1473" w:author="Master Repository Process" w:date="2022-05-27T14:27:00Z"/>
        </w:rPr>
      </w:pPr>
      <w:ins w:id="1474" w:author="Master Repository Process" w:date="2022-05-27T14:27:00Z">
        <w:r>
          <w:tab/>
          <w:t>(d)</w:t>
        </w:r>
        <w:r>
          <w:tab/>
          <w:t>the acquisition of the derivative mining right in relation to the prospecting licence or exploration licence, on its grant, is duty endorsed.</w:t>
        </w:r>
      </w:ins>
    </w:p>
    <w:p>
      <w:pPr>
        <w:pStyle w:val="Subsection"/>
        <w:rPr>
          <w:ins w:id="1475" w:author="Master Repository Process" w:date="2022-05-27T14:27:00Z"/>
        </w:rPr>
      </w:pPr>
      <w:ins w:id="1476" w:author="Master Repository Process" w:date="2022-05-27T14:27:00Z">
        <w:r>
          <w:tab/>
          <w:t>(2)</w:t>
        </w:r>
        <w:r>
          <w:tab/>
          <w:t xml:space="preserve">A reference in this section to a mining lease, prospecting licence or exploration licence is to a mining lease, prospecting licence or exploration licence (as the case requires) granted or continued under the </w:t>
        </w:r>
        <w:r>
          <w:rPr>
            <w:i/>
          </w:rPr>
          <w:t>Mining Act 1978</w:t>
        </w:r>
        <w:r>
          <w:t>.</w:t>
        </w:r>
      </w:ins>
    </w:p>
    <w:p>
      <w:pPr>
        <w:pStyle w:val="Footnotesection"/>
        <w:rPr>
          <w:ins w:id="1477" w:author="Master Repository Process" w:date="2022-05-27T14:27:00Z"/>
        </w:rPr>
      </w:pPr>
      <w:ins w:id="1478" w:author="Master Repository Process" w:date="2022-05-27T14:27:00Z">
        <w:r>
          <w:tab/>
          <w:t>[Section 91H inserted: No. 12 of 2019 s. 34.]</w:t>
        </w:r>
      </w:ins>
    </w:p>
    <w:p>
      <w:pPr>
        <w:pStyle w:val="Heading5"/>
        <w:rPr>
          <w:ins w:id="1479" w:author="Master Repository Process" w:date="2022-05-27T14:27:00Z"/>
        </w:rPr>
      </w:pPr>
      <w:bookmarkStart w:id="1480" w:name="_Toc104290938"/>
      <w:ins w:id="1481" w:author="Master Repository Process" w:date="2022-05-27T14:27:00Z">
        <w:r>
          <w:rPr>
            <w:rStyle w:val="CharSectno"/>
          </w:rPr>
          <w:t>91I</w:t>
        </w:r>
        <w:r>
          <w:t>.</w:t>
        </w:r>
        <w:r>
          <w:tab/>
          <w:t>Failure to grant, or surrender of, derivative mining right after transfer of mining tenement</w:t>
        </w:r>
        <w:bookmarkEnd w:id="1480"/>
      </w:ins>
    </w:p>
    <w:p>
      <w:pPr>
        <w:pStyle w:val="Subsection"/>
        <w:rPr>
          <w:ins w:id="1482" w:author="Master Repository Process" w:date="2022-05-27T14:27:00Z"/>
        </w:rPr>
      </w:pPr>
      <w:ins w:id="1483" w:author="Master Repository Process" w:date="2022-05-27T14:27:00Z">
        <w:r>
          <w:tab/>
          <w:t>(1)</w:t>
        </w:r>
        <w:r>
          <w:tab/>
          <w:t xml:space="preserve">In this section — </w:t>
        </w:r>
      </w:ins>
    </w:p>
    <w:p>
      <w:pPr>
        <w:pStyle w:val="Defstart"/>
        <w:rPr>
          <w:ins w:id="1484" w:author="Master Repository Process" w:date="2022-05-27T14:27:00Z"/>
        </w:rPr>
      </w:pPr>
      <w:ins w:id="1485" w:author="Master Repository Process" w:date="2022-05-27T14:27:00Z">
        <w:r>
          <w:tab/>
        </w:r>
        <w:r>
          <w:rPr>
            <w:rStyle w:val="CharDefText"/>
          </w:rPr>
          <w:t>mining tenement valuation provision</w:t>
        </w:r>
        <w:r>
          <w:t xml:space="preserve"> means section 91E(2) or 91F(2);</w:t>
        </w:r>
      </w:ins>
    </w:p>
    <w:p>
      <w:pPr>
        <w:pStyle w:val="Defstart"/>
        <w:rPr>
          <w:ins w:id="1486" w:author="Master Repository Process" w:date="2022-05-27T14:27:00Z"/>
        </w:rPr>
      </w:pPr>
      <w:ins w:id="1487" w:author="Master Repository Process" w:date="2022-05-27T14:27:00Z">
        <w:r>
          <w:tab/>
        </w:r>
        <w:r>
          <w:rPr>
            <w:rStyle w:val="CharDefText"/>
          </w:rPr>
          <w:t>prospective right</w:t>
        </w:r>
        <w:r>
          <w:t>, in relation to a mining tenement valuation provision, means the prospective right referred to in whichever of section 91E(1)(b) or 91F(1)(b) is relevant.</w:t>
        </w:r>
      </w:ins>
    </w:p>
    <w:p>
      <w:pPr>
        <w:pStyle w:val="Subsection"/>
        <w:rPr>
          <w:ins w:id="1488" w:author="Master Repository Process" w:date="2022-05-27T14:27:00Z"/>
        </w:rPr>
      </w:pPr>
      <w:ins w:id="1489" w:author="Master Repository Process" w:date="2022-05-27T14:27:00Z">
        <w:r>
          <w:tab/>
          <w:t>(2)</w:t>
        </w:r>
        <w:r>
          <w:tab/>
          <w:t xml:space="preserve">A mining tenement valuation provision that applies to an agreement for the transfer of a mining tenement when liability for duty on the agreement arises ceases to apply to the agreement if — </w:t>
        </w:r>
      </w:ins>
    </w:p>
    <w:p>
      <w:pPr>
        <w:pStyle w:val="Indenta"/>
        <w:rPr>
          <w:ins w:id="1490" w:author="Master Repository Process" w:date="2022-05-27T14:27:00Z"/>
        </w:rPr>
      </w:pPr>
      <w:ins w:id="1491" w:author="Master Repository Process" w:date="2022-05-27T14:27:00Z">
        <w:r>
          <w:tab/>
          <w:t>(a)</w:t>
        </w:r>
        <w:r>
          <w:tab/>
          <w:t>the prospective right is not granted within the period that applies under subsection (3); or</w:t>
        </w:r>
      </w:ins>
    </w:p>
    <w:p>
      <w:pPr>
        <w:pStyle w:val="Indenta"/>
        <w:rPr>
          <w:ins w:id="1492" w:author="Master Repository Process" w:date="2022-05-27T14:27:00Z"/>
        </w:rPr>
      </w:pPr>
      <w:ins w:id="1493" w:author="Master Repository Process" w:date="2022-05-27T14:27:00Z">
        <w:r>
          <w:tab/>
          <w:t>(b)</w:t>
        </w:r>
        <w:r>
          <w:tab/>
          <w:t>the prospective right is surrendered for no consideration within 12 months after the day on which the mining tenement is transferred.</w:t>
        </w:r>
      </w:ins>
    </w:p>
    <w:p>
      <w:pPr>
        <w:pStyle w:val="Subsection"/>
        <w:rPr>
          <w:ins w:id="1494" w:author="Master Repository Process" w:date="2022-05-27T14:27:00Z"/>
        </w:rPr>
      </w:pPr>
      <w:ins w:id="1495" w:author="Master Repository Process" w:date="2022-05-27T14:27:00Z">
        <w:r>
          <w:tab/>
          <w:t>(3)</w:t>
        </w:r>
        <w:r>
          <w:tab/>
          <w:t xml:space="preserve">For the purposes of subsection (2)(a), the period is — </w:t>
        </w:r>
      </w:ins>
    </w:p>
    <w:p>
      <w:pPr>
        <w:pStyle w:val="Indenta"/>
        <w:rPr>
          <w:ins w:id="1496" w:author="Master Repository Process" w:date="2022-05-27T14:27:00Z"/>
        </w:rPr>
      </w:pPr>
      <w:ins w:id="1497" w:author="Master Repository Process" w:date="2022-05-27T14:27:00Z">
        <w:r>
          <w:tab/>
          <w:t>(a)</w:t>
        </w:r>
        <w:r>
          <w:tab/>
          <w:t>the period of 90 days starting on the day on which the mining tenement is transferred; or</w:t>
        </w:r>
      </w:ins>
    </w:p>
    <w:p>
      <w:pPr>
        <w:pStyle w:val="Indenta"/>
        <w:rPr>
          <w:ins w:id="1498" w:author="Master Repository Process" w:date="2022-05-27T14:27:00Z"/>
        </w:rPr>
      </w:pPr>
      <w:ins w:id="1499" w:author="Master Repository Process" w:date="2022-05-27T14:27:00Z">
        <w:r>
          <w:tab/>
          <w:t>(b)</w:t>
        </w:r>
        <w:r>
          <w:tab/>
          <w:t>any longer period allowed, on application within the period referred to in paragraph (a), by the Commissioner on any conditions the Commissioner thinks fit.</w:t>
        </w:r>
      </w:ins>
    </w:p>
    <w:p>
      <w:pPr>
        <w:pStyle w:val="Subsection"/>
        <w:rPr>
          <w:ins w:id="1500" w:author="Master Repository Process" w:date="2022-05-27T14:27:00Z"/>
        </w:rPr>
      </w:pPr>
      <w:ins w:id="1501" w:author="Master Repository Process" w:date="2022-05-27T14:27:00Z">
        <w:r>
          <w:tab/>
          <w:t>(4)</w:t>
        </w:r>
        <w:r>
          <w:tab/>
          <w:t>If a failure to grant the prospective right referred to in subsection (2)(a) occurs, the transferee in respect of the agreement for transfer referred to in subsection (2) must lodge a notice of the failure in the approved form within 2 months after the last day of the period that applies under subsection (3).</w:t>
        </w:r>
      </w:ins>
    </w:p>
    <w:p>
      <w:pPr>
        <w:pStyle w:val="Penstart"/>
        <w:rPr>
          <w:ins w:id="1502" w:author="Master Repository Process" w:date="2022-05-27T14:27:00Z"/>
        </w:rPr>
      </w:pPr>
      <w:ins w:id="1503" w:author="Master Repository Process" w:date="2022-05-27T14:27:00Z">
        <w:r>
          <w:tab/>
          <w:t>Penalty for this subsection: a fine of $20 000.</w:t>
        </w:r>
      </w:ins>
    </w:p>
    <w:p>
      <w:pPr>
        <w:pStyle w:val="Subsection"/>
        <w:rPr>
          <w:ins w:id="1504" w:author="Master Repository Process" w:date="2022-05-27T14:27:00Z"/>
        </w:rPr>
      </w:pPr>
      <w:ins w:id="1505" w:author="Master Repository Process" w:date="2022-05-27T14:27:00Z">
        <w:r>
          <w:tab/>
          <w:t>(5)</w:t>
        </w:r>
        <w:r>
          <w:tab/>
          <w:t>If a surrender referred to in subsection (2)(b) occurs, the person who surrenders the prospective right must lodge a notice of the surrender in the approved form within 2 months after the day on which the surrender occurs.</w:t>
        </w:r>
      </w:ins>
    </w:p>
    <w:p>
      <w:pPr>
        <w:pStyle w:val="Penstart"/>
        <w:rPr>
          <w:ins w:id="1506" w:author="Master Repository Process" w:date="2022-05-27T14:27:00Z"/>
        </w:rPr>
      </w:pPr>
      <w:ins w:id="1507" w:author="Master Repository Process" w:date="2022-05-27T14:27:00Z">
        <w:r>
          <w:tab/>
          <w:t>Penalty for this subsection: a fine of $20 000.</w:t>
        </w:r>
      </w:ins>
    </w:p>
    <w:p>
      <w:pPr>
        <w:pStyle w:val="Subsection"/>
        <w:rPr>
          <w:ins w:id="1508" w:author="Master Repository Process" w:date="2022-05-27T14:27:00Z"/>
        </w:rPr>
      </w:pPr>
      <w:ins w:id="1509" w:author="Master Repository Process" w:date="2022-05-27T14:27:00Z">
        <w:r>
          <w:tab/>
          <w:t>(6)</w:t>
        </w:r>
        <w:r>
          <w:tab/>
          <w:t>Subject to the Taxation Administration Act section 17, the Commissioner must make any reassessment necessary as a result of the operation of subsection (2).</w:t>
        </w:r>
      </w:ins>
    </w:p>
    <w:p>
      <w:pPr>
        <w:pStyle w:val="Footnotesection"/>
        <w:rPr>
          <w:ins w:id="1510" w:author="Master Repository Process" w:date="2022-05-27T14:27:00Z"/>
        </w:rPr>
      </w:pPr>
      <w:ins w:id="1511" w:author="Master Repository Process" w:date="2022-05-27T14:27:00Z">
        <w:r>
          <w:tab/>
          <w:t>[Section 91I inserted: No. 12 of 2019 s. 34.]</w:t>
        </w:r>
      </w:ins>
    </w:p>
    <w:p>
      <w:pPr>
        <w:pStyle w:val="Heading3"/>
        <w:keepNext w:val="0"/>
        <w:pageBreakBefore/>
        <w:spacing w:before="0"/>
        <w:rPr>
          <w:sz w:val="28"/>
        </w:rPr>
      </w:pPr>
      <w:bookmarkStart w:id="1512" w:name="_Toc37946744"/>
      <w:bookmarkStart w:id="1513" w:name="_Toc37947344"/>
      <w:bookmarkStart w:id="1514" w:name="_Toc38031408"/>
      <w:bookmarkStart w:id="1515" w:name="_Toc93309917"/>
      <w:bookmarkStart w:id="1516" w:name="_Toc104290939"/>
      <w:bookmarkStart w:id="1517" w:name="_Toc530491681"/>
      <w:bookmarkStart w:id="1518" w:name="_Toc530492141"/>
      <w:bookmarkStart w:id="1519" w:name="_Toc530493151"/>
      <w:bookmarkStart w:id="1520" w:name="_Toc530556286"/>
      <w:bookmarkStart w:id="1521" w:name="_Toc531692124"/>
      <w:bookmarkStart w:id="1522" w:name="_Toc531856029"/>
      <w:bookmarkStart w:id="1523" w:name="_Toc531858757"/>
      <w:bookmarkStart w:id="1524" w:name="_Toc531859296"/>
      <w:r>
        <w:rPr>
          <w:rStyle w:val="CharDivNo"/>
          <w:sz w:val="28"/>
        </w:rPr>
        <w:t>Part 6</w:t>
      </w:r>
      <w:r>
        <w:rPr>
          <w:sz w:val="28"/>
        </w:rPr>
        <w:t> — </w:t>
      </w:r>
      <w:r>
        <w:rPr>
          <w:rStyle w:val="CharDivText"/>
          <w:sz w:val="28"/>
        </w:rPr>
        <w:t>Exemptions, nominal duty and concessions</w:t>
      </w:r>
      <w:bookmarkEnd w:id="1512"/>
      <w:bookmarkEnd w:id="1513"/>
      <w:bookmarkEnd w:id="1514"/>
      <w:bookmarkEnd w:id="1515"/>
      <w:bookmarkEnd w:id="1516"/>
      <w:bookmarkEnd w:id="1517"/>
      <w:bookmarkEnd w:id="1518"/>
      <w:bookmarkEnd w:id="1519"/>
      <w:bookmarkEnd w:id="1520"/>
      <w:bookmarkEnd w:id="1521"/>
      <w:bookmarkEnd w:id="1522"/>
      <w:bookmarkEnd w:id="1523"/>
      <w:bookmarkEnd w:id="1524"/>
    </w:p>
    <w:p>
      <w:pPr>
        <w:pStyle w:val="Heading4"/>
        <w:keepNext w:val="0"/>
        <w:spacing w:before="180"/>
        <w:rPr>
          <w:sz w:val="26"/>
        </w:rPr>
      </w:pPr>
      <w:bookmarkStart w:id="1525" w:name="_Toc37946745"/>
      <w:bookmarkStart w:id="1526" w:name="_Toc37947345"/>
      <w:bookmarkStart w:id="1527" w:name="_Toc38031409"/>
      <w:bookmarkStart w:id="1528" w:name="_Toc93309918"/>
      <w:bookmarkStart w:id="1529" w:name="_Toc104290940"/>
      <w:bookmarkStart w:id="1530" w:name="_Toc530491682"/>
      <w:bookmarkStart w:id="1531" w:name="_Toc530492142"/>
      <w:bookmarkStart w:id="1532" w:name="_Toc530493152"/>
      <w:bookmarkStart w:id="1533" w:name="_Toc530556287"/>
      <w:bookmarkStart w:id="1534" w:name="_Toc531692125"/>
      <w:bookmarkStart w:id="1535" w:name="_Toc531856030"/>
      <w:bookmarkStart w:id="1536" w:name="_Toc531858758"/>
      <w:bookmarkStart w:id="1537" w:name="_Toc531859297"/>
      <w:r>
        <w:rPr>
          <w:sz w:val="26"/>
        </w:rPr>
        <w:t>Division 1 — Exemptions</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p>
    <w:p>
      <w:pPr>
        <w:pStyle w:val="Heading4"/>
        <w:rPr>
          <w:sz w:val="26"/>
        </w:rPr>
      </w:pPr>
      <w:bookmarkStart w:id="1538" w:name="_Toc37946746"/>
      <w:bookmarkStart w:id="1539" w:name="_Toc37947346"/>
      <w:bookmarkStart w:id="1540" w:name="_Toc38031410"/>
      <w:bookmarkStart w:id="1541" w:name="_Toc93309919"/>
      <w:bookmarkStart w:id="1542" w:name="_Toc104290941"/>
      <w:bookmarkStart w:id="1543" w:name="_Toc530491683"/>
      <w:bookmarkStart w:id="1544" w:name="_Toc530492143"/>
      <w:bookmarkStart w:id="1545" w:name="_Toc530493153"/>
      <w:bookmarkStart w:id="1546" w:name="_Toc530556288"/>
      <w:bookmarkStart w:id="1547" w:name="_Toc531692126"/>
      <w:bookmarkStart w:id="1548" w:name="_Toc531856031"/>
      <w:bookmarkStart w:id="1549" w:name="_Toc531858759"/>
      <w:bookmarkStart w:id="1550" w:name="_Toc531859298"/>
      <w:r>
        <w:rPr>
          <w:sz w:val="26"/>
        </w:rPr>
        <w:t>Subdivision 1 — Exemptions for public and governmental purposes</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p>
    <w:p>
      <w:pPr>
        <w:pStyle w:val="Heading5"/>
        <w:keepNext w:val="0"/>
        <w:keepLines w:val="0"/>
        <w:spacing w:before="240"/>
      </w:pPr>
      <w:bookmarkStart w:id="1551" w:name="_Toc104290942"/>
      <w:bookmarkStart w:id="1552" w:name="_Toc531859299"/>
      <w:r>
        <w:rPr>
          <w:rStyle w:val="CharSectno"/>
        </w:rPr>
        <w:t>92</w:t>
      </w:r>
      <w:r>
        <w:t>.</w:t>
      </w:r>
      <w:r>
        <w:tab/>
        <w:t>Public authorities, declaration of as exempt bodies</w:t>
      </w:r>
      <w:bookmarkEnd w:id="1551"/>
      <w:bookmarkEnd w:id="1552"/>
    </w:p>
    <w:p>
      <w:pPr>
        <w:pStyle w:val="Subsection"/>
      </w:pPr>
      <w:r>
        <w:tab/>
        <w:t>(1)</w:t>
      </w:r>
      <w:r>
        <w:tab/>
        <w:t>The Minister may declare a public authority to be an exempt body for the purposes of this Subdivision.</w:t>
      </w:r>
    </w:p>
    <w:p>
      <w:pPr>
        <w:pStyle w:val="PermNoteHeading"/>
      </w:pPr>
      <w:r>
        <w:tab/>
        <w:t>Note for this subsection:</w:t>
      </w:r>
    </w:p>
    <w:p>
      <w:pPr>
        <w:pStyle w:val="PermNoteText"/>
      </w:pPr>
      <w:r>
        <w:tab/>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1553" w:name="_Toc104290943"/>
      <w:bookmarkStart w:id="1554" w:name="_Toc531859300"/>
      <w:r>
        <w:rPr>
          <w:rStyle w:val="CharSectno"/>
        </w:rPr>
        <w:t>93</w:t>
      </w:r>
      <w:r>
        <w:t>.</w:t>
      </w:r>
      <w:r>
        <w:tab/>
        <w:t>Transactions for which exempt body would be solely liable</w:t>
      </w:r>
      <w:bookmarkEnd w:id="1553"/>
      <w:bookmarkEnd w:id="1554"/>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1555" w:name="_Toc104290944"/>
      <w:bookmarkStart w:id="1556" w:name="_Toc531859301"/>
      <w:r>
        <w:rPr>
          <w:rStyle w:val="CharSectno"/>
        </w:rPr>
        <w:t>94</w:t>
      </w:r>
      <w:r>
        <w:t>.</w:t>
      </w:r>
      <w:r>
        <w:tab/>
        <w:t>Transactions for which exempt body and another party would be liable, duty reduction for etc.</w:t>
      </w:r>
      <w:bookmarkEnd w:id="1555"/>
      <w:bookmarkEnd w:id="1556"/>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1200"/>
        <w:rPr>
          <w:del w:id="1557" w:author="Master Repository Process" w:date="2022-05-27T14:27:00Z"/>
        </w:rPr>
      </w:pPr>
      <w:del w:id="1558" w:author="Master Repository Process" w:date="2022-05-27T14:27:00Z">
        <w:r>
          <w:rPr>
            <w:position w:val="-10"/>
          </w:rPr>
          <w:pict>
            <v:shape id="_x0000_i1032" type="#_x0000_t75" style="width:105.75pt;height:17.25pt">
              <v:imagedata r:id="rId18" o:title=""/>
            </v:shape>
          </w:pict>
        </w:r>
      </w:del>
    </w:p>
    <w:p>
      <w:pPr>
        <w:pStyle w:val="Equation"/>
        <w:spacing w:before="80"/>
        <w:ind w:left="1200"/>
        <w:rPr>
          <w:ins w:id="1559" w:author="Master Repository Process" w:date="2022-05-27T14:27:00Z"/>
        </w:rPr>
      </w:pPr>
      <w:ins w:id="1560" w:author="Master Repository Process" w:date="2022-05-27T14:27:00Z">
        <w:r>
          <w:rPr>
            <w:position w:val="-10"/>
          </w:rPr>
          <w:pict>
            <v:shape id="_x0000_i1033" type="#_x0000_t75" style="width:107.25pt;height:17.25pt">
              <v:imagedata r:id="rId18" o:title=""/>
            </v:shape>
          </w:pict>
        </w:r>
      </w:ins>
    </w:p>
    <w:p>
      <w:pPr>
        <w:pStyle w:val="Subsection"/>
        <w:spacing w:before="60"/>
      </w:pPr>
      <w:r>
        <w:tab/>
      </w:r>
      <w:r>
        <w:tab/>
        <w:t>where —</w:t>
      </w:r>
    </w:p>
    <w:p>
      <w:pPr>
        <w:pStyle w:val="Subsection"/>
        <w:spacing w:before="60"/>
      </w:pPr>
      <w:r>
        <w:tab/>
      </w:r>
      <w:r>
        <w:tab/>
        <w:t>TD is the amount of duty that would be payable on the transaction if this section did not apply to it;</w:t>
      </w:r>
    </w:p>
    <w:p>
      <w:pPr>
        <w:pStyle w:val="Subsection"/>
        <w:spacing w:before="60"/>
      </w:pPr>
      <w:r>
        <w:tab/>
      </w:r>
      <w:r>
        <w:tab/>
        <w:t>EI is —</w:t>
      </w:r>
    </w:p>
    <w:p>
      <w:pPr>
        <w:pStyle w:val="Indenta"/>
        <w:spacing w:before="60"/>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spacing w:before="60"/>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spacing w:before="120"/>
      </w:pPr>
      <w:r>
        <w:tab/>
        <w:t>(4)</w:t>
      </w:r>
      <w:r>
        <w:tab/>
        <w:t>The amount of duty payable by any party referred to in subsection (1)(b) is the amount AD determined under subsection (3).</w:t>
      </w:r>
    </w:p>
    <w:p>
      <w:pPr>
        <w:pStyle w:val="PermNoteHeading"/>
      </w:pPr>
      <w:r>
        <w:tab/>
        <w:t>Note for this section:</w:t>
      </w:r>
    </w:p>
    <w:p>
      <w:pPr>
        <w:pStyle w:val="PermNoteText"/>
      </w:pPr>
      <w:r>
        <w:tab/>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PermNoteText"/>
      </w:pPr>
      <w:r>
        <w:tab/>
      </w:r>
      <w:r>
        <w:tab/>
      </w:r>
      <w:del w:id="1561" w:author="Master Repository Process" w:date="2022-05-27T14:27:00Z">
        <w:r>
          <w:rPr>
            <w:position w:val="-22"/>
          </w:rPr>
          <w:pict>
            <v:shape id="_x0000_i1034" type="#_x0000_t75" style="width:172.5pt;height:28.5pt">
              <v:imagedata r:id="rId19" o:title=""/>
            </v:shape>
          </w:pict>
        </w:r>
      </w:del>
      <w:ins w:id="1562" w:author="Master Repository Process" w:date="2022-05-27T14:27:00Z">
        <w:r>
          <w:rPr>
            <w:position w:val="-22"/>
          </w:rPr>
          <w:pict>
            <v:shape id="_x0000_i1035" type="#_x0000_t75" style="width:172.5pt;height:29.25pt">
              <v:imagedata r:id="rId19" o:title=""/>
            </v:shape>
          </w:pict>
        </w:r>
      </w:ins>
    </w:p>
    <w:p>
      <w:pPr>
        <w:pStyle w:val="PermNoteText"/>
      </w:pPr>
      <w:r>
        <w:tab/>
      </w:r>
      <w:r>
        <w:tab/>
        <w:t>This amount (i.e. $1 800) is the amount of transfer duty payable by the other party.</w:t>
      </w:r>
    </w:p>
    <w:p>
      <w:pPr>
        <w:pStyle w:val="Heading5"/>
        <w:keepNext w:val="0"/>
        <w:keepLines w:val="0"/>
        <w:spacing w:before="180"/>
      </w:pPr>
      <w:bookmarkStart w:id="1563" w:name="_Toc104290945"/>
      <w:bookmarkStart w:id="1564" w:name="_Toc531859302"/>
      <w:r>
        <w:rPr>
          <w:rStyle w:val="CharSectno"/>
        </w:rPr>
        <w:t>95</w:t>
      </w:r>
      <w:r>
        <w:t>.</w:t>
      </w:r>
      <w:r>
        <w:tab/>
        <w:t>Transactions for charitable etc. purposes</w:t>
      </w:r>
      <w:bookmarkEnd w:id="1563"/>
      <w:bookmarkEnd w:id="1564"/>
    </w:p>
    <w:p>
      <w:pPr>
        <w:pStyle w:val="Subsection"/>
        <w:spacing w:before="120"/>
      </w:pPr>
      <w:r>
        <w:tab/>
        <w:t>(1)</w:t>
      </w:r>
      <w:r>
        <w:tab/>
        <w:t>Duty is not chargeable on a dutiable transaction that has been entered into or occurred for charitable or similar public purposes.</w:t>
      </w:r>
    </w:p>
    <w:p>
      <w:pPr>
        <w:pStyle w:val="Subsection"/>
      </w:pPr>
      <w:r>
        <w:tab/>
        <w:t>(2)</w:t>
      </w:r>
      <w:r>
        <w:tab/>
        <w:t>However, subsection (1) does not apply if the person liable to pay duty on the dutiable transaction is a relevant body, or is related to a relevant body as referred to in subsection (3), unless a beneficial body determination is in force for the purposes of this Act in respect of the relevant body.</w:t>
      </w:r>
    </w:p>
    <w:p>
      <w:pPr>
        <w:pStyle w:val="Subsection"/>
      </w:pPr>
      <w:r>
        <w:tab/>
        <w:t>(3)</w:t>
      </w:r>
      <w:r>
        <w:tab/>
        <w:t xml:space="preserve">A person liable to pay duty on a dutiable transaction is related to a relevant body if — </w:t>
      </w:r>
    </w:p>
    <w:p>
      <w:pPr>
        <w:pStyle w:val="Indenta"/>
      </w:pPr>
      <w:r>
        <w:tab/>
        <w:t>(a)</w:t>
      </w:r>
      <w:r>
        <w:tab/>
        <w:t>the person holds the dutiable property the subject of the transaction as trustee of a trust; and</w:t>
      </w:r>
    </w:p>
    <w:p>
      <w:pPr>
        <w:pStyle w:val="Indenta"/>
      </w:pPr>
      <w:r>
        <w:tab/>
        <w:t>(b)</w:t>
      </w:r>
      <w:r>
        <w:tab/>
        <w:t xml:space="preserve">the relevant body is a beneficiary under the trust, whether the relevant body has a vested share or is contingently entitled or is a potential beneficiary under a discretionary trust, unless — </w:t>
      </w:r>
    </w:p>
    <w:p>
      <w:pPr>
        <w:pStyle w:val="Indenti"/>
      </w:pPr>
      <w:r>
        <w:tab/>
        <w:t>(i)</w:t>
      </w:r>
      <w:r>
        <w:tab/>
        <w:t>the trust is a discretionary trust; and</w:t>
      </w:r>
    </w:p>
    <w:p>
      <w:pPr>
        <w:pStyle w:val="Indenti"/>
      </w:pPr>
      <w:r>
        <w:tab/>
        <w:t>(ii)</w:t>
      </w:r>
      <w:r>
        <w:tab/>
        <w:t>the Commissioner decides in a particular case that it would be inequitable for the person to be treated as related to the relevant body.</w:t>
      </w:r>
    </w:p>
    <w:p>
      <w:pPr>
        <w:pStyle w:val="Footnotesection"/>
      </w:pPr>
      <w:r>
        <w:tab/>
        <w:t>[Section 95 amended: No. 8 of 2015 s. 5.]</w:t>
      </w:r>
    </w:p>
    <w:p>
      <w:pPr>
        <w:pStyle w:val="Heading5"/>
        <w:spacing w:before="240"/>
      </w:pPr>
      <w:bookmarkStart w:id="1565" w:name="_Toc104290946"/>
      <w:bookmarkStart w:id="1566" w:name="_Toc531859303"/>
      <w:r>
        <w:rPr>
          <w:rStyle w:val="CharSectno"/>
        </w:rPr>
        <w:t>96A</w:t>
      </w:r>
      <w:r>
        <w:t>.</w:t>
      </w:r>
      <w:r>
        <w:tab/>
        <w:t>What is a relevant body</w:t>
      </w:r>
      <w:bookmarkEnd w:id="1565"/>
      <w:bookmarkEnd w:id="1566"/>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is a related body corporate, as defined in the Corporations Act section 9,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ind w:left="890" w:hanging="890"/>
      </w:pPr>
      <w:r>
        <w:tab/>
        <w:t>[Section 96A inserted: No. 8 of 2015 s. 6.]</w:t>
      </w:r>
    </w:p>
    <w:p>
      <w:pPr>
        <w:pStyle w:val="Heading5"/>
      </w:pPr>
      <w:bookmarkStart w:id="1567" w:name="_Toc104290947"/>
      <w:bookmarkStart w:id="1568" w:name="_Toc531859304"/>
      <w:r>
        <w:rPr>
          <w:rStyle w:val="CharSectno"/>
        </w:rPr>
        <w:t>96B</w:t>
      </w:r>
      <w:r>
        <w:t>.</w:t>
      </w:r>
      <w:r>
        <w:tab/>
        <w:t>Application for a beneficial body determination</w:t>
      </w:r>
      <w:bookmarkEnd w:id="1567"/>
      <w:bookmarkEnd w:id="1568"/>
    </w:p>
    <w:p>
      <w:pPr>
        <w:pStyle w:val="Subsection"/>
      </w:pPr>
      <w:r>
        <w:tab/>
        <w:t>(1)</w:t>
      </w:r>
      <w:r>
        <w:tab/>
        <w:t xml:space="preserve">An application may be made to the Minister for a determination under section 96C that a relevant body is a beneficial body for the purposes of the taxation Acts if — </w:t>
      </w:r>
    </w:p>
    <w:p>
      <w:pPr>
        <w:pStyle w:val="Indenta"/>
      </w:pPr>
      <w:r>
        <w:tab/>
        <w:t>(a)</w:t>
      </w:r>
      <w:r>
        <w:tab/>
        <w:t xml:space="preserve">the Commissioner has decided (the </w:t>
      </w:r>
      <w:r>
        <w:rPr>
          <w:rStyle w:val="CharDefText"/>
        </w:rPr>
        <w:t>decision</w:t>
      </w:r>
      <w:r>
        <w:t xml:space="preserve">) that — </w:t>
      </w:r>
    </w:p>
    <w:p>
      <w:pPr>
        <w:pStyle w:val="Indenti"/>
      </w:pPr>
      <w:r>
        <w:tab/>
        <w:t>(i)</w:t>
      </w:r>
      <w:r>
        <w:tab/>
        <w:t>a dutiable transaction is not an exempt transaction under section 95; or</w:t>
      </w:r>
    </w:p>
    <w:p>
      <w:pPr>
        <w:pStyle w:val="Indenti"/>
      </w:pPr>
      <w:r>
        <w:tab/>
        <w:t>(ii)</w:t>
      </w:r>
      <w:r>
        <w:tab/>
        <w:t>an acquisition is not exempt under section 168(</w:t>
      </w:r>
      <w:del w:id="1569" w:author="Master Repository Process" w:date="2022-05-27T14:27:00Z">
        <w:r>
          <w:delText>1</w:delText>
        </w:r>
      </w:del>
      <w:ins w:id="1570" w:author="Master Repository Process" w:date="2022-05-27T14:27:00Z">
        <w:r>
          <w:t>3</w:t>
        </w:r>
      </w:ins>
      <w:r>
        <w:t>) because the transfer referred to in that section would not be an exempt transaction under section 95;</w:t>
      </w:r>
    </w:p>
    <w:p>
      <w:pPr>
        <w:pStyle w:val="Indenta"/>
      </w:pPr>
      <w:r>
        <w:tab/>
      </w:r>
      <w:r>
        <w:tab/>
        <w:t>and</w:t>
      </w:r>
    </w:p>
    <w:p>
      <w:pPr>
        <w:pStyle w:val="Indenta"/>
      </w:pPr>
      <w:r>
        <w:tab/>
        <w:t>(b)</w:t>
      </w:r>
      <w:r>
        <w:tab/>
        <w:t xml:space="preserve">that decision is made solely on the ground that the person liable to pay duty on the dutiable transaction, or who would be liable to pay duty on the transfer, is — </w:t>
      </w:r>
    </w:p>
    <w:p>
      <w:pPr>
        <w:pStyle w:val="Indenti"/>
      </w:pPr>
      <w:r>
        <w:tab/>
        <w:t>(i)</w:t>
      </w:r>
      <w:r>
        <w:tab/>
        <w:t xml:space="preserve">a relevant body referred to in section 96A(c), (d), (e) or (f); or </w:t>
      </w:r>
    </w:p>
    <w:p>
      <w:pPr>
        <w:pStyle w:val="Indenti"/>
      </w:pPr>
      <w:r>
        <w:tab/>
        <w:t>(ii)</w:t>
      </w:r>
      <w:r>
        <w:tab/>
        <w:t>related to such a relevant body as referred to in section 95(3).</w:t>
      </w:r>
    </w:p>
    <w:p>
      <w:pPr>
        <w:pStyle w:val="Subsection"/>
        <w:spacing w:before="120"/>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Taxation Administration Act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spacing w:before="120"/>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under the Taxation Administration Act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r>
        <w:tab/>
        <w:t>[Section 96B inserted: No. 8 of 2015 s. </w:t>
      </w:r>
      <w:del w:id="1571" w:author="Master Repository Process" w:date="2022-05-27T14:27:00Z">
        <w:r>
          <w:delText>6</w:delText>
        </w:r>
      </w:del>
      <w:ins w:id="1572" w:author="Master Repository Process" w:date="2022-05-27T14:27:00Z">
        <w:r>
          <w:t>6; amended: No. 12 of 2019 s. 35</w:t>
        </w:r>
      </w:ins>
      <w:r>
        <w:t>.]</w:t>
      </w:r>
    </w:p>
    <w:p>
      <w:pPr>
        <w:pStyle w:val="Heading5"/>
      </w:pPr>
      <w:bookmarkStart w:id="1573" w:name="_Toc104290948"/>
      <w:bookmarkStart w:id="1574" w:name="_Toc531859305"/>
      <w:r>
        <w:rPr>
          <w:rStyle w:val="CharSectno"/>
        </w:rPr>
        <w:t>96C</w:t>
      </w:r>
      <w:r>
        <w:t>.</w:t>
      </w:r>
      <w:r>
        <w:tab/>
        <w:t>Beneficial body determination</w:t>
      </w:r>
      <w:bookmarkEnd w:id="1573"/>
      <w:bookmarkEnd w:id="1574"/>
    </w:p>
    <w:p>
      <w:pPr>
        <w:pStyle w:val="Subsection"/>
      </w:pPr>
      <w:r>
        <w:tab/>
        <w:t>(1)</w:t>
      </w:r>
      <w:r>
        <w:tab/>
        <w:t>On an application under section 96B the Minister, with the Treasurer’s concurrence, may determine that a relevant body is a beneficial body for the purposes of the taxation Acts.</w:t>
      </w:r>
    </w:p>
    <w:p>
      <w:pPr>
        <w:pStyle w:val="Subsection"/>
        <w:spacing w:before="120"/>
      </w:pPr>
      <w:r>
        <w:tab/>
        <w:t>(2)</w:t>
      </w:r>
      <w:r>
        <w:tab/>
        <w:t>The Minister, with the Treasurer’s concurrence, may amend or revoke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 xml:space="preserve">The Minister must — </w:t>
      </w:r>
    </w:p>
    <w:p>
      <w:pPr>
        <w:pStyle w:val="Indenta"/>
      </w:pPr>
      <w:r>
        <w:tab/>
        <w:t>(a)</w:t>
      </w:r>
      <w:r>
        <w:tab/>
        <w:t>provide written reasons to the applicant for a decision in relation to an application under section 96B;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Land Tax Assessment Act 2002</w:t>
      </w:r>
      <w:r>
        <w:t xml:space="preserve"> and the </w:t>
      </w:r>
      <w:r>
        <w:rPr>
          <w:i/>
        </w:rPr>
        <w:t>Pay</w:t>
      </w:r>
      <w:r>
        <w:rPr>
          <w:i/>
        </w:rPr>
        <w:noBreakHyphen/>
        <w:t>roll Tax Assessment Act 2002</w:t>
      </w:r>
      <w:r>
        <w:t> — on the day specified in the notice in respect of each Act.</w:t>
      </w:r>
    </w:p>
    <w:p>
      <w:pPr>
        <w:pStyle w:val="Subsection"/>
      </w:pPr>
      <w:r>
        <w:tab/>
        <w:t>(8)</w:t>
      </w:r>
      <w:r>
        <w:tab/>
        <w:t xml:space="preserve">Despite subsection (7)(a), a beneficial body determination made under this section applies in relation to the relevant body in respect of — </w:t>
      </w:r>
    </w:p>
    <w:p>
      <w:pPr>
        <w:pStyle w:val="Indenta"/>
      </w:pPr>
      <w:r>
        <w:tab/>
        <w:t>(a)</w:t>
      </w:r>
      <w:r>
        <w:tab/>
        <w:t xml:space="preserve">the dutiable transaction, or acquisition, that is the subject of the application under section 96B (the </w:t>
      </w:r>
      <w:r>
        <w:rPr>
          <w:rStyle w:val="CharDefText"/>
        </w:rPr>
        <w:t>original transaction</w:t>
      </w:r>
      <w:r>
        <w:t>); and</w:t>
      </w:r>
    </w:p>
    <w:p>
      <w:pPr>
        <w:pStyle w:val="Indenta"/>
        <w:keepNext/>
      </w:pPr>
      <w:r>
        <w:tab/>
        <w:t>(b)</w:t>
      </w:r>
      <w:r>
        <w:tab/>
        <w:t xml:space="preserve">any other transaction — </w:t>
      </w:r>
    </w:p>
    <w:p>
      <w:pPr>
        <w:pStyle w:val="Indenti"/>
      </w:pPr>
      <w:r>
        <w:tab/>
        <w:t>(i)</w:t>
      </w:r>
      <w:r>
        <w:tab/>
        <w:t>that was entered into or occurred after the original transaction but before the determination was made; and</w:t>
      </w:r>
    </w:p>
    <w:p>
      <w:pPr>
        <w:pStyle w:val="Indenti"/>
      </w:pPr>
      <w:r>
        <w:tab/>
        <w:t>(ii)</w:t>
      </w:r>
      <w:r>
        <w:tab/>
        <w:t xml:space="preserve">on which duty would not have been chargeable under section 95 (including for the purposes of section 168) had the determination been in force for the purposes of this Act in respect of the relevant body. </w:t>
      </w:r>
    </w:p>
    <w:p>
      <w:pPr>
        <w:pStyle w:val="Subsection"/>
      </w:pPr>
      <w:r>
        <w:tab/>
        <w:t>(9)</w:t>
      </w:r>
      <w:r>
        <w:tab/>
        <w:t>The Commissioner is to reassess the liability to duty of each transaction in respect of which a beneficial body determination applies under subsection (8).</w:t>
      </w:r>
    </w:p>
    <w:p>
      <w:pPr>
        <w:pStyle w:val="Subsection"/>
      </w:pPr>
      <w:r>
        <w:tab/>
        <w:t>(10)</w:t>
      </w:r>
      <w:r>
        <w:tab/>
        <w:t>The limitations as to time in the Taxation Administration Act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96C inserted: No. 8 of 2015 s. 6.]</w:t>
      </w:r>
    </w:p>
    <w:p>
      <w:pPr>
        <w:pStyle w:val="Heading4"/>
        <w:rPr>
          <w:sz w:val="26"/>
        </w:rPr>
      </w:pPr>
      <w:bookmarkStart w:id="1575" w:name="_Toc37946754"/>
      <w:bookmarkStart w:id="1576" w:name="_Toc37947354"/>
      <w:bookmarkStart w:id="1577" w:name="_Toc38031418"/>
      <w:bookmarkStart w:id="1578" w:name="_Toc93309927"/>
      <w:bookmarkStart w:id="1579" w:name="_Toc104290949"/>
      <w:bookmarkStart w:id="1580" w:name="_Toc530491691"/>
      <w:bookmarkStart w:id="1581" w:name="_Toc530492151"/>
      <w:bookmarkStart w:id="1582" w:name="_Toc530493161"/>
      <w:bookmarkStart w:id="1583" w:name="_Toc530556296"/>
      <w:bookmarkStart w:id="1584" w:name="_Toc531692134"/>
      <w:bookmarkStart w:id="1585" w:name="_Toc531856039"/>
      <w:bookmarkStart w:id="1586" w:name="_Toc531858767"/>
      <w:bookmarkStart w:id="1587" w:name="_Toc531859306"/>
      <w:r>
        <w:rPr>
          <w:sz w:val="26"/>
        </w:rPr>
        <w:t>Subdivision 2 — Certain transactions between spouses or de facto partners</w:t>
      </w:r>
      <w:bookmarkEnd w:id="1575"/>
      <w:bookmarkEnd w:id="1576"/>
      <w:bookmarkEnd w:id="1577"/>
      <w:bookmarkEnd w:id="1578"/>
      <w:bookmarkEnd w:id="1579"/>
      <w:bookmarkEnd w:id="1580"/>
      <w:bookmarkEnd w:id="1581"/>
      <w:bookmarkEnd w:id="1582"/>
      <w:bookmarkEnd w:id="1583"/>
      <w:bookmarkEnd w:id="1584"/>
      <w:bookmarkEnd w:id="1585"/>
      <w:bookmarkEnd w:id="1586"/>
      <w:bookmarkEnd w:id="1587"/>
    </w:p>
    <w:p>
      <w:pPr>
        <w:pStyle w:val="Heading5"/>
        <w:spacing w:before="180"/>
      </w:pPr>
      <w:bookmarkStart w:id="1588" w:name="_Toc104290950"/>
      <w:bookmarkStart w:id="1589" w:name="_Toc531859307"/>
      <w:r>
        <w:rPr>
          <w:rStyle w:val="CharSectno"/>
        </w:rPr>
        <w:t>96</w:t>
      </w:r>
      <w:r>
        <w:t>.</w:t>
      </w:r>
      <w:r>
        <w:tab/>
        <w:t>Terms used</w:t>
      </w:r>
      <w:bookmarkEnd w:id="1588"/>
      <w:bookmarkEnd w:id="1589"/>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keepNext/>
      </w:pPr>
      <w:r>
        <w:rPr>
          <w:b/>
        </w:rPr>
        <w:tab/>
      </w:r>
      <w:r>
        <w:rPr>
          <w:rStyle w:val="CharDefText"/>
        </w:rPr>
        <w:t>residence</w:t>
      </w:r>
      <w:r>
        <w:t xml:space="preserve"> includes flat, apartment or other residential unit.</w:t>
      </w:r>
    </w:p>
    <w:p>
      <w:pPr>
        <w:pStyle w:val="Heading5"/>
      </w:pPr>
      <w:bookmarkStart w:id="1590" w:name="_Toc104290951"/>
      <w:bookmarkStart w:id="1591" w:name="_Toc531859308"/>
      <w:r>
        <w:rPr>
          <w:rStyle w:val="CharSectno"/>
        </w:rPr>
        <w:t>97</w:t>
      </w:r>
      <w:r>
        <w:t>.</w:t>
      </w:r>
      <w:r>
        <w:tab/>
        <w:t>Some transactions between spouses or de facto partners</w:t>
      </w:r>
      <w:bookmarkEnd w:id="1590"/>
      <w:bookmarkEnd w:id="1591"/>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pPr>
      <w:r>
        <w:tab/>
        <w:t>(e)</w:t>
      </w:r>
      <w:r>
        <w:tab/>
        <w:t>the result of the transaction is or will be that the dutiable property is owned solely by the persons referred to in paragraph (a) as joint tenants or tenants in common in equal shares.</w:t>
      </w:r>
    </w:p>
    <w:p>
      <w:pPr>
        <w:pStyle w:val="Heading5"/>
      </w:pPr>
      <w:bookmarkStart w:id="1592" w:name="_Toc104290952"/>
      <w:bookmarkStart w:id="1593" w:name="_Toc531859309"/>
      <w:r>
        <w:rPr>
          <w:rStyle w:val="CharSectno"/>
        </w:rPr>
        <w:t>98</w:t>
      </w:r>
      <w:r>
        <w:t>.</w:t>
      </w:r>
      <w:r>
        <w:tab/>
        <w:t>Application for exemption under this Subdivision</w:t>
      </w:r>
      <w:bookmarkEnd w:id="1592"/>
      <w:bookmarkEnd w:id="1593"/>
    </w:p>
    <w:p>
      <w:pPr>
        <w:pStyle w:val="Subsection"/>
      </w:pPr>
      <w:r>
        <w:tab/>
      </w:r>
      <w:r>
        <w:tab/>
        <w:t xml:space="preserve">An application for assessment or reassessment under this Subdivision must be — </w:t>
      </w:r>
    </w:p>
    <w:p>
      <w:pPr>
        <w:pStyle w:val="Indenta"/>
      </w:pPr>
      <w:r>
        <w:tab/>
        <w:t>(a)</w:t>
      </w:r>
      <w:r>
        <w:tab/>
        <w:t>made in the approved form by the persons referred to in section 97(a); and</w:t>
      </w:r>
    </w:p>
    <w:p>
      <w:pPr>
        <w:pStyle w:val="Indenta"/>
      </w:pPr>
      <w:r>
        <w:tab/>
        <w:t>(b)</w:t>
      </w:r>
      <w:r>
        <w:tab/>
        <w:t>accompanied by such transaction record for the transaction as is required to be lodged under section 23.</w:t>
      </w:r>
    </w:p>
    <w:p>
      <w:pPr>
        <w:pStyle w:val="Heading4"/>
        <w:rPr>
          <w:sz w:val="26"/>
        </w:rPr>
      </w:pPr>
      <w:bookmarkStart w:id="1594" w:name="_Toc37946758"/>
      <w:bookmarkStart w:id="1595" w:name="_Toc37947358"/>
      <w:bookmarkStart w:id="1596" w:name="_Toc38031422"/>
      <w:bookmarkStart w:id="1597" w:name="_Toc93309931"/>
      <w:bookmarkStart w:id="1598" w:name="_Toc104290953"/>
      <w:bookmarkStart w:id="1599" w:name="_Toc530491695"/>
      <w:bookmarkStart w:id="1600" w:name="_Toc530492155"/>
      <w:bookmarkStart w:id="1601" w:name="_Toc530493165"/>
      <w:bookmarkStart w:id="1602" w:name="_Toc530556300"/>
      <w:bookmarkStart w:id="1603" w:name="_Toc531692138"/>
      <w:bookmarkStart w:id="1604" w:name="_Toc531856043"/>
      <w:bookmarkStart w:id="1605" w:name="_Toc531858771"/>
      <w:bookmarkStart w:id="1606" w:name="_Toc531859310"/>
      <w:r>
        <w:rPr>
          <w:sz w:val="26"/>
        </w:rPr>
        <w:t>Subdivision 3 — Family farm transactions</w:t>
      </w:r>
      <w:bookmarkEnd w:id="1594"/>
      <w:bookmarkEnd w:id="1595"/>
      <w:bookmarkEnd w:id="1596"/>
      <w:bookmarkEnd w:id="1597"/>
      <w:bookmarkEnd w:id="1598"/>
      <w:bookmarkEnd w:id="1599"/>
      <w:bookmarkEnd w:id="1600"/>
      <w:bookmarkEnd w:id="1601"/>
      <w:bookmarkEnd w:id="1602"/>
      <w:bookmarkEnd w:id="1603"/>
      <w:bookmarkEnd w:id="1604"/>
      <w:bookmarkEnd w:id="1605"/>
      <w:bookmarkEnd w:id="1606"/>
    </w:p>
    <w:p>
      <w:pPr>
        <w:pStyle w:val="Heading5"/>
        <w:spacing w:before="240"/>
      </w:pPr>
      <w:bookmarkStart w:id="1607" w:name="_Toc104290954"/>
      <w:bookmarkStart w:id="1608" w:name="_Toc531859311"/>
      <w:r>
        <w:rPr>
          <w:rStyle w:val="CharSectno"/>
        </w:rPr>
        <w:t>99</w:t>
      </w:r>
      <w:r>
        <w:t>.</w:t>
      </w:r>
      <w:r>
        <w:tab/>
        <w:t>Terms used</w:t>
      </w:r>
      <w:bookmarkEnd w:id="1607"/>
      <w:bookmarkEnd w:id="1608"/>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Western Australia that is used solely or dominantly for the purpose of primary production;</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keepNext/>
        <w:keepLines/>
      </w:pPr>
      <w:r>
        <w:rPr>
          <w:b/>
        </w:rPr>
        <w:tab/>
      </w:r>
      <w:r>
        <w:rPr>
          <w:rStyle w:val="CharDefText"/>
        </w:rPr>
        <w:t>transferor</w:t>
      </w:r>
      <w:r>
        <w:rPr>
          <w:bCs/>
        </w:rPr>
        <w:t>,</w:t>
      </w:r>
      <w:r>
        <w:t xml:space="preserve"> in respect of a dutiable transaction the subject of which is farming property, means — </w:t>
      </w:r>
    </w:p>
    <w:p>
      <w:pPr>
        <w:pStyle w:val="Defpara"/>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w:t>
      </w:r>
      <w:del w:id="1609" w:author="Master Repository Process" w:date="2022-05-27T14:27:00Z">
        <w:r>
          <w:delText>, if</w:delText>
        </w:r>
      </w:del>
      <w:ins w:id="1610" w:author="Master Repository Process" w:date="2022-05-27T14:27:00Z">
        <w:r>
          <w:t xml:space="preserve"> to</w:t>
        </w:r>
      </w:ins>
      <w:r>
        <w:t xml:space="preserve"> the </w:t>
      </w:r>
      <w:del w:id="1611" w:author="Master Repository Process" w:date="2022-05-27T14:27:00Z">
        <w:r>
          <w:delText>land</w:delText>
        </w:r>
      </w:del>
      <w:ins w:id="1612" w:author="Master Repository Process" w:date="2022-05-27T14:27:00Z">
        <w:r>
          <w:t>extent that the property of a kind</w:t>
        </w:r>
      </w:ins>
      <w:r>
        <w:t xml:space="preserve"> referred to in section 72</w:t>
      </w:r>
      <w:ins w:id="1613" w:author="Master Repository Process" w:date="2022-05-27T14:27:00Z">
        <w:r>
          <w:t>(a) to (d) held by the partnership, or in which the partnership has an indirect interest under section 73,</w:t>
        </w:r>
      </w:ins>
      <w:r>
        <w:t xml:space="preserve"> is farming </w:t>
      </w:r>
      <w:del w:id="1614" w:author="Master Repository Process" w:date="2022-05-27T14:27:00Z">
        <w:r>
          <w:delText>land</w:delText>
        </w:r>
      </w:del>
      <w:ins w:id="1615" w:author="Master Repository Process" w:date="2022-05-27T14:27:00Z">
        <w:r>
          <w:t>property</w:t>
        </w:r>
      </w:ins>
      <w:r>
        <w:t>.</w:t>
      </w:r>
    </w:p>
    <w:p>
      <w:pPr>
        <w:pStyle w:val="Footnotesection"/>
        <w:rPr>
          <w:ins w:id="1616" w:author="Master Repository Process" w:date="2022-05-27T14:27:00Z"/>
        </w:rPr>
      </w:pPr>
      <w:ins w:id="1617" w:author="Master Repository Process" w:date="2022-05-27T14:27:00Z">
        <w:r>
          <w:tab/>
          <w:t>[Section 99 amended: No. 12 of 2019 s. 36.]</w:t>
        </w:r>
      </w:ins>
    </w:p>
    <w:p>
      <w:pPr>
        <w:pStyle w:val="Heading5"/>
      </w:pPr>
      <w:bookmarkStart w:id="1618" w:name="_Toc104290955"/>
      <w:bookmarkStart w:id="1619" w:name="_Toc531859312"/>
      <w:r>
        <w:rPr>
          <w:rStyle w:val="CharSectno"/>
        </w:rPr>
        <w:t>100</w:t>
      </w:r>
      <w:r>
        <w:t>.</w:t>
      </w:r>
      <w:r>
        <w:tab/>
        <w:t>References to family member</w:t>
      </w:r>
      <w:bookmarkEnd w:id="1618"/>
      <w:bookmarkEnd w:id="1619"/>
    </w:p>
    <w:p>
      <w:pPr>
        <w:pStyle w:val="Subsection"/>
      </w:pPr>
      <w:r>
        <w:tab/>
      </w:r>
      <w:ins w:id="1620" w:author="Master Repository Process" w:date="2022-05-27T14:27:00Z">
        <w:r>
          <w:t>(1)</w:t>
        </w:r>
      </w:ins>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 xml:space="preserve">a brother or sister of the person or </w:t>
      </w:r>
      <w:ins w:id="1621" w:author="Master Repository Process" w:date="2022-05-27T14:27:00Z">
        <w:r>
          <w:t xml:space="preserve">a child or </w:t>
        </w:r>
      </w:ins>
      <w:r>
        <w:t>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del w:id="1622" w:author="Master Repository Process" w:date="2022-05-27T14:27:00Z">
        <w:r>
          <w:delText>),</w:delText>
        </w:r>
      </w:del>
      <w:ins w:id="1623" w:author="Master Repository Process" w:date="2022-05-27T14:27:00Z">
        <w:r>
          <w:t>); or</w:t>
        </w:r>
      </w:ins>
    </w:p>
    <w:p>
      <w:pPr>
        <w:pStyle w:val="Indenta"/>
        <w:rPr>
          <w:ins w:id="1624" w:author="Master Repository Process" w:date="2022-05-27T14:27:00Z"/>
        </w:rPr>
      </w:pPr>
      <w:ins w:id="1625" w:author="Master Repository Process" w:date="2022-05-27T14:27:00Z">
        <w:r>
          <w:tab/>
          <w:t>(g)</w:t>
        </w:r>
        <w:r>
          <w:tab/>
          <w:t>a brother or sister of the person’s spouse or of the person’s de facto partner of 2 years; or</w:t>
        </w:r>
      </w:ins>
    </w:p>
    <w:p>
      <w:pPr>
        <w:pStyle w:val="Indenta"/>
        <w:rPr>
          <w:ins w:id="1626" w:author="Master Repository Process" w:date="2022-05-27T14:27:00Z"/>
        </w:rPr>
      </w:pPr>
      <w:ins w:id="1627" w:author="Master Repository Process" w:date="2022-05-27T14:27:00Z">
        <w:r>
          <w:tab/>
          <w:t>(h)</w:t>
        </w:r>
        <w:r>
          <w:tab/>
          <w:t>the spouse or de facto partner of 2 years of a brother or sister to whom paragraph (g) applies,</w:t>
        </w:r>
      </w:ins>
    </w:p>
    <w:p>
      <w:pPr>
        <w:pStyle w:val="Subsection"/>
      </w:pPr>
      <w:r>
        <w:tab/>
      </w:r>
      <w:r>
        <w:tab/>
        <w:t>or more than one of them.</w:t>
      </w:r>
    </w:p>
    <w:p>
      <w:pPr>
        <w:pStyle w:val="Subsection"/>
        <w:rPr>
          <w:ins w:id="1628" w:author="Master Repository Process" w:date="2022-05-27T14:27:00Z"/>
        </w:rPr>
      </w:pPr>
      <w:ins w:id="1629" w:author="Master Repository Process" w:date="2022-05-27T14:27:00Z">
        <w:r>
          <w:tab/>
          <w:t>(2)</w:t>
        </w:r>
        <w:r>
          <w:tab/>
          <w:t>A reference in this Subdivision to a family member is to a family member acting in their own capacity and not as agent, trustee or otherwise on behalf of any other person.</w:t>
        </w:r>
      </w:ins>
    </w:p>
    <w:p>
      <w:pPr>
        <w:pStyle w:val="Footnotesection"/>
        <w:rPr>
          <w:ins w:id="1630" w:author="Master Repository Process" w:date="2022-05-27T14:27:00Z"/>
        </w:rPr>
      </w:pPr>
      <w:ins w:id="1631" w:author="Master Repository Process" w:date="2022-05-27T14:27:00Z">
        <w:r>
          <w:tab/>
          <w:t>[Section 100 amended: No. 12 of 2019 s. 37.]</w:t>
        </w:r>
      </w:ins>
    </w:p>
    <w:p>
      <w:pPr>
        <w:pStyle w:val="Heading5"/>
      </w:pPr>
      <w:bookmarkStart w:id="1632" w:name="_Toc104290956"/>
      <w:bookmarkStart w:id="1633" w:name="_Toc531859313"/>
      <w:r>
        <w:rPr>
          <w:rStyle w:val="CharSectno"/>
        </w:rPr>
        <w:t>101A</w:t>
      </w:r>
      <w:r>
        <w:t>.</w:t>
      </w:r>
      <w:r>
        <w:tab/>
        <w:t>References to primary production</w:t>
      </w:r>
      <w:bookmarkEnd w:id="1632"/>
      <w:bookmarkEnd w:id="1633"/>
    </w:p>
    <w:p>
      <w:pPr>
        <w:pStyle w:val="Subsection"/>
      </w:pPr>
      <w:r>
        <w:tab/>
        <w:t>(1)</w:t>
      </w:r>
      <w:r>
        <w:tab/>
        <w:t xml:space="preserve">A reference to </w:t>
      </w:r>
      <w:r>
        <w:rPr>
          <w:rStyle w:val="CharDefText"/>
        </w:rPr>
        <w:t>primary production</w:t>
      </w:r>
      <w:r>
        <w:t xml:space="preserve"> is a reference to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pPr>
      <w:r>
        <w:tab/>
        <w:t>(2)</w:t>
      </w:r>
      <w:r>
        <w:tab/>
        <w:t xml:space="preserve">In determining whether or not something is primary production — </w:t>
      </w:r>
    </w:p>
    <w:p>
      <w:pPr>
        <w:pStyle w:val="Indenta"/>
      </w:pPr>
      <w:r>
        <w:tab/>
        <w:t>(a)</w:t>
      </w:r>
      <w:r>
        <w:tab/>
        <w:t>it is irrelevant whether a thing is sold, or to be sold, in a natural, processed or converted state; but</w:t>
      </w:r>
    </w:p>
    <w:p>
      <w:pPr>
        <w:pStyle w:val="Indenta"/>
      </w:pPr>
      <w:r>
        <w:tab/>
        <w:t>(b)</w:t>
      </w:r>
      <w:r>
        <w:tab/>
        <w:t>the processing or converting of anything for the purpose of selling it is not primary production.</w:t>
      </w:r>
    </w:p>
    <w:p>
      <w:pPr>
        <w:pStyle w:val="Footnotesection"/>
      </w:pPr>
      <w:r>
        <w:tab/>
        <w:t>[Section 101A inserted: No. 1 of 2015 s. 11.]</w:t>
      </w:r>
    </w:p>
    <w:p>
      <w:pPr>
        <w:pStyle w:val="Heading5"/>
        <w:spacing w:before="240"/>
      </w:pPr>
      <w:bookmarkStart w:id="1634" w:name="_Toc104290957"/>
      <w:bookmarkStart w:id="1635" w:name="_Toc531859314"/>
      <w:r>
        <w:rPr>
          <w:rStyle w:val="CharSectno"/>
        </w:rPr>
        <w:t>101</w:t>
      </w:r>
      <w:r>
        <w:t>.</w:t>
      </w:r>
      <w:r>
        <w:tab/>
        <w:t>References to transferee</w:t>
      </w:r>
      <w:bookmarkEnd w:id="1634"/>
      <w:bookmarkEnd w:id="1635"/>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w:t>
      </w:r>
      <w:del w:id="1636" w:author="Master Repository Process" w:date="2022-05-27T14:27:00Z">
        <w:r>
          <w:delText>, if the family member does not intend to hold the farming property as agent, trustee</w:delText>
        </w:r>
      </w:del>
      <w:ins w:id="1637" w:author="Master Repository Process" w:date="2022-05-27T14:27:00Z">
        <w:r>
          <w:t>;</w:t>
        </w:r>
      </w:ins>
      <w:r>
        <w:t xml:space="preserve"> or </w:t>
      </w:r>
      <w:del w:id="1638" w:author="Master Repository Process" w:date="2022-05-27T14:27:00Z">
        <w:r>
          <w:delText>otherwise on behalf of any other person; or</w:delText>
        </w:r>
      </w:del>
    </w:p>
    <w:p>
      <w:pPr>
        <w:pStyle w:val="Indenta"/>
      </w:pPr>
      <w:r>
        <w:tab/>
        <w:t>(b)</w:t>
      </w:r>
      <w:r>
        <w:tab/>
        <w:t xml:space="preserve">a trustee of a trust, other than a unit trust scheme or a discretionary trust, if </w:t>
      </w:r>
      <w:del w:id="1639" w:author="Master Repository Process" w:date="2022-05-27T14:27:00Z">
        <w:r>
          <w:delText>the beneficial owner</w:delText>
        </w:r>
      </w:del>
      <w:ins w:id="1640" w:author="Master Repository Process" w:date="2022-05-27T14:27:00Z">
        <w:r>
          <w:t>each beneficiary</w:t>
        </w:r>
      </w:ins>
      <w:r>
        <w:t xml:space="preserve"> of the trust </w:t>
      </w:r>
      <w:del w:id="1641" w:author="Master Repository Process" w:date="2022-05-27T14:27:00Z">
        <w:r>
          <w:delText xml:space="preserve">property under the trust </w:delText>
        </w:r>
      </w:del>
      <w:r>
        <w:t>is a family member of the transferor; or</w:t>
      </w:r>
    </w:p>
    <w:p>
      <w:pPr>
        <w:pStyle w:val="Indenta"/>
      </w:pPr>
      <w:r>
        <w:tab/>
        <w:t>(c)</w:t>
      </w:r>
      <w:r>
        <w:tab/>
        <w:t xml:space="preserve">a trustee of a discretionary trust, if — </w:t>
      </w:r>
    </w:p>
    <w:p>
      <w:pPr>
        <w:pStyle w:val="Indenti"/>
      </w:pPr>
      <w:r>
        <w:tab/>
        <w:t>(i)</w:t>
      </w:r>
      <w:r>
        <w:tab/>
      </w:r>
      <w:del w:id="1642" w:author="Master Repository Process" w:date="2022-05-27T14:27:00Z">
        <w:r>
          <w:delText xml:space="preserve">all the persons who have a share or interest in the </w:delText>
        </w:r>
      </w:del>
      <w:ins w:id="1643" w:author="Master Repository Process" w:date="2022-05-27T14:27:00Z">
        <w:r>
          <w:t xml:space="preserve">each beneficiary of the </w:t>
        </w:r>
      </w:ins>
      <w:r>
        <w:t xml:space="preserve">trust </w:t>
      </w:r>
      <w:del w:id="1644" w:author="Master Repository Process" w:date="2022-05-27T14:27:00Z">
        <w:r>
          <w:delText xml:space="preserve">property, whether vested or contingent, or who may benefit from the discretionary trust are </w:delText>
        </w:r>
      </w:del>
      <w:ins w:id="1645" w:author="Master Repository Process" w:date="2022-05-27T14:27:00Z">
        <w:r>
          <w:t xml:space="preserve">is the transferor or a </w:t>
        </w:r>
      </w:ins>
      <w:r>
        <w:t xml:space="preserve">family </w:t>
      </w:r>
      <w:del w:id="1646" w:author="Master Repository Process" w:date="2022-05-27T14:27:00Z">
        <w:r>
          <w:delText>members</w:delText>
        </w:r>
      </w:del>
      <w:ins w:id="1647" w:author="Master Repository Process" w:date="2022-05-27T14:27:00Z">
        <w:r>
          <w:t>member</w:t>
        </w:r>
      </w:ins>
      <w:r>
        <w:t xml:space="preserve"> of the transferor; and</w:t>
      </w:r>
    </w:p>
    <w:p>
      <w:pPr>
        <w:pStyle w:val="Indenti"/>
        <w:rPr>
          <w:ins w:id="1648" w:author="Master Repository Process" w:date="2022-05-27T14:27:00Z"/>
        </w:rPr>
      </w:pPr>
      <w:ins w:id="1649" w:author="Master Repository Process" w:date="2022-05-27T14:27:00Z">
        <w:r>
          <w:tab/>
          <w:t>(ia)</w:t>
        </w:r>
        <w:r>
          <w:tab/>
          <w:t>the transferor is not the only beneficiary of the trust; and</w:t>
        </w:r>
      </w:ins>
    </w:p>
    <w:p>
      <w:pPr>
        <w:pStyle w:val="Indenti"/>
      </w:pPr>
      <w:r>
        <w:tab/>
        <w:t>(ii)</w:t>
      </w:r>
      <w:r>
        <w:tab/>
        <w:t>the transferor does not control the discretionary trust.</w:t>
      </w:r>
    </w:p>
    <w:p>
      <w:pPr>
        <w:pStyle w:val="Footnotesection"/>
        <w:rPr>
          <w:ins w:id="1650" w:author="Master Repository Process" w:date="2022-05-27T14:27:00Z"/>
        </w:rPr>
      </w:pPr>
      <w:ins w:id="1651" w:author="Master Repository Process" w:date="2022-05-27T14:27:00Z">
        <w:r>
          <w:tab/>
          <w:t>[Section 101 amended: No. 12 of 2019 s. 38.]</w:t>
        </w:r>
      </w:ins>
    </w:p>
    <w:p>
      <w:pPr>
        <w:pStyle w:val="Heading5"/>
        <w:spacing w:before="240"/>
      </w:pPr>
      <w:bookmarkStart w:id="1652" w:name="_Toc104290958"/>
      <w:bookmarkStart w:id="1653" w:name="_Toc531859315"/>
      <w:r>
        <w:rPr>
          <w:rStyle w:val="CharSectno"/>
        </w:rPr>
        <w:t>102</w:t>
      </w:r>
      <w:r>
        <w:t>.</w:t>
      </w:r>
      <w:r>
        <w:tab/>
        <w:t>References to exempt family farm transaction</w:t>
      </w:r>
      <w:bookmarkEnd w:id="1652"/>
      <w:bookmarkEnd w:id="1653"/>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w:t>
      </w:r>
      <w:del w:id="1654" w:author="Master Repository Process" w:date="2022-05-27T14:27:00Z">
        <w:r>
          <w:delText>;</w:delText>
        </w:r>
      </w:del>
      <w:r>
        <w:t xml:space="preserve"> or</w:t>
      </w:r>
      <w:ins w:id="1655" w:author="Master Repository Process" w:date="2022-05-27T14:27:00Z">
        <w:r>
          <w:t xml:space="preserve"> with others; or</w:t>
        </w:r>
      </w:ins>
    </w:p>
    <w:p>
      <w:pPr>
        <w:pStyle w:val="Indenta"/>
      </w:pPr>
      <w:r>
        <w:tab/>
        <w:t>(b)</w:t>
      </w:r>
      <w:r>
        <w:tab/>
        <w:t>through a trust</w:t>
      </w:r>
      <w:del w:id="1656" w:author="Master Repository Process" w:date="2022-05-27T14:27:00Z">
        <w:r>
          <w:delText>,</w:delText>
        </w:r>
      </w:del>
      <w:ins w:id="1657" w:author="Master Repository Process" w:date="2022-05-27T14:27:00Z">
        <w:r>
          <w:t xml:space="preserve"> or</w:t>
        </w:r>
      </w:ins>
      <w:r>
        <w:t xml:space="preserve"> corporation </w:t>
      </w:r>
      <w:del w:id="1658" w:author="Master Repository Process" w:date="2022-05-27T14:27:00Z">
        <w:r>
          <w:delText xml:space="preserve">or partnership </w:delText>
        </w:r>
      </w:del>
      <w:r>
        <w:t xml:space="preserve">(an </w:t>
      </w:r>
      <w:r>
        <w:rPr>
          <w:rStyle w:val="CharDefText"/>
        </w:rPr>
        <w:t>entity</w:t>
      </w:r>
      <w:r>
        <w:t>) to which the transferor or transferee, as is relevant, is related</w:t>
      </w:r>
      <w:ins w:id="1659" w:author="Master Repository Process" w:date="2022-05-27T14:27:00Z">
        <w:r>
          <w:t xml:space="preserve"> under section 102A</w:t>
        </w:r>
      </w:ins>
      <w:r>
        <w:t>; or</w:t>
      </w:r>
    </w:p>
    <w:p>
      <w:pPr>
        <w:pStyle w:val="Indenta"/>
      </w:pPr>
      <w:r>
        <w:tab/>
        <w:t>(c)</w:t>
      </w:r>
      <w:r>
        <w:tab/>
        <w:t>through a combination of entities to which the transferor or transferee, as is relevant, is related</w:t>
      </w:r>
      <w:ins w:id="1660" w:author="Master Repository Process" w:date="2022-05-27T14:27:00Z">
        <w:r>
          <w:t xml:space="preserve"> under section 102A</w:t>
        </w:r>
      </w:ins>
      <w:r>
        <w:t>.</w:t>
      </w:r>
    </w:p>
    <w:p>
      <w:pPr>
        <w:pStyle w:val="Subsection"/>
        <w:keepNext/>
        <w:keepLines/>
        <w:rPr>
          <w:del w:id="1661" w:author="Master Repository Process" w:date="2022-05-27T14:27:00Z"/>
        </w:rPr>
      </w:pPr>
      <w:del w:id="1662" w:author="Master Repository Process" w:date="2022-05-27T14:27:00Z">
        <w:r>
          <w:tab/>
          <w:delText>(4)</w:delText>
        </w:r>
        <w:r>
          <w:tab/>
          <w:delText xml:space="preserve">In subsection (3), a transferor is related to an entity if — </w:delText>
        </w:r>
      </w:del>
    </w:p>
    <w:p>
      <w:pPr>
        <w:pStyle w:val="Subsection"/>
        <w:rPr>
          <w:ins w:id="1663" w:author="Master Repository Process" w:date="2022-05-27T14:27:00Z"/>
        </w:rPr>
      </w:pPr>
      <w:del w:id="1664" w:author="Master Repository Process" w:date="2022-05-27T14:27:00Z">
        <w:r>
          <w:tab/>
          <w:delText>(a)</w:delText>
        </w:r>
        <w:r>
          <w:tab/>
          <w:delText xml:space="preserve">the </w:delText>
        </w:r>
      </w:del>
      <w:ins w:id="1665" w:author="Master Repository Process" w:date="2022-05-27T14:27:00Z">
        <w:r>
          <w:tab/>
          <w:t>(4)</w:t>
        </w:r>
        <w:r>
          <w:tab/>
          <w:t xml:space="preserve">The Commissioner may treat the requirement in subsection (2)(a) as being satisfied, even though any of the transferors was not using the farming property in the business of primary production immediately before the transaction took place, if the Commissioner is satisfied that — </w:t>
        </w:r>
      </w:ins>
    </w:p>
    <w:p>
      <w:pPr>
        <w:pStyle w:val="Indenta"/>
        <w:rPr>
          <w:ins w:id="1666" w:author="Master Repository Process" w:date="2022-05-27T14:27:00Z"/>
        </w:rPr>
      </w:pPr>
      <w:ins w:id="1667" w:author="Master Repository Process" w:date="2022-05-27T14:27:00Z">
        <w:r>
          <w:tab/>
          <w:t>(a)</w:t>
        </w:r>
        <w:r>
          <w:tab/>
          <w:t>the relevant transferor had previously used the farming property in the business of primary production; and</w:t>
        </w:r>
      </w:ins>
    </w:p>
    <w:p>
      <w:pPr>
        <w:pStyle w:val="Indenta"/>
        <w:keepNext/>
        <w:keepLines/>
        <w:rPr>
          <w:del w:id="1668" w:author="Master Repository Process" w:date="2022-05-27T14:27:00Z"/>
        </w:rPr>
      </w:pPr>
      <w:ins w:id="1669" w:author="Master Repository Process" w:date="2022-05-27T14:27:00Z">
        <w:r>
          <w:tab/>
          <w:t>(b)</w:t>
        </w:r>
        <w:r>
          <w:tab/>
          <w:t xml:space="preserve">a family member of the relevant </w:t>
        </w:r>
      </w:ins>
      <w:r>
        <w:t>transferor</w:t>
      </w:r>
      <w:del w:id="1670" w:author="Master Repository Process" w:date="2022-05-27T14:27:00Z">
        <w:r>
          <w:delText xml:space="preserve"> is a beneficiary of a trust — </w:delText>
        </w:r>
      </w:del>
    </w:p>
    <w:p>
      <w:pPr>
        <w:pStyle w:val="Indenti"/>
        <w:rPr>
          <w:del w:id="1671" w:author="Master Repository Process" w:date="2022-05-27T14:27:00Z"/>
        </w:rPr>
      </w:pPr>
      <w:del w:id="1672" w:author="Master Repository Process" w:date="2022-05-27T14:27:00Z">
        <w:r>
          <w:tab/>
          <w:delText>(i)</w:delText>
        </w:r>
        <w:r>
          <w:tab/>
          <w:delText>other than a unit trust scheme or a discretionary trust; and</w:delText>
        </w:r>
      </w:del>
    </w:p>
    <w:p>
      <w:pPr>
        <w:pStyle w:val="Indenti"/>
        <w:rPr>
          <w:del w:id="1673" w:author="Master Repository Process" w:date="2022-05-27T14:27:00Z"/>
        </w:rPr>
      </w:pPr>
      <w:del w:id="1674" w:author="Master Repository Process" w:date="2022-05-27T14:27:00Z">
        <w:r>
          <w:tab/>
          <w:delText>(ii)</w:delText>
        </w:r>
        <w:r>
          <w:tab/>
          <w:delText xml:space="preserve">in </w:delText>
        </w:r>
      </w:del>
      <w:ins w:id="1675" w:author="Master Repository Process" w:date="2022-05-27T14:27:00Z">
        <w:r>
          <w:t xml:space="preserve">, or an entity to </w:t>
        </w:r>
      </w:ins>
      <w:r>
        <w:t xml:space="preserve">which </w:t>
      </w:r>
      <w:del w:id="1676" w:author="Master Repository Process" w:date="2022-05-27T14:27:00Z">
        <w:r>
          <w:delText>every other beneficiary is a family member of the transferor;</w:delText>
        </w:r>
      </w:del>
    </w:p>
    <w:p>
      <w:pPr>
        <w:pStyle w:val="Indenta"/>
        <w:rPr>
          <w:del w:id="1677" w:author="Master Repository Process" w:date="2022-05-27T14:27:00Z"/>
        </w:rPr>
      </w:pPr>
      <w:del w:id="1678" w:author="Master Repository Process" w:date="2022-05-27T14:27:00Z">
        <w:r>
          <w:tab/>
        </w:r>
        <w:r>
          <w:tab/>
          <w:delText>or</w:delText>
        </w:r>
      </w:del>
    </w:p>
    <w:p>
      <w:pPr>
        <w:pStyle w:val="Indenta"/>
        <w:rPr>
          <w:del w:id="1679" w:author="Master Repository Process" w:date="2022-05-27T14:27:00Z"/>
        </w:rPr>
      </w:pPr>
      <w:del w:id="1680" w:author="Master Repository Process" w:date="2022-05-27T14:27:00Z">
        <w:r>
          <w:tab/>
          <w:delText>(b)</w:delText>
        </w:r>
        <w:r>
          <w:tab/>
          <w:delText xml:space="preserve">the transferor has a share or interest in trust property, whether vested or contingent, held by the trustee of a discretionary trust and every other person who holds such a share or interest in that property, or who may benefit from that trust, is </w:delText>
        </w:r>
      </w:del>
      <w:r>
        <w:t xml:space="preserve">a family member of the </w:t>
      </w:r>
      <w:ins w:id="1681" w:author="Master Repository Process" w:date="2022-05-27T14:27:00Z">
        <w:r>
          <w:t xml:space="preserve">relevant </w:t>
        </w:r>
      </w:ins>
      <w:r>
        <w:t>transferor</w:t>
      </w:r>
      <w:del w:id="1682" w:author="Master Repository Process" w:date="2022-05-27T14:27:00Z">
        <w:r>
          <w:delText>; or</w:delText>
        </w:r>
      </w:del>
    </w:p>
    <w:p>
      <w:pPr>
        <w:pStyle w:val="Indenta"/>
        <w:rPr>
          <w:del w:id="1683" w:author="Master Repository Process" w:date="2022-05-27T14:27:00Z"/>
        </w:rPr>
      </w:pPr>
      <w:del w:id="1684" w:author="Master Repository Process" w:date="2022-05-27T14:27:00Z">
        <w:r>
          <w:tab/>
          <w:delText>(c)</w:delText>
        </w:r>
        <w:r>
          <w:tab/>
          <w:delText>the transferor holds units in a unit trust scheme and every other person who holds a unit in that unit trust scheme is a family member of the transferor; or</w:delText>
        </w:r>
      </w:del>
    </w:p>
    <w:p>
      <w:pPr>
        <w:pStyle w:val="Indenta"/>
        <w:rPr>
          <w:del w:id="1685" w:author="Master Repository Process" w:date="2022-05-27T14:27:00Z"/>
        </w:rPr>
      </w:pPr>
      <w:del w:id="1686" w:author="Master Repository Process" w:date="2022-05-27T14:27:00Z">
        <w:r>
          <w:tab/>
          <w:delText>(d)</w:delText>
        </w:r>
        <w:r>
          <w:tab/>
          <w:delText>the transferor is a shareholder in a corporation in which every other shareholder is a family member of the transferor; or</w:delText>
        </w:r>
      </w:del>
    </w:p>
    <w:p>
      <w:pPr>
        <w:pStyle w:val="Indenta"/>
        <w:rPr>
          <w:del w:id="1687" w:author="Master Repository Process" w:date="2022-05-27T14:27:00Z"/>
        </w:rPr>
      </w:pPr>
      <w:del w:id="1688" w:author="Master Repository Process" w:date="2022-05-27T14:27:00Z">
        <w:r>
          <w:tab/>
          <w:delText>(e)</w:delText>
        </w:r>
        <w:r>
          <w:tab/>
          <w:delText>the transferor is a partner in a partnership in which every other partner is a family member of the transferor.</w:delText>
        </w:r>
      </w:del>
    </w:p>
    <w:p>
      <w:pPr>
        <w:pStyle w:val="Subsection"/>
        <w:keepNext/>
        <w:keepLines/>
        <w:rPr>
          <w:del w:id="1689" w:author="Master Repository Process" w:date="2022-05-27T14:27:00Z"/>
        </w:rPr>
      </w:pPr>
      <w:del w:id="1690" w:author="Master Repository Process" w:date="2022-05-27T14:27:00Z">
        <w:r>
          <w:tab/>
          <w:delText>(5)</w:delText>
        </w:r>
        <w:r>
          <w:tab/>
          <w:delText>In subsection (3), a transferee</w:delText>
        </w:r>
      </w:del>
      <w:r>
        <w:t xml:space="preserve"> is related </w:t>
      </w:r>
      <w:del w:id="1691" w:author="Master Repository Process" w:date="2022-05-27T14:27:00Z">
        <w:r>
          <w:delText xml:space="preserve">to an entity if — </w:delText>
        </w:r>
      </w:del>
    </w:p>
    <w:p>
      <w:pPr>
        <w:pStyle w:val="Indenta"/>
        <w:keepNext/>
        <w:keepLines/>
        <w:rPr>
          <w:del w:id="1692" w:author="Master Repository Process" w:date="2022-05-27T14:27:00Z"/>
        </w:rPr>
      </w:pPr>
      <w:del w:id="1693" w:author="Master Repository Process" w:date="2022-05-27T14:27:00Z">
        <w:r>
          <w:tab/>
          <w:delText>(a)</w:delText>
        </w:r>
        <w:r>
          <w:tab/>
        </w:r>
      </w:del>
      <w:ins w:id="1694" w:author="Master Repository Process" w:date="2022-05-27T14:27:00Z">
        <w:r>
          <w:t xml:space="preserve">under section 102A, was using </w:t>
        </w:r>
      </w:ins>
      <w:r>
        <w:t xml:space="preserve">the </w:t>
      </w:r>
      <w:del w:id="1695" w:author="Master Repository Process" w:date="2022-05-27T14:27:00Z">
        <w:r>
          <w:delText xml:space="preserve">transferee is a beneficiary of a trust — </w:delText>
        </w:r>
      </w:del>
    </w:p>
    <w:p>
      <w:pPr>
        <w:pStyle w:val="Indenti"/>
        <w:spacing w:before="60"/>
        <w:rPr>
          <w:del w:id="1696" w:author="Master Repository Process" w:date="2022-05-27T14:27:00Z"/>
        </w:rPr>
      </w:pPr>
      <w:del w:id="1697" w:author="Master Repository Process" w:date="2022-05-27T14:27:00Z">
        <w:r>
          <w:tab/>
          <w:delText>(i)</w:delText>
        </w:r>
        <w:r>
          <w:tab/>
          <w:delText>other than a unit trust scheme or a discretionary trust; and</w:delText>
        </w:r>
      </w:del>
    </w:p>
    <w:p>
      <w:pPr>
        <w:pStyle w:val="Indenti"/>
        <w:spacing w:before="60"/>
        <w:rPr>
          <w:del w:id="1698" w:author="Master Repository Process" w:date="2022-05-27T14:27:00Z"/>
        </w:rPr>
      </w:pPr>
      <w:del w:id="1699" w:author="Master Repository Process" w:date="2022-05-27T14:27:00Z">
        <w:r>
          <w:tab/>
          <w:delText>(ii)</w:delText>
        </w:r>
        <w:r>
          <w:tab/>
          <w:delText xml:space="preserve">in which every other beneficiary is a family member of </w:delText>
        </w:r>
      </w:del>
      <w:ins w:id="1700" w:author="Master Repository Process" w:date="2022-05-27T14:27:00Z">
        <w:r>
          <w:t xml:space="preserve">farming property in </w:t>
        </w:r>
      </w:ins>
      <w:r>
        <w:t xml:space="preserve">the </w:t>
      </w:r>
      <w:del w:id="1701" w:author="Master Repository Process" w:date="2022-05-27T14:27:00Z">
        <w:r>
          <w:delText>transferor;</w:delText>
        </w:r>
      </w:del>
    </w:p>
    <w:p>
      <w:pPr>
        <w:pStyle w:val="Indenta"/>
        <w:spacing w:before="60"/>
        <w:rPr>
          <w:del w:id="1702" w:author="Master Repository Process" w:date="2022-05-27T14:27:00Z"/>
        </w:rPr>
      </w:pPr>
      <w:del w:id="1703" w:author="Master Repository Process" w:date="2022-05-27T14:27:00Z">
        <w:r>
          <w:tab/>
        </w:r>
        <w:r>
          <w:tab/>
          <w:delText>or</w:delText>
        </w:r>
      </w:del>
    </w:p>
    <w:p>
      <w:pPr>
        <w:pStyle w:val="Indenta"/>
      </w:pPr>
      <w:del w:id="1704" w:author="Master Repository Process" w:date="2022-05-27T14:27:00Z">
        <w:r>
          <w:tab/>
          <w:delText>(b)</w:delText>
        </w:r>
        <w:r>
          <w:tab/>
        </w:r>
      </w:del>
      <w:ins w:id="1705" w:author="Master Repository Process" w:date="2022-05-27T14:27:00Z">
        <w:r>
          <w:t xml:space="preserve">business of primary production immediately before </w:t>
        </w:r>
      </w:ins>
      <w:r>
        <w:t xml:space="preserve">the </w:t>
      </w:r>
      <w:del w:id="1706" w:author="Master Repository Process" w:date="2022-05-27T14:27:00Z">
        <w:r>
          <w:delText xml:space="preserve">transferee has a share or interest in trust property, whether vested or contingent, held by the trustee of a discretionary trust and — </w:delText>
        </w:r>
      </w:del>
      <w:ins w:id="1707" w:author="Master Repository Process" w:date="2022-05-27T14:27:00Z">
        <w:r>
          <w:t>transaction took place.</w:t>
        </w:r>
      </w:ins>
    </w:p>
    <w:p>
      <w:pPr>
        <w:pStyle w:val="Indenti"/>
        <w:rPr>
          <w:del w:id="1708" w:author="Master Repository Process" w:date="2022-05-27T14:27:00Z"/>
        </w:rPr>
      </w:pPr>
      <w:del w:id="1709" w:author="Master Repository Process" w:date="2022-05-27T14:27:00Z">
        <w:r>
          <w:tab/>
          <w:delText>(i)</w:delText>
        </w:r>
        <w:r>
          <w:tab/>
          <w:delText>every other person who holds such a share or interest in that property, or who may benefit from that trust, is a family member of the transferor; and</w:delText>
        </w:r>
      </w:del>
    </w:p>
    <w:p>
      <w:pPr>
        <w:pStyle w:val="Indenti"/>
        <w:rPr>
          <w:del w:id="1710" w:author="Master Repository Process" w:date="2022-05-27T14:27:00Z"/>
        </w:rPr>
      </w:pPr>
      <w:del w:id="1711" w:author="Master Repository Process" w:date="2022-05-27T14:27:00Z">
        <w:r>
          <w:tab/>
          <w:delText>(ii)</w:delText>
        </w:r>
        <w:r>
          <w:tab/>
          <w:delText>the transferor does not control the trust;</w:delText>
        </w:r>
      </w:del>
    </w:p>
    <w:p>
      <w:pPr>
        <w:pStyle w:val="Indenta"/>
        <w:rPr>
          <w:del w:id="1712" w:author="Master Repository Process" w:date="2022-05-27T14:27:00Z"/>
        </w:rPr>
      </w:pPr>
      <w:del w:id="1713" w:author="Master Repository Process" w:date="2022-05-27T14:27:00Z">
        <w:r>
          <w:tab/>
        </w:r>
        <w:r>
          <w:tab/>
          <w:delText>or</w:delText>
        </w:r>
      </w:del>
    </w:p>
    <w:p>
      <w:pPr>
        <w:pStyle w:val="Indenta"/>
        <w:rPr>
          <w:del w:id="1714" w:author="Master Repository Process" w:date="2022-05-27T14:27:00Z"/>
        </w:rPr>
      </w:pPr>
      <w:del w:id="1715" w:author="Master Repository Process" w:date="2022-05-27T14:27:00Z">
        <w:r>
          <w:tab/>
          <w:delText>(c)</w:delText>
        </w:r>
        <w:r>
          <w:tab/>
          <w:delText>the transferee holds units in a unit trust scheme and every other person who holds a unit in that unit trust scheme is a family member of the transferor; or</w:delText>
        </w:r>
      </w:del>
    </w:p>
    <w:p>
      <w:pPr>
        <w:pStyle w:val="Indenta"/>
        <w:rPr>
          <w:del w:id="1716" w:author="Master Repository Process" w:date="2022-05-27T14:27:00Z"/>
        </w:rPr>
      </w:pPr>
      <w:del w:id="1717" w:author="Master Repository Process" w:date="2022-05-27T14:27:00Z">
        <w:r>
          <w:tab/>
          <w:delText>(d)</w:delText>
        </w:r>
        <w:r>
          <w:tab/>
          <w:delText>the transferee is a shareholder in a corporation in which every other shareholder is a family member of the transferor; or</w:delText>
        </w:r>
      </w:del>
    </w:p>
    <w:p>
      <w:pPr>
        <w:pStyle w:val="Indenta"/>
        <w:rPr>
          <w:del w:id="1718" w:author="Master Repository Process" w:date="2022-05-27T14:27:00Z"/>
        </w:rPr>
      </w:pPr>
      <w:del w:id="1719" w:author="Master Repository Process" w:date="2022-05-27T14:27:00Z">
        <w:r>
          <w:tab/>
          <w:delText>(e)</w:delText>
        </w:r>
        <w:r>
          <w:tab/>
          <w:delText>the transferee is a partner in a partnership in which every other partner is a family member of the transferor.</w:delText>
        </w:r>
      </w:del>
    </w:p>
    <w:p>
      <w:pPr>
        <w:pStyle w:val="Ednotesubsection"/>
        <w:rPr>
          <w:ins w:id="1720" w:author="Master Repository Process" w:date="2022-05-27T14:27:00Z"/>
        </w:rPr>
      </w:pPr>
      <w:ins w:id="1721" w:author="Master Repository Process" w:date="2022-05-27T14:27:00Z">
        <w:r>
          <w:tab/>
          <w:t>[(5)</w:t>
        </w:r>
        <w:r>
          <w:tab/>
          <w:t>deleted]</w:t>
        </w:r>
      </w:ins>
    </w:p>
    <w:p>
      <w:pPr>
        <w:pStyle w:val="Subsection"/>
      </w:pPr>
      <w:r>
        <w:tab/>
        <w:t>(6)</w:t>
      </w:r>
      <w:r>
        <w:tab/>
        <w:t xml:space="preserve">For the purposes of </w:t>
      </w:r>
      <w:del w:id="1722" w:author="Master Repository Process" w:date="2022-05-27T14:27:00Z">
        <w:r>
          <w:delText>subsection (2),</w:delText>
        </w:r>
      </w:del>
      <w:ins w:id="1723" w:author="Master Repository Process" w:date="2022-05-27T14:27:00Z">
        <w:r>
          <w:t>this section,</w:t>
        </w:r>
      </w:ins>
      <w:r>
        <w:t xml:space="preserve"> a farming property is being used in the business of primary production even if —</w:t>
      </w:r>
    </w:p>
    <w:p>
      <w:pPr>
        <w:pStyle w:val="Indenta"/>
      </w:pPr>
      <w:r>
        <w:tab/>
        <w:t>(a)</w:t>
      </w:r>
      <w:r>
        <w:tab/>
        <w:t>some, but not all, of the farming land of that property is leased to another person; and</w:t>
      </w:r>
    </w:p>
    <w:p>
      <w:pPr>
        <w:pStyle w:val="Indenta"/>
      </w:pPr>
      <w:r>
        <w:tab/>
        <w:t>(b)</w:t>
      </w:r>
      <w:r>
        <w:tab/>
        <w:t>under the lease, the lessee is using the leased land solely or dominantly for the purposes of silviculture or reafforestation.</w:t>
      </w:r>
    </w:p>
    <w:p>
      <w:pPr>
        <w:pStyle w:val="Footnotesection"/>
        <w:rPr>
          <w:ins w:id="1724" w:author="Master Repository Process" w:date="2022-05-27T14:27:00Z"/>
        </w:rPr>
      </w:pPr>
      <w:ins w:id="1725" w:author="Master Repository Process" w:date="2022-05-27T14:27:00Z">
        <w:r>
          <w:tab/>
          <w:t>[Section 102 amended: No. 12 of 2019 s. 39.]</w:t>
        </w:r>
      </w:ins>
    </w:p>
    <w:p>
      <w:pPr>
        <w:pStyle w:val="Heading5"/>
        <w:rPr>
          <w:ins w:id="1726" w:author="Master Repository Process" w:date="2022-05-27T14:27:00Z"/>
        </w:rPr>
      </w:pPr>
      <w:bookmarkStart w:id="1727" w:name="_Toc104290959"/>
      <w:ins w:id="1728" w:author="Master Repository Process" w:date="2022-05-27T14:27:00Z">
        <w:r>
          <w:rPr>
            <w:rStyle w:val="CharSectno"/>
          </w:rPr>
          <w:t>102A</w:t>
        </w:r>
        <w:r>
          <w:t>.</w:t>
        </w:r>
        <w:r>
          <w:tab/>
          <w:t>Related entities for s. 102</w:t>
        </w:r>
        <w:bookmarkEnd w:id="1727"/>
      </w:ins>
    </w:p>
    <w:p>
      <w:pPr>
        <w:pStyle w:val="Subsection"/>
        <w:keepNext/>
        <w:rPr>
          <w:ins w:id="1729" w:author="Master Repository Process" w:date="2022-05-27T14:27:00Z"/>
        </w:rPr>
      </w:pPr>
      <w:ins w:id="1730" w:author="Master Repository Process" w:date="2022-05-27T14:27:00Z">
        <w:r>
          <w:tab/>
          <w:t>(1)</w:t>
        </w:r>
        <w:r>
          <w:tab/>
          <w:t xml:space="preserve">For the purposes of section 102(3), a transferor is related to an entity that is — </w:t>
        </w:r>
      </w:ins>
    </w:p>
    <w:p>
      <w:pPr>
        <w:pStyle w:val="Indenta"/>
        <w:rPr>
          <w:ins w:id="1731" w:author="Master Repository Process" w:date="2022-05-27T14:27:00Z"/>
        </w:rPr>
      </w:pPr>
      <w:ins w:id="1732" w:author="Master Repository Process" w:date="2022-05-27T14:27:00Z">
        <w:r>
          <w:tab/>
          <w:t>(a)</w:t>
        </w:r>
        <w:r>
          <w:tab/>
          <w:t>a trust (other than a unit trust scheme) if the transferor is a beneficiary of the trust and every other beneficiary is a family member of the transferor; or</w:t>
        </w:r>
      </w:ins>
    </w:p>
    <w:p>
      <w:pPr>
        <w:pStyle w:val="Indenta"/>
        <w:rPr>
          <w:ins w:id="1733" w:author="Master Repository Process" w:date="2022-05-27T14:27:00Z"/>
        </w:rPr>
      </w:pPr>
      <w:ins w:id="1734" w:author="Master Repository Process" w:date="2022-05-27T14:27:00Z">
        <w:r>
          <w:tab/>
          <w:t>(b)</w:t>
        </w:r>
        <w:r>
          <w:tab/>
          <w:t>a unit trust scheme if the transferor holds a unit in the unit trust scheme and every other person who holds a unit in the unit trust scheme is a family member of the transferor; or</w:t>
        </w:r>
      </w:ins>
    </w:p>
    <w:p>
      <w:pPr>
        <w:pStyle w:val="Indenta"/>
        <w:rPr>
          <w:ins w:id="1735" w:author="Master Repository Process" w:date="2022-05-27T14:27:00Z"/>
        </w:rPr>
      </w:pPr>
      <w:ins w:id="1736" w:author="Master Repository Process" w:date="2022-05-27T14:27:00Z">
        <w:r>
          <w:tab/>
          <w:t>(c)</w:t>
        </w:r>
        <w:r>
          <w:tab/>
          <w:t>a corporation if the transferor is a shareholder in the corporation and every other shareholder is a family member of the transferor.</w:t>
        </w:r>
      </w:ins>
    </w:p>
    <w:p>
      <w:pPr>
        <w:pStyle w:val="Subsection"/>
        <w:rPr>
          <w:ins w:id="1737" w:author="Master Repository Process" w:date="2022-05-27T14:27:00Z"/>
        </w:rPr>
      </w:pPr>
      <w:ins w:id="1738" w:author="Master Repository Process" w:date="2022-05-27T14:27:00Z">
        <w:r>
          <w:tab/>
          <w:t>(2)</w:t>
        </w:r>
        <w:r>
          <w:tab/>
          <w:t xml:space="preserve">For the purposes of section 102(3), a transferee is related to an entity that is — </w:t>
        </w:r>
      </w:ins>
    </w:p>
    <w:p>
      <w:pPr>
        <w:pStyle w:val="Indenta"/>
        <w:rPr>
          <w:ins w:id="1739" w:author="Master Repository Process" w:date="2022-05-27T14:27:00Z"/>
        </w:rPr>
      </w:pPr>
      <w:ins w:id="1740" w:author="Master Repository Process" w:date="2022-05-27T14:27:00Z">
        <w:r>
          <w:tab/>
          <w:t>(a)</w:t>
        </w:r>
        <w:r>
          <w:tab/>
          <w:t>a trust (other than a unit trust scheme or a discretionary trust) if the transferee is a beneficiary of the trust and every other beneficiary is the transferor or a family member of the transferor; or</w:t>
        </w:r>
      </w:ins>
    </w:p>
    <w:p>
      <w:pPr>
        <w:pStyle w:val="Indenta"/>
        <w:rPr>
          <w:ins w:id="1741" w:author="Master Repository Process" w:date="2022-05-27T14:27:00Z"/>
        </w:rPr>
      </w:pPr>
      <w:ins w:id="1742" w:author="Master Repository Process" w:date="2022-05-27T14:27:00Z">
        <w:r>
          <w:tab/>
          <w:t>(b)</w:t>
        </w:r>
        <w:r>
          <w:tab/>
          <w:t xml:space="preserve">a discretionary trust if — </w:t>
        </w:r>
      </w:ins>
    </w:p>
    <w:p>
      <w:pPr>
        <w:pStyle w:val="Indenti"/>
        <w:rPr>
          <w:ins w:id="1743" w:author="Master Repository Process" w:date="2022-05-27T14:27:00Z"/>
        </w:rPr>
      </w:pPr>
      <w:ins w:id="1744" w:author="Master Repository Process" w:date="2022-05-27T14:27:00Z">
        <w:r>
          <w:tab/>
          <w:t>(i)</w:t>
        </w:r>
        <w:r>
          <w:tab/>
          <w:t>the transferee is a beneficiary of the trust; and</w:t>
        </w:r>
      </w:ins>
    </w:p>
    <w:p>
      <w:pPr>
        <w:pStyle w:val="Indenti"/>
        <w:rPr>
          <w:ins w:id="1745" w:author="Master Repository Process" w:date="2022-05-27T14:27:00Z"/>
        </w:rPr>
      </w:pPr>
      <w:ins w:id="1746" w:author="Master Repository Process" w:date="2022-05-27T14:27:00Z">
        <w:r>
          <w:tab/>
          <w:t>(ii)</w:t>
        </w:r>
        <w:r>
          <w:tab/>
          <w:t>every other beneficiary is the transferor or a family member of the transferor; and</w:t>
        </w:r>
      </w:ins>
    </w:p>
    <w:p>
      <w:pPr>
        <w:pStyle w:val="Indenti"/>
        <w:rPr>
          <w:ins w:id="1747" w:author="Master Repository Process" w:date="2022-05-27T14:27:00Z"/>
        </w:rPr>
      </w:pPr>
      <w:ins w:id="1748" w:author="Master Repository Process" w:date="2022-05-27T14:27:00Z">
        <w:r>
          <w:tab/>
          <w:t>(iii)</w:t>
        </w:r>
        <w:r>
          <w:tab/>
          <w:t>the transferor does not control the discretionary trust;</w:t>
        </w:r>
      </w:ins>
    </w:p>
    <w:p>
      <w:pPr>
        <w:pStyle w:val="Indenta"/>
        <w:rPr>
          <w:ins w:id="1749" w:author="Master Repository Process" w:date="2022-05-27T14:27:00Z"/>
        </w:rPr>
      </w:pPr>
      <w:ins w:id="1750" w:author="Master Repository Process" w:date="2022-05-27T14:27:00Z">
        <w:r>
          <w:tab/>
        </w:r>
        <w:r>
          <w:tab/>
          <w:t>or</w:t>
        </w:r>
      </w:ins>
    </w:p>
    <w:p>
      <w:pPr>
        <w:pStyle w:val="Indenta"/>
        <w:rPr>
          <w:ins w:id="1751" w:author="Master Repository Process" w:date="2022-05-27T14:27:00Z"/>
        </w:rPr>
      </w:pPr>
      <w:ins w:id="1752" w:author="Master Repository Process" w:date="2022-05-27T14:27:00Z">
        <w:r>
          <w:tab/>
          <w:t>(c)</w:t>
        </w:r>
        <w:r>
          <w:tab/>
          <w:t>a unit trust scheme if the transferee holds a unit in the unit trust scheme and every other person who holds a unit in the unit trust scheme is the transferor or a family member of the transferor; or</w:t>
        </w:r>
      </w:ins>
    </w:p>
    <w:p>
      <w:pPr>
        <w:pStyle w:val="Indenta"/>
        <w:rPr>
          <w:ins w:id="1753" w:author="Master Repository Process" w:date="2022-05-27T14:27:00Z"/>
        </w:rPr>
      </w:pPr>
      <w:ins w:id="1754" w:author="Master Repository Process" w:date="2022-05-27T14:27:00Z">
        <w:r>
          <w:tab/>
          <w:t>(d)</w:t>
        </w:r>
        <w:r>
          <w:tab/>
          <w:t>a corporation if the transferee is a shareholder in the corporation and every other shareholder is the transferor or a family member of the transferor.</w:t>
        </w:r>
      </w:ins>
    </w:p>
    <w:p>
      <w:pPr>
        <w:pStyle w:val="Subsection"/>
        <w:rPr>
          <w:ins w:id="1755" w:author="Master Repository Process" w:date="2022-05-27T14:27:00Z"/>
        </w:rPr>
      </w:pPr>
      <w:ins w:id="1756" w:author="Master Repository Process" w:date="2022-05-27T14:27:00Z">
        <w:r>
          <w:tab/>
          <w:t>(3)</w:t>
        </w:r>
        <w:r>
          <w:tab/>
          <w:t>If a transferee is a trustee of a trust to which section 101(b) applies, subsection (2) applies to the transferee as if the references to the transferee in subsection (2)(a), (b), (c) and (d) were references to each beneficiary of that trust.</w:t>
        </w:r>
      </w:ins>
    </w:p>
    <w:p>
      <w:pPr>
        <w:pStyle w:val="Subsection"/>
        <w:rPr>
          <w:ins w:id="1757" w:author="Master Repository Process" w:date="2022-05-27T14:27:00Z"/>
        </w:rPr>
      </w:pPr>
      <w:ins w:id="1758" w:author="Master Repository Process" w:date="2022-05-27T14:27:00Z">
        <w:r>
          <w:tab/>
          <w:t>(4)</w:t>
        </w:r>
        <w:r>
          <w:tab/>
          <w:t>For the purposes of section 102(4)(b), subsection (2) applies in determining whether a family member of a relevant transferor is related to an entity as if the family member were a transferee referred to in that subsection.</w:t>
        </w:r>
      </w:ins>
    </w:p>
    <w:p>
      <w:pPr>
        <w:pStyle w:val="Footnotesection"/>
        <w:rPr>
          <w:ins w:id="1759" w:author="Master Repository Process" w:date="2022-05-27T14:27:00Z"/>
        </w:rPr>
      </w:pPr>
      <w:ins w:id="1760" w:author="Master Repository Process" w:date="2022-05-27T14:27:00Z">
        <w:r>
          <w:tab/>
          <w:t>[Section 102A inserted: No. 12 of 2019 s. 40.]</w:t>
        </w:r>
      </w:ins>
    </w:p>
    <w:p>
      <w:pPr>
        <w:pStyle w:val="Heading5"/>
        <w:keepNext w:val="0"/>
        <w:keepLines w:val="0"/>
        <w:spacing w:before="240"/>
      </w:pPr>
      <w:bookmarkStart w:id="1761" w:name="_Toc104290960"/>
      <w:bookmarkStart w:id="1762" w:name="_Toc531859316"/>
      <w:r>
        <w:rPr>
          <w:rStyle w:val="CharSectno"/>
        </w:rPr>
        <w:t>103</w:t>
      </w:r>
      <w:r>
        <w:t>.</w:t>
      </w:r>
      <w:r>
        <w:tab/>
        <w:t>Exempt family farm transactions, exemption for</w:t>
      </w:r>
      <w:bookmarkEnd w:id="1761"/>
      <w:bookmarkEnd w:id="1762"/>
    </w:p>
    <w:p>
      <w:pPr>
        <w:pStyle w:val="Subsection"/>
      </w:pPr>
      <w:r>
        <w:tab/>
      </w:r>
      <w:r>
        <w:tab/>
        <w:t>Duty is not chargeable on an exempt family farm transaction.</w:t>
      </w:r>
    </w:p>
    <w:p>
      <w:pPr>
        <w:pStyle w:val="Heading5"/>
        <w:spacing w:before="240"/>
      </w:pPr>
      <w:bookmarkStart w:id="1763" w:name="_Toc104290961"/>
      <w:bookmarkStart w:id="1764" w:name="_Toc531859317"/>
      <w:r>
        <w:rPr>
          <w:rStyle w:val="CharSectno"/>
        </w:rPr>
        <w:t>104</w:t>
      </w:r>
      <w:r>
        <w:t>.</w:t>
      </w:r>
      <w:r>
        <w:tab/>
        <w:t>No exemption for subsequent transactions for same farming property within 5 years</w:t>
      </w:r>
      <w:bookmarkEnd w:id="1763"/>
      <w:bookmarkEnd w:id="1764"/>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spacing w:before="240"/>
      </w:pPr>
      <w:bookmarkStart w:id="1765" w:name="_Toc104290962"/>
      <w:bookmarkStart w:id="1766" w:name="_Toc531859318"/>
      <w:r>
        <w:rPr>
          <w:rStyle w:val="CharSectno"/>
        </w:rPr>
        <w:t>105</w:t>
      </w:r>
      <w:r>
        <w:t>.</w:t>
      </w:r>
      <w:r>
        <w:tab/>
        <w:t>Subsequent liability to duty in certain circumstances</w:t>
      </w:r>
      <w:bookmarkEnd w:id="1765"/>
      <w:bookmarkEnd w:id="1766"/>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w:t>
      </w:r>
      <w:ins w:id="1767" w:author="Master Repository Process" w:date="2022-05-27T14:27:00Z">
        <w:r>
          <w:t xml:space="preserve">the transferor or </w:t>
        </w:r>
      </w:ins>
      <w:r>
        <w:t xml:space="preserve">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keepNext/>
        <w:keepLines/>
      </w:pPr>
      <w:r>
        <w:tab/>
        <w:t>(b)</w:t>
      </w:r>
      <w:r>
        <w:tab/>
        <w:t>the transferor gains control of the trust,</w:t>
      </w:r>
    </w:p>
    <w:p>
      <w:pPr>
        <w:pStyle w:val="Subsection"/>
        <w:keepNext/>
        <w:keepLines/>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Footnotesection"/>
        <w:rPr>
          <w:ins w:id="1768" w:author="Master Repository Process" w:date="2022-05-27T14:27:00Z"/>
        </w:rPr>
      </w:pPr>
      <w:ins w:id="1769" w:author="Master Repository Process" w:date="2022-05-27T14:27:00Z">
        <w:r>
          <w:tab/>
          <w:t>[Section 105 amended: No. 12 of 2019 s. 41.]</w:t>
        </w:r>
      </w:ins>
    </w:p>
    <w:p>
      <w:pPr>
        <w:pStyle w:val="Heading5"/>
      </w:pPr>
      <w:bookmarkStart w:id="1770" w:name="_Toc104290963"/>
      <w:bookmarkStart w:id="1771" w:name="_Toc531859319"/>
      <w:r>
        <w:rPr>
          <w:rStyle w:val="CharSectno"/>
        </w:rPr>
        <w:t>106</w:t>
      </w:r>
      <w:r>
        <w:t>.</w:t>
      </w:r>
      <w:r>
        <w:tab/>
        <w:t>Application for exemption under this Subdivision</w:t>
      </w:r>
      <w:bookmarkEnd w:id="1770"/>
      <w:bookmarkEnd w:id="1771"/>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Heading4"/>
        <w:rPr>
          <w:sz w:val="26"/>
        </w:rPr>
      </w:pPr>
      <w:bookmarkStart w:id="1772" w:name="_Toc37946769"/>
      <w:bookmarkStart w:id="1773" w:name="_Toc37947369"/>
      <w:bookmarkStart w:id="1774" w:name="_Toc38031433"/>
      <w:bookmarkStart w:id="1775" w:name="_Toc93309942"/>
      <w:bookmarkStart w:id="1776" w:name="_Toc104290964"/>
      <w:bookmarkStart w:id="1777" w:name="_Toc530491705"/>
      <w:bookmarkStart w:id="1778" w:name="_Toc530492165"/>
      <w:bookmarkStart w:id="1779" w:name="_Toc530493175"/>
      <w:bookmarkStart w:id="1780" w:name="_Toc530556310"/>
      <w:bookmarkStart w:id="1781" w:name="_Toc531692148"/>
      <w:bookmarkStart w:id="1782" w:name="_Toc531856053"/>
      <w:bookmarkStart w:id="1783" w:name="_Toc531858781"/>
      <w:bookmarkStart w:id="1784" w:name="_Toc531859320"/>
      <w:r>
        <w:rPr>
          <w:sz w:val="26"/>
        </w:rPr>
        <w:t>Subdivision 4 — Other exempt transactions</w:t>
      </w:r>
      <w:bookmarkEnd w:id="1772"/>
      <w:bookmarkEnd w:id="1773"/>
      <w:bookmarkEnd w:id="1774"/>
      <w:bookmarkEnd w:id="1775"/>
      <w:bookmarkEnd w:id="1776"/>
      <w:bookmarkEnd w:id="1777"/>
      <w:bookmarkEnd w:id="1778"/>
      <w:bookmarkEnd w:id="1779"/>
      <w:bookmarkEnd w:id="1780"/>
      <w:bookmarkEnd w:id="1781"/>
      <w:bookmarkEnd w:id="1782"/>
      <w:bookmarkEnd w:id="1783"/>
      <w:bookmarkEnd w:id="1784"/>
    </w:p>
    <w:p>
      <w:pPr>
        <w:pStyle w:val="Heading5"/>
      </w:pPr>
      <w:bookmarkStart w:id="1785" w:name="_Toc104290965"/>
      <w:bookmarkStart w:id="1786" w:name="_Toc531859321"/>
      <w:r>
        <w:rPr>
          <w:rStyle w:val="CharSectno"/>
        </w:rPr>
        <w:t>107</w:t>
      </w:r>
      <w:r>
        <w:t>.</w:t>
      </w:r>
      <w:r>
        <w:tab/>
        <w:t>Cancelled transactions</w:t>
      </w:r>
      <w:bookmarkEnd w:id="1785"/>
      <w:bookmarkEnd w:id="1786"/>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keepLines/>
      </w:pPr>
      <w:r>
        <w:tab/>
        <w:t>(c)</w:t>
      </w:r>
      <w:r>
        <w:tab/>
        <w:t xml:space="preserve">in the opinion of the Commissioner, is a scheme or arrangement, or part of a scheme or arrangement, for which the sole or dominant purpose of any party is to avoid, reduce or defer the payment of </w:t>
      </w:r>
      <w:del w:id="1787" w:author="Master Repository Process" w:date="2022-05-27T14:27:00Z">
        <w:r>
          <w:delText>duty</w:delText>
        </w:r>
      </w:del>
      <w:ins w:id="1788" w:author="Master Repository Process" w:date="2022-05-27T14:27:00Z">
        <w:r>
          <w:t>tax</w:t>
        </w:r>
      </w:ins>
      <w:r>
        <w:t>;</w:t>
      </w:r>
    </w:p>
    <w:p>
      <w:pPr>
        <w:pStyle w:val="Defstart"/>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keepNext/>
      </w:pPr>
      <w:r>
        <w:tab/>
        <w:t>(2)</w:t>
      </w:r>
      <w:r>
        <w:tab/>
        <w:t xml:space="preserve">A reference to a cancelled transaction is to a dutiable transaction that has not been,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keepNext/>
        <w:spacing w:before="120"/>
      </w:pPr>
      <w:r>
        <w:tab/>
        <w:t>(3A)</w:t>
      </w:r>
      <w:r>
        <w:tab/>
        <w:t xml:space="preserve">To avoid doubt, for the purposes of subsection (2), a dutiable transaction has not been, and will not be, carried into effect if — </w:t>
      </w:r>
    </w:p>
    <w:p>
      <w:pPr>
        <w:pStyle w:val="Indenta"/>
      </w:pPr>
      <w:r>
        <w:tab/>
        <w:t>(a)</w:t>
      </w:r>
      <w:r>
        <w:tab/>
        <w:t>the transaction is a transfer of dutiable property; and</w:t>
      </w:r>
    </w:p>
    <w:p>
      <w:pPr>
        <w:pStyle w:val="Indenta"/>
      </w:pPr>
      <w:r>
        <w:tab/>
        <w:t>(b)</w:t>
      </w:r>
      <w:r>
        <w:tab/>
        <w:t>the transaction is effected or evidenced by an electronic conveyancing instrument (as defined in section 22A); and</w:t>
      </w:r>
    </w:p>
    <w:p>
      <w:pPr>
        <w:pStyle w:val="Indenta"/>
      </w:pPr>
      <w:r>
        <w:tab/>
        <w:t>(c)</w:t>
      </w:r>
      <w:r>
        <w:tab/>
        <w:t>under section 42, no duty is chargeable on the transfer; and</w:t>
      </w:r>
    </w:p>
    <w:p>
      <w:pPr>
        <w:pStyle w:val="Indenta"/>
      </w:pPr>
      <w:r>
        <w:tab/>
        <w:t>(d)</w:t>
      </w:r>
      <w:r>
        <w:tab/>
        <w:t xml:space="preserve">the instrument, having been digitally signed (as defined in the </w:t>
      </w:r>
      <w:r>
        <w:rPr>
          <w:i/>
        </w:rPr>
        <w:t>Electronic Conveyancing Act 2014</w:t>
      </w:r>
      <w:r>
        <w:t xml:space="preserve"> section 3(1)) is unsigned in accordance with the participation rules (as so defined) applicable to that instrument.</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pPr>
      <w:r>
        <w:tab/>
        <w:t>(a)</w:t>
      </w:r>
      <w:r>
        <w:tab/>
        <w:t>in the approved form; and</w:t>
      </w:r>
    </w:p>
    <w:p>
      <w:pPr>
        <w:pStyle w:val="Indenta"/>
      </w:pPr>
      <w:r>
        <w:tab/>
        <w:t>(b)</w:t>
      </w:r>
      <w:r>
        <w:tab/>
        <w:t>accompanied by such transaction record for the transaction as is required to be lodged under section 23.</w:t>
      </w:r>
    </w:p>
    <w:p>
      <w:pPr>
        <w:pStyle w:val="Subsection"/>
        <w:keepNext/>
        <w:keepLines/>
        <w:spacing w:before="120"/>
      </w:pPr>
      <w:r>
        <w:tab/>
        <w:t>(7)</w:t>
      </w:r>
      <w:r>
        <w:tab/>
        <w:t xml:space="preserve">For the purposes of this section, in relation to an agreement for the transfer of dutiable property, the </w:t>
      </w:r>
      <w:r>
        <w:rPr>
          <w:i/>
        </w:rPr>
        <w:t>Taxation Administration Act 2003</w:t>
      </w:r>
      <w:r>
        <w:t xml:space="preserve"> section 17 applies as if — </w:t>
      </w:r>
    </w:p>
    <w:p>
      <w:pPr>
        <w:pStyle w:val="Indenta"/>
        <w:keepNext/>
        <w:keepLines/>
      </w:pPr>
      <w:r>
        <w:tab/>
        <w:t>(a)</w:t>
      </w:r>
      <w:r>
        <w:tab/>
        <w:t xml:space="preserve">despite subsection (1) of that section, a person is not entitled to apply for a reassessment — </w:t>
      </w:r>
    </w:p>
    <w:p>
      <w:pPr>
        <w:pStyle w:val="Indenti"/>
      </w:pPr>
      <w:r>
        <w:tab/>
        <w:t>(i)</w:t>
      </w:r>
      <w:r>
        <w:tab/>
        <w:t>more than 5 years after the original assessment was made; or</w:t>
      </w:r>
    </w:p>
    <w:p>
      <w:pPr>
        <w:pStyle w:val="Indenti"/>
      </w:pPr>
      <w:r>
        <w:tab/>
        <w:t>(ii)</w:t>
      </w:r>
      <w:r>
        <w:tab/>
        <w:t>more than 12 months after the day on which the agreement became a cancelled transaction,</w:t>
      </w:r>
    </w:p>
    <w:p>
      <w:pPr>
        <w:pStyle w:val="Indenta"/>
      </w:pPr>
      <w:r>
        <w:tab/>
      </w:r>
      <w:r>
        <w:tab/>
        <w:t>whichever is the later; and</w:t>
      </w:r>
    </w:p>
    <w:p>
      <w:pPr>
        <w:pStyle w:val="Indenta"/>
        <w:keepNext/>
      </w:pPr>
      <w:r>
        <w:tab/>
        <w:t>(b)</w:t>
      </w:r>
      <w:r>
        <w:tab/>
        <w:t>despite subsection (4) of that section, the Commissioner may only make a reassessment on an application if the application was made within that time.</w:t>
      </w:r>
    </w:p>
    <w:p>
      <w:pPr>
        <w:pStyle w:val="Footnotesection"/>
        <w:ind w:left="890" w:hanging="890"/>
      </w:pPr>
      <w:r>
        <w:tab/>
        <w:t>[Section 107 amended: No. 29 of 2012 s. 6; No. 2 of 2014 s. </w:t>
      </w:r>
      <w:del w:id="1789" w:author="Master Repository Process" w:date="2022-05-27T14:27:00Z">
        <w:r>
          <w:delText>53</w:delText>
        </w:r>
      </w:del>
      <w:ins w:id="1790" w:author="Master Repository Process" w:date="2022-05-27T14:27:00Z">
        <w:r>
          <w:t>53; No. 12 of 2019 s. 42</w:t>
        </w:r>
      </w:ins>
      <w:r>
        <w:t>.]</w:t>
      </w:r>
    </w:p>
    <w:p>
      <w:pPr>
        <w:pStyle w:val="Heading5"/>
        <w:spacing w:before="180"/>
      </w:pPr>
      <w:bookmarkStart w:id="1791" w:name="_Toc104290966"/>
      <w:bookmarkStart w:id="1792" w:name="_Toc531859322"/>
      <w:r>
        <w:rPr>
          <w:rStyle w:val="CharSectno"/>
        </w:rPr>
        <w:t>108</w:t>
      </w:r>
      <w:r>
        <w:t>.</w:t>
      </w:r>
      <w:r>
        <w:tab/>
        <w:t>Bankruptcy transactions</w:t>
      </w:r>
      <w:bookmarkEnd w:id="1791"/>
      <w:bookmarkEnd w:id="1792"/>
    </w:p>
    <w:p>
      <w:pPr>
        <w:pStyle w:val="Subsection"/>
        <w:keepNext/>
        <w:spacing w:before="120"/>
      </w:pPr>
      <w:r>
        <w:tab/>
        <w:t>(1)</w:t>
      </w:r>
      <w:r>
        <w:tab/>
        <w:t xml:space="preserve">In this section — </w:t>
      </w:r>
    </w:p>
    <w:p>
      <w:pPr>
        <w:pStyle w:val="Defstart"/>
        <w:keepNext/>
        <w:spacing w:before="60"/>
      </w:pPr>
      <w:r>
        <w:rPr>
          <w:b/>
        </w:rPr>
        <w:tab/>
      </w:r>
      <w:r>
        <w:rPr>
          <w:rStyle w:val="CharDefText"/>
        </w:rPr>
        <w:t>bankruptcy trustee</w:t>
      </w:r>
      <w:r>
        <w:t xml:space="preserve"> means —</w:t>
      </w:r>
    </w:p>
    <w:p>
      <w:pPr>
        <w:pStyle w:val="Defpara"/>
        <w:spacing w:before="60"/>
      </w:pPr>
      <w:r>
        <w:tab/>
        <w:t>(a)</w:t>
      </w:r>
      <w:r>
        <w:tab/>
        <w:t>the Official Trustee in Bankruptcy; or</w:t>
      </w:r>
    </w:p>
    <w:p>
      <w:pPr>
        <w:pStyle w:val="Defpara"/>
        <w:spacing w:before="60"/>
      </w:pPr>
      <w:r>
        <w:tab/>
        <w:t>(b)</w:t>
      </w:r>
      <w:r>
        <w:tab/>
        <w:t>a registered trustee,</w:t>
      </w:r>
    </w:p>
    <w:p>
      <w:pPr>
        <w:pStyle w:val="Defstart"/>
        <w:spacing w:before="120"/>
      </w:pPr>
      <w:r>
        <w:tab/>
        <w:t xml:space="preserve">under the </w:t>
      </w:r>
      <w:r>
        <w:rPr>
          <w:i/>
          <w:iCs/>
        </w:rPr>
        <w:t>Bankruptcy Act 1966</w:t>
      </w:r>
      <w:r>
        <w:t xml:space="preserve"> (Commonwealth).</w:t>
      </w:r>
    </w:p>
    <w:p>
      <w:pPr>
        <w:pStyle w:val="Subsection"/>
        <w:keepNext/>
        <w:spacing w:before="120"/>
      </w:pPr>
      <w:r>
        <w:tab/>
        <w:t>(2)</w:t>
      </w:r>
      <w:r>
        <w:tab/>
        <w:t xml:space="preserve">Duty is not chargeable on a dutiable transaction — </w:t>
      </w:r>
    </w:p>
    <w:p>
      <w:pPr>
        <w:pStyle w:val="Indenta"/>
        <w:spacing w:before="60"/>
      </w:pPr>
      <w:r>
        <w:tab/>
        <w:t>(a)</w:t>
      </w:r>
      <w:r>
        <w:tab/>
        <w:t>that is a vesting of dutiable property in a bankruptcy trustee; or</w:t>
      </w:r>
    </w:p>
    <w:p>
      <w:pPr>
        <w:pStyle w:val="Indenta"/>
        <w:spacing w:before="60"/>
      </w:pPr>
      <w:r>
        <w:tab/>
        <w:t>(b)</w:t>
      </w:r>
      <w:r>
        <w:tab/>
        <w:t>that is the transfer, or agreement for the transfer, of dutiable property for no consideration to a former bankrupt from the estate of the former bankrupt.</w:t>
      </w:r>
    </w:p>
    <w:p>
      <w:pPr>
        <w:pStyle w:val="Heading5"/>
        <w:spacing w:before="180"/>
      </w:pPr>
      <w:bookmarkStart w:id="1793" w:name="_Toc104290967"/>
      <w:bookmarkStart w:id="1794" w:name="_Toc531859323"/>
      <w:r>
        <w:rPr>
          <w:rStyle w:val="CharSectno"/>
        </w:rPr>
        <w:t>109</w:t>
      </w:r>
      <w:r>
        <w:t>.</w:t>
      </w:r>
      <w:r>
        <w:tab/>
        <w:t>Transfer etc. to foreign country’s representative etc.</w:t>
      </w:r>
      <w:bookmarkEnd w:id="1793"/>
      <w:bookmarkEnd w:id="1794"/>
    </w:p>
    <w:p>
      <w:pPr>
        <w:pStyle w:val="Subsection"/>
        <w:spacing w:before="180"/>
      </w:pPr>
      <w:r>
        <w:tab/>
      </w:r>
      <w:r>
        <w:tab/>
        <w:t>Duty is not chargeable on a transfer of, or an agreement for the transfer of, dutiable property to a representative in Australia of the Government of another country, a foreign consul, or a trade commissioner of another country, if that property is intended for official use.</w:t>
      </w:r>
    </w:p>
    <w:p>
      <w:pPr>
        <w:pStyle w:val="Heading5"/>
        <w:keepNext w:val="0"/>
        <w:keepLines w:val="0"/>
        <w:spacing w:before="180"/>
      </w:pPr>
      <w:bookmarkStart w:id="1795" w:name="_Toc104290968"/>
      <w:bookmarkStart w:id="1796" w:name="_Toc531859324"/>
      <w:r>
        <w:rPr>
          <w:rStyle w:val="CharSectno"/>
        </w:rPr>
        <w:t>110</w:t>
      </w:r>
      <w:r>
        <w:t>.</w:t>
      </w:r>
      <w:r>
        <w:tab/>
      </w:r>
      <w:r>
        <w:rPr>
          <w:i/>
          <w:iCs/>
        </w:rPr>
        <w:t xml:space="preserve">Financial Sector (Business Transfer and Group Restructure) Act 1999 </w:t>
      </w:r>
      <w:r>
        <w:rPr>
          <w:iCs/>
        </w:rPr>
        <w:t xml:space="preserve">(Cwlth) </w:t>
      </w:r>
      <w:r>
        <w:t>Part 4 transactions</w:t>
      </w:r>
      <w:bookmarkEnd w:id="1795"/>
      <w:bookmarkEnd w:id="1796"/>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Cs/>
        </w:rPr>
        <w:t xml:space="preserve"> </w:t>
      </w:r>
      <w:r>
        <w:t>Part 4.</w:t>
      </w:r>
    </w:p>
    <w:p>
      <w:pPr>
        <w:pStyle w:val="Footnotesection"/>
      </w:pPr>
      <w:r>
        <w:tab/>
        <w:t>[Section 110 amended: No. 31 of 2008 s. 32.]</w:t>
      </w:r>
    </w:p>
    <w:p>
      <w:pPr>
        <w:pStyle w:val="Heading5"/>
      </w:pPr>
      <w:bookmarkStart w:id="1797" w:name="_Toc104290969"/>
      <w:bookmarkStart w:id="1798" w:name="_Toc531859325"/>
      <w:r>
        <w:rPr>
          <w:rStyle w:val="CharSectno"/>
        </w:rPr>
        <w:t>111</w:t>
      </w:r>
      <w:r>
        <w:t>.</w:t>
      </w:r>
      <w:r>
        <w:tab/>
        <w:t>Special disability trust transactions</w:t>
      </w:r>
      <w:bookmarkEnd w:id="1797"/>
      <w:bookmarkEnd w:id="1798"/>
    </w:p>
    <w:p>
      <w:pPr>
        <w:pStyle w:val="Subsection"/>
        <w:keepNext/>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1799" w:name="_Toc104290970"/>
      <w:bookmarkStart w:id="1800" w:name="_Toc531859326"/>
      <w:r>
        <w:rPr>
          <w:rStyle w:val="CharSectno"/>
        </w:rPr>
        <w:t>112</w:t>
      </w:r>
      <w:r>
        <w:t>.</w:t>
      </w:r>
      <w:r>
        <w:tab/>
        <w:t>Some transactions under other Acts</w:t>
      </w:r>
      <w:bookmarkEnd w:id="1799"/>
      <w:bookmarkEnd w:id="1800"/>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pPr>
      <w:r>
        <w:tab/>
        <w:t>(a)</w:t>
      </w:r>
      <w:r>
        <w:tab/>
        <w:t xml:space="preserve">Crown land the subject of a licence referred to in the </w:t>
      </w:r>
      <w:r>
        <w:rPr>
          <w:i/>
          <w:iCs/>
        </w:rPr>
        <w:t>Land Administration Act 1997</w:t>
      </w:r>
      <w:r>
        <w:t xml:space="preserve"> Schedule 2 clause 21; or</w:t>
      </w:r>
    </w:p>
    <w:p>
      <w:pPr>
        <w:pStyle w:val="Indenta"/>
      </w:pPr>
      <w:r>
        <w:tab/>
        <w:t>(b)</w:t>
      </w:r>
      <w:r>
        <w:tab/>
        <w:t xml:space="preserve">Crown land the subject of a lease referred to in the </w:t>
      </w:r>
      <w:r>
        <w:rPr>
          <w:i/>
          <w:iCs/>
        </w:rPr>
        <w:t>Land Administration Act 1997</w:t>
      </w:r>
      <w:r>
        <w:t xml:space="preserve"> Schedule 2 clause 22; or</w:t>
      </w:r>
    </w:p>
    <w:p>
      <w:pPr>
        <w:pStyle w:val="Indenta"/>
      </w:pPr>
      <w:r>
        <w:tab/>
        <w:t>(c)</w:t>
      </w:r>
      <w:r>
        <w:tab/>
        <w:t xml:space="preserve">Crown land the subject of a conditional purchase lease referred to in the </w:t>
      </w:r>
      <w:r>
        <w:rPr>
          <w:i/>
          <w:iCs/>
        </w:rPr>
        <w:t>Land Administration Act 1997</w:t>
      </w:r>
      <w:r>
        <w:t xml:space="preserve"> Schedule 2 clause 26; or</w:t>
      </w:r>
    </w:p>
    <w:p>
      <w:pPr>
        <w:pStyle w:val="Indenta"/>
      </w:pPr>
      <w:r>
        <w:tab/>
        <w:t>(d)</w:t>
      </w:r>
      <w:r>
        <w:tab/>
        <w:t xml:space="preserve">Crown land the subject of a conditional purchase lease referred to in the </w:t>
      </w:r>
      <w:r>
        <w:rPr>
          <w:i/>
          <w:iCs/>
        </w:rPr>
        <w:t>Land Administration Act 1997</w:t>
      </w:r>
      <w:r>
        <w:t xml:space="preserve"> Schedule 2 clause 27; or</w:t>
      </w:r>
    </w:p>
    <w:p>
      <w:pPr>
        <w:pStyle w:val="Indenta"/>
      </w:pPr>
      <w:r>
        <w:tab/>
        <w:t>(e)</w:t>
      </w:r>
      <w:r>
        <w:tab/>
        <w:t xml:space="preserve">war service land referred to in the </w:t>
      </w:r>
      <w:r>
        <w:rPr>
          <w:i/>
          <w:iCs/>
        </w:rPr>
        <w:t>Land Administration Act 1997</w:t>
      </w:r>
      <w:r>
        <w:t xml:space="preserve"> Schedule 2 clause 30; or</w:t>
      </w:r>
    </w:p>
    <w:p>
      <w:pPr>
        <w:pStyle w:val="Indenta"/>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pPr>
      <w:r>
        <w:tab/>
        <w:t>(a)</w:t>
      </w:r>
      <w:r>
        <w:tab/>
        <w:t xml:space="preserve">a request under the </w:t>
      </w:r>
      <w:r>
        <w:rPr>
          <w:i/>
          <w:iCs/>
        </w:rPr>
        <w:t xml:space="preserve">Land Administration Act 1997 </w:t>
      </w:r>
      <w:r>
        <w:t>section 212; or</w:t>
      </w:r>
    </w:p>
    <w:p>
      <w:pPr>
        <w:pStyle w:val="Indenta"/>
      </w:pPr>
      <w:r>
        <w:tab/>
        <w:t>(b)</w:t>
      </w:r>
      <w:r>
        <w:tab/>
        <w:t xml:space="preserve">an agreement under the </w:t>
      </w:r>
      <w:r>
        <w:rPr>
          <w:i/>
          <w:iCs/>
        </w:rPr>
        <w:t>Land Administration Act 1997</w:t>
      </w:r>
      <w:r>
        <w:t xml:space="preserve"> section 255; or</w:t>
      </w:r>
    </w:p>
    <w:p>
      <w:pPr>
        <w:pStyle w:val="Indenta"/>
      </w:pPr>
      <w:r>
        <w:tab/>
        <w:t>(c)</w:t>
      </w:r>
      <w:r>
        <w:tab/>
        <w:t xml:space="preserve">an award under the </w:t>
      </w:r>
      <w:r>
        <w:rPr>
          <w:i/>
          <w:iCs/>
        </w:rPr>
        <w:t xml:space="preserve">Land Administration Act 1997 </w:t>
      </w:r>
      <w:r>
        <w:t>section 256; or</w:t>
      </w:r>
    </w:p>
    <w:p>
      <w:pPr>
        <w:pStyle w:val="Indenta"/>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spacing w:before="60"/>
      </w:pPr>
      <w:r>
        <w:tab/>
        <w:t>(a)</w:t>
      </w:r>
      <w:r>
        <w:tab/>
        <w:t xml:space="preserve">pursuant to a request under the </w:t>
      </w:r>
      <w:r>
        <w:rPr>
          <w:i/>
          <w:iCs/>
        </w:rPr>
        <w:t>Public Works Act 1902</w:t>
      </w:r>
      <w:r>
        <w:t xml:space="preserve"> section 45A; or</w:t>
      </w:r>
    </w:p>
    <w:p>
      <w:pPr>
        <w:pStyle w:val="Indenta"/>
        <w:spacing w:before="60"/>
      </w:pPr>
      <w:r>
        <w:tab/>
        <w:t>(b)</w:t>
      </w:r>
      <w:r>
        <w:tab/>
        <w:t xml:space="preserve">granted under the </w:t>
      </w:r>
      <w:r>
        <w:rPr>
          <w:i/>
          <w:iCs/>
        </w:rPr>
        <w:t>Public Works Act 1902</w:t>
      </w:r>
      <w:r>
        <w:t xml:space="preserve"> section 80,</w:t>
      </w:r>
    </w:p>
    <w:p>
      <w:pPr>
        <w:pStyle w:val="Subsection"/>
      </w:pPr>
      <w:r>
        <w:tab/>
      </w:r>
      <w:r>
        <w:tab/>
        <w:t xml:space="preserve">as in force immediately before the commencement of the </w:t>
      </w:r>
      <w:r>
        <w:rPr>
          <w:i/>
          <w:iCs/>
        </w:rPr>
        <w:t>Acts Amendment (Land Administration) Act 1997</w:t>
      </w:r>
      <w:r>
        <w:rPr>
          <w:iCs/>
          <w:vertAlign w:val="superscript"/>
        </w:rPr>
        <w:t> </w:t>
      </w:r>
      <w:del w:id="1801" w:author="Master Repository Process" w:date="2022-05-27T14:27:00Z">
        <w:r>
          <w:rPr>
            <w:iCs/>
            <w:vertAlign w:val="superscript"/>
          </w:rPr>
          <w:delText>4</w:delText>
        </w:r>
      </w:del>
      <w:ins w:id="1802" w:author="Master Repository Process" w:date="2022-05-27T14:27:00Z">
        <w:r>
          <w:rPr>
            <w:iCs/>
            <w:vertAlign w:val="superscript"/>
          </w:rPr>
          <w:t>3</w:t>
        </w:r>
      </w:ins>
      <w:r>
        <w:t>.</w:t>
      </w:r>
    </w:p>
    <w:p>
      <w:pPr>
        <w:pStyle w:val="Subsection"/>
        <w:keepNext/>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pPr>
      <w:r>
        <w:tab/>
        <w:t>(b)</w:t>
      </w:r>
      <w:r>
        <w:tab/>
        <w:t xml:space="preserve">to give effect to a notice of resolution referred to in the </w:t>
      </w:r>
      <w:r>
        <w:rPr>
          <w:i/>
          <w:iCs/>
        </w:rPr>
        <w:t>Strata Titles Act 1985</w:t>
      </w:r>
      <w:r>
        <w:t xml:space="preserve"> section 21V or 31H; or</w:t>
      </w:r>
    </w:p>
    <w:p>
      <w:pPr>
        <w:pStyle w:val="Indenta"/>
      </w:pPr>
      <w:r>
        <w:tab/>
        <w:t>(c)</w:t>
      </w:r>
      <w:r>
        <w:tab/>
        <w:t xml:space="preserve">that occurs by operation of the </w:t>
      </w:r>
      <w:r>
        <w:rPr>
          <w:i/>
          <w:iCs/>
        </w:rPr>
        <w:t>Strata Titles Act 1985</w:t>
      </w:r>
      <w:r>
        <w:t xml:space="preserve"> section 21W, 21Y, 31G or 31J or an order under section 103P of that Act; or</w:t>
      </w:r>
    </w:p>
    <w:p>
      <w:pPr>
        <w:pStyle w:val="Indenta"/>
        <w:keepNext/>
      </w:pPr>
      <w:r>
        <w:tab/>
        <w:t>(d)</w:t>
      </w:r>
      <w:r>
        <w:tab/>
        <w:t xml:space="preserve">under, or to give effect to, the </w:t>
      </w:r>
      <w:r>
        <w:rPr>
          <w:i/>
          <w:iCs/>
        </w:rPr>
        <w:t xml:space="preserve">Strata Titles Act 1985 </w:t>
      </w:r>
      <w:r>
        <w:t>Part II Division 2A or Part III Division 3,</w:t>
      </w:r>
    </w:p>
    <w:p>
      <w:pPr>
        <w:pStyle w:val="Subsection"/>
      </w:pPr>
      <w:r>
        <w:tab/>
      </w:r>
      <w:r>
        <w:tab/>
        <w:t>to the extent that the consideration for the transaction is an interest in common property, within the meaning of that term in that Act.</w:t>
      </w:r>
    </w:p>
    <w:p>
      <w:pPr>
        <w:pStyle w:val="Heading5"/>
      </w:pPr>
      <w:bookmarkStart w:id="1803" w:name="_Toc104290971"/>
      <w:bookmarkStart w:id="1804" w:name="_Toc531859327"/>
      <w:r>
        <w:rPr>
          <w:rStyle w:val="CharSectno"/>
        </w:rPr>
        <w:t>113</w:t>
      </w:r>
      <w:r>
        <w:t>.</w:t>
      </w:r>
      <w:r>
        <w:tab/>
        <w:t>Transactions effected by matrimonial instrument or de facto relationship instrument</w:t>
      </w:r>
      <w:bookmarkEnd w:id="1803"/>
      <w:bookmarkEnd w:id="1804"/>
    </w:p>
    <w:p>
      <w:pPr>
        <w:pStyle w:val="Subsection"/>
      </w:pPr>
      <w:r>
        <w:tab/>
      </w:r>
      <w:r>
        <w:tab/>
        <w:t>Duty is not chargeable on a dutiable transaction to the extent that it is effected by a matrimonial instrument mentioned in section 129(b) or (c) or a de facto relationship instrument mentioned in section 130(a).</w:t>
      </w:r>
    </w:p>
    <w:p>
      <w:pPr>
        <w:pStyle w:val="Heading5"/>
        <w:rPr>
          <w:ins w:id="1805" w:author="Master Repository Process" w:date="2022-05-27T14:27:00Z"/>
        </w:rPr>
      </w:pPr>
      <w:bookmarkStart w:id="1806" w:name="_Toc104290972"/>
      <w:ins w:id="1807" w:author="Master Repository Process" w:date="2022-05-27T14:27:00Z">
        <w:r>
          <w:rPr>
            <w:rStyle w:val="CharSectno"/>
          </w:rPr>
          <w:t>113A</w:t>
        </w:r>
        <w:r>
          <w:t>.</w:t>
        </w:r>
        <w:r>
          <w:tab/>
          <w:t>Certain incorporated association transactions</w:t>
        </w:r>
        <w:bookmarkEnd w:id="1806"/>
      </w:ins>
    </w:p>
    <w:p>
      <w:pPr>
        <w:pStyle w:val="Subsection"/>
        <w:rPr>
          <w:ins w:id="1808" w:author="Master Repository Process" w:date="2022-05-27T14:27:00Z"/>
        </w:rPr>
      </w:pPr>
      <w:ins w:id="1809" w:author="Master Repository Process" w:date="2022-05-27T14:27:00Z">
        <w:r>
          <w:tab/>
          <w:t>(1)</w:t>
        </w:r>
        <w:r>
          <w:tab/>
          <w:t xml:space="preserve">In this section — </w:t>
        </w:r>
      </w:ins>
    </w:p>
    <w:p>
      <w:pPr>
        <w:pStyle w:val="Defstart"/>
        <w:rPr>
          <w:ins w:id="1810" w:author="Master Repository Process" w:date="2022-05-27T14:27:00Z"/>
        </w:rPr>
      </w:pPr>
      <w:ins w:id="1811" w:author="Master Repository Process" w:date="2022-05-27T14:27:00Z">
        <w:r>
          <w:tab/>
        </w:r>
        <w:r>
          <w:rPr>
            <w:rStyle w:val="CharDefText"/>
          </w:rPr>
          <w:t>Commissioner</w:t>
        </w:r>
        <w:r>
          <w:t xml:space="preserve"> has the meaning given in the </w:t>
        </w:r>
        <w:r>
          <w:rPr>
            <w:i/>
          </w:rPr>
          <w:t>Associations Incorporation Act 2015</w:t>
        </w:r>
        <w:r>
          <w:t xml:space="preserve"> section 3;</w:t>
        </w:r>
      </w:ins>
    </w:p>
    <w:p>
      <w:pPr>
        <w:pStyle w:val="Defstart"/>
        <w:rPr>
          <w:ins w:id="1812" w:author="Master Repository Process" w:date="2022-05-27T14:27:00Z"/>
        </w:rPr>
      </w:pPr>
      <w:ins w:id="1813" w:author="Master Repository Process" w:date="2022-05-27T14:27:00Z">
        <w:r>
          <w:tab/>
        </w:r>
        <w:r>
          <w:rPr>
            <w:rStyle w:val="CharDefText"/>
          </w:rPr>
          <w:t>prescribed body corporate</w:t>
        </w:r>
        <w:r>
          <w:t xml:space="preserve"> has the meaning given in the </w:t>
        </w:r>
        <w:r>
          <w:rPr>
            <w:i/>
          </w:rPr>
          <w:t>Associations Incorporation Act 2015</w:t>
        </w:r>
        <w:r>
          <w:t xml:space="preserve"> section 92;</w:t>
        </w:r>
      </w:ins>
    </w:p>
    <w:p>
      <w:pPr>
        <w:pStyle w:val="Defstart"/>
        <w:rPr>
          <w:ins w:id="1814" w:author="Master Repository Process" w:date="2022-05-27T14:27:00Z"/>
        </w:rPr>
      </w:pPr>
      <w:ins w:id="1815" w:author="Master Repository Process" w:date="2022-05-27T14:27:00Z">
        <w:r>
          <w:tab/>
        </w:r>
        <w:r>
          <w:rPr>
            <w:rStyle w:val="CharDefText"/>
          </w:rPr>
          <w:t>surplus property</w:t>
        </w:r>
        <w:r>
          <w:t xml:space="preserve"> has the meaning given in the </w:t>
        </w:r>
        <w:r>
          <w:rPr>
            <w:i/>
          </w:rPr>
          <w:t>Associations Incorporation Act 2015</w:t>
        </w:r>
        <w:r>
          <w:t xml:space="preserve"> section 3;</w:t>
        </w:r>
      </w:ins>
    </w:p>
    <w:p>
      <w:pPr>
        <w:pStyle w:val="Defstart"/>
        <w:rPr>
          <w:ins w:id="1816" w:author="Master Repository Process" w:date="2022-05-27T14:27:00Z"/>
        </w:rPr>
      </w:pPr>
      <w:ins w:id="1817" w:author="Master Repository Process" w:date="2022-05-27T14:27:00Z">
        <w:r>
          <w:tab/>
        </w:r>
        <w:r>
          <w:rPr>
            <w:rStyle w:val="CharDefText"/>
          </w:rPr>
          <w:t>surplus receiving body</w:t>
        </w:r>
        <w:r>
          <w:t xml:space="preserve"> means a body described in the </w:t>
        </w:r>
        <w:r>
          <w:rPr>
            <w:i/>
          </w:rPr>
          <w:t>Associations Incorporation Act 2015</w:t>
        </w:r>
        <w:r>
          <w:t xml:space="preserve"> section 24(1).</w:t>
        </w:r>
      </w:ins>
    </w:p>
    <w:p>
      <w:pPr>
        <w:pStyle w:val="Subsection"/>
        <w:rPr>
          <w:ins w:id="1818" w:author="Master Repository Process" w:date="2022-05-27T14:27:00Z"/>
        </w:rPr>
      </w:pPr>
      <w:ins w:id="1819" w:author="Master Repository Process" w:date="2022-05-27T14:27:00Z">
        <w:r>
          <w:tab/>
          <w:t>(2)</w:t>
        </w:r>
        <w:r>
          <w:tab/>
          <w:t xml:space="preserve">Duty is not chargeable on the following transactions — </w:t>
        </w:r>
      </w:ins>
    </w:p>
    <w:p>
      <w:pPr>
        <w:pStyle w:val="Indenta"/>
        <w:rPr>
          <w:ins w:id="1820" w:author="Master Repository Process" w:date="2022-05-27T14:27:00Z"/>
        </w:rPr>
      </w:pPr>
      <w:ins w:id="1821" w:author="Master Repository Process" w:date="2022-05-27T14:27:00Z">
        <w:r>
          <w:tab/>
          <w:t>(a)</w:t>
        </w:r>
        <w:r>
          <w:tab/>
          <w:t xml:space="preserve">a vesting of dutiable property by, or expressly authorised by, statute law (as referred to in section 11(1)(d)(i)) in an incorporated association (that is an amalgamation of 2 or more former associations) on the incorporation of the association under the </w:t>
        </w:r>
        <w:r>
          <w:rPr>
            <w:i/>
          </w:rPr>
          <w:t>Associations Incorporation Act 2015</w:t>
        </w:r>
        <w:r>
          <w:t xml:space="preserve"> Part 7;</w:t>
        </w:r>
      </w:ins>
    </w:p>
    <w:p>
      <w:pPr>
        <w:pStyle w:val="Indenta"/>
        <w:rPr>
          <w:ins w:id="1822" w:author="Master Repository Process" w:date="2022-05-27T14:27:00Z"/>
        </w:rPr>
      </w:pPr>
      <w:ins w:id="1823" w:author="Master Repository Process" w:date="2022-05-27T14:27:00Z">
        <w:r>
          <w:tab/>
          <w:t>(b)</w:t>
        </w:r>
        <w:r>
          <w:tab/>
          <w:t xml:space="preserve">a transfer of, or an agreement for the transfer of, dutiable property from an incorporated association to a prescribed body corporate on the transfer of incorporation by the association under the </w:t>
        </w:r>
        <w:r>
          <w:rPr>
            <w:i/>
          </w:rPr>
          <w:t>Associations Incorporation Act 2015</w:t>
        </w:r>
        <w:r>
          <w:t xml:space="preserve"> Part 6;</w:t>
        </w:r>
      </w:ins>
    </w:p>
    <w:p>
      <w:pPr>
        <w:pStyle w:val="Indenta"/>
        <w:keepNext/>
        <w:rPr>
          <w:ins w:id="1824" w:author="Master Repository Process" w:date="2022-05-27T14:27:00Z"/>
        </w:rPr>
      </w:pPr>
      <w:ins w:id="1825" w:author="Master Repository Process" w:date="2022-05-27T14:27:00Z">
        <w:r>
          <w:tab/>
          <w:t>(c)</w:t>
        </w:r>
        <w:r>
          <w:tab/>
          <w:t xml:space="preserve">a transfer of, or an agreement for the transfer of, dutiable property that is surplus property to a surplus receiving body — </w:t>
        </w:r>
      </w:ins>
    </w:p>
    <w:p>
      <w:pPr>
        <w:pStyle w:val="Indenti"/>
        <w:rPr>
          <w:ins w:id="1826" w:author="Master Repository Process" w:date="2022-05-27T14:27:00Z"/>
        </w:rPr>
      </w:pPr>
      <w:ins w:id="1827" w:author="Master Repository Process" w:date="2022-05-27T14:27:00Z">
        <w:r>
          <w:tab/>
          <w:t>(i)</w:t>
        </w:r>
        <w:r>
          <w:tab/>
          <w:t xml:space="preserve">from an incorporated association on the winding up of the association under the </w:t>
        </w:r>
        <w:r>
          <w:rPr>
            <w:i/>
          </w:rPr>
          <w:t>Associations Incorporation Act 2015</w:t>
        </w:r>
        <w:r>
          <w:t xml:space="preserve"> Part 9; or</w:t>
        </w:r>
      </w:ins>
    </w:p>
    <w:p>
      <w:pPr>
        <w:pStyle w:val="Indenti"/>
        <w:rPr>
          <w:ins w:id="1828" w:author="Master Repository Process" w:date="2022-05-27T14:27:00Z"/>
        </w:rPr>
      </w:pPr>
      <w:ins w:id="1829" w:author="Master Repository Process" w:date="2022-05-27T14:27:00Z">
        <w:r>
          <w:tab/>
          <w:t>(ii)</w:t>
        </w:r>
        <w:r>
          <w:tab/>
          <w:t xml:space="preserve">from an incorporated association under a distribution plan approved under the </w:t>
        </w:r>
        <w:r>
          <w:rPr>
            <w:i/>
          </w:rPr>
          <w:t>Associations Incorporation Act 2015</w:t>
        </w:r>
        <w:r>
          <w:t xml:space="preserve"> Part 10 Division 1; or</w:t>
        </w:r>
      </w:ins>
    </w:p>
    <w:p>
      <w:pPr>
        <w:pStyle w:val="Indenti"/>
        <w:rPr>
          <w:ins w:id="1830" w:author="Master Repository Process" w:date="2022-05-27T14:27:00Z"/>
        </w:rPr>
      </w:pPr>
      <w:ins w:id="1831" w:author="Master Repository Process" w:date="2022-05-27T14:27:00Z">
        <w:r>
          <w:tab/>
          <w:t>(iii)</w:t>
        </w:r>
        <w:r>
          <w:tab/>
          <w:t xml:space="preserve">where the property is vested in the State under the </w:t>
        </w:r>
        <w:r>
          <w:rPr>
            <w:i/>
          </w:rPr>
          <w:t>Associations Incorporation Act 2015</w:t>
        </w:r>
        <w:r>
          <w:t xml:space="preserve"> section 148(1)(a), from the Commissioner, acting under subsection (1)(b) of that section.</w:t>
        </w:r>
      </w:ins>
    </w:p>
    <w:p>
      <w:pPr>
        <w:pStyle w:val="Footnotesection"/>
        <w:rPr>
          <w:ins w:id="1832" w:author="Master Repository Process" w:date="2022-05-27T14:27:00Z"/>
        </w:rPr>
      </w:pPr>
      <w:ins w:id="1833" w:author="Master Repository Process" w:date="2022-05-27T14:27:00Z">
        <w:r>
          <w:tab/>
          <w:t>[Section 113A inserted: No. 12 of 2019 s. 43.]</w:t>
        </w:r>
      </w:ins>
    </w:p>
    <w:p>
      <w:pPr>
        <w:pStyle w:val="Heading4"/>
        <w:rPr>
          <w:sz w:val="26"/>
        </w:rPr>
      </w:pPr>
      <w:bookmarkStart w:id="1834" w:name="_Toc37946778"/>
      <w:bookmarkStart w:id="1835" w:name="_Toc37947378"/>
      <w:bookmarkStart w:id="1836" w:name="_Toc38031442"/>
      <w:bookmarkStart w:id="1837" w:name="_Toc93309951"/>
      <w:bookmarkStart w:id="1838" w:name="_Toc104290973"/>
      <w:bookmarkStart w:id="1839" w:name="_Toc530491713"/>
      <w:bookmarkStart w:id="1840" w:name="_Toc530492173"/>
      <w:bookmarkStart w:id="1841" w:name="_Toc530493183"/>
      <w:bookmarkStart w:id="1842" w:name="_Toc530556318"/>
      <w:bookmarkStart w:id="1843" w:name="_Toc531692156"/>
      <w:bookmarkStart w:id="1844" w:name="_Toc531856061"/>
      <w:bookmarkStart w:id="1845" w:name="_Toc531858789"/>
      <w:bookmarkStart w:id="1846" w:name="_Toc531859328"/>
      <w:r>
        <w:rPr>
          <w:sz w:val="26"/>
        </w:rPr>
        <w:t>Division 2 — Nominal duty</w:t>
      </w:r>
      <w:bookmarkEnd w:id="1834"/>
      <w:bookmarkEnd w:id="1835"/>
      <w:bookmarkEnd w:id="1836"/>
      <w:bookmarkEnd w:id="1837"/>
      <w:bookmarkEnd w:id="1838"/>
      <w:bookmarkEnd w:id="1839"/>
      <w:bookmarkEnd w:id="1840"/>
      <w:bookmarkEnd w:id="1841"/>
      <w:bookmarkEnd w:id="1842"/>
      <w:bookmarkEnd w:id="1843"/>
      <w:bookmarkEnd w:id="1844"/>
      <w:bookmarkEnd w:id="1845"/>
      <w:bookmarkEnd w:id="1846"/>
      <w:r>
        <w:rPr>
          <w:sz w:val="26"/>
        </w:rPr>
        <w:t xml:space="preserve"> </w:t>
      </w:r>
    </w:p>
    <w:p>
      <w:pPr>
        <w:pStyle w:val="Heading4"/>
        <w:rPr>
          <w:sz w:val="26"/>
        </w:rPr>
      </w:pPr>
      <w:bookmarkStart w:id="1847" w:name="_Toc37946779"/>
      <w:bookmarkStart w:id="1848" w:name="_Toc37947379"/>
      <w:bookmarkStart w:id="1849" w:name="_Toc38031443"/>
      <w:bookmarkStart w:id="1850" w:name="_Toc93309952"/>
      <w:bookmarkStart w:id="1851" w:name="_Toc104290974"/>
      <w:bookmarkStart w:id="1852" w:name="_Toc530491714"/>
      <w:bookmarkStart w:id="1853" w:name="_Toc530492174"/>
      <w:bookmarkStart w:id="1854" w:name="_Toc530493184"/>
      <w:bookmarkStart w:id="1855" w:name="_Toc530556319"/>
      <w:bookmarkStart w:id="1856" w:name="_Toc531692157"/>
      <w:bookmarkStart w:id="1857" w:name="_Toc531856062"/>
      <w:bookmarkStart w:id="1858" w:name="_Toc531858790"/>
      <w:bookmarkStart w:id="1859" w:name="_Toc531859329"/>
      <w:r>
        <w:rPr>
          <w:sz w:val="26"/>
        </w:rPr>
        <w:t>Subdivision 1 — Certain trust transactions</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p>
    <w:p>
      <w:pPr>
        <w:pStyle w:val="Heading5"/>
      </w:pPr>
      <w:bookmarkStart w:id="1860" w:name="_Toc104290975"/>
      <w:bookmarkStart w:id="1861" w:name="_Toc531859330"/>
      <w:r>
        <w:rPr>
          <w:rStyle w:val="CharSectno"/>
        </w:rPr>
        <w:t>114</w:t>
      </w:r>
      <w:r>
        <w:t>.</w:t>
      </w:r>
      <w:r>
        <w:tab/>
        <w:t>Some transfers etc. on vesting or termination of discretionary trust</w:t>
      </w:r>
      <w:bookmarkEnd w:id="1860"/>
      <w:bookmarkEnd w:id="1861"/>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spacing w:before="240"/>
      </w:pPr>
      <w:bookmarkStart w:id="1862" w:name="_Toc104290976"/>
      <w:bookmarkStart w:id="1863" w:name="_Toc531859331"/>
      <w:r>
        <w:rPr>
          <w:rStyle w:val="CharSectno"/>
        </w:rPr>
        <w:t>115</w:t>
      </w:r>
      <w:r>
        <w:t>.</w:t>
      </w:r>
      <w:r>
        <w:tab/>
        <w:t>Some transfers etc. on exercise of power of appointment by trustee of discretionary trust</w:t>
      </w:r>
      <w:bookmarkEnd w:id="1862"/>
      <w:bookmarkEnd w:id="1863"/>
    </w:p>
    <w:p>
      <w:pPr>
        <w:pStyle w:val="Subsection"/>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pPr>
      <w:r>
        <w:tab/>
        <w:t>(a)</w:t>
      </w:r>
      <w:r>
        <w:tab/>
        <w:t>there is, or will be, no consideration for the transfer or agreement; and</w:t>
      </w:r>
    </w:p>
    <w:p>
      <w:pPr>
        <w:pStyle w:val="Indenta"/>
      </w:pPr>
      <w:r>
        <w:tab/>
        <w:t>(b)</w:t>
      </w:r>
      <w:r>
        <w:tab/>
        <w:t>the beneficiary is an individual who does not intend to hold the property as agent, trustee or otherwise on behalf of any other person; and</w:t>
      </w:r>
    </w:p>
    <w:p>
      <w:pPr>
        <w:pStyle w:val="Indenta"/>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pPr>
      <w:r>
        <w:tab/>
        <w:t>(d)</w:t>
      </w:r>
      <w:r>
        <w:tab/>
        <w:t>evidence of the acquisition by the trustee, as trustee, of the property is produced to the Commissioner.</w:t>
      </w:r>
    </w:p>
    <w:p>
      <w:pPr>
        <w:pStyle w:val="Heading5"/>
        <w:spacing w:before="240"/>
      </w:pPr>
      <w:bookmarkStart w:id="1864" w:name="_Toc104290977"/>
      <w:bookmarkStart w:id="1865" w:name="_Toc531859332"/>
      <w:r>
        <w:rPr>
          <w:rStyle w:val="CharSectno"/>
        </w:rPr>
        <w:t>116</w:t>
      </w:r>
      <w:r>
        <w:t>.</w:t>
      </w:r>
      <w:r>
        <w:tab/>
        <w:t>Some transfers etc. of dutiable property to beneficiary</w:t>
      </w:r>
      <w:bookmarkEnd w:id="1864"/>
      <w:bookmarkEnd w:id="1865"/>
    </w:p>
    <w:p>
      <w:pPr>
        <w:pStyle w:val="Subsection"/>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pPr>
      <w:r>
        <w:tab/>
        <w:t>(a)</w:t>
      </w:r>
      <w:r>
        <w:tab/>
        <w:t>there is no consideration for the transfer or agreement; and</w:t>
      </w:r>
    </w:p>
    <w:p>
      <w:pPr>
        <w:pStyle w:val="Indenta"/>
      </w:pPr>
      <w:r>
        <w:tab/>
        <w:t>(b)</w:t>
      </w:r>
      <w:r>
        <w:tab/>
        <w:t>the transfer, or agreement, is under and in conformity with the trusts contained in the declaration of trust.</w:t>
      </w:r>
    </w:p>
    <w:p>
      <w:pPr>
        <w:pStyle w:val="Subsection"/>
      </w:pPr>
      <w:r>
        <w:tab/>
        <w:t>(2)</w:t>
      </w:r>
      <w:r>
        <w:tab/>
        <w:t xml:space="preserve">Subsection (1) applies only if the property the subject of the agreement or transfer is — </w:t>
      </w:r>
    </w:p>
    <w:p>
      <w:pPr>
        <w:pStyle w:val="Indenta"/>
      </w:pPr>
      <w:r>
        <w:tab/>
        <w:t>(a)</w:t>
      </w:r>
      <w:r>
        <w:tab/>
        <w:t xml:space="preserve">wholly or substantially the same as the property the subject of the declaration of trust and the declaration of trust is — </w:t>
      </w:r>
    </w:p>
    <w:p>
      <w:pPr>
        <w:pStyle w:val="Indenti"/>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Subsection"/>
        <w:rPr>
          <w:ins w:id="1866" w:author="Master Repository Process" w:date="2022-05-27T14:27:00Z"/>
        </w:rPr>
      </w:pPr>
      <w:ins w:id="1867" w:author="Master Repository Process" w:date="2022-05-27T14:27:00Z">
        <w:r>
          <w:tab/>
          <w:t>(3)</w:t>
        </w:r>
        <w:r>
          <w:tab/>
          <w:t>Subsection (1) does not apply to a subsequent transfer to which section 118(1) applies.</w:t>
        </w:r>
      </w:ins>
    </w:p>
    <w:p>
      <w:pPr>
        <w:pStyle w:val="Footnotesection"/>
        <w:rPr>
          <w:ins w:id="1868" w:author="Master Repository Process" w:date="2022-05-27T14:27:00Z"/>
        </w:rPr>
      </w:pPr>
      <w:ins w:id="1869" w:author="Master Repository Process" w:date="2022-05-27T14:27:00Z">
        <w:r>
          <w:tab/>
          <w:t>[Section 116 amended: No. 12 of 2019 s. 44.]</w:t>
        </w:r>
      </w:ins>
    </w:p>
    <w:p>
      <w:pPr>
        <w:pStyle w:val="Heading5"/>
        <w:spacing w:before="240"/>
      </w:pPr>
      <w:bookmarkStart w:id="1870" w:name="_Toc104290978"/>
      <w:bookmarkStart w:id="1871" w:name="_Toc531859333"/>
      <w:r>
        <w:rPr>
          <w:rStyle w:val="CharSectno"/>
        </w:rPr>
        <w:t>117</w:t>
      </w:r>
      <w:r>
        <w:t>.</w:t>
      </w:r>
      <w:r>
        <w:tab/>
        <w:t>Transactions involving apparent purchaser</w:t>
      </w:r>
      <w:bookmarkEnd w:id="1870"/>
      <w:bookmarkEnd w:id="1871"/>
    </w:p>
    <w:p>
      <w:pPr>
        <w:pStyle w:val="Subsection"/>
        <w:keepNext/>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PermNoteHeading"/>
      </w:pPr>
      <w:r>
        <w:tab/>
        <w:t>Note for this subsection:</w:t>
      </w:r>
    </w:p>
    <w:p>
      <w:pPr>
        <w:pStyle w:val="PermNoteText"/>
        <w:rPr>
          <w:rFonts w:cs="Arial"/>
        </w:rPr>
      </w:pPr>
      <w:r>
        <w:tab/>
      </w:r>
      <w:r>
        <w:rPr>
          <w:rFonts w:cs="Arial"/>
        </w:rPr>
        <w:t>For example, a change in the legal description of dutiable property in the issuing of a new certificate of title following a subdivision of land.</w:t>
      </w:r>
    </w:p>
    <w:p>
      <w:pPr>
        <w:pStyle w:val="Heading5"/>
      </w:pPr>
      <w:bookmarkStart w:id="1872" w:name="_Toc104290979"/>
      <w:bookmarkStart w:id="1873" w:name="_Toc531859334"/>
      <w:r>
        <w:rPr>
          <w:rStyle w:val="CharSectno"/>
        </w:rPr>
        <w:t>118</w:t>
      </w:r>
      <w:r>
        <w:t>.</w:t>
      </w:r>
      <w:r>
        <w:tab/>
      </w:r>
      <w:del w:id="1874" w:author="Master Repository Process" w:date="2022-05-27T14:27:00Z">
        <w:r>
          <w:delText>Transfer</w:delText>
        </w:r>
      </w:del>
      <w:ins w:id="1875" w:author="Master Repository Process" w:date="2022-05-27T14:27:00Z">
        <w:r>
          <w:t>Transfers</w:t>
        </w:r>
      </w:ins>
      <w:r>
        <w:t xml:space="preserve"> to and from </w:t>
      </w:r>
      <w:ins w:id="1876" w:author="Master Repository Process" w:date="2022-05-27T14:27:00Z">
        <w:r>
          <w:t xml:space="preserve">bare </w:t>
        </w:r>
      </w:ins>
      <w:r>
        <w:t>trustee</w:t>
      </w:r>
      <w:bookmarkEnd w:id="1872"/>
      <w:bookmarkEnd w:id="1873"/>
    </w:p>
    <w:p>
      <w:pPr>
        <w:pStyle w:val="Subsection"/>
        <w:spacing w:before="180"/>
        <w:rPr>
          <w:del w:id="1877" w:author="Master Repository Process" w:date="2022-05-27T14:27:00Z"/>
        </w:rPr>
      </w:pPr>
      <w:del w:id="1878" w:author="Master Repository Process" w:date="2022-05-27T14:27:00Z">
        <w:r>
          <w:tab/>
          <w:delText>(1)</w:delText>
        </w:r>
        <w:r>
          <w:tab/>
          <w:delText xml:space="preserve">In this section — </w:delText>
        </w:r>
      </w:del>
    </w:p>
    <w:p>
      <w:pPr>
        <w:pStyle w:val="Subsection"/>
        <w:rPr>
          <w:ins w:id="1879" w:author="Master Repository Process" w:date="2022-05-27T14:27:00Z"/>
        </w:rPr>
      </w:pPr>
      <w:del w:id="1880" w:author="Master Repository Process" w:date="2022-05-27T14:27:00Z">
        <w:r>
          <w:rPr>
            <w:b/>
          </w:rPr>
          <w:tab/>
        </w:r>
      </w:del>
      <w:ins w:id="1881" w:author="Master Repository Process" w:date="2022-05-27T14:27:00Z">
        <w:r>
          <w:tab/>
          <w:t>(1)</w:t>
        </w:r>
        <w:r>
          <w:tab/>
          <w:t xml:space="preserve">Nominal duty is chargeable on a transfer (the </w:t>
        </w:r>
        <w:r>
          <w:rPr>
            <w:rStyle w:val="CharDefText"/>
          </w:rPr>
          <w:t>subsequent transfer</w:t>
        </w:r>
        <w:r>
          <w:t xml:space="preserve">) if — </w:t>
        </w:r>
      </w:ins>
    </w:p>
    <w:p>
      <w:pPr>
        <w:pStyle w:val="Indenta"/>
        <w:rPr>
          <w:ins w:id="1882" w:author="Master Repository Process" w:date="2022-05-27T14:27:00Z"/>
        </w:rPr>
      </w:pPr>
      <w:ins w:id="1883" w:author="Master Repository Process" w:date="2022-05-27T14:27:00Z">
        <w:r>
          <w:tab/>
          <w:t>(a)</w:t>
        </w:r>
        <w:r>
          <w:tab/>
          <w:t xml:space="preserve">there has been a dutiable transaction (the </w:t>
        </w:r>
        <w:r>
          <w:rPr>
            <w:rStyle w:val="CharDefText"/>
          </w:rPr>
          <w:t>original transfer</w:t>
        </w:r>
        <w:r>
          <w:t xml:space="preserve">) that is a transfer of dutiable property from a person (the </w:t>
        </w:r>
        <w:r>
          <w:rPr>
            <w:rStyle w:val="CharDefText"/>
          </w:rPr>
          <w:t>transferor</w:t>
        </w:r>
        <w:r>
          <w:t xml:space="preserve">) to another person who is to hold the property solely as a bare </w:t>
        </w:r>
      </w:ins>
      <w:r>
        <w:t xml:space="preserve">trustee </w:t>
      </w:r>
      <w:ins w:id="1884" w:author="Master Repository Process" w:date="2022-05-27T14:27:00Z">
        <w:r>
          <w:t>for the transferor; and</w:t>
        </w:r>
      </w:ins>
    </w:p>
    <w:p>
      <w:pPr>
        <w:pStyle w:val="Indenta"/>
        <w:rPr>
          <w:ins w:id="1885" w:author="Master Repository Process" w:date="2022-05-27T14:27:00Z"/>
        </w:rPr>
      </w:pPr>
      <w:ins w:id="1886" w:author="Master Repository Process" w:date="2022-05-27T14:27:00Z">
        <w:r>
          <w:tab/>
          <w:t>(b)</w:t>
        </w:r>
        <w:r>
          <w:tab/>
          <w:t xml:space="preserve">any of the following transactions (the </w:t>
        </w:r>
        <w:r>
          <w:rPr>
            <w:rStyle w:val="CharDefText"/>
          </w:rPr>
          <w:t>endorsed transaction</w:t>
        </w:r>
        <w:r>
          <w:t xml:space="preserve">) is duty endorsed — </w:t>
        </w:r>
      </w:ins>
    </w:p>
    <w:p>
      <w:pPr>
        <w:pStyle w:val="Indenti"/>
        <w:rPr>
          <w:ins w:id="1887" w:author="Master Repository Process" w:date="2022-05-27T14:27:00Z"/>
        </w:rPr>
      </w:pPr>
      <w:ins w:id="1888" w:author="Master Repository Process" w:date="2022-05-27T14:27:00Z">
        <w:r>
          <w:tab/>
          <w:t>(i)</w:t>
        </w:r>
        <w:r>
          <w:tab/>
          <w:t>the original transfer;</w:t>
        </w:r>
      </w:ins>
    </w:p>
    <w:p>
      <w:pPr>
        <w:pStyle w:val="Indenti"/>
        <w:rPr>
          <w:ins w:id="1889" w:author="Master Repository Process" w:date="2022-05-27T14:27:00Z"/>
        </w:rPr>
      </w:pPr>
      <w:ins w:id="1890" w:author="Master Repository Process" w:date="2022-05-27T14:27:00Z">
        <w:r>
          <w:tab/>
          <w:t>(ii)</w:t>
        </w:r>
        <w:r>
          <w:tab/>
          <w:t>the agreement for the original transfer;</w:t>
        </w:r>
      </w:ins>
    </w:p>
    <w:p>
      <w:pPr>
        <w:pStyle w:val="Indenti"/>
        <w:rPr>
          <w:ins w:id="1891" w:author="Master Repository Process" w:date="2022-05-27T14:27:00Z"/>
        </w:rPr>
      </w:pPr>
      <w:ins w:id="1892" w:author="Master Repository Process" w:date="2022-05-27T14:27:00Z">
        <w:r>
          <w:tab/>
          <w:t>(iii)</w:t>
        </w:r>
        <w:r>
          <w:tab/>
          <w:t>the declaration of trust;</w:t>
        </w:r>
      </w:ins>
    </w:p>
    <w:p>
      <w:pPr>
        <w:pStyle w:val="Indenta"/>
        <w:rPr>
          <w:ins w:id="1893" w:author="Master Repository Process" w:date="2022-05-27T14:27:00Z"/>
        </w:rPr>
      </w:pPr>
      <w:ins w:id="1894" w:author="Master Repository Process" w:date="2022-05-27T14:27:00Z">
        <w:r>
          <w:tab/>
        </w:r>
        <w:r>
          <w:tab/>
          <w:t>and</w:t>
        </w:r>
      </w:ins>
    </w:p>
    <w:p>
      <w:pPr>
        <w:pStyle w:val="Indenta"/>
        <w:rPr>
          <w:ins w:id="1895" w:author="Master Repository Process" w:date="2022-05-27T14:27:00Z"/>
        </w:rPr>
      </w:pPr>
      <w:ins w:id="1896" w:author="Master Repository Process" w:date="2022-05-27T14:27:00Z">
        <w:r>
          <w:tab/>
          <w:t>(c)</w:t>
        </w:r>
        <w:r>
          <w:tab/>
          <w:t>the subsequent transfer is a transfer of the dutiable property back to the transferor or to a person to whom the transferor’s beneficial interest in the property has been transmitted by death or bankruptcy; and</w:t>
        </w:r>
      </w:ins>
    </w:p>
    <w:p>
      <w:pPr>
        <w:pStyle w:val="Indenta"/>
        <w:rPr>
          <w:ins w:id="1897" w:author="Master Repository Process" w:date="2022-05-27T14:27:00Z"/>
        </w:rPr>
      </w:pPr>
      <w:ins w:id="1898" w:author="Master Repository Process" w:date="2022-05-27T14:27:00Z">
        <w:r>
          <w:tab/>
          <w:t>(d)</w:t>
        </w:r>
        <w:r>
          <w:tab/>
          <w:t>the Commissioner is satisfied that, between the original transfer and the subsequent transfer, no person other than the transferor has held a beneficial interest in the dutiable property (other than the trustee’s right of indemnity).</w:t>
        </w:r>
      </w:ins>
    </w:p>
    <w:p>
      <w:pPr>
        <w:pStyle w:val="Subsection"/>
        <w:rPr>
          <w:ins w:id="1899" w:author="Master Repository Process" w:date="2022-05-27T14:27:00Z"/>
        </w:rPr>
      </w:pPr>
      <w:ins w:id="1900" w:author="Master Repository Process" w:date="2022-05-27T14:27:00Z">
        <w:r>
          <w:tab/>
          <w:t>(2)</w:t>
        </w:r>
        <w:r>
          <w:tab/>
          <w:t xml:space="preserve">In subsection (1) — </w:t>
        </w:r>
      </w:ins>
    </w:p>
    <w:p>
      <w:pPr>
        <w:pStyle w:val="Defstart"/>
        <w:rPr>
          <w:ins w:id="1901" w:author="Master Repository Process" w:date="2022-05-27T14:27:00Z"/>
        </w:rPr>
      </w:pPr>
      <w:ins w:id="1902" w:author="Master Repository Process" w:date="2022-05-27T14:27:00Z">
        <w:r>
          <w:tab/>
        </w:r>
        <w:r>
          <w:rPr>
            <w:rStyle w:val="CharDefText"/>
          </w:rPr>
          <w:t>bare trustee</w:t>
        </w:r>
        <w:r>
          <w:t xml:space="preserve"> — </w:t>
        </w:r>
      </w:ins>
    </w:p>
    <w:p>
      <w:pPr>
        <w:pStyle w:val="Defpara"/>
        <w:rPr>
          <w:ins w:id="1903" w:author="Master Repository Process" w:date="2022-05-27T14:27:00Z"/>
        </w:rPr>
      </w:pPr>
      <w:ins w:id="1904" w:author="Master Repository Process" w:date="2022-05-27T14:27:00Z">
        <w:r>
          <w:tab/>
          <w:t>(a)</w:t>
        </w:r>
        <w:r>
          <w:tab/>
        </w:r>
      </w:ins>
      <w:r>
        <w:t xml:space="preserve">means a trustee of a trust, other than a unit trust scheme or a discretionary trust, </w:t>
      </w:r>
      <w:del w:id="1905" w:author="Master Repository Process" w:date="2022-05-27T14:27:00Z">
        <w:r>
          <w:delText xml:space="preserve">and </w:delText>
        </w:r>
      </w:del>
      <w:ins w:id="1906" w:author="Master Repository Process" w:date="2022-05-27T14:27:00Z">
        <w:r>
          <w:t>if the trustee has no active duties or powers in relation to the trust other than conveying the dutiable property to the transferor or as directed by the transferor; and</w:t>
        </w:r>
      </w:ins>
    </w:p>
    <w:p>
      <w:pPr>
        <w:pStyle w:val="Defpara"/>
      </w:pPr>
      <w:ins w:id="1907" w:author="Master Repository Process" w:date="2022-05-27T14:27:00Z">
        <w:r>
          <w:tab/>
          <w:t>(b)</w:t>
        </w:r>
        <w:r>
          <w:tab/>
        </w:r>
      </w:ins>
      <w:r>
        <w:t>includes a trustee appointed in substitution for a trustee or a trustee appointed in addition to a trustee or trustees.</w:t>
      </w:r>
    </w:p>
    <w:p>
      <w:pPr>
        <w:pStyle w:val="Subsection"/>
      </w:pPr>
      <w:r>
        <w:tab/>
        <w:t>(</w:t>
      </w:r>
      <w:del w:id="1908" w:author="Master Repository Process" w:date="2022-05-27T14:27:00Z">
        <w:r>
          <w:delText>2)</w:delText>
        </w:r>
        <w:r>
          <w:tab/>
          <w:delText>Nominal</w:delText>
        </w:r>
      </w:del>
      <w:ins w:id="1909" w:author="Master Repository Process" w:date="2022-05-27T14:27:00Z">
        <w:r>
          <w:t>3)</w:t>
        </w:r>
        <w:r>
          <w:tab/>
          <w:t>If nominal</w:t>
        </w:r>
      </w:ins>
      <w:r>
        <w:t xml:space="preserve"> duty is chargeable on a </w:t>
      </w:r>
      <w:ins w:id="1910" w:author="Master Repository Process" w:date="2022-05-27T14:27:00Z">
        <w:r>
          <w:t xml:space="preserve">subsequent </w:t>
        </w:r>
      </w:ins>
      <w:r>
        <w:t xml:space="preserve">transfer </w:t>
      </w:r>
      <w:del w:id="1911" w:author="Master Repository Process" w:date="2022-05-27T14:27:00Z">
        <w:r>
          <w:delText xml:space="preserve">of dutiable property that </w:delText>
        </w:r>
      </w:del>
      <w:ins w:id="1912" w:author="Master Repository Process" w:date="2022-05-27T14:27:00Z">
        <w:r>
          <w:t xml:space="preserve">under subsection (1), nominal duty </w:t>
        </w:r>
      </w:ins>
      <w:r>
        <w:t>is</w:t>
      </w:r>
      <w:del w:id="1913" w:author="Master Repository Process" w:date="2022-05-27T14:27:00Z">
        <w:r>
          <w:delText xml:space="preserve"> — </w:delText>
        </w:r>
      </w:del>
      <w:ins w:id="1914" w:author="Master Repository Process" w:date="2022-05-27T14:27:00Z">
        <w:r>
          <w:t xml:space="preserve"> also chargeable on the endorsed transaction.</w:t>
        </w:r>
      </w:ins>
    </w:p>
    <w:p>
      <w:pPr>
        <w:pStyle w:val="Subsection"/>
        <w:rPr>
          <w:ins w:id="1915" w:author="Master Repository Process" w:date="2022-05-27T14:27:00Z"/>
        </w:rPr>
      </w:pPr>
      <w:del w:id="1916" w:author="Master Repository Process" w:date="2022-05-27T14:27:00Z">
        <w:r>
          <w:tab/>
          <w:delText>(a)</w:delText>
        </w:r>
        <w:r>
          <w:tab/>
          <w:delText>made by a transferor</w:delText>
        </w:r>
      </w:del>
      <w:ins w:id="1917" w:author="Master Repository Process" w:date="2022-05-27T14:27:00Z">
        <w:r>
          <w:tab/>
          <w:t>(4)</w:t>
        </w:r>
        <w:r>
          <w:tab/>
          <w:t>The Commissioner, on the application of the taxpayer, is</w:t>
        </w:r>
      </w:ins>
      <w:r>
        <w:t xml:space="preserve"> to </w:t>
      </w:r>
      <w:del w:id="1918" w:author="Master Repository Process" w:date="2022-05-27T14:27:00Z">
        <w:r>
          <w:delText xml:space="preserve">a </w:delText>
        </w:r>
      </w:del>
      <w:ins w:id="1919" w:author="Master Repository Process" w:date="2022-05-27T14:27:00Z">
        <w:r>
          <w:t>reassess the liability to duty of the endorsed transaction in accordance with subsection (3).</w:t>
        </w:r>
      </w:ins>
    </w:p>
    <w:p>
      <w:pPr>
        <w:pStyle w:val="Subsection"/>
        <w:rPr>
          <w:ins w:id="1920" w:author="Master Repository Process" w:date="2022-05-27T14:27:00Z"/>
        </w:rPr>
      </w:pPr>
      <w:ins w:id="1921" w:author="Master Repository Process" w:date="2022-05-27T14:27:00Z">
        <w:r>
          <w:tab/>
          <w:t>(5)</w:t>
        </w:r>
        <w:r>
          <w:tab/>
          <w:t>The limitations as to time in the Taxation Administration Act section 17 do not apply in respect of a reassessment under subsection (4).</w:t>
        </w:r>
      </w:ins>
    </w:p>
    <w:p>
      <w:pPr>
        <w:pStyle w:val="Footnotesection"/>
        <w:rPr>
          <w:ins w:id="1922" w:author="Master Repository Process" w:date="2022-05-27T14:27:00Z"/>
        </w:rPr>
      </w:pPr>
      <w:ins w:id="1923" w:author="Master Repository Process" w:date="2022-05-27T14:27:00Z">
        <w:r>
          <w:tab/>
          <w:t>[Section 118 inserted: No. 12 of 2019 s. 45.]</w:t>
        </w:r>
      </w:ins>
    </w:p>
    <w:p>
      <w:pPr>
        <w:pStyle w:val="Heading5"/>
        <w:rPr>
          <w:ins w:id="1924" w:author="Master Repository Process" w:date="2022-05-27T14:27:00Z"/>
        </w:rPr>
      </w:pPr>
      <w:bookmarkStart w:id="1925" w:name="_Toc104290980"/>
      <w:ins w:id="1926" w:author="Master Repository Process" w:date="2022-05-27T14:27:00Z">
        <w:r>
          <w:rPr>
            <w:rStyle w:val="CharSectno"/>
          </w:rPr>
          <w:t>118A</w:t>
        </w:r>
        <w:r>
          <w:t>.</w:t>
        </w:r>
        <w:r>
          <w:tab/>
          <w:t xml:space="preserve">Transfers to and from bare </w:t>
        </w:r>
      </w:ins>
      <w:r>
        <w:t>trustee</w:t>
      </w:r>
      <w:ins w:id="1927" w:author="Master Repository Process" w:date="2022-05-27T14:27:00Z">
        <w:r>
          <w:t>: failure to lodge subsequent transfer</w:t>
        </w:r>
        <w:bookmarkEnd w:id="1925"/>
      </w:ins>
    </w:p>
    <w:p>
      <w:pPr>
        <w:pStyle w:val="Subsection"/>
        <w:rPr>
          <w:ins w:id="1928" w:author="Master Repository Process" w:date="2022-05-27T14:27:00Z"/>
        </w:rPr>
      </w:pPr>
      <w:ins w:id="1929" w:author="Master Repository Process" w:date="2022-05-27T14:27:00Z">
        <w:r>
          <w:tab/>
          <w:t>(1)</w:t>
        </w:r>
        <w:r>
          <w:tab/>
          <w:t xml:space="preserve">This section applies if — </w:t>
        </w:r>
      </w:ins>
    </w:p>
    <w:p>
      <w:pPr>
        <w:pStyle w:val="Indenta"/>
        <w:rPr>
          <w:ins w:id="1930" w:author="Master Repository Process" w:date="2022-05-27T14:27:00Z"/>
        </w:rPr>
      </w:pPr>
      <w:ins w:id="1931" w:author="Master Repository Process" w:date="2022-05-27T14:27:00Z">
        <w:r>
          <w:tab/>
          <w:t>(a)</w:t>
        </w:r>
        <w:r>
          <w:tab/>
          <w:t>under section 118, nominal duty is chargeable on a subsequent transfer and an endorsed transaction referred to in that section; and</w:t>
        </w:r>
      </w:ins>
    </w:p>
    <w:p>
      <w:pPr>
        <w:pStyle w:val="Indenta"/>
        <w:rPr>
          <w:ins w:id="1932" w:author="Master Repository Process" w:date="2022-05-27T14:27:00Z"/>
        </w:rPr>
      </w:pPr>
      <w:ins w:id="1933" w:author="Master Repository Process" w:date="2022-05-27T14:27:00Z">
        <w:r>
          <w:tab/>
          <w:t>(b)</w:t>
        </w:r>
        <w:r>
          <w:tab/>
          <w:t>the subsequent transfer is required</w:t>
        </w:r>
      </w:ins>
      <w:r>
        <w:t xml:space="preserve"> to be </w:t>
      </w:r>
      <w:del w:id="1934" w:author="Master Repository Process" w:date="2022-05-27T14:27:00Z">
        <w:r>
          <w:delText>held solely as trustee</w:delText>
        </w:r>
      </w:del>
      <w:ins w:id="1935" w:author="Master Repository Process" w:date="2022-05-27T14:27:00Z">
        <w:r>
          <w:t>lodged</w:t>
        </w:r>
      </w:ins>
      <w:r>
        <w:t xml:space="preserve"> for </w:t>
      </w:r>
      <w:del w:id="1936" w:author="Master Repository Process" w:date="2022-05-27T14:27:00Z">
        <w:r>
          <w:delText>the transferor without</w:delText>
        </w:r>
      </w:del>
      <w:ins w:id="1937" w:author="Master Repository Process" w:date="2022-05-27T14:27:00Z">
        <w:r>
          <w:t xml:space="preserve">registration under — </w:t>
        </w:r>
      </w:ins>
    </w:p>
    <w:p>
      <w:pPr>
        <w:pStyle w:val="Indenti"/>
        <w:rPr>
          <w:ins w:id="1938" w:author="Master Repository Process" w:date="2022-05-27T14:27:00Z"/>
        </w:rPr>
      </w:pPr>
      <w:ins w:id="1939" w:author="Master Repository Process" w:date="2022-05-27T14:27:00Z">
        <w:r>
          <w:tab/>
          <w:t>(i)</w:t>
        </w:r>
        <w:r>
          <w:tab/>
          <w:t xml:space="preserve">the </w:t>
        </w:r>
        <w:r>
          <w:rPr>
            <w:i/>
          </w:rPr>
          <w:t>Transfer of Land Act 1893</w:t>
        </w:r>
        <w:r>
          <w:t>; or</w:t>
        </w:r>
      </w:ins>
    </w:p>
    <w:p>
      <w:pPr>
        <w:pStyle w:val="Indenti"/>
        <w:rPr>
          <w:ins w:id="1940" w:author="Master Repository Process" w:date="2022-05-27T14:27:00Z"/>
        </w:rPr>
      </w:pPr>
      <w:ins w:id="1941" w:author="Master Repository Process" w:date="2022-05-27T14:27:00Z">
        <w:r>
          <w:tab/>
          <w:t>(ii)</w:t>
        </w:r>
        <w:r>
          <w:tab/>
          <w:t xml:space="preserve">the </w:t>
        </w:r>
        <w:r>
          <w:rPr>
            <w:i/>
          </w:rPr>
          <w:t>Registration of Deeds Act 1856</w:t>
        </w:r>
        <w:r>
          <w:t>; or</w:t>
        </w:r>
      </w:ins>
    </w:p>
    <w:p>
      <w:pPr>
        <w:pStyle w:val="Indenti"/>
        <w:rPr>
          <w:ins w:id="1942" w:author="Master Repository Process" w:date="2022-05-27T14:27:00Z"/>
        </w:rPr>
      </w:pPr>
      <w:ins w:id="1943" w:author="Master Repository Process" w:date="2022-05-27T14:27:00Z">
        <w:r>
          <w:tab/>
          <w:t>(iii)</w:t>
        </w:r>
        <w:r>
          <w:tab/>
          <w:t xml:space="preserve">the </w:t>
        </w:r>
        <w:r>
          <w:rPr>
            <w:i/>
          </w:rPr>
          <w:t>Mining Act 1978</w:t>
        </w:r>
        <w:r>
          <w:t>;</w:t>
        </w:r>
      </w:ins>
    </w:p>
    <w:p>
      <w:pPr>
        <w:pStyle w:val="Indenta"/>
        <w:rPr>
          <w:ins w:id="1944" w:author="Master Repository Process" w:date="2022-05-27T14:27:00Z"/>
        </w:rPr>
      </w:pPr>
      <w:ins w:id="1945" w:author="Master Repository Process" w:date="2022-05-27T14:27:00Z">
        <w:r>
          <w:tab/>
        </w:r>
        <w:r>
          <w:tab/>
          <w:t>and</w:t>
        </w:r>
      </w:ins>
    </w:p>
    <w:p>
      <w:pPr>
        <w:pStyle w:val="Indenta"/>
        <w:rPr>
          <w:ins w:id="1946" w:author="Master Repository Process" w:date="2022-05-27T14:27:00Z"/>
        </w:rPr>
      </w:pPr>
      <w:ins w:id="1947" w:author="Master Repository Process" w:date="2022-05-27T14:27:00Z">
        <w:r>
          <w:tab/>
          <w:t>(c)</w:t>
        </w:r>
        <w:r>
          <w:tab/>
          <w:t>the liability to duty of the subsequent transfer is assessed in accordance with section 118(1) on the basis that nominal duty is chargeable; and</w:t>
        </w:r>
      </w:ins>
    </w:p>
    <w:p>
      <w:pPr>
        <w:pStyle w:val="Indenta"/>
        <w:rPr>
          <w:ins w:id="1948" w:author="Master Repository Process" w:date="2022-05-27T14:27:00Z"/>
        </w:rPr>
      </w:pPr>
      <w:ins w:id="1949" w:author="Master Repository Process" w:date="2022-05-27T14:27:00Z">
        <w:r>
          <w:tab/>
          <w:t>(d)</w:t>
        </w:r>
        <w:r>
          <w:tab/>
          <w:t>the liability to duty of the endorsed transaction is reassessed in accordance with section 118(3) on the basis that nominal duty is chargeable; and</w:t>
        </w:r>
      </w:ins>
    </w:p>
    <w:p>
      <w:pPr>
        <w:pStyle w:val="Indenta"/>
        <w:rPr>
          <w:ins w:id="1950" w:author="Master Repository Process" w:date="2022-05-27T14:27:00Z"/>
        </w:rPr>
      </w:pPr>
      <w:ins w:id="1951" w:author="Master Repository Process" w:date="2022-05-27T14:27:00Z">
        <w:r>
          <w:tab/>
          <w:t>(e)</w:t>
        </w:r>
        <w:r>
          <w:tab/>
          <w:t xml:space="preserve">the subsequent transfer is not lodged for registration under the </w:t>
        </w:r>
        <w:r>
          <w:rPr>
            <w:i/>
          </w:rPr>
          <w:t>Transfer of Land Act 1893</w:t>
        </w:r>
        <w:r>
          <w:t xml:space="preserve">, the </w:t>
        </w:r>
        <w:r>
          <w:rPr>
            <w:i/>
          </w:rPr>
          <w:t>Registration of Deeds Act 1856</w:t>
        </w:r>
        <w:r>
          <w:t xml:space="preserve"> or the </w:t>
        </w:r>
        <w:r>
          <w:rPr>
            <w:i/>
          </w:rPr>
          <w:t>Mining Act 1978</w:t>
        </w:r>
        <w:r>
          <w:t xml:space="preserve"> (whichever is relevant) within 60 days after it is duty endorsed.</w:t>
        </w:r>
      </w:ins>
    </w:p>
    <w:p>
      <w:pPr>
        <w:pStyle w:val="Subsection"/>
        <w:rPr>
          <w:ins w:id="1952" w:author="Master Repository Process" w:date="2022-05-27T14:27:00Z"/>
        </w:rPr>
      </w:pPr>
      <w:ins w:id="1953" w:author="Master Repository Process" w:date="2022-05-27T14:27:00Z">
        <w:r>
          <w:tab/>
          <w:t>(2)</w:t>
        </w:r>
        <w:r>
          <w:tab/>
          <w:t>Despite section 118(1) and (3), nominal duty is not chargeable on the subsequent transfer or the endorsed transaction.</w:t>
        </w:r>
      </w:ins>
    </w:p>
    <w:p>
      <w:pPr>
        <w:pStyle w:val="Subsection"/>
      </w:pPr>
      <w:ins w:id="1954" w:author="Master Repository Process" w:date="2022-05-27T14:27:00Z">
        <w:r>
          <w:tab/>
          <w:t>(3)</w:t>
        </w:r>
        <w:r>
          <w:tab/>
          <w:t>The Commissioner must make</w:t>
        </w:r>
      </w:ins>
      <w:r>
        <w:t xml:space="preserve"> any </w:t>
      </w:r>
      <w:del w:id="1955" w:author="Master Repository Process" w:date="2022-05-27T14:27:00Z">
        <w:r>
          <w:delText>change in the beneficial ownership of the dutiable property; or</w:delText>
        </w:r>
      </w:del>
      <w:ins w:id="1956" w:author="Master Repository Process" w:date="2022-05-27T14:27:00Z">
        <w:r>
          <w:t>reassessment necessary as a result of the operation of subsection (2).</w:t>
        </w:r>
      </w:ins>
    </w:p>
    <w:p>
      <w:pPr>
        <w:pStyle w:val="Indenta"/>
        <w:rPr>
          <w:del w:id="1957" w:author="Master Repository Process" w:date="2022-05-27T14:27:00Z"/>
        </w:rPr>
      </w:pPr>
      <w:r>
        <w:tab/>
        <w:t>(</w:t>
      </w:r>
      <w:del w:id="1958" w:author="Master Repository Process" w:date="2022-05-27T14:27:00Z">
        <w:r>
          <w:delText>b)</w:delText>
        </w:r>
        <w:r>
          <w:tab/>
          <w:delText>made by way of re</w:delText>
        </w:r>
        <w:r>
          <w:noBreakHyphen/>
          <w:delText>transfer</w:delText>
        </w:r>
      </w:del>
      <w:ins w:id="1959" w:author="Master Repository Process" w:date="2022-05-27T14:27:00Z">
        <w:r>
          <w:t>4)</w:t>
        </w:r>
        <w:r>
          <w:tab/>
          <w:t>The limitations as</w:t>
        </w:r>
      </w:ins>
      <w:r>
        <w:t xml:space="preserve"> to </w:t>
      </w:r>
      <w:del w:id="1960" w:author="Master Repository Process" w:date="2022-05-27T14:27:00Z">
        <w:r>
          <w:delText>the transferor, if no other person has had a beneficial interest</w:delText>
        </w:r>
      </w:del>
      <w:ins w:id="1961" w:author="Master Repository Process" w:date="2022-05-27T14:27:00Z">
        <w:r>
          <w:t>time</w:t>
        </w:r>
      </w:ins>
      <w:r>
        <w:t xml:space="preserve"> in the </w:t>
      </w:r>
      <w:del w:id="1962" w:author="Master Repository Process" w:date="2022-05-27T14:27:00Z">
        <w:r>
          <w:delText>property between the transfer to the trustee and the re</w:delText>
        </w:r>
        <w:r>
          <w:noBreakHyphen/>
          <w:delText>transfer.</w:delText>
        </w:r>
      </w:del>
    </w:p>
    <w:p>
      <w:pPr>
        <w:pStyle w:val="Subsection"/>
        <w:rPr>
          <w:del w:id="1963" w:author="Master Repository Process" w:date="2022-05-27T14:27:00Z"/>
        </w:rPr>
      </w:pPr>
      <w:del w:id="1964" w:author="Master Repository Process" w:date="2022-05-27T14:27:00Z">
        <w:r>
          <w:tab/>
          <w:delText>(3)</w:delText>
        </w:r>
        <w:r>
          <w:tab/>
          <w:delText xml:space="preserve">This </w:delText>
        </w:r>
      </w:del>
      <w:ins w:id="1965" w:author="Master Repository Process" w:date="2022-05-27T14:27:00Z">
        <w:r>
          <w:t>Taxation Administration Act </w:t>
        </w:r>
      </w:ins>
      <w:r>
        <w:t>section</w:t>
      </w:r>
      <w:del w:id="1966" w:author="Master Repository Process" w:date="2022-05-27T14:27:00Z">
        <w:r>
          <w:delText xml:space="preserve"> applies whether or</w:delText>
        </w:r>
      </w:del>
      <w:ins w:id="1967" w:author="Master Repository Process" w:date="2022-05-27T14:27:00Z">
        <w:r>
          <w:t> 17 do</w:t>
        </w:r>
      </w:ins>
      <w:r>
        <w:t xml:space="preserve"> not </w:t>
      </w:r>
      <w:del w:id="1968" w:author="Master Repository Process" w:date="2022-05-27T14:27:00Z">
        <w:r>
          <w:delText>there has been a change</w:delText>
        </w:r>
      </w:del>
      <w:ins w:id="1969" w:author="Master Repository Process" w:date="2022-05-27T14:27:00Z">
        <w:r>
          <w:t>apply</w:t>
        </w:r>
      </w:ins>
      <w:r>
        <w:t xml:space="preserve"> in </w:t>
      </w:r>
      <w:del w:id="1970" w:author="Master Repository Process" w:date="2022-05-27T14:27:00Z">
        <w:r>
          <w:delText>the legal description of the dutiable property.</w:delText>
        </w:r>
      </w:del>
    </w:p>
    <w:p>
      <w:pPr>
        <w:pStyle w:val="Subsection"/>
      </w:pPr>
      <w:del w:id="1971" w:author="Master Repository Process" w:date="2022-05-27T14:27:00Z">
        <w:r>
          <w:tab/>
          <w:delText>Note for this</w:delText>
        </w:r>
      </w:del>
      <w:ins w:id="1972" w:author="Master Repository Process" w:date="2022-05-27T14:27:00Z">
        <w:r>
          <w:t>respect of a reassessment under</w:t>
        </w:r>
      </w:ins>
      <w:r>
        <w:t xml:space="preserve"> subsection</w:t>
      </w:r>
      <w:del w:id="1973" w:author="Master Repository Process" w:date="2022-05-27T14:27:00Z">
        <w:r>
          <w:delText>:</w:delText>
        </w:r>
      </w:del>
      <w:ins w:id="1974" w:author="Master Repository Process" w:date="2022-05-27T14:27:00Z">
        <w:r>
          <w:t> (3).</w:t>
        </w:r>
      </w:ins>
    </w:p>
    <w:p>
      <w:pPr>
        <w:pStyle w:val="PermNoteText"/>
        <w:rPr>
          <w:del w:id="1975" w:author="Master Repository Process" w:date="2022-05-27T14:27:00Z"/>
          <w:rFonts w:cs="Arial"/>
        </w:rPr>
      </w:pPr>
      <w:del w:id="1976" w:author="Master Repository Process" w:date="2022-05-27T14:27:00Z">
        <w:r>
          <w:rPr>
            <w:rFonts w:cs="Arial"/>
          </w:rPr>
          <w:tab/>
        </w:r>
        <w:r>
          <w:rPr>
            <w:rFonts w:cs="Arial"/>
          </w:rPr>
          <w:tab/>
          <w:delText>For example, a change in the legal description of dutiable property in the issuing of a new certificate of title following a subdivision of land.</w:delText>
        </w:r>
      </w:del>
    </w:p>
    <w:p>
      <w:pPr>
        <w:pStyle w:val="Footnotesection"/>
      </w:pPr>
      <w:r>
        <w:tab/>
        <w:t>[Section</w:t>
      </w:r>
      <w:del w:id="1977" w:author="Master Repository Process" w:date="2022-05-27T14:27:00Z">
        <w:r>
          <w:delText> 118 amended</w:delText>
        </w:r>
      </w:del>
      <w:ins w:id="1978" w:author="Master Repository Process" w:date="2022-05-27T14:27:00Z">
        <w:r>
          <w:t xml:space="preserve"> 118A inserted</w:t>
        </w:r>
      </w:ins>
      <w:r>
        <w:t xml:space="preserve">: No. </w:t>
      </w:r>
      <w:del w:id="1979" w:author="Master Repository Process" w:date="2022-05-27T14:27:00Z">
        <w:r>
          <w:delText>30</w:delText>
        </w:r>
      </w:del>
      <w:ins w:id="1980" w:author="Master Repository Process" w:date="2022-05-27T14:27:00Z">
        <w:r>
          <w:t>12</w:t>
        </w:r>
      </w:ins>
      <w:r>
        <w:t xml:space="preserve"> of </w:t>
      </w:r>
      <w:del w:id="1981" w:author="Master Repository Process" w:date="2022-05-27T14:27:00Z">
        <w:r>
          <w:delText>2008</w:delText>
        </w:r>
      </w:del>
      <w:ins w:id="1982" w:author="Master Repository Process" w:date="2022-05-27T14:27:00Z">
        <w:r>
          <w:t>2019</w:t>
        </w:r>
      </w:ins>
      <w:r>
        <w:t xml:space="preserve"> s. </w:t>
      </w:r>
      <w:del w:id="1983" w:author="Master Repository Process" w:date="2022-05-27T14:27:00Z">
        <w:r>
          <w:delText>25</w:delText>
        </w:r>
      </w:del>
      <w:ins w:id="1984" w:author="Master Repository Process" w:date="2022-05-27T14:27:00Z">
        <w:r>
          <w:t>45</w:t>
        </w:r>
      </w:ins>
      <w:r>
        <w:t>.]</w:t>
      </w:r>
    </w:p>
    <w:p>
      <w:pPr>
        <w:pStyle w:val="Heading5"/>
      </w:pPr>
      <w:bookmarkStart w:id="1985" w:name="_Toc104290981"/>
      <w:bookmarkStart w:id="1986" w:name="_Toc531859335"/>
      <w:r>
        <w:rPr>
          <w:rStyle w:val="CharSectno"/>
        </w:rPr>
        <w:t>119</w:t>
      </w:r>
      <w:r>
        <w:t>.</w:t>
      </w:r>
      <w:r>
        <w:tab/>
        <w:t>Transactions related to changes in trustees and managed investment schemes</w:t>
      </w:r>
      <w:bookmarkEnd w:id="1985"/>
      <w:bookmarkEnd w:id="1986"/>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pPr>
      <w:r>
        <w:rPr>
          <w:b/>
        </w:rPr>
        <w:tab/>
      </w:r>
      <w:r>
        <w:rPr>
          <w:rStyle w:val="CharDefText"/>
        </w:rPr>
        <w:t>responsible entity</w:t>
      </w:r>
      <w:r>
        <w:t xml:space="preserve"> has the meaning given in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pPr>
      <w:r>
        <w:tab/>
        <w:t>(3)</w:t>
      </w:r>
      <w:r>
        <w:tab/>
        <w:t xml:space="preserve">Nominal duty is chargeable on a transfer, or agreement for the transfer, of dutiable property — </w:t>
      </w:r>
    </w:p>
    <w:p>
      <w:pPr>
        <w:pStyle w:val="Indenta"/>
      </w:pPr>
      <w:r>
        <w:tab/>
        <w:t>(a)</w:t>
      </w:r>
      <w:r>
        <w:tab/>
        <w:t>to a trustee as a consequence of the retirement of a trustee or the appointment of a new trustee 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keepLines/>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keepNext/>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keepNext/>
      </w:pPr>
      <w:r>
        <w:tab/>
        <w:t>(b)</w:t>
      </w:r>
      <w:r>
        <w:tab/>
        <w:t>to hold the dutiable property on trust for the responsible entity of the managed investment scheme.</w:t>
      </w:r>
    </w:p>
    <w:p>
      <w:pPr>
        <w:pStyle w:val="Subsection"/>
      </w:pPr>
      <w:r>
        <w:tab/>
        <w:t>(5)</w:t>
      </w:r>
      <w:r>
        <w:tab/>
        <w:t xml:space="preserve">Nominal duty is chargeable on a transfer, or agreement for the transfer, of dutiable property — </w:t>
      </w:r>
    </w:p>
    <w:p>
      <w:pPr>
        <w:pStyle w:val="Indenta"/>
      </w:pPr>
      <w:r>
        <w:tab/>
        <w:t>(a)</w:t>
      </w:r>
      <w:r>
        <w:tab/>
        <w:t>from a responsible entity of a managed investment scheme 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keepNext w:val="0"/>
        <w:keepLines w:val="0"/>
      </w:pPr>
      <w:bookmarkStart w:id="1987" w:name="_Toc104290982"/>
      <w:bookmarkStart w:id="1988" w:name="_Toc531859336"/>
      <w:r>
        <w:rPr>
          <w:rStyle w:val="CharSectno"/>
        </w:rPr>
        <w:t>120</w:t>
      </w:r>
      <w:r>
        <w:t>.</w:t>
      </w:r>
      <w:r>
        <w:tab/>
        <w:t>Transfer by way of security</w:t>
      </w:r>
      <w:bookmarkEnd w:id="1987"/>
      <w:bookmarkEnd w:id="1988"/>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Heading4"/>
        <w:rPr>
          <w:ins w:id="1989" w:author="Master Repository Process" w:date="2022-05-27T14:27:00Z"/>
        </w:rPr>
      </w:pPr>
      <w:bookmarkStart w:id="1990" w:name="_Toc37946788"/>
      <w:bookmarkStart w:id="1991" w:name="_Toc37947388"/>
      <w:bookmarkStart w:id="1992" w:name="_Toc38031452"/>
      <w:bookmarkStart w:id="1993" w:name="_Toc93309961"/>
      <w:bookmarkStart w:id="1994" w:name="_Toc104290983"/>
      <w:ins w:id="1995" w:author="Master Repository Process" w:date="2022-05-27T14:27:00Z">
        <w:r>
          <w:t>Subdivision 1A — Transfers to facilitate subdivision of land</w:t>
        </w:r>
        <w:bookmarkEnd w:id="1990"/>
        <w:bookmarkEnd w:id="1991"/>
        <w:bookmarkEnd w:id="1992"/>
        <w:bookmarkEnd w:id="1993"/>
        <w:bookmarkEnd w:id="1994"/>
      </w:ins>
    </w:p>
    <w:p>
      <w:pPr>
        <w:pStyle w:val="Footnoteheading"/>
        <w:rPr>
          <w:ins w:id="1996" w:author="Master Repository Process" w:date="2022-05-27T14:27:00Z"/>
        </w:rPr>
      </w:pPr>
      <w:ins w:id="1997" w:author="Master Repository Process" w:date="2022-05-27T14:27:00Z">
        <w:r>
          <w:tab/>
          <w:t>[Heading inserted: No. 12 of 2019 s. 46.]</w:t>
        </w:r>
      </w:ins>
    </w:p>
    <w:p>
      <w:pPr>
        <w:pStyle w:val="Heading5"/>
        <w:rPr>
          <w:ins w:id="1998" w:author="Master Repository Process" w:date="2022-05-27T14:27:00Z"/>
        </w:rPr>
      </w:pPr>
      <w:bookmarkStart w:id="1999" w:name="_Toc104290984"/>
      <w:ins w:id="2000" w:author="Master Repository Process" w:date="2022-05-27T14:27:00Z">
        <w:r>
          <w:rPr>
            <w:rStyle w:val="CharSectno"/>
          </w:rPr>
          <w:t>120A</w:t>
        </w:r>
        <w:r>
          <w:t>.</w:t>
        </w:r>
        <w:r>
          <w:tab/>
          <w:t>Transfers to facilitate subdivision of land</w:t>
        </w:r>
        <w:bookmarkEnd w:id="1999"/>
      </w:ins>
    </w:p>
    <w:p>
      <w:pPr>
        <w:pStyle w:val="Subsection"/>
        <w:rPr>
          <w:ins w:id="2001" w:author="Master Repository Process" w:date="2022-05-27T14:27:00Z"/>
        </w:rPr>
      </w:pPr>
      <w:ins w:id="2002" w:author="Master Repository Process" w:date="2022-05-27T14:27:00Z">
        <w:r>
          <w:tab/>
          <w:t>(1)</w:t>
        </w:r>
        <w:r>
          <w:tab/>
          <w:t xml:space="preserve">Nominal duty is chargeable on a dutiable transaction (the </w:t>
        </w:r>
        <w:r>
          <w:rPr>
            <w:rStyle w:val="CharDefText"/>
          </w:rPr>
          <w:t>original transfer</w:t>
        </w:r>
        <w:r>
          <w:t xml:space="preserve">) if — </w:t>
        </w:r>
      </w:ins>
    </w:p>
    <w:p>
      <w:pPr>
        <w:pStyle w:val="Indenta"/>
        <w:rPr>
          <w:ins w:id="2003" w:author="Master Repository Process" w:date="2022-05-27T14:27:00Z"/>
        </w:rPr>
      </w:pPr>
      <w:ins w:id="2004" w:author="Master Repository Process" w:date="2022-05-27T14:27:00Z">
        <w:r>
          <w:tab/>
          <w:t>(a)</w:t>
        </w:r>
        <w:r>
          <w:tab/>
          <w:t xml:space="preserve">the transaction is a transfer, or agreement for the transfer, of land in Western Australia from a person (the </w:t>
        </w:r>
        <w:r>
          <w:rPr>
            <w:rStyle w:val="CharDefText"/>
          </w:rPr>
          <w:t>original transferor</w:t>
        </w:r>
        <w:r>
          <w:t>) to another person; and</w:t>
        </w:r>
      </w:ins>
    </w:p>
    <w:p>
      <w:pPr>
        <w:pStyle w:val="Indenta"/>
        <w:rPr>
          <w:ins w:id="2005" w:author="Master Repository Process" w:date="2022-05-27T14:27:00Z"/>
        </w:rPr>
      </w:pPr>
      <w:ins w:id="2006" w:author="Master Repository Process" w:date="2022-05-27T14:27:00Z">
        <w:r>
          <w:tab/>
          <w:t>(b)</w:t>
        </w:r>
        <w:r>
          <w:tab/>
          <w:t xml:space="preserve">the Commissioner is satisfied that — </w:t>
        </w:r>
      </w:ins>
    </w:p>
    <w:p>
      <w:pPr>
        <w:pStyle w:val="Indenti"/>
        <w:rPr>
          <w:ins w:id="2007" w:author="Master Repository Process" w:date="2022-05-27T14:27:00Z"/>
        </w:rPr>
      </w:pPr>
      <w:ins w:id="2008" w:author="Master Repository Process" w:date="2022-05-27T14:27:00Z">
        <w:r>
          <w:tab/>
          <w:t>(i)</w:t>
        </w:r>
        <w:r>
          <w:tab/>
          <w:t>the transfer is for the sole purpose of facilitating a subdivision of the land; and</w:t>
        </w:r>
      </w:ins>
    </w:p>
    <w:p>
      <w:pPr>
        <w:pStyle w:val="Indenti"/>
        <w:rPr>
          <w:ins w:id="2009" w:author="Master Repository Process" w:date="2022-05-27T14:27:00Z"/>
        </w:rPr>
      </w:pPr>
      <w:ins w:id="2010" w:author="Master Repository Process" w:date="2022-05-27T14:27:00Z">
        <w:r>
          <w:tab/>
          <w:t>(ii)</w:t>
        </w:r>
        <w:r>
          <w:tab/>
          <w:t>after the subdivision there is to be a transfer back to the original transferor of the land or part of the land.</w:t>
        </w:r>
      </w:ins>
    </w:p>
    <w:p>
      <w:pPr>
        <w:pStyle w:val="Subsection"/>
        <w:rPr>
          <w:ins w:id="2011" w:author="Master Repository Process" w:date="2022-05-27T14:27:00Z"/>
        </w:rPr>
      </w:pPr>
      <w:ins w:id="2012" w:author="Master Repository Process" w:date="2022-05-27T14:27:00Z">
        <w:r>
          <w:tab/>
          <w:t>(2)</w:t>
        </w:r>
        <w:r>
          <w:tab/>
          <w:t xml:space="preserve">If nominal duty is chargeable on an original transfer under subsection (1), nominal duty is also chargeable on a transfer (the </w:t>
        </w:r>
        <w:r>
          <w:rPr>
            <w:rStyle w:val="CharDefText"/>
          </w:rPr>
          <w:t>subsequent transfer</w:t>
        </w:r>
        <w:r>
          <w:t>) of the land, or part of the land, back to the original transferor after the subdivision.</w:t>
        </w:r>
      </w:ins>
    </w:p>
    <w:p>
      <w:pPr>
        <w:pStyle w:val="Subsection"/>
        <w:rPr>
          <w:ins w:id="2013" w:author="Master Repository Process" w:date="2022-05-27T14:27:00Z"/>
        </w:rPr>
      </w:pPr>
      <w:ins w:id="2014" w:author="Master Repository Process" w:date="2022-05-27T14:27:00Z">
        <w:r>
          <w:tab/>
          <w:t>(3)</w:t>
        </w:r>
        <w:r>
          <w:tab/>
          <w:t>If the land the subject of the subsequent transfer includes land that was not the subject of the original transfer, then despite subsection (2) nominal duty is chargeable on the subsequent transfer only to the extent that it relates to land that is also the subject of the original transfer.</w:t>
        </w:r>
      </w:ins>
    </w:p>
    <w:p>
      <w:pPr>
        <w:pStyle w:val="Footnotesection"/>
        <w:rPr>
          <w:ins w:id="2015" w:author="Master Repository Process" w:date="2022-05-27T14:27:00Z"/>
        </w:rPr>
      </w:pPr>
      <w:ins w:id="2016" w:author="Master Repository Process" w:date="2022-05-27T14:27:00Z">
        <w:r>
          <w:tab/>
          <w:t>[Section 120A inserted: No. 12 of 2019 s. 46.]</w:t>
        </w:r>
      </w:ins>
    </w:p>
    <w:p>
      <w:pPr>
        <w:pStyle w:val="Heading5"/>
        <w:rPr>
          <w:ins w:id="2017" w:author="Master Repository Process" w:date="2022-05-27T14:27:00Z"/>
        </w:rPr>
      </w:pPr>
      <w:bookmarkStart w:id="2018" w:name="_Toc104290985"/>
      <w:ins w:id="2019" w:author="Master Repository Process" w:date="2022-05-27T14:27:00Z">
        <w:r>
          <w:rPr>
            <w:rStyle w:val="CharSectno"/>
          </w:rPr>
          <w:t>120B</w:t>
        </w:r>
        <w:r>
          <w:t>.</w:t>
        </w:r>
        <w:r>
          <w:tab/>
          <w:t>Land retained by transferee following transfer to facilitate subdivision</w:t>
        </w:r>
        <w:bookmarkEnd w:id="2018"/>
      </w:ins>
    </w:p>
    <w:p>
      <w:pPr>
        <w:pStyle w:val="Subsection"/>
        <w:rPr>
          <w:ins w:id="2020" w:author="Master Repository Process" w:date="2022-05-27T14:27:00Z"/>
        </w:rPr>
      </w:pPr>
      <w:ins w:id="2021" w:author="Master Repository Process" w:date="2022-05-27T14:27:00Z">
        <w:r>
          <w:tab/>
          <w:t>(1)</w:t>
        </w:r>
        <w:r>
          <w:tab/>
          <w:t xml:space="preserve">This section applies if — </w:t>
        </w:r>
      </w:ins>
    </w:p>
    <w:p>
      <w:pPr>
        <w:pStyle w:val="Indenta"/>
        <w:rPr>
          <w:ins w:id="2022" w:author="Master Repository Process" w:date="2022-05-27T14:27:00Z"/>
        </w:rPr>
      </w:pPr>
      <w:ins w:id="2023" w:author="Master Repository Process" w:date="2022-05-27T14:27:00Z">
        <w:r>
          <w:tab/>
          <w:t>(a)</w:t>
        </w:r>
        <w:r>
          <w:tab/>
          <w:t xml:space="preserve">nominal duty is chargeable under section 120A(1) on an original transfer of land from a person (the </w:t>
        </w:r>
        <w:r>
          <w:rPr>
            <w:rStyle w:val="CharDefText"/>
          </w:rPr>
          <w:t>original transferor</w:t>
        </w:r>
        <w:r>
          <w:t xml:space="preserve">) to another person (the </w:t>
        </w:r>
        <w:r>
          <w:rPr>
            <w:rStyle w:val="CharDefText"/>
          </w:rPr>
          <w:t>original transferee</w:t>
        </w:r>
        <w:r>
          <w:t>) for the purpose of facilitating a subdivision of the land; and</w:t>
        </w:r>
      </w:ins>
    </w:p>
    <w:p>
      <w:pPr>
        <w:pStyle w:val="Indenta"/>
        <w:rPr>
          <w:ins w:id="2024" w:author="Master Repository Process" w:date="2022-05-27T14:27:00Z"/>
        </w:rPr>
      </w:pPr>
      <w:ins w:id="2025" w:author="Master Repository Process" w:date="2022-05-27T14:27:00Z">
        <w:r>
          <w:tab/>
          <w:t>(b)</w:t>
        </w:r>
        <w:r>
          <w:tab/>
          <w:t xml:space="preserve">after the subdivision, there is a transfer (the </w:t>
        </w:r>
        <w:r>
          <w:rPr>
            <w:rStyle w:val="CharDefText"/>
          </w:rPr>
          <w:t>subsequent transfer</w:t>
        </w:r>
        <w:r>
          <w:t>) of the land, or part of the land, back to the original transferor; and</w:t>
        </w:r>
      </w:ins>
    </w:p>
    <w:p>
      <w:pPr>
        <w:pStyle w:val="Indenta"/>
        <w:rPr>
          <w:ins w:id="2026" w:author="Master Repository Process" w:date="2022-05-27T14:27:00Z"/>
        </w:rPr>
      </w:pPr>
      <w:ins w:id="2027" w:author="Master Repository Process" w:date="2022-05-27T14:27:00Z">
        <w:r>
          <w:tab/>
          <w:t>(c)</w:t>
        </w:r>
        <w:r>
          <w:tab/>
          <w:t xml:space="preserve">either or both of the following applies — </w:t>
        </w:r>
      </w:ins>
    </w:p>
    <w:p>
      <w:pPr>
        <w:pStyle w:val="Indenti"/>
        <w:rPr>
          <w:ins w:id="2028" w:author="Master Repository Process" w:date="2022-05-27T14:27:00Z"/>
        </w:rPr>
      </w:pPr>
      <w:ins w:id="2029" w:author="Master Repository Process" w:date="2022-05-27T14:27:00Z">
        <w:r>
          <w:tab/>
          <w:t>(i)</w:t>
        </w:r>
        <w:r>
          <w:tab/>
          <w:t>the land the subject of the subsequent transfer is only a part of the land the subject of the original transfer and the remainder of that land is retained by the original transferee after the subsequent transfer;</w:t>
        </w:r>
      </w:ins>
    </w:p>
    <w:p>
      <w:pPr>
        <w:pStyle w:val="Indenti"/>
        <w:rPr>
          <w:ins w:id="2030" w:author="Master Repository Process" w:date="2022-05-27T14:27:00Z"/>
        </w:rPr>
      </w:pPr>
      <w:ins w:id="2031" w:author="Master Repository Process" w:date="2022-05-27T14:27:00Z">
        <w:r>
          <w:tab/>
          <w:t>(ii)</w:t>
        </w:r>
        <w:r>
          <w:tab/>
          <w:t>after the subsequent transfer, the land the subject of the subsequent transfer, or part of that land, is held jointly by the original transferor with the original transferee.</w:t>
        </w:r>
      </w:ins>
    </w:p>
    <w:p>
      <w:pPr>
        <w:pStyle w:val="Subsection"/>
        <w:rPr>
          <w:ins w:id="2032" w:author="Master Repository Process" w:date="2022-05-27T14:27:00Z"/>
        </w:rPr>
      </w:pPr>
      <w:ins w:id="2033" w:author="Master Repository Process" w:date="2022-05-27T14:27:00Z">
        <w:r>
          <w:tab/>
          <w:t>(2)</w:t>
        </w:r>
        <w:r>
          <w:tab/>
          <w:t xml:space="preserve">When the subsequent transfer is made, there is taken to be a dutiable transaction consisting of the transfer to the original transferee of the following — </w:t>
        </w:r>
      </w:ins>
    </w:p>
    <w:p>
      <w:pPr>
        <w:pStyle w:val="Indenta"/>
        <w:rPr>
          <w:ins w:id="2034" w:author="Master Repository Process" w:date="2022-05-27T14:27:00Z"/>
        </w:rPr>
      </w:pPr>
      <w:ins w:id="2035" w:author="Master Repository Process" w:date="2022-05-27T14:27:00Z">
        <w:r>
          <w:tab/>
          <w:t>(a)</w:t>
        </w:r>
        <w:r>
          <w:tab/>
          <w:t>any land the subject of the original transfer that is not also the subject of the subsequent transfer;</w:t>
        </w:r>
      </w:ins>
    </w:p>
    <w:p>
      <w:pPr>
        <w:pStyle w:val="Indenta"/>
        <w:rPr>
          <w:ins w:id="2036" w:author="Master Repository Process" w:date="2022-05-27T14:27:00Z"/>
        </w:rPr>
      </w:pPr>
      <w:ins w:id="2037" w:author="Master Repository Process" w:date="2022-05-27T14:27:00Z">
        <w:r>
          <w:tab/>
          <w:t>(b)</w:t>
        </w:r>
        <w:r>
          <w:tab/>
          <w:t>the original transferee’s interest in any land held jointly with the original transferor as referred to in subsection (1)(c)(ii).</w:t>
        </w:r>
      </w:ins>
    </w:p>
    <w:p>
      <w:pPr>
        <w:pStyle w:val="Subsection"/>
        <w:rPr>
          <w:ins w:id="2038" w:author="Master Repository Process" w:date="2022-05-27T14:27:00Z"/>
        </w:rPr>
      </w:pPr>
      <w:ins w:id="2039" w:author="Master Repository Process" w:date="2022-05-27T14:27:00Z">
        <w:r>
          <w:tab/>
          <w:t>(3)</w:t>
        </w:r>
        <w:r>
          <w:tab/>
          <w:t xml:space="preserve">In determining the dutiable value of a dutiable transaction under subsection (2) (a </w:t>
        </w:r>
        <w:r>
          <w:rPr>
            <w:rStyle w:val="CharDefText"/>
          </w:rPr>
          <w:t>deemed transaction</w:t>
        </w:r>
        <w:r>
          <w:t>), the unencumbered value of the dutiable property the subject of the deemed transaction is the unencumbered value of that property when liability for duty arose on the original transfer.</w:t>
        </w:r>
      </w:ins>
    </w:p>
    <w:p>
      <w:pPr>
        <w:pStyle w:val="Subsection"/>
        <w:rPr>
          <w:ins w:id="2040" w:author="Master Repository Process" w:date="2022-05-27T14:27:00Z"/>
        </w:rPr>
      </w:pPr>
      <w:ins w:id="2041" w:author="Master Repository Process" w:date="2022-05-27T14:27:00Z">
        <w:r>
          <w:tab/>
          <w:t>(4)</w:t>
        </w:r>
        <w:r>
          <w:tab/>
          <w:t>Subsection (1)(c)(i) does not apply if the original transferee is to transfer the remainder of the land to another person for the purposes of the subdivision.</w:t>
        </w:r>
      </w:ins>
    </w:p>
    <w:p>
      <w:pPr>
        <w:pStyle w:val="Footnotesection"/>
        <w:rPr>
          <w:ins w:id="2042" w:author="Master Repository Process" w:date="2022-05-27T14:27:00Z"/>
        </w:rPr>
      </w:pPr>
      <w:ins w:id="2043" w:author="Master Repository Process" w:date="2022-05-27T14:27:00Z">
        <w:r>
          <w:tab/>
          <w:t>[Section 120B inserted: No. 12 of 2019 s. 46.]</w:t>
        </w:r>
      </w:ins>
    </w:p>
    <w:p>
      <w:pPr>
        <w:pStyle w:val="Heading5"/>
        <w:rPr>
          <w:ins w:id="2044" w:author="Master Repository Process" w:date="2022-05-27T14:27:00Z"/>
        </w:rPr>
      </w:pPr>
      <w:bookmarkStart w:id="2045" w:name="_Toc104290986"/>
      <w:ins w:id="2046" w:author="Master Repository Process" w:date="2022-05-27T14:27:00Z">
        <w:r>
          <w:rPr>
            <w:rStyle w:val="CharSectno"/>
          </w:rPr>
          <w:t>120C</w:t>
        </w:r>
        <w:r>
          <w:t>.</w:t>
        </w:r>
        <w:r>
          <w:tab/>
          <w:t>Transfers to facilitate subdivision: failure to lodge subsequent transfer within 5 years</w:t>
        </w:r>
        <w:bookmarkEnd w:id="2045"/>
      </w:ins>
    </w:p>
    <w:p>
      <w:pPr>
        <w:pStyle w:val="Subsection"/>
        <w:rPr>
          <w:ins w:id="2047" w:author="Master Repository Process" w:date="2022-05-27T14:27:00Z"/>
        </w:rPr>
      </w:pPr>
      <w:ins w:id="2048" w:author="Master Repository Process" w:date="2022-05-27T14:27:00Z">
        <w:r>
          <w:tab/>
          <w:t>(1)</w:t>
        </w:r>
        <w:r>
          <w:tab/>
          <w:t xml:space="preserve">If a subsequent transfer referred to in section 120A is not lodged for registration under the </w:t>
        </w:r>
        <w:r>
          <w:rPr>
            <w:i/>
          </w:rPr>
          <w:t xml:space="preserve">Transfer of Land Act 1893 </w:t>
        </w:r>
        <w:r>
          <w:t xml:space="preserve">within the period of 5 years after the day on which the original transfer referred to in that section was registered under the </w:t>
        </w:r>
        <w:r>
          <w:rPr>
            <w:i/>
          </w:rPr>
          <w:t>Transfer of Land Act 1893</w:t>
        </w:r>
        <w:r>
          <w:t>, then, despite that section, nominal duty is not chargeable on the original transfer or the subsequent transfer.</w:t>
        </w:r>
      </w:ins>
    </w:p>
    <w:p>
      <w:pPr>
        <w:pStyle w:val="Subsection"/>
        <w:rPr>
          <w:ins w:id="2049" w:author="Master Repository Process" w:date="2022-05-27T14:27:00Z"/>
        </w:rPr>
      </w:pPr>
      <w:ins w:id="2050" w:author="Master Repository Process" w:date="2022-05-27T14:27:00Z">
        <w:r>
          <w:tab/>
          <w:t>(2)</w:t>
        </w:r>
        <w:r>
          <w:tab/>
          <w:t>The Commissioner may on application extend the period of 5 years referred to in subsection (1) and may do so on any conditions the Commissioner thinks fit.</w:t>
        </w:r>
      </w:ins>
    </w:p>
    <w:p>
      <w:pPr>
        <w:pStyle w:val="Subsection"/>
        <w:rPr>
          <w:ins w:id="2051" w:author="Master Repository Process" w:date="2022-05-27T14:27:00Z"/>
        </w:rPr>
      </w:pPr>
      <w:ins w:id="2052" w:author="Master Repository Process" w:date="2022-05-27T14:27:00Z">
        <w:r>
          <w:tab/>
          <w:t>(3)</w:t>
        </w:r>
        <w:r>
          <w:tab/>
          <w:t>The Commissioner must make any reassessment necessary as a result of the operation of subsection (1).</w:t>
        </w:r>
      </w:ins>
    </w:p>
    <w:p>
      <w:pPr>
        <w:pStyle w:val="Subsection"/>
        <w:rPr>
          <w:ins w:id="2053" w:author="Master Repository Process" w:date="2022-05-27T14:27:00Z"/>
        </w:rPr>
      </w:pPr>
      <w:ins w:id="2054" w:author="Master Repository Process" w:date="2022-05-27T14:27:00Z">
        <w:r>
          <w:tab/>
          <w:t>(4)</w:t>
        </w:r>
        <w:r>
          <w:tab/>
          <w:t>The limitations as to time in the Taxation Administration Act section 17 do not apply in respect of a reassessment under subsection (3).</w:t>
        </w:r>
      </w:ins>
    </w:p>
    <w:p>
      <w:pPr>
        <w:pStyle w:val="Footnotesection"/>
        <w:rPr>
          <w:ins w:id="2055" w:author="Master Repository Process" w:date="2022-05-27T14:27:00Z"/>
        </w:rPr>
      </w:pPr>
      <w:ins w:id="2056" w:author="Master Repository Process" w:date="2022-05-27T14:27:00Z">
        <w:r>
          <w:tab/>
          <w:t>[Section 120C inserted: No. 12 of 2019 s. 46.]</w:t>
        </w:r>
      </w:ins>
    </w:p>
    <w:p>
      <w:pPr>
        <w:pStyle w:val="Heading5"/>
        <w:rPr>
          <w:ins w:id="2057" w:author="Master Repository Process" w:date="2022-05-27T14:27:00Z"/>
        </w:rPr>
      </w:pPr>
      <w:bookmarkStart w:id="2058" w:name="_Toc104290987"/>
      <w:ins w:id="2059" w:author="Master Repository Process" w:date="2022-05-27T14:27:00Z">
        <w:r>
          <w:rPr>
            <w:rStyle w:val="CharSectno"/>
          </w:rPr>
          <w:t>120D</w:t>
        </w:r>
        <w:r>
          <w:t>.</w:t>
        </w:r>
        <w:r>
          <w:tab/>
          <w:t>Subdivisions of land excluded from s. 120A and 120B</w:t>
        </w:r>
        <w:bookmarkEnd w:id="2058"/>
      </w:ins>
    </w:p>
    <w:p>
      <w:pPr>
        <w:pStyle w:val="Subsection"/>
        <w:rPr>
          <w:ins w:id="2060" w:author="Master Repository Process" w:date="2022-05-27T14:27:00Z"/>
        </w:rPr>
      </w:pPr>
      <w:ins w:id="2061" w:author="Master Repository Process" w:date="2022-05-27T14:27:00Z">
        <w:r>
          <w:tab/>
        </w:r>
        <w:r>
          <w:tab/>
          <w:t xml:space="preserve">Sections 120A and 120B do not apply in relation to — </w:t>
        </w:r>
      </w:ins>
    </w:p>
    <w:p>
      <w:pPr>
        <w:pStyle w:val="Indenta"/>
        <w:rPr>
          <w:ins w:id="2062" w:author="Master Repository Process" w:date="2022-05-27T14:27:00Z"/>
        </w:rPr>
      </w:pPr>
      <w:ins w:id="2063" w:author="Master Repository Process" w:date="2022-05-27T14:27:00Z">
        <w:r>
          <w:tab/>
          <w:t>(a)</w:t>
        </w:r>
        <w:r>
          <w:tab/>
          <w:t xml:space="preserve">a subdivision under — </w:t>
        </w:r>
      </w:ins>
    </w:p>
    <w:p>
      <w:pPr>
        <w:pStyle w:val="Indenti"/>
        <w:rPr>
          <w:ins w:id="2064" w:author="Master Repository Process" w:date="2022-05-27T14:27:00Z"/>
        </w:rPr>
      </w:pPr>
      <w:ins w:id="2065" w:author="Master Repository Process" w:date="2022-05-27T14:27:00Z">
        <w:r>
          <w:tab/>
          <w:t>(i)</w:t>
        </w:r>
        <w:r>
          <w:tab/>
          <w:t xml:space="preserve">before the coming into operation of the </w:t>
        </w:r>
        <w:r>
          <w:rPr>
            <w:i/>
            <w:iCs/>
          </w:rPr>
          <w:t>Strata Titles Amendment Act 2018</w:t>
        </w:r>
        <w:r>
          <w:t xml:space="preserve"> section 7 — a strata plan registered under the </w:t>
        </w:r>
        <w:r>
          <w:rPr>
            <w:i/>
            <w:iCs/>
          </w:rPr>
          <w:t>Strata Titles Act 1985</w:t>
        </w:r>
        <w:r>
          <w:t xml:space="preserve"> (other than under a strata plan for a single tier strata scheme as defined in the </w:t>
        </w:r>
        <w:r>
          <w:rPr>
            <w:i/>
            <w:iCs/>
          </w:rPr>
          <w:t xml:space="preserve">Strata Titles Act 1985 </w:t>
        </w:r>
        <w:r>
          <w:t>section 3(1)); or</w:t>
        </w:r>
      </w:ins>
    </w:p>
    <w:p>
      <w:pPr>
        <w:pStyle w:val="Indenti"/>
        <w:rPr>
          <w:ins w:id="2066" w:author="Master Repository Process" w:date="2022-05-27T14:27:00Z"/>
        </w:rPr>
      </w:pPr>
      <w:ins w:id="2067" w:author="Master Repository Process" w:date="2022-05-27T14:27:00Z">
        <w:r>
          <w:tab/>
          <w:t>(ii)</w:t>
        </w:r>
        <w:r>
          <w:tab/>
          <w:t xml:space="preserve">after the coming into operation of the </w:t>
        </w:r>
        <w:r>
          <w:rPr>
            <w:i/>
            <w:iCs/>
          </w:rPr>
          <w:t>Strata Titles Amendment Act 2018</w:t>
        </w:r>
        <w:r>
          <w:t xml:space="preserve"> section 7 — a strata scheme as defined in the </w:t>
        </w:r>
        <w:r>
          <w:rPr>
            <w:i/>
            <w:iCs/>
          </w:rPr>
          <w:t>Strata Titles Act 1985</w:t>
        </w:r>
        <w:r>
          <w:t xml:space="preserve"> section 3(1) (other than a single tier strata scheme as defined in the </w:t>
        </w:r>
        <w:r>
          <w:rPr>
            <w:i/>
            <w:iCs/>
          </w:rPr>
          <w:t xml:space="preserve">Strata Titles Act 1985 </w:t>
        </w:r>
        <w:r>
          <w:t>Schedule 2A clause 3);</w:t>
        </w:r>
      </w:ins>
    </w:p>
    <w:p>
      <w:pPr>
        <w:pStyle w:val="Indenta"/>
        <w:rPr>
          <w:ins w:id="2068" w:author="Master Repository Process" w:date="2022-05-27T14:27:00Z"/>
        </w:rPr>
      </w:pPr>
      <w:ins w:id="2069" w:author="Master Repository Process" w:date="2022-05-27T14:27:00Z">
        <w:r>
          <w:tab/>
        </w:r>
        <w:r>
          <w:tab/>
          <w:t>or</w:t>
        </w:r>
      </w:ins>
    </w:p>
    <w:p>
      <w:pPr>
        <w:pStyle w:val="Indenta"/>
        <w:rPr>
          <w:ins w:id="2070" w:author="Master Repository Process" w:date="2022-05-27T14:27:00Z"/>
        </w:rPr>
      </w:pPr>
      <w:ins w:id="2071" w:author="Master Repository Process" w:date="2022-05-27T14:27:00Z">
        <w:r>
          <w:tab/>
          <w:t>(b)</w:t>
        </w:r>
        <w:r>
          <w:tab/>
          <w:t>a subdivision of land in circumstances prescribed by the regulations.</w:t>
        </w:r>
      </w:ins>
    </w:p>
    <w:p>
      <w:pPr>
        <w:pStyle w:val="Footnotesection"/>
        <w:rPr>
          <w:ins w:id="2072" w:author="Master Repository Process" w:date="2022-05-27T14:27:00Z"/>
        </w:rPr>
      </w:pPr>
      <w:ins w:id="2073" w:author="Master Repository Process" w:date="2022-05-27T14:27:00Z">
        <w:r>
          <w:tab/>
          <w:t>[Section 120D inserted: No. 12 of 2019 s. 46.]</w:t>
        </w:r>
      </w:ins>
    </w:p>
    <w:p>
      <w:pPr>
        <w:pStyle w:val="Heading5"/>
        <w:rPr>
          <w:ins w:id="2074" w:author="Master Repository Process" w:date="2022-05-27T14:27:00Z"/>
        </w:rPr>
      </w:pPr>
      <w:bookmarkStart w:id="2075" w:name="_Toc104290988"/>
      <w:ins w:id="2076" w:author="Master Repository Process" w:date="2022-05-27T14:27:00Z">
        <w:r>
          <w:rPr>
            <w:rStyle w:val="CharSectno"/>
          </w:rPr>
          <w:t>120E</w:t>
        </w:r>
        <w:r>
          <w:t>.</w:t>
        </w:r>
        <w:r>
          <w:tab/>
          <w:t>References to transfer of land back to person</w:t>
        </w:r>
        <w:bookmarkEnd w:id="2075"/>
      </w:ins>
    </w:p>
    <w:p>
      <w:pPr>
        <w:pStyle w:val="Subsection"/>
        <w:rPr>
          <w:ins w:id="2077" w:author="Master Repository Process" w:date="2022-05-27T14:27:00Z"/>
        </w:rPr>
      </w:pPr>
      <w:ins w:id="2078" w:author="Master Repository Process" w:date="2022-05-27T14:27:00Z">
        <w:r>
          <w:tab/>
        </w:r>
        <w:r>
          <w:tab/>
          <w:t xml:space="preserve">For the purposes of sections 120A and 120B, land that is transferred by a person for the purposes of a subdivision of the land is to be treated as being transferred back to the person after the subdivision — </w:t>
        </w:r>
      </w:ins>
    </w:p>
    <w:p>
      <w:pPr>
        <w:pStyle w:val="Indenta"/>
        <w:rPr>
          <w:ins w:id="2079" w:author="Master Repository Process" w:date="2022-05-27T14:27:00Z"/>
        </w:rPr>
      </w:pPr>
      <w:ins w:id="2080" w:author="Master Repository Process" w:date="2022-05-27T14:27:00Z">
        <w:r>
          <w:tab/>
          <w:t>(a)</w:t>
        </w:r>
        <w:r>
          <w:tab/>
          <w:t>even though there will be a change in the legal description of the land between the transfers; and</w:t>
        </w:r>
      </w:ins>
    </w:p>
    <w:p>
      <w:pPr>
        <w:pStyle w:val="Indenta"/>
        <w:rPr>
          <w:ins w:id="2081" w:author="Master Repository Process" w:date="2022-05-27T14:27:00Z"/>
        </w:rPr>
      </w:pPr>
      <w:ins w:id="2082" w:author="Master Repository Process" w:date="2022-05-27T14:27:00Z">
        <w:r>
          <w:tab/>
          <w:t>(b)</w:t>
        </w:r>
        <w:r>
          <w:tab/>
          <w:t>whether or not, after the transfer back to the person, the land is to be held jointly with 1 or more other persons.</w:t>
        </w:r>
      </w:ins>
    </w:p>
    <w:p>
      <w:pPr>
        <w:pStyle w:val="Footnotesection"/>
        <w:rPr>
          <w:ins w:id="2083" w:author="Master Repository Process" w:date="2022-05-27T14:27:00Z"/>
        </w:rPr>
      </w:pPr>
      <w:ins w:id="2084" w:author="Master Repository Process" w:date="2022-05-27T14:27:00Z">
        <w:r>
          <w:tab/>
          <w:t>[Section 120E inserted: No. 12 of 2019 s. 46.]</w:t>
        </w:r>
      </w:ins>
    </w:p>
    <w:p>
      <w:pPr>
        <w:pStyle w:val="Heading4"/>
        <w:rPr>
          <w:sz w:val="26"/>
        </w:rPr>
      </w:pPr>
      <w:bookmarkStart w:id="2085" w:name="_Toc37946794"/>
      <w:bookmarkStart w:id="2086" w:name="_Toc37947394"/>
      <w:bookmarkStart w:id="2087" w:name="_Toc38031458"/>
      <w:bookmarkStart w:id="2088" w:name="_Toc93309967"/>
      <w:bookmarkStart w:id="2089" w:name="_Toc104290989"/>
      <w:bookmarkStart w:id="2090" w:name="_Toc530491722"/>
      <w:bookmarkStart w:id="2091" w:name="_Toc530492182"/>
      <w:bookmarkStart w:id="2092" w:name="_Toc530493192"/>
      <w:bookmarkStart w:id="2093" w:name="_Toc530556327"/>
      <w:bookmarkStart w:id="2094" w:name="_Toc531692165"/>
      <w:bookmarkStart w:id="2095" w:name="_Toc531856070"/>
      <w:bookmarkStart w:id="2096" w:name="_Toc531858798"/>
      <w:bookmarkStart w:id="2097" w:name="_Toc531859337"/>
      <w:r>
        <w:rPr>
          <w:sz w:val="26"/>
        </w:rPr>
        <w:t>Subdivision 2 — Certain superannuation transactions</w:t>
      </w:r>
      <w:bookmarkEnd w:id="2085"/>
      <w:bookmarkEnd w:id="2086"/>
      <w:bookmarkEnd w:id="2087"/>
      <w:bookmarkEnd w:id="2088"/>
      <w:bookmarkEnd w:id="2089"/>
      <w:bookmarkEnd w:id="2090"/>
      <w:bookmarkEnd w:id="2091"/>
      <w:bookmarkEnd w:id="2092"/>
      <w:bookmarkEnd w:id="2093"/>
      <w:bookmarkEnd w:id="2094"/>
      <w:bookmarkEnd w:id="2095"/>
      <w:bookmarkEnd w:id="2096"/>
      <w:bookmarkEnd w:id="2097"/>
    </w:p>
    <w:p>
      <w:pPr>
        <w:pStyle w:val="Heading5"/>
      </w:pPr>
      <w:bookmarkStart w:id="2098" w:name="_Toc104290990"/>
      <w:bookmarkStart w:id="2099" w:name="_Toc531859338"/>
      <w:r>
        <w:rPr>
          <w:rStyle w:val="CharSectno"/>
        </w:rPr>
        <w:t>121</w:t>
      </w:r>
      <w:r>
        <w:t>.</w:t>
      </w:r>
      <w:r>
        <w:tab/>
        <w:t>Terms used</w:t>
      </w:r>
      <w:bookmarkEnd w:id="2098"/>
      <w:bookmarkEnd w:id="2099"/>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spacing w:before="180"/>
      </w:pPr>
      <w:bookmarkStart w:id="2100" w:name="_Toc104290991"/>
      <w:bookmarkStart w:id="2101" w:name="_Toc531859339"/>
      <w:r>
        <w:rPr>
          <w:rStyle w:val="CharSectno"/>
        </w:rPr>
        <w:t>122</w:t>
      </w:r>
      <w:r>
        <w:t>.</w:t>
      </w:r>
      <w:r>
        <w:tab/>
        <w:t>Relevant superannuation transactions for consideration</w:t>
      </w:r>
      <w:bookmarkEnd w:id="2100"/>
      <w:bookmarkEnd w:id="2101"/>
    </w:p>
    <w:p>
      <w:pPr>
        <w:pStyle w:val="Subsection"/>
        <w:spacing w:before="120"/>
      </w:pPr>
      <w:r>
        <w:tab/>
        <w:t>(1)</w:t>
      </w:r>
      <w:r>
        <w:tab/>
        <w:t>Nominal duty is chargeable on a relevant superannuation transaction if there is, or will be, consideration for the transaction.</w:t>
      </w:r>
    </w:p>
    <w:p>
      <w:pPr>
        <w:pStyle w:val="Subsection"/>
        <w:spacing w:before="120"/>
      </w:pPr>
      <w:r>
        <w:tab/>
        <w:t>(2)</w:t>
      </w:r>
      <w:r>
        <w:tab/>
        <w:t xml:space="preserve">A reference in this section to a relevant superannuation transaction is to a transfer of, or an agreement for the transfer of, dutiable property by a person (the </w:t>
      </w:r>
      <w:r>
        <w:rPr>
          <w:rStyle w:val="CharDefText"/>
          <w:snapToGrid w:val="0"/>
        </w:rPr>
        <w:t>transferor</w:t>
      </w:r>
      <w:r>
        <w:t xml:space="preserve">) to a trustee, or a custodian of a trustee, of a superannuation fund that meets the following criteria (an </w:t>
      </w:r>
      <w:r>
        <w:rPr>
          <w:rStyle w:val="CharDefText"/>
          <w:snapToGrid w:val="0"/>
        </w:rPr>
        <w:t>approved superannuation fund</w:t>
      </w:r>
      <w:r>
        <w:t xml:space="preserve">) — </w:t>
      </w:r>
    </w:p>
    <w:p>
      <w:pPr>
        <w:pStyle w:val="Indenta"/>
      </w:pPr>
      <w:r>
        <w:tab/>
        <w:t>(a)</w:t>
      </w:r>
      <w:r>
        <w:tab/>
        <w:t xml:space="preserve">either of the following apply to the superannuation fund — </w:t>
      </w:r>
    </w:p>
    <w:p>
      <w:pPr>
        <w:pStyle w:val="Indenti"/>
      </w:pPr>
      <w:r>
        <w:tab/>
        <w:t>(i)</w:t>
      </w:r>
      <w:r>
        <w:tab/>
        <w:t>only the transferor can be a member of the superannuation fund;</w:t>
      </w:r>
    </w:p>
    <w:p>
      <w:pPr>
        <w:pStyle w:val="Indenti"/>
      </w:pPr>
      <w:r>
        <w:tab/>
        <w:t>(ii)</w:t>
      </w:r>
      <w:r>
        <w:tab/>
        <w:t>property can only be held in the superannuation fund specifically for the transferor and cannot be pooled with the contributions or other assets of another member and no other member can obtain an interest in the property;</w:t>
      </w:r>
    </w:p>
    <w:p>
      <w:pPr>
        <w:pStyle w:val="Indenta"/>
        <w:keepNext/>
      </w:pPr>
      <w:r>
        <w:tab/>
        <w:t>(b)</w:t>
      </w:r>
      <w:r>
        <w:tab/>
        <w:t>property can only be held in the superannuation fund to be provided to the transferor as a retirement benefit.</w:t>
      </w:r>
    </w:p>
    <w:p>
      <w:pPr>
        <w:pStyle w:val="Subsection"/>
        <w:spacing w:before="120"/>
      </w:pPr>
      <w:r>
        <w:tab/>
        <w:t>(3)</w:t>
      </w:r>
      <w:r>
        <w:tab/>
        <w:t xml:space="preserve">In subsection (2)(a)(ii) and (b) — </w:t>
      </w:r>
    </w:p>
    <w:p>
      <w:pPr>
        <w:pStyle w:val="Defstart"/>
      </w:pPr>
      <w:r>
        <w:tab/>
      </w:r>
      <w:r>
        <w:rPr>
          <w:rStyle w:val="CharDefText"/>
        </w:rPr>
        <w:t>property</w:t>
      </w:r>
      <w:r>
        <w:t xml:space="preserve"> — </w:t>
      </w:r>
    </w:p>
    <w:p>
      <w:pPr>
        <w:pStyle w:val="Defpara"/>
      </w:pPr>
      <w:r>
        <w:tab/>
        <w:t>(a)</w:t>
      </w:r>
      <w:r>
        <w:tab/>
        <w:t xml:space="preserve">means — </w:t>
      </w:r>
    </w:p>
    <w:p>
      <w:pPr>
        <w:pStyle w:val="Indenti"/>
      </w:pPr>
      <w:r>
        <w:tab/>
        <w:t>(i)</w:t>
      </w:r>
      <w:r>
        <w:tab/>
        <w:t>dutiable property the subject of a relevant superannuation transaction; or</w:t>
      </w:r>
    </w:p>
    <w:p>
      <w:pPr>
        <w:pStyle w:val="Indenti"/>
      </w:pPr>
      <w:r>
        <w:tab/>
        <w:t>(ii)</w:t>
      </w:r>
      <w:r>
        <w:tab/>
        <w:t>if such dutiable property is sold so that the proceeds can be provided to the transferor as a retirement benefit, those proceeds;</w:t>
      </w:r>
    </w:p>
    <w:p>
      <w:pPr>
        <w:pStyle w:val="Indenta"/>
      </w:pPr>
      <w:r>
        <w:tab/>
      </w:r>
      <w:r>
        <w:tab/>
        <w:t>and</w:t>
      </w:r>
    </w:p>
    <w:p>
      <w:pPr>
        <w:pStyle w:val="Defpara"/>
      </w:pPr>
      <w:r>
        <w:tab/>
        <w:t>(b)</w:t>
      </w:r>
      <w:r>
        <w:tab/>
        <w:t>includes any net income from property referred to in paragraph (a), including income retained by a trustee of a superannuation fund while legal ownership of the property is held by a custodian of a trustee of the fund.</w:t>
      </w:r>
    </w:p>
    <w:p>
      <w:pPr>
        <w:pStyle w:val="Subsection"/>
      </w:pPr>
      <w:r>
        <w:tab/>
        <w:t>(4)</w:t>
      </w:r>
      <w:r>
        <w:tab/>
        <w:t>An application for assessment or reassessment under this section must be made in the approved form.</w:t>
      </w:r>
    </w:p>
    <w:p>
      <w:pPr>
        <w:pStyle w:val="Footnotesection"/>
      </w:pPr>
      <w:r>
        <w:tab/>
        <w:t>[Section 122 inserted: No. 15 of 2015 s. 4.]</w:t>
      </w:r>
    </w:p>
    <w:p>
      <w:pPr>
        <w:pStyle w:val="Heading5"/>
        <w:spacing w:before="180"/>
      </w:pPr>
      <w:bookmarkStart w:id="2102" w:name="_Toc104290992"/>
      <w:bookmarkStart w:id="2103" w:name="_Toc531859340"/>
      <w:r>
        <w:rPr>
          <w:rStyle w:val="CharSectno"/>
        </w:rPr>
        <w:t>123</w:t>
      </w:r>
      <w:r>
        <w:t>.</w:t>
      </w:r>
      <w:r>
        <w:tab/>
        <w:t>Subsequent liability in certain circumstances</w:t>
      </w:r>
      <w:bookmarkEnd w:id="2102"/>
      <w:bookmarkEnd w:id="2103"/>
    </w:p>
    <w:p>
      <w:pPr>
        <w:pStyle w:val="Subsection"/>
      </w:pPr>
      <w:r>
        <w:tab/>
        <w:t>(1)</w:t>
      </w:r>
      <w:r>
        <w:tab/>
        <w:t>A reference in this section to a subsequent event in relation to a superannuation fund is to an event the effect of which is that the superannuation fund ceases to be an approved superannuation fund, as defined in section 122(2).</w:t>
      </w:r>
    </w:p>
    <w:p>
      <w:pPr>
        <w:pStyle w:val="Subsection"/>
      </w:pPr>
      <w:r>
        <w:tab/>
        <w:t>(2)</w:t>
      </w:r>
      <w:r>
        <w:tab/>
        <w:t xml:space="preserve">Subsection (3) applies if, after a transaction is duty endorsed under section 122, a subsequent event takes place in relation to the superannuation fund while the dutiable property the subject of the transaction (the </w:t>
      </w:r>
      <w:r>
        <w:rPr>
          <w:rStyle w:val="CharDefText"/>
        </w:rPr>
        <w:t>original dutiable property</w:t>
      </w:r>
      <w:r>
        <w:t xml:space="preserve">), or part of it, is held — </w:t>
      </w:r>
    </w:p>
    <w:p>
      <w:pPr>
        <w:pStyle w:val="Indenta"/>
      </w:pPr>
      <w:r>
        <w:tab/>
        <w:t>(a)</w:t>
      </w:r>
      <w:r>
        <w:tab/>
        <w:t>by a custodian of a trustee of the superannuation fund; or</w:t>
      </w:r>
    </w:p>
    <w:p>
      <w:pPr>
        <w:pStyle w:val="Indenta"/>
      </w:pPr>
      <w:r>
        <w:tab/>
        <w:t>(b)</w:t>
      </w:r>
      <w:r>
        <w:tab/>
        <w:t>in the superannuation fund.</w:t>
      </w:r>
    </w:p>
    <w:p>
      <w:pPr>
        <w:pStyle w:val="Subsection"/>
      </w:pPr>
      <w:r>
        <w:tab/>
        <w:t>(3)</w:t>
      </w:r>
      <w:r>
        <w:tab/>
        <w:t>A subsequent event is taken to be a transfer of the original dutiable property and is liable to duty accordingly.</w:t>
      </w:r>
    </w:p>
    <w:p>
      <w:pPr>
        <w:pStyle w:val="Subsection"/>
      </w:pPr>
      <w:r>
        <w:tab/>
        <w:t>(4)</w:t>
      </w:r>
      <w:r>
        <w:tab/>
        <w:t>Not later than 2 months after the day on which a subsequent event takes place a trustee, or a custodian of a trustee, of the superannuation fund, as is relevant, is to lodge a transfer duty statement for the event.</w:t>
      </w:r>
    </w:p>
    <w:p>
      <w:pPr>
        <w:pStyle w:val="Penstart"/>
      </w:pPr>
      <w:r>
        <w:tab/>
        <w:t>Penalty: a fine of $20 000.</w:t>
      </w:r>
    </w:p>
    <w:p>
      <w:pPr>
        <w:pStyle w:val="Subsection"/>
      </w:pPr>
      <w:r>
        <w:tab/>
        <w:t>(5)</w:t>
      </w:r>
      <w:r>
        <w:tab/>
        <w:t>The person liable to pay the duty is a trustee, or a custodian of a trustee, of the superannuation fund, as is relevant.</w:t>
      </w:r>
    </w:p>
    <w:p>
      <w:pPr>
        <w:pStyle w:val="Footnotesection"/>
      </w:pPr>
      <w:r>
        <w:tab/>
        <w:t>[Section 123 inserted: No. 15 of 2015 s. 4.]</w:t>
      </w:r>
    </w:p>
    <w:p>
      <w:pPr>
        <w:pStyle w:val="Heading5"/>
      </w:pPr>
      <w:bookmarkStart w:id="2104" w:name="_Toc104290993"/>
      <w:bookmarkStart w:id="2105" w:name="_Toc531859341"/>
      <w:r>
        <w:rPr>
          <w:rStyle w:val="CharSectno"/>
        </w:rPr>
        <w:t>124</w:t>
      </w:r>
      <w:r>
        <w:t>.</w:t>
      </w:r>
      <w:r>
        <w:tab/>
        <w:t>Some transfers etc. of dutiable property to superannuation fund without consideration</w:t>
      </w:r>
      <w:bookmarkEnd w:id="2104"/>
      <w:bookmarkEnd w:id="2105"/>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2106" w:name="_Toc104290994"/>
      <w:bookmarkStart w:id="2107" w:name="_Toc531859342"/>
      <w:r>
        <w:rPr>
          <w:rStyle w:val="CharSectno"/>
        </w:rPr>
        <w:t>125</w:t>
      </w:r>
      <w:r>
        <w:t>.</w:t>
      </w:r>
      <w:r>
        <w:tab/>
        <w:t>Transfer from one superannuation fund to another</w:t>
      </w:r>
      <w:bookmarkEnd w:id="2106"/>
      <w:bookmarkEnd w:id="2107"/>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keepLines/>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keepNext/>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pPr>
      <w:r>
        <w:tab/>
      </w:r>
      <w:r>
        <w:tab/>
        <w:t>and for which there is no consideration.</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2108" w:name="_Toc104290995"/>
      <w:bookmarkStart w:id="2109" w:name="_Toc531859343"/>
      <w:r>
        <w:rPr>
          <w:rStyle w:val="CharSectno"/>
        </w:rPr>
        <w:t>126</w:t>
      </w:r>
      <w:r>
        <w:t>.</w:t>
      </w:r>
      <w:r>
        <w:tab/>
        <w:t>Some transfers etc. of dutiable property between trustees and custodians of superannuation funds</w:t>
      </w:r>
      <w:bookmarkEnd w:id="2108"/>
      <w:bookmarkEnd w:id="2109"/>
    </w:p>
    <w:p>
      <w:pPr>
        <w:pStyle w:val="Subsection"/>
      </w:pPr>
      <w:r>
        <w:tab/>
        <w:t>(1)</w:t>
      </w:r>
      <w:r>
        <w:tab/>
        <w:t xml:space="preserve">In this section — </w:t>
      </w:r>
    </w:p>
    <w:p>
      <w:pPr>
        <w:pStyle w:val="Defstart"/>
      </w:pPr>
      <w:r>
        <w:rPr>
          <w:b/>
        </w:rPr>
        <w:tab/>
      </w:r>
      <w:r>
        <w:rPr>
          <w:rStyle w:val="CharDefText"/>
        </w:rPr>
        <w:t>relevant entity</w:t>
      </w:r>
      <w:r>
        <w:t xml:space="preserve">, in relation to a transfer of, or an agreement for the transfer of, dutiable property, means — </w:t>
      </w:r>
    </w:p>
    <w:p>
      <w:pPr>
        <w:pStyle w:val="Defpara"/>
      </w:pPr>
      <w:r>
        <w:tab/>
        <w:t>(a)</w:t>
      </w:r>
      <w:r>
        <w:tab/>
        <w:t>a superannuation fund; or</w:t>
      </w:r>
    </w:p>
    <w:p>
      <w:pPr>
        <w:pStyle w:val="Defpara"/>
      </w:pPr>
      <w:r>
        <w:tab/>
        <w:t>(b)</w:t>
      </w:r>
      <w:r>
        <w:tab/>
        <w:t>an entity that, in the opinion of its trustee, will be a superannuation fund before the end of the period of 12 months after the day on which the property is transferred.</w:t>
      </w:r>
    </w:p>
    <w:p>
      <w:pPr>
        <w:pStyle w:val="Subsection"/>
        <w:keepNext/>
      </w:pPr>
      <w:r>
        <w:tab/>
        <w:t>(2)</w:t>
      </w:r>
      <w:r>
        <w:tab/>
        <w:t xml:space="preserve">Nominal duty is chargeable on a transfer of, or an agreement </w:t>
      </w:r>
      <w:r>
        <w:rPr>
          <w:snapToGrid w:val="0"/>
        </w:rPr>
        <w:t>for the transfer of</w:t>
      </w:r>
      <w:r>
        <w:t xml:space="preserve">, dutiable property from — </w:t>
      </w:r>
    </w:p>
    <w:p>
      <w:pPr>
        <w:pStyle w:val="Indenta"/>
      </w:pPr>
      <w:r>
        <w:tab/>
        <w:t>(a)</w:t>
      </w:r>
      <w:r>
        <w:tab/>
        <w:t>a trustee of a relevant entity to a custodian of the trustee of the relevant entity; or</w:t>
      </w:r>
    </w:p>
    <w:p>
      <w:pPr>
        <w:pStyle w:val="Indenta"/>
      </w:pPr>
      <w:r>
        <w:tab/>
        <w:t>(b)</w:t>
      </w:r>
      <w:r>
        <w:tab/>
        <w:t>a custodian of a trustee of a relevant entity to a trustee of the relevant entity; or</w:t>
      </w:r>
    </w:p>
    <w:p>
      <w:pPr>
        <w:pStyle w:val="Indenta"/>
      </w:pPr>
      <w:r>
        <w:tab/>
        <w:t>(c)</w:t>
      </w:r>
      <w:r>
        <w:tab/>
        <w:t>a custodian of a trustee of a relevant entity to another custodian of the trustee of the relevant entity,</w:t>
      </w:r>
    </w:p>
    <w:p>
      <w:pPr>
        <w:pStyle w:val="Subsection"/>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Footnotesection"/>
      </w:pPr>
      <w:r>
        <w:tab/>
        <w:t>[Section 126 amended: No. 15 of 2015 s. 5.]</w:t>
      </w:r>
    </w:p>
    <w:p>
      <w:pPr>
        <w:pStyle w:val="Heading5"/>
        <w:spacing w:before="180"/>
      </w:pPr>
      <w:bookmarkStart w:id="2110" w:name="_Toc104290996"/>
      <w:bookmarkStart w:id="2111" w:name="_Toc531859344"/>
      <w:r>
        <w:rPr>
          <w:rStyle w:val="CharSectno"/>
        </w:rPr>
        <w:t>127</w:t>
      </w:r>
      <w:r>
        <w:t>.</w:t>
      </w:r>
      <w:r>
        <w:tab/>
        <w:t>Some transfers etc. of dutiable property from superannuation fund to member, dependant or representative</w:t>
      </w:r>
      <w:bookmarkEnd w:id="2110"/>
      <w:bookmarkEnd w:id="2111"/>
    </w:p>
    <w:p>
      <w:pPr>
        <w:pStyle w:val="Subsection"/>
      </w:pPr>
      <w:r>
        <w:tab/>
        <w:t>(1)</w:t>
      </w:r>
      <w:r>
        <w:tab/>
        <w:t xml:space="preserve">In this section, each of these terms has the meaning given in the Commonwealth Act section 10(1) — </w:t>
      </w:r>
    </w:p>
    <w:p>
      <w:pPr>
        <w:pStyle w:val="Defstart"/>
      </w:pPr>
      <w:r>
        <w:tab/>
      </w:r>
      <w:r>
        <w:rPr>
          <w:rStyle w:val="CharDefText"/>
        </w:rPr>
        <w:t>dependant</w:t>
      </w:r>
    </w:p>
    <w:p>
      <w:pPr>
        <w:pStyle w:val="Defstart"/>
      </w:pPr>
      <w:r>
        <w:tab/>
      </w:r>
      <w:r>
        <w:rPr>
          <w:rStyle w:val="CharDefText"/>
        </w:rPr>
        <w:t>legal personal representative</w:t>
      </w:r>
    </w:p>
    <w:p>
      <w:pPr>
        <w:pStyle w:val="Subsection"/>
      </w:pPr>
      <w:r>
        <w:tab/>
        <w:t>(2)</w:t>
      </w:r>
      <w:r>
        <w:tab/>
        <w:t xml:space="preserve">Nominal duty is chargeable in respect of a transfer of, or an agreement for the transfer of, dutiable property from the trustee of a superannuation fund to — </w:t>
      </w:r>
    </w:p>
    <w:p>
      <w:pPr>
        <w:pStyle w:val="Indenta"/>
      </w:pPr>
      <w:r>
        <w:tab/>
        <w:t>(a)</w:t>
      </w:r>
      <w:r>
        <w:tab/>
        <w:t>a member of the fund; or</w:t>
      </w:r>
    </w:p>
    <w:p>
      <w:pPr>
        <w:pStyle w:val="Indenta"/>
      </w:pPr>
      <w:r>
        <w:tab/>
        <w:t>(b)</w:t>
      </w:r>
      <w:r>
        <w:tab/>
        <w:t>where the member has died — a dependant of, or the legal personal representative of, the member,</w:t>
      </w:r>
    </w:p>
    <w:p>
      <w:pPr>
        <w:pStyle w:val="Subsection"/>
      </w:pPr>
      <w:r>
        <w:tab/>
      </w:r>
      <w:r>
        <w:tab/>
        <w:t xml:space="preserve">if — </w:t>
      </w:r>
    </w:p>
    <w:p>
      <w:pPr>
        <w:pStyle w:val="Indenta"/>
      </w:pPr>
      <w:r>
        <w:tab/>
        <w:t>(c)</w:t>
      </w:r>
      <w:r>
        <w:tab/>
        <w:t>the member was a member of the fund when the property first became part of the fund; and</w:t>
      </w:r>
    </w:p>
    <w:p>
      <w:pPr>
        <w:pStyle w:val="Indenta"/>
      </w:pPr>
      <w:r>
        <w:tab/>
        <w:t>(d)</w:t>
      </w:r>
      <w:r>
        <w:tab/>
        <w:t>the unencumbered value of the property transferred does not exceed the value of the member’s interest in the fund; and</w:t>
      </w:r>
    </w:p>
    <w:p>
      <w:pPr>
        <w:pStyle w:val="Indenta"/>
      </w:pPr>
      <w:r>
        <w:tab/>
        <w:t>(e)</w:t>
      </w:r>
      <w:r>
        <w:tab/>
        <w:t>there is, or will be, no consideration for the transfer or agreement.</w:t>
      </w:r>
    </w:p>
    <w:p>
      <w:pPr>
        <w:pStyle w:val="Footnotesection"/>
      </w:pPr>
      <w:r>
        <w:tab/>
        <w:t>[Section 127 inserted: No. 32 of 2012 s. 8.]</w:t>
      </w:r>
    </w:p>
    <w:p>
      <w:pPr>
        <w:pStyle w:val="Heading4"/>
        <w:rPr>
          <w:sz w:val="26"/>
        </w:rPr>
      </w:pPr>
      <w:bookmarkStart w:id="2112" w:name="_Toc37946802"/>
      <w:bookmarkStart w:id="2113" w:name="_Toc37947402"/>
      <w:bookmarkStart w:id="2114" w:name="_Toc38031466"/>
      <w:bookmarkStart w:id="2115" w:name="_Toc93309975"/>
      <w:bookmarkStart w:id="2116" w:name="_Toc104290997"/>
      <w:bookmarkStart w:id="2117" w:name="_Toc530491730"/>
      <w:bookmarkStart w:id="2118" w:name="_Toc530492190"/>
      <w:bookmarkStart w:id="2119" w:name="_Toc530493200"/>
      <w:bookmarkStart w:id="2120" w:name="_Toc530556335"/>
      <w:bookmarkStart w:id="2121" w:name="_Toc531692173"/>
      <w:bookmarkStart w:id="2122" w:name="_Toc531856078"/>
      <w:bookmarkStart w:id="2123" w:name="_Toc531858806"/>
      <w:bookmarkStart w:id="2124" w:name="_Toc531859345"/>
      <w:r>
        <w:rPr>
          <w:sz w:val="26"/>
        </w:rPr>
        <w:t>Subdivision 3 — Transactions related to the break</w:t>
      </w:r>
      <w:r>
        <w:rPr>
          <w:sz w:val="26"/>
        </w:rPr>
        <w:noBreakHyphen/>
        <w:t>up of a marriage or de facto relationship</w:t>
      </w:r>
      <w:bookmarkEnd w:id="2112"/>
      <w:bookmarkEnd w:id="2113"/>
      <w:bookmarkEnd w:id="2114"/>
      <w:bookmarkEnd w:id="2115"/>
      <w:bookmarkEnd w:id="2116"/>
      <w:bookmarkEnd w:id="2117"/>
      <w:bookmarkEnd w:id="2118"/>
      <w:bookmarkEnd w:id="2119"/>
      <w:bookmarkEnd w:id="2120"/>
      <w:bookmarkEnd w:id="2121"/>
      <w:bookmarkEnd w:id="2122"/>
      <w:bookmarkEnd w:id="2123"/>
      <w:bookmarkEnd w:id="2124"/>
    </w:p>
    <w:p>
      <w:pPr>
        <w:pStyle w:val="PermNoteHeading"/>
      </w:pPr>
      <w:r>
        <w:tab/>
        <w:t>Note for this Subdivision:</w:t>
      </w:r>
    </w:p>
    <w:p>
      <w:pPr>
        <w:pStyle w:val="PermNoteText"/>
      </w:pPr>
      <w:r>
        <w:tab/>
      </w:r>
      <w:r>
        <w:tab/>
        <w:t>Section 113 provides for an exemption from duty to the extent that a dutiable transaction is effected by a matrimonial instrument or a de facto relationship instrument.</w:t>
      </w:r>
    </w:p>
    <w:p>
      <w:pPr>
        <w:pStyle w:val="Heading5"/>
      </w:pPr>
      <w:bookmarkStart w:id="2125" w:name="_Toc104290998"/>
      <w:bookmarkStart w:id="2126" w:name="_Toc531859346"/>
      <w:r>
        <w:rPr>
          <w:rStyle w:val="CharSectno"/>
        </w:rPr>
        <w:t>128</w:t>
      </w:r>
      <w:r>
        <w:t>.</w:t>
      </w:r>
      <w:r>
        <w:tab/>
        <w:t>Terms used</w:t>
      </w:r>
      <w:bookmarkEnd w:id="2125"/>
      <w:bookmarkEnd w:id="2126"/>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keepNext w:val="0"/>
        <w:keepLines w:val="0"/>
        <w:spacing w:before="180"/>
      </w:pPr>
      <w:bookmarkStart w:id="2127" w:name="_Toc104290999"/>
      <w:bookmarkStart w:id="2128" w:name="_Toc531859347"/>
      <w:r>
        <w:rPr>
          <w:rStyle w:val="CharSectno"/>
        </w:rPr>
        <w:t>129</w:t>
      </w:r>
      <w:r>
        <w:t>.</w:t>
      </w:r>
      <w:r>
        <w:tab/>
        <w:t>References to matrimonial instrument</w:t>
      </w:r>
      <w:bookmarkEnd w:id="2127"/>
      <w:bookmarkEnd w:id="2128"/>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keepNext/>
      </w:pPr>
      <w:r>
        <w:tab/>
        <w:t>(c)</w:t>
      </w:r>
      <w:r>
        <w:tab/>
        <w:t>a splitting agreement;</w:t>
      </w:r>
    </w:p>
    <w:p>
      <w:pPr>
        <w:pStyle w:val="Indenta"/>
      </w:pPr>
      <w:r>
        <w:tab/>
        <w:t>(d)</w:t>
      </w:r>
      <w:r>
        <w:tab/>
        <w:t>an order of a court under the Family Law Act.</w:t>
      </w:r>
    </w:p>
    <w:p>
      <w:pPr>
        <w:pStyle w:val="Heading5"/>
      </w:pPr>
      <w:bookmarkStart w:id="2129" w:name="_Toc104291000"/>
      <w:bookmarkStart w:id="2130" w:name="_Toc531859348"/>
      <w:r>
        <w:rPr>
          <w:rStyle w:val="CharSectno"/>
        </w:rPr>
        <w:t>130</w:t>
      </w:r>
      <w:r>
        <w:t>.</w:t>
      </w:r>
      <w:r>
        <w:tab/>
        <w:t>References to de facto relationship instrument</w:t>
      </w:r>
      <w:bookmarkEnd w:id="2129"/>
      <w:bookmarkEnd w:id="2130"/>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keepLines w:val="0"/>
      </w:pPr>
      <w:bookmarkStart w:id="2131" w:name="_Toc104291001"/>
      <w:bookmarkStart w:id="2132" w:name="_Toc531859349"/>
      <w:r>
        <w:rPr>
          <w:rStyle w:val="CharSectno"/>
        </w:rPr>
        <w:t>131</w:t>
      </w:r>
      <w:r>
        <w:t>.</w:t>
      </w:r>
      <w:r>
        <w:tab/>
        <w:t>Transactions effected by or in accordance with matrimonial instrument or de facto relationship instrument</w:t>
      </w:r>
      <w:bookmarkEnd w:id="2131"/>
      <w:bookmarkEnd w:id="2132"/>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keepNext/>
      </w:pPr>
      <w:r>
        <w:tab/>
        <w:t>(b)</w:t>
      </w:r>
      <w:r>
        <w:tab/>
        <w:t>in accordance with a matrimonial instrument referred to in section 129(b) or (c),</w:t>
      </w:r>
    </w:p>
    <w:p>
      <w:pPr>
        <w:pStyle w:val="Subsection"/>
        <w:keepNext/>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2133" w:name="_Toc104291002"/>
      <w:bookmarkStart w:id="2134" w:name="_Toc531859350"/>
      <w:r>
        <w:rPr>
          <w:rStyle w:val="CharSectno"/>
        </w:rPr>
        <w:t>132</w:t>
      </w:r>
      <w:r>
        <w:t>.</w:t>
      </w:r>
      <w:r>
        <w:tab/>
        <w:t>Transactions becoming ones to which s. 131 applies, reassessment of</w:t>
      </w:r>
      <w:bookmarkEnd w:id="2133"/>
      <w:bookmarkEnd w:id="2134"/>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2135" w:name="_Toc104291003"/>
      <w:bookmarkStart w:id="2136" w:name="_Toc531859351"/>
      <w:r>
        <w:rPr>
          <w:rStyle w:val="CharSectno"/>
        </w:rPr>
        <w:t>133</w:t>
      </w:r>
      <w:r>
        <w:t>.</w:t>
      </w:r>
      <w:r>
        <w:tab/>
        <w:t>Evidence as to marriage or de facto relationship</w:t>
      </w:r>
      <w:bookmarkEnd w:id="2135"/>
      <w:bookmarkEnd w:id="2136"/>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keepNext/>
        <w:keepLines/>
      </w:pPr>
      <w:r>
        <w:tab/>
        <w:t>(2)</w:t>
      </w:r>
      <w:r>
        <w:tab/>
        <w:t>For the purposes of this Subdivision, the Commissioner is to have regard to any statutory declaration made by a de facto partner to the de facto relationship to the effect that the relationship has ended.</w:t>
      </w:r>
    </w:p>
    <w:p>
      <w:pPr>
        <w:pStyle w:val="Heading4"/>
        <w:rPr>
          <w:sz w:val="26"/>
        </w:rPr>
      </w:pPr>
      <w:bookmarkStart w:id="2137" w:name="_Toc37946809"/>
      <w:bookmarkStart w:id="2138" w:name="_Toc37947409"/>
      <w:bookmarkStart w:id="2139" w:name="_Toc38031473"/>
      <w:bookmarkStart w:id="2140" w:name="_Toc93309982"/>
      <w:bookmarkStart w:id="2141" w:name="_Toc104291004"/>
      <w:bookmarkStart w:id="2142" w:name="_Toc530491737"/>
      <w:bookmarkStart w:id="2143" w:name="_Toc530492197"/>
      <w:bookmarkStart w:id="2144" w:name="_Toc530493207"/>
      <w:bookmarkStart w:id="2145" w:name="_Toc530556342"/>
      <w:bookmarkStart w:id="2146" w:name="_Toc531692180"/>
      <w:bookmarkStart w:id="2147" w:name="_Toc531856085"/>
      <w:bookmarkStart w:id="2148" w:name="_Toc531858813"/>
      <w:bookmarkStart w:id="2149" w:name="_Toc531859352"/>
      <w:r>
        <w:rPr>
          <w:sz w:val="26"/>
        </w:rPr>
        <w:t>Subdivision 4 — Other transactions</w:t>
      </w:r>
      <w:bookmarkEnd w:id="2137"/>
      <w:bookmarkEnd w:id="2138"/>
      <w:bookmarkEnd w:id="2139"/>
      <w:bookmarkEnd w:id="2140"/>
      <w:bookmarkEnd w:id="2141"/>
      <w:bookmarkEnd w:id="2142"/>
      <w:bookmarkEnd w:id="2143"/>
      <w:bookmarkEnd w:id="2144"/>
      <w:bookmarkEnd w:id="2145"/>
      <w:bookmarkEnd w:id="2146"/>
      <w:bookmarkEnd w:id="2147"/>
      <w:bookmarkEnd w:id="2148"/>
      <w:bookmarkEnd w:id="2149"/>
    </w:p>
    <w:p>
      <w:pPr>
        <w:pStyle w:val="Heading5"/>
      </w:pPr>
      <w:bookmarkStart w:id="2150" w:name="_Toc104291005"/>
      <w:bookmarkStart w:id="2151" w:name="_Toc531859353"/>
      <w:r>
        <w:rPr>
          <w:rStyle w:val="CharSectno"/>
        </w:rPr>
        <w:t>134</w:t>
      </w:r>
      <w:r>
        <w:t>.</w:t>
      </w:r>
      <w:r>
        <w:tab/>
        <w:t>Some transfers etc. of certain lots under planning scheme</w:t>
      </w:r>
      <w:bookmarkEnd w:id="2150"/>
      <w:bookmarkEnd w:id="2151"/>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2152" w:name="_Toc104291006"/>
      <w:bookmarkStart w:id="2153" w:name="_Toc531859354"/>
      <w:r>
        <w:rPr>
          <w:rStyle w:val="CharSectno"/>
        </w:rPr>
        <w:t>135</w:t>
      </w:r>
      <w:r>
        <w:t>.</w:t>
      </w:r>
      <w:r>
        <w:tab/>
        <w:t>Farm</w:t>
      </w:r>
      <w:r>
        <w:noBreakHyphen/>
        <w:t>in agreements</w:t>
      </w:r>
      <w:bookmarkEnd w:id="2152"/>
      <w:bookmarkEnd w:id="2153"/>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keepNext/>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2154" w:name="_Toc104291007"/>
      <w:bookmarkStart w:id="2155" w:name="_Toc531859355"/>
      <w:r>
        <w:rPr>
          <w:rStyle w:val="CharSectno"/>
        </w:rPr>
        <w:t>136</w:t>
      </w:r>
      <w:r>
        <w:t>.</w:t>
      </w:r>
      <w:r>
        <w:tab/>
        <w:t xml:space="preserve">Business licences held under </w:t>
      </w:r>
      <w:r>
        <w:rPr>
          <w:i/>
          <w:iCs/>
        </w:rPr>
        <w:t>Fish Resources Management Act 1994</w:t>
      </w:r>
      <w:bookmarkEnd w:id="2154"/>
      <w:bookmarkEnd w:id="2155"/>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2156" w:name="_Toc104291008"/>
      <w:bookmarkStart w:id="2157" w:name="_Toc531859356"/>
      <w:r>
        <w:rPr>
          <w:rStyle w:val="CharSectno"/>
        </w:rPr>
        <w:t>137</w:t>
      </w:r>
      <w:r>
        <w:t>.</w:t>
      </w:r>
      <w:r>
        <w:tab/>
        <w:t>Transfers etc. to change joint tenancy to tenancy in common etc.</w:t>
      </w:r>
      <w:bookmarkEnd w:id="2156"/>
      <w:bookmarkEnd w:id="2157"/>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2158" w:name="_Toc104291009"/>
      <w:bookmarkStart w:id="2159" w:name="_Toc531859357"/>
      <w:r>
        <w:rPr>
          <w:rStyle w:val="CharSectno"/>
        </w:rPr>
        <w:t>138</w:t>
      </w:r>
      <w:r>
        <w:t>.</w:t>
      </w:r>
      <w:r>
        <w:tab/>
        <w:t>Transactions to correct clerical errors in previous dutiable transactions</w:t>
      </w:r>
      <w:bookmarkEnd w:id="2158"/>
      <w:bookmarkEnd w:id="2159"/>
    </w:p>
    <w:p>
      <w:pPr>
        <w:pStyle w:val="Subsection"/>
      </w:pPr>
      <w:r>
        <w:tab/>
        <w:t>(1)</w:t>
      </w:r>
      <w:r>
        <w:tab/>
        <w:t xml:space="preserve">Nominal duty is chargeable on a dutiable transaction to correct a clerical error in a previous dutiable transaction about the same or other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Footnotesection"/>
        <w:ind w:left="890" w:hanging="890"/>
      </w:pPr>
      <w:r>
        <w:tab/>
        <w:t>[Section 138 amended: No. 32 of 2012 s. 9.]</w:t>
      </w:r>
    </w:p>
    <w:p>
      <w:pPr>
        <w:pStyle w:val="Heading5"/>
        <w:spacing w:before="240"/>
      </w:pPr>
      <w:bookmarkStart w:id="2160" w:name="_Toc104291010"/>
      <w:bookmarkStart w:id="2161" w:name="_Toc531859358"/>
      <w:r>
        <w:rPr>
          <w:rStyle w:val="CharSectno"/>
        </w:rPr>
        <w:t>139</w:t>
      </w:r>
      <w:r>
        <w:t>.</w:t>
      </w:r>
      <w:r>
        <w:tab/>
        <w:t>Some transactions involving deceased estates</w:t>
      </w:r>
      <w:bookmarkEnd w:id="2160"/>
      <w:bookmarkEnd w:id="2161"/>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rPr>
        <w:t>Family Provision Act 1972</w:t>
      </w:r>
      <w:r>
        <w:t>; or</w:t>
      </w:r>
    </w:p>
    <w:p>
      <w:pPr>
        <w:pStyle w:val="Indenti"/>
        <w:keepNext/>
      </w:pPr>
      <w:r>
        <w:tab/>
        <w:t>(ii)</w:t>
      </w:r>
      <w:r>
        <w:tab/>
        <w:t xml:space="preserve">under the </w:t>
      </w:r>
      <w:r>
        <w:rPr>
          <w:i/>
        </w:rPr>
        <w:t>Trustees Act 1962</w:t>
      </w:r>
      <w:r>
        <w:t xml:space="preserve"> section 65 on an application under the </w:t>
      </w:r>
      <w:r>
        <w:rPr>
          <w:i/>
        </w:rPr>
        <w:t>Family Provision Act 1972</w:t>
      </w:r>
      <w:del w:id="2162" w:author="Master Repository Process" w:date="2022-05-27T14:27:00Z">
        <w:r>
          <w:delText>.</w:delText>
        </w:r>
      </w:del>
      <w:ins w:id="2163" w:author="Master Repository Process" w:date="2022-05-27T14:27:00Z">
        <w:r>
          <w:t>;</w:t>
        </w:r>
      </w:ins>
    </w:p>
    <w:p>
      <w:pPr>
        <w:pStyle w:val="Indenta"/>
        <w:rPr>
          <w:ins w:id="2164" w:author="Master Repository Process" w:date="2022-05-27T14:27:00Z"/>
        </w:rPr>
      </w:pPr>
      <w:ins w:id="2165" w:author="Master Repository Process" w:date="2022-05-27T14:27:00Z">
        <w:r>
          <w:tab/>
          <w:t>(d)</w:t>
        </w:r>
        <w:r>
          <w:tab/>
          <w:t xml:space="preserve">a partnership acquisition, to the extent that — </w:t>
        </w:r>
      </w:ins>
    </w:p>
    <w:p>
      <w:pPr>
        <w:pStyle w:val="Indenti"/>
        <w:rPr>
          <w:ins w:id="2166" w:author="Master Repository Process" w:date="2022-05-27T14:27:00Z"/>
        </w:rPr>
      </w:pPr>
      <w:ins w:id="2167" w:author="Master Repository Process" w:date="2022-05-27T14:27:00Z">
        <w:r>
          <w:tab/>
          <w:t>(i)</w:t>
        </w:r>
        <w:r>
          <w:tab/>
          <w:t>the partnership acquisition gives effect to a distribution in the estate of a deceased person; and</w:t>
        </w:r>
      </w:ins>
    </w:p>
    <w:p>
      <w:pPr>
        <w:pStyle w:val="Indenti"/>
        <w:rPr>
          <w:ins w:id="2168" w:author="Master Repository Process" w:date="2022-05-27T14:27:00Z"/>
        </w:rPr>
      </w:pPr>
      <w:ins w:id="2169" w:author="Master Repository Process" w:date="2022-05-27T14:27:00Z">
        <w:r>
          <w:tab/>
          <w:t>(ii)</w:t>
        </w:r>
        <w:r>
          <w:tab/>
          <w:t>there is no consideration for the partnership acquisition.</w:t>
        </w:r>
      </w:ins>
    </w:p>
    <w:p>
      <w:pPr>
        <w:pStyle w:val="Footnotesection"/>
        <w:rPr>
          <w:ins w:id="2170" w:author="Master Repository Process" w:date="2022-05-27T14:27:00Z"/>
        </w:rPr>
      </w:pPr>
      <w:r>
        <w:tab/>
        <w:t>[Section 139 amended: No. 48 of 2011 s. </w:t>
      </w:r>
      <w:del w:id="2171" w:author="Master Repository Process" w:date="2022-05-27T14:27:00Z">
        <w:r>
          <w:delText>15</w:delText>
        </w:r>
      </w:del>
      <w:ins w:id="2172" w:author="Master Repository Process" w:date="2022-05-27T14:27:00Z">
        <w:r>
          <w:t>15; No. 12 of 2019 s. 47.]</w:t>
        </w:r>
      </w:ins>
    </w:p>
    <w:p>
      <w:pPr>
        <w:pStyle w:val="Heading5"/>
        <w:rPr>
          <w:ins w:id="2173" w:author="Master Repository Process" w:date="2022-05-27T14:27:00Z"/>
        </w:rPr>
      </w:pPr>
      <w:bookmarkStart w:id="2174" w:name="_Toc104291011"/>
      <w:ins w:id="2175" w:author="Master Repository Process" w:date="2022-05-27T14:27:00Z">
        <w:r>
          <w:rPr>
            <w:rStyle w:val="CharSectno"/>
          </w:rPr>
          <w:t>139A</w:t>
        </w:r>
        <w:r>
          <w:t>.</w:t>
        </w:r>
        <w:r>
          <w:tab/>
          <w:t xml:space="preserve">Some transfers and vestings under orders made under </w:t>
        </w:r>
        <w:r>
          <w:rPr>
            <w:i/>
          </w:rPr>
          <w:t>Guardianship and Administration Act 1990</w:t>
        </w:r>
        <w:bookmarkEnd w:id="2174"/>
      </w:ins>
    </w:p>
    <w:p>
      <w:pPr>
        <w:pStyle w:val="Subsection"/>
        <w:rPr>
          <w:ins w:id="2176" w:author="Master Repository Process" w:date="2022-05-27T14:27:00Z"/>
        </w:rPr>
      </w:pPr>
      <w:ins w:id="2177" w:author="Master Repository Process" w:date="2022-05-27T14:27:00Z">
        <w:r>
          <w:tab/>
          <w:t>(1)</w:t>
        </w:r>
        <w:r>
          <w:tab/>
          <w:t xml:space="preserve">In this section — </w:t>
        </w:r>
      </w:ins>
    </w:p>
    <w:p>
      <w:pPr>
        <w:pStyle w:val="Defstart"/>
        <w:rPr>
          <w:ins w:id="2178" w:author="Master Repository Process" w:date="2022-05-27T14:27:00Z"/>
        </w:rPr>
      </w:pPr>
      <w:ins w:id="2179" w:author="Master Repository Process" w:date="2022-05-27T14:27:00Z">
        <w:r>
          <w:tab/>
        </w:r>
        <w:r>
          <w:rPr>
            <w:rStyle w:val="CharDefText"/>
          </w:rPr>
          <w:t>administration order</w:t>
        </w:r>
        <w:r>
          <w:t xml:space="preserve"> means — </w:t>
        </w:r>
      </w:ins>
    </w:p>
    <w:p>
      <w:pPr>
        <w:pStyle w:val="Defpara"/>
        <w:rPr>
          <w:ins w:id="2180" w:author="Master Repository Process" w:date="2022-05-27T14:27:00Z"/>
        </w:rPr>
      </w:pPr>
      <w:ins w:id="2181" w:author="Master Repository Process" w:date="2022-05-27T14:27:00Z">
        <w:r>
          <w:tab/>
          <w:t>(a)</w:t>
        </w:r>
        <w:r>
          <w:tab/>
          <w:t xml:space="preserve">an administration order (as defined in the </w:t>
        </w:r>
        <w:r>
          <w:rPr>
            <w:i/>
          </w:rPr>
          <w:t>Guardianship and Administration Act 1990</w:t>
        </w:r>
        <w:r>
          <w:t xml:space="preserve"> section 3(1)); or</w:t>
        </w:r>
      </w:ins>
    </w:p>
    <w:p>
      <w:pPr>
        <w:pStyle w:val="Defpara"/>
        <w:rPr>
          <w:ins w:id="2182" w:author="Master Repository Process" w:date="2022-05-27T14:27:00Z"/>
        </w:rPr>
      </w:pPr>
      <w:ins w:id="2183" w:author="Master Repository Process" w:date="2022-05-27T14:27:00Z">
        <w:r>
          <w:tab/>
          <w:t>(b)</w:t>
        </w:r>
        <w:r>
          <w:tab/>
          <w:t xml:space="preserve">an order or instrument referred to in paragraph (b) or (c) of the definition of </w:t>
        </w:r>
        <w:r>
          <w:rPr>
            <w:rStyle w:val="CharDefText"/>
          </w:rPr>
          <w:t>administrator</w:t>
        </w:r>
        <w:r>
          <w:t xml:space="preserve"> in this subsection;</w:t>
        </w:r>
      </w:ins>
    </w:p>
    <w:p>
      <w:pPr>
        <w:pStyle w:val="Defstart"/>
        <w:rPr>
          <w:ins w:id="2184" w:author="Master Repository Process" w:date="2022-05-27T14:27:00Z"/>
        </w:rPr>
      </w:pPr>
      <w:ins w:id="2185" w:author="Master Repository Process" w:date="2022-05-27T14:27:00Z">
        <w:r>
          <w:tab/>
        </w:r>
        <w:r>
          <w:rPr>
            <w:rStyle w:val="CharDefText"/>
          </w:rPr>
          <w:t>administrator</w:t>
        </w:r>
        <w:r>
          <w:t xml:space="preserve"> means — </w:t>
        </w:r>
      </w:ins>
    </w:p>
    <w:p>
      <w:pPr>
        <w:pStyle w:val="Defpara"/>
        <w:rPr>
          <w:ins w:id="2186" w:author="Master Repository Process" w:date="2022-05-27T14:27:00Z"/>
        </w:rPr>
      </w:pPr>
      <w:ins w:id="2187" w:author="Master Repository Process" w:date="2022-05-27T14:27:00Z">
        <w:r>
          <w:tab/>
          <w:t>(a)</w:t>
        </w:r>
        <w:r>
          <w:tab/>
          <w:t xml:space="preserve">an administrator (as defined in the </w:t>
        </w:r>
        <w:r>
          <w:rPr>
            <w:i/>
          </w:rPr>
          <w:t>Guardianship and Administration Act 1990</w:t>
        </w:r>
        <w:r>
          <w:t xml:space="preserve"> section 3(1)); or</w:t>
        </w:r>
      </w:ins>
    </w:p>
    <w:p>
      <w:pPr>
        <w:pStyle w:val="Defpara"/>
        <w:rPr>
          <w:ins w:id="2188" w:author="Master Repository Process" w:date="2022-05-27T14:27:00Z"/>
        </w:rPr>
      </w:pPr>
      <w:ins w:id="2189" w:author="Master Repository Process" w:date="2022-05-27T14:27:00Z">
        <w:r>
          <w:tab/>
          <w:t>(b)</w:t>
        </w:r>
        <w:r>
          <w:tab/>
          <w:t xml:space="preserve">a person acting under the authority of an order made under the </w:t>
        </w:r>
        <w:r>
          <w:rPr>
            <w:i/>
          </w:rPr>
          <w:t>Guardianship and Administration Act 1990</w:t>
        </w:r>
        <w:r>
          <w:t xml:space="preserve"> section 66; or</w:t>
        </w:r>
      </w:ins>
    </w:p>
    <w:p>
      <w:pPr>
        <w:pStyle w:val="Defpara"/>
        <w:rPr>
          <w:ins w:id="2190" w:author="Master Repository Process" w:date="2022-05-27T14:27:00Z"/>
        </w:rPr>
      </w:pPr>
      <w:ins w:id="2191" w:author="Master Repository Process" w:date="2022-05-27T14:27:00Z">
        <w:r>
          <w:tab/>
          <w:t>(c)</w:t>
        </w:r>
        <w:r>
          <w:tab/>
          <w:t xml:space="preserve">the Public Trustee acting under the authority of an instrument referred to in the </w:t>
        </w:r>
        <w:r>
          <w:rPr>
            <w:i/>
          </w:rPr>
          <w:t>Guardianship and Administration Act 1990</w:t>
        </w:r>
        <w:r>
          <w:t xml:space="preserve"> section 83B.</w:t>
        </w:r>
      </w:ins>
    </w:p>
    <w:p>
      <w:pPr>
        <w:pStyle w:val="Subsection"/>
        <w:rPr>
          <w:ins w:id="2192" w:author="Master Repository Process" w:date="2022-05-27T14:27:00Z"/>
        </w:rPr>
      </w:pPr>
      <w:ins w:id="2193" w:author="Master Repository Process" w:date="2022-05-27T14:27:00Z">
        <w:r>
          <w:tab/>
          <w:t>(2)</w:t>
        </w:r>
        <w:r>
          <w:tab/>
          <w:t xml:space="preserve">Nominal duty applies to a dutiable transaction that is — </w:t>
        </w:r>
      </w:ins>
    </w:p>
    <w:p>
      <w:pPr>
        <w:pStyle w:val="Indenta"/>
        <w:rPr>
          <w:ins w:id="2194" w:author="Master Repository Process" w:date="2022-05-27T14:27:00Z"/>
        </w:rPr>
      </w:pPr>
      <w:ins w:id="2195" w:author="Master Repository Process" w:date="2022-05-27T14:27:00Z">
        <w:r>
          <w:tab/>
          <w:t>(a)</w:t>
        </w:r>
        <w:r>
          <w:tab/>
          <w:t xml:space="preserve">a transfer to an administrator of dutiable property of the person to whom the administration order relates (the </w:t>
        </w:r>
        <w:r>
          <w:rPr>
            <w:rStyle w:val="CharDefText"/>
          </w:rPr>
          <w:t>represented person</w:t>
        </w:r>
        <w:r>
          <w:t>) made under the authority of the administration order; or</w:t>
        </w:r>
      </w:ins>
    </w:p>
    <w:p>
      <w:pPr>
        <w:pStyle w:val="Indenta"/>
        <w:rPr>
          <w:ins w:id="2196" w:author="Master Repository Process" w:date="2022-05-27T14:27:00Z"/>
        </w:rPr>
      </w:pPr>
      <w:ins w:id="2197" w:author="Master Repository Process" w:date="2022-05-27T14:27:00Z">
        <w:r>
          <w:tab/>
          <w:t>(b)</w:t>
        </w:r>
        <w:r>
          <w:tab/>
          <w:t xml:space="preserve">a vesting in an administrator of dutiable property of a person to whom the administration order relates (the </w:t>
        </w:r>
        <w:r>
          <w:rPr>
            <w:rStyle w:val="CharDefText"/>
          </w:rPr>
          <w:t>represented person</w:t>
        </w:r>
        <w:r>
          <w:t xml:space="preserve">) by, or as a consequence of, an order of the State Administrative Tribunal under the </w:t>
        </w:r>
        <w:r>
          <w:rPr>
            <w:i/>
          </w:rPr>
          <w:t>Guardianship and Administration Act 1990</w:t>
        </w:r>
        <w:r>
          <w:t>.</w:t>
        </w:r>
      </w:ins>
    </w:p>
    <w:p>
      <w:pPr>
        <w:pStyle w:val="Subsection"/>
        <w:rPr>
          <w:ins w:id="2198" w:author="Master Repository Process" w:date="2022-05-27T14:27:00Z"/>
        </w:rPr>
      </w:pPr>
      <w:ins w:id="2199" w:author="Master Repository Process" w:date="2022-05-27T14:27:00Z">
        <w:r>
          <w:tab/>
          <w:t>(3)</w:t>
        </w:r>
        <w:r>
          <w:tab/>
          <w:t xml:space="preserve">If nominal duty is chargeable on a transfer or vesting of dutiable property under subsection (2), nominal duty is also chargeable on — </w:t>
        </w:r>
      </w:ins>
    </w:p>
    <w:p>
      <w:pPr>
        <w:pStyle w:val="Indenta"/>
        <w:rPr>
          <w:ins w:id="2200" w:author="Master Repository Process" w:date="2022-05-27T14:27:00Z"/>
        </w:rPr>
      </w:pPr>
      <w:ins w:id="2201" w:author="Master Repository Process" w:date="2022-05-27T14:27:00Z">
        <w:r>
          <w:tab/>
          <w:t>(a)</w:t>
        </w:r>
        <w:r>
          <w:tab/>
          <w:t>any transfer of the dutiable property back from an administrator to the represented person; or</w:t>
        </w:r>
      </w:ins>
    </w:p>
    <w:p>
      <w:pPr>
        <w:pStyle w:val="Indenta"/>
        <w:rPr>
          <w:ins w:id="2202" w:author="Master Repository Process" w:date="2022-05-27T14:27:00Z"/>
        </w:rPr>
      </w:pPr>
      <w:ins w:id="2203" w:author="Master Repository Process" w:date="2022-05-27T14:27:00Z">
        <w:r>
          <w:tab/>
          <w:t>(b)</w:t>
        </w:r>
        <w:r>
          <w:tab/>
          <w:t xml:space="preserve">any subsequent vesting in the represented person of the dutiable property by, or as a consequence of, an order of the State Administrative Tribunal under the </w:t>
        </w:r>
        <w:r>
          <w:rPr>
            <w:i/>
          </w:rPr>
          <w:t>Guardianship and Administration Act 1990</w:t>
        </w:r>
        <w:r>
          <w:t>.</w:t>
        </w:r>
      </w:ins>
    </w:p>
    <w:p>
      <w:pPr>
        <w:pStyle w:val="Footnotesection"/>
      </w:pPr>
      <w:ins w:id="2204" w:author="Master Repository Process" w:date="2022-05-27T14:27:00Z">
        <w:r>
          <w:tab/>
          <w:t>[Section 139A inserted: No. 12 of 2019 s. 48</w:t>
        </w:r>
      </w:ins>
      <w:r>
        <w:t>.]</w:t>
      </w:r>
    </w:p>
    <w:p>
      <w:pPr>
        <w:pStyle w:val="Heading5"/>
        <w:spacing w:before="240"/>
      </w:pPr>
      <w:bookmarkStart w:id="2205" w:name="_Toc104291012"/>
      <w:bookmarkStart w:id="2206" w:name="_Toc531859359"/>
      <w:r>
        <w:rPr>
          <w:rStyle w:val="CharSectno"/>
        </w:rPr>
        <w:t>140</w:t>
      </w:r>
      <w:r>
        <w:t>.</w:t>
      </w:r>
      <w:r>
        <w:tab/>
        <w:t>Prescribed dutiable transactions</w:t>
      </w:r>
      <w:bookmarkEnd w:id="2205"/>
      <w:bookmarkEnd w:id="2206"/>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2207" w:name="_Toc37946818"/>
      <w:bookmarkStart w:id="2208" w:name="_Toc37947418"/>
      <w:bookmarkStart w:id="2209" w:name="_Toc38031482"/>
      <w:bookmarkStart w:id="2210" w:name="_Toc93309991"/>
      <w:bookmarkStart w:id="2211" w:name="_Toc104291013"/>
      <w:bookmarkStart w:id="2212" w:name="_Toc530491745"/>
      <w:bookmarkStart w:id="2213" w:name="_Toc530492205"/>
      <w:bookmarkStart w:id="2214" w:name="_Toc530493215"/>
      <w:bookmarkStart w:id="2215" w:name="_Toc530556350"/>
      <w:bookmarkStart w:id="2216" w:name="_Toc531692188"/>
      <w:bookmarkStart w:id="2217" w:name="_Toc531856093"/>
      <w:bookmarkStart w:id="2218" w:name="_Toc531858821"/>
      <w:bookmarkStart w:id="2219" w:name="_Toc531859360"/>
      <w:r>
        <w:rPr>
          <w:sz w:val="26"/>
        </w:rPr>
        <w:t>Division 3 — First home owner concessions</w:t>
      </w:r>
      <w:bookmarkEnd w:id="2207"/>
      <w:bookmarkEnd w:id="2208"/>
      <w:bookmarkEnd w:id="2209"/>
      <w:bookmarkEnd w:id="2210"/>
      <w:bookmarkEnd w:id="2211"/>
      <w:bookmarkEnd w:id="2212"/>
      <w:bookmarkEnd w:id="2213"/>
      <w:bookmarkEnd w:id="2214"/>
      <w:bookmarkEnd w:id="2215"/>
      <w:bookmarkEnd w:id="2216"/>
      <w:bookmarkEnd w:id="2217"/>
      <w:bookmarkEnd w:id="2218"/>
      <w:bookmarkEnd w:id="2219"/>
    </w:p>
    <w:p>
      <w:pPr>
        <w:pStyle w:val="Heading5"/>
      </w:pPr>
      <w:bookmarkStart w:id="2220" w:name="_Toc104291014"/>
      <w:bookmarkStart w:id="2221" w:name="_Toc531859361"/>
      <w:r>
        <w:rPr>
          <w:rStyle w:val="CharSectno"/>
        </w:rPr>
        <w:t>141</w:t>
      </w:r>
      <w:r>
        <w:t>.</w:t>
      </w:r>
      <w:r>
        <w:tab/>
        <w:t>Terms used</w:t>
      </w:r>
      <w:bookmarkEnd w:id="2220"/>
      <w:bookmarkEnd w:id="2221"/>
    </w:p>
    <w:p>
      <w:pPr>
        <w:pStyle w:val="Subsection"/>
      </w:pPr>
      <w:r>
        <w:tab/>
        <w:t>(1)</w:t>
      </w:r>
      <w:r>
        <w:tab/>
        <w:t>In this Division —</w:t>
      </w:r>
    </w:p>
    <w:p>
      <w:pPr>
        <w:pStyle w:val="Defstart"/>
      </w:pPr>
      <w:r>
        <w:tab/>
      </w:r>
      <w:r>
        <w:rPr>
          <w:rStyle w:val="CharDefText"/>
        </w:rPr>
        <w:t>concessional first home owner</w:t>
      </w:r>
      <w:r>
        <w:t xml:space="preserve"> has the meaning given in section 142A;</w:t>
      </w:r>
    </w:p>
    <w:p>
      <w:pPr>
        <w:pStyle w:val="Defstart"/>
      </w:pPr>
      <w:r>
        <w:tab/>
      </w:r>
      <w:r>
        <w:rPr>
          <w:rStyle w:val="CharDefText"/>
        </w:rPr>
        <w:t>deposit</w:t>
      </w:r>
      <w:r>
        <w:t>, in relation to a terms contract, includes any part of the purchase price which the contract specifies as being a deposit and provides is to be paid, whether in one or more payments, within 28 days of the execution of the contract;</w:t>
      </w:r>
    </w:p>
    <w:p>
      <w:pPr>
        <w:pStyle w:val="Defstart"/>
      </w:pPr>
      <w:r>
        <w:rPr>
          <w:b/>
        </w:rPr>
        <w:tab/>
      </w:r>
      <w:r>
        <w:rPr>
          <w:rStyle w:val="CharDefText"/>
        </w:rPr>
        <w:t>FHOG Act</w:t>
      </w:r>
      <w:r>
        <w:t xml:space="preserve"> means the </w:t>
      </w:r>
      <w:r>
        <w:rPr>
          <w:i/>
          <w:iCs/>
        </w:rPr>
        <w:t>First Home Owner Grant Act 2000</w:t>
      </w:r>
      <w:r>
        <w:t>;</w:t>
      </w:r>
    </w:p>
    <w:p>
      <w:pPr>
        <w:pStyle w:val="Defstart"/>
      </w:pPr>
      <w:r>
        <w:tab/>
      </w:r>
      <w:r>
        <w:rPr>
          <w:rStyle w:val="CharDefText"/>
        </w:rPr>
        <w:t>first concessional transaction</w:t>
      </w:r>
      <w:r>
        <w:t xml:space="preserve"> has the meaning given in section 142(2);</w:t>
      </w:r>
    </w:p>
    <w:p>
      <w:pPr>
        <w:pStyle w:val="Defstart"/>
      </w:pPr>
      <w:r>
        <w:tab/>
      </w:r>
      <w:r>
        <w:rPr>
          <w:rStyle w:val="CharDefText"/>
        </w:rPr>
        <w:t>first home owner concessional rate</w:t>
      </w:r>
      <w:r>
        <w:t xml:space="preserve"> of duty means the concessional rate of duty applicable under section 143;</w:t>
      </w:r>
    </w:p>
    <w:p>
      <w:pPr>
        <w:pStyle w:val="Defstart"/>
      </w:pPr>
      <w:r>
        <w:tab/>
      </w:r>
      <w:r>
        <w:rPr>
          <w:rStyle w:val="CharDefText"/>
        </w:rPr>
        <w:t>first home owner concessional transaction</w:t>
      </w:r>
      <w:r>
        <w:t xml:space="preserve"> has the meaning given in section 142(1);</w:t>
      </w:r>
    </w:p>
    <w:p>
      <w:pPr>
        <w:pStyle w:val="Defstart"/>
      </w:pPr>
      <w:r>
        <w:rPr>
          <w:b/>
        </w:rPr>
        <w:tab/>
      </w:r>
      <w:r>
        <w:rPr>
          <w:rStyle w:val="CharDefText"/>
        </w:rPr>
        <w:t>further concessional transaction</w:t>
      </w:r>
      <w:r>
        <w:t xml:space="preserve"> has the meaning given in section 142(2);</w:t>
      </w:r>
    </w:p>
    <w:p>
      <w:pPr>
        <w:pStyle w:val="Defstart"/>
      </w:pPr>
      <w:r>
        <w:tab/>
      </w:r>
      <w:r>
        <w:rPr>
          <w:rStyle w:val="CharDefText"/>
        </w:rPr>
        <w:t>terms contract</w:t>
      </w:r>
      <w:r>
        <w:t xml:space="preserve"> means a contract for the sale and purchase of land under which the purchaser is obliged to make 2 or more payments to the vendor (over and above any deposit) before the purchaser is entitled to a conveyance or transfer of the land;</w:t>
      </w:r>
    </w:p>
    <w:p>
      <w:pPr>
        <w:pStyle w:val="Defstart"/>
      </w:pPr>
      <w:r>
        <w:tab/>
      </w:r>
      <w:r>
        <w:rPr>
          <w:rStyle w:val="CharDefText"/>
        </w:rPr>
        <w:t>transferee</w:t>
      </w:r>
      <w:r>
        <w:t>, in respect</w:t>
      </w:r>
      <w:r>
        <w:rPr>
          <w:bCs/>
        </w:rPr>
        <w:t xml:space="preserve">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Subsection"/>
        <w:rPr>
          <w:ins w:id="2222" w:author="Master Repository Process" w:date="2022-05-27T14:27:00Z"/>
        </w:rPr>
      </w:pPr>
      <w:ins w:id="2223" w:author="Master Repository Process" w:date="2022-05-27T14:27:00Z">
        <w:r>
          <w:tab/>
          <w:t>(3)</w:t>
        </w:r>
        <w:r>
          <w:tab/>
          <w:t xml:space="preserve">For the purposes of this Division, a person is a </w:t>
        </w:r>
        <w:r>
          <w:rPr>
            <w:rStyle w:val="CharDefText"/>
          </w:rPr>
          <w:t>substituted transferee</w:t>
        </w:r>
        <w:r>
          <w:t xml:space="preserve"> in relation to a dutiable transaction if — </w:t>
        </w:r>
      </w:ins>
    </w:p>
    <w:p>
      <w:pPr>
        <w:pStyle w:val="Indenta"/>
        <w:rPr>
          <w:ins w:id="2224" w:author="Master Repository Process" w:date="2022-05-27T14:27:00Z"/>
        </w:rPr>
      </w:pPr>
      <w:ins w:id="2225" w:author="Master Repository Process" w:date="2022-05-27T14:27:00Z">
        <w:r>
          <w:tab/>
          <w:t>(a)</w:t>
        </w:r>
        <w:r>
          <w:tab/>
          <w:t>the dutiable transaction is an agreement for the transfer of dutiable property referred to in section 11(1)(b); and</w:t>
        </w:r>
      </w:ins>
    </w:p>
    <w:p>
      <w:pPr>
        <w:pStyle w:val="Indenta"/>
        <w:rPr>
          <w:ins w:id="2226" w:author="Master Repository Process" w:date="2022-05-27T14:27:00Z"/>
        </w:rPr>
      </w:pPr>
      <w:ins w:id="2227" w:author="Master Repository Process" w:date="2022-05-27T14:27:00Z">
        <w:r>
          <w:tab/>
          <w:t>(b)</w:t>
        </w:r>
        <w:r>
          <w:tab/>
          <w:t>due to the operation of section 42(2) or (4), duty is not chargeable on the transfer to the person of the dutiable property under the agreement.</w:t>
        </w:r>
      </w:ins>
    </w:p>
    <w:p>
      <w:pPr>
        <w:pStyle w:val="Footnotesection"/>
      </w:pPr>
      <w:r>
        <w:tab/>
        <w:t>[Section 141 amended: No. 27 of 2015 s. </w:t>
      </w:r>
      <w:del w:id="2228" w:author="Master Repository Process" w:date="2022-05-27T14:27:00Z">
        <w:r>
          <w:delText>9</w:delText>
        </w:r>
      </w:del>
      <w:ins w:id="2229" w:author="Master Repository Process" w:date="2022-05-27T14:27:00Z">
        <w:r>
          <w:t>9; No. 12 of 2019 s. 49</w:t>
        </w:r>
      </w:ins>
      <w:r>
        <w:t>.]</w:t>
      </w:r>
    </w:p>
    <w:p>
      <w:pPr>
        <w:pStyle w:val="Heading5"/>
        <w:spacing w:before="240"/>
        <w:rPr>
          <w:b w:val="0"/>
        </w:rPr>
      </w:pPr>
      <w:bookmarkStart w:id="2230" w:name="_Toc104291015"/>
      <w:bookmarkStart w:id="2231" w:name="_Toc531859362"/>
      <w:r>
        <w:rPr>
          <w:rStyle w:val="CharSectno"/>
        </w:rPr>
        <w:t>142A</w:t>
      </w:r>
      <w:r>
        <w:t>.</w:t>
      </w:r>
      <w:r>
        <w:tab/>
        <w:t>Concessional first home owners</w:t>
      </w:r>
      <w:bookmarkEnd w:id="2230"/>
      <w:bookmarkEnd w:id="2231"/>
    </w:p>
    <w:p>
      <w:pPr>
        <w:pStyle w:val="Subsection"/>
      </w:pPr>
      <w:r>
        <w:tab/>
        <w:t>(1)</w:t>
      </w:r>
      <w:r>
        <w:tab/>
        <w:t xml:space="preserve">A reference in this Division to a concessional first home owner, in relation to the transfer of, or an agreement for the transfer of, dutiable property means — </w:t>
      </w:r>
    </w:p>
    <w:p>
      <w:pPr>
        <w:pStyle w:val="Indenta"/>
      </w:pPr>
      <w:r>
        <w:tab/>
        <w:t>(a)</w:t>
      </w:r>
      <w:r>
        <w:tab/>
        <w:t>a transferee who is paid a first home owner grant in relation to the property or to whom a first home owner grant is or will be payable in relation to the property; or</w:t>
      </w:r>
    </w:p>
    <w:p>
      <w:pPr>
        <w:pStyle w:val="Indenta"/>
      </w:pPr>
      <w:r>
        <w:tab/>
        <w:t>(b)</w:t>
      </w:r>
      <w:r>
        <w:tab/>
        <w:t>a transferee to whom a first home owner grant would be, or would have been, payable in relation to the property had the requirements of either, or both, of the paragraphs of subsection (2) applied.</w:t>
      </w:r>
    </w:p>
    <w:p>
      <w:pPr>
        <w:pStyle w:val="Subsection"/>
      </w:pPr>
      <w:r>
        <w:tab/>
        <w:t>(2)</w:t>
      </w:r>
      <w:r>
        <w:tab/>
        <w:t xml:space="preserve">The requirements are — </w:t>
      </w:r>
    </w:p>
    <w:p>
      <w:pPr>
        <w:pStyle w:val="Indenta"/>
      </w:pPr>
      <w:r>
        <w:tab/>
        <w:t>(a)</w:t>
      </w:r>
      <w:r>
        <w:tab/>
        <w:t>consideration had been given for the transfer of the property;</w:t>
      </w:r>
    </w:p>
    <w:p>
      <w:pPr>
        <w:pStyle w:val="Indenta"/>
      </w:pPr>
      <w:r>
        <w:tab/>
        <w:t>(b)</w:t>
      </w:r>
      <w:r>
        <w:tab/>
        <w:t>if the transaction is a contract for the purchase of an established home, the transaction would be, or would have been, an eligible transaction but for the FHOG Act section 14(5A).</w:t>
      </w:r>
    </w:p>
    <w:p>
      <w:pPr>
        <w:pStyle w:val="Subsection"/>
      </w:pPr>
      <w:r>
        <w:tab/>
        <w:t>(3)</w:t>
      </w:r>
      <w:r>
        <w:tab/>
        <w:t xml:space="preserve">If a transaction described in subsection (2)(b) is a terms contract then, for the purposes of this section — </w:t>
      </w:r>
    </w:p>
    <w:p>
      <w:pPr>
        <w:pStyle w:val="Indenta"/>
      </w:pPr>
      <w:r>
        <w:tab/>
        <w:t>(a)</w:t>
      </w:r>
      <w:r>
        <w:tab/>
        <w:t>the interest in the property of the transferee as purchaser under the contract is to be taken to be a relevant interest, unless the interest does not conform with the FHOG Act section 6(2); and</w:t>
      </w:r>
    </w:p>
    <w:p>
      <w:pPr>
        <w:pStyle w:val="Indenta"/>
      </w:pPr>
      <w:r>
        <w:tab/>
        <w:t>(b)</w:t>
      </w:r>
      <w:r>
        <w:tab/>
        <w:t>the transaction is to be taken to be completed for the purposes of the FHOG Act, despite section 14AA(2)(a</w:t>
      </w:r>
      <w:del w:id="2232" w:author="Master Repository Process" w:date="2022-05-27T14:27:00Z">
        <w:r>
          <w:delText>)(ii</w:delText>
        </w:r>
      </w:del>
      <w:r>
        <w:t>) of that Act, when the purchaser becomes entitled to possession of the home under the contract.</w:t>
      </w:r>
    </w:p>
    <w:p>
      <w:pPr>
        <w:pStyle w:val="Footnotesection"/>
      </w:pPr>
      <w:r>
        <w:tab/>
        <w:t>[Section 142A inserted: No. 27 of 2015 s. </w:t>
      </w:r>
      <w:del w:id="2233" w:author="Master Repository Process" w:date="2022-05-27T14:27:00Z">
        <w:r>
          <w:delText>10</w:delText>
        </w:r>
      </w:del>
      <w:ins w:id="2234" w:author="Master Repository Process" w:date="2022-05-27T14:27:00Z">
        <w:r>
          <w:t>10; amended: No. 12 of 2019 s. 50</w:t>
        </w:r>
      </w:ins>
      <w:r>
        <w:t>.]</w:t>
      </w:r>
    </w:p>
    <w:p>
      <w:pPr>
        <w:pStyle w:val="Heading5"/>
        <w:spacing w:before="240"/>
      </w:pPr>
      <w:bookmarkStart w:id="2235" w:name="_Toc104291016"/>
      <w:bookmarkStart w:id="2236" w:name="_Toc531859363"/>
      <w:r>
        <w:rPr>
          <w:rStyle w:val="CharSectno"/>
        </w:rPr>
        <w:t>142</w:t>
      </w:r>
      <w:r>
        <w:t>.</w:t>
      </w:r>
      <w:r>
        <w:tab/>
        <w:t>First home owner concessional transactions</w:t>
      </w:r>
      <w:bookmarkEnd w:id="2235"/>
      <w:bookmarkEnd w:id="2236"/>
    </w:p>
    <w:p>
      <w:pPr>
        <w:pStyle w:val="Subsection"/>
      </w:pPr>
      <w:r>
        <w:tab/>
        <w:t>(1)</w:t>
      </w:r>
      <w:r>
        <w:tab/>
        <w:t xml:space="preserve">A reference in this Division to a first home owner concessional transaction is to a transfer of, or an agreement for the transfer of, dutiable property where — </w:t>
      </w:r>
    </w:p>
    <w:p>
      <w:pPr>
        <w:pStyle w:val="Indenta"/>
        <w:rPr>
          <w:ins w:id="2237" w:author="Master Repository Process" w:date="2022-05-27T14:27:00Z"/>
        </w:rPr>
      </w:pPr>
      <w:r>
        <w:tab/>
        <w:t>(a)</w:t>
      </w:r>
      <w:r>
        <w:tab/>
      </w:r>
      <w:del w:id="2238" w:author="Master Repository Process" w:date="2022-05-27T14:27:00Z">
        <w:r>
          <w:delText xml:space="preserve">the transferee, or if there are more than one, </w:delText>
        </w:r>
      </w:del>
      <w:ins w:id="2239" w:author="Master Repository Process" w:date="2022-05-27T14:27:00Z">
        <w:r>
          <w:t xml:space="preserve">either — </w:t>
        </w:r>
      </w:ins>
    </w:p>
    <w:p>
      <w:pPr>
        <w:pStyle w:val="Indenti"/>
        <w:rPr>
          <w:ins w:id="2240" w:author="Master Repository Process" w:date="2022-05-27T14:27:00Z"/>
        </w:rPr>
      </w:pPr>
      <w:ins w:id="2241" w:author="Master Repository Process" w:date="2022-05-27T14:27:00Z">
        <w:r>
          <w:tab/>
          <w:t>(i)</w:t>
        </w:r>
        <w:r>
          <w:tab/>
        </w:r>
      </w:ins>
      <w:r>
        <w:t xml:space="preserve">each transferee is a concessional first home owner; </w:t>
      </w:r>
      <w:ins w:id="2242" w:author="Master Repository Process" w:date="2022-05-27T14:27:00Z">
        <w:r>
          <w:t>or</w:t>
        </w:r>
      </w:ins>
    </w:p>
    <w:p>
      <w:pPr>
        <w:pStyle w:val="Indenti"/>
        <w:rPr>
          <w:ins w:id="2243" w:author="Master Repository Process" w:date="2022-05-27T14:27:00Z"/>
        </w:rPr>
      </w:pPr>
      <w:ins w:id="2244" w:author="Master Repository Process" w:date="2022-05-27T14:27:00Z">
        <w:r>
          <w:tab/>
          <w:t>(ii)</w:t>
        </w:r>
        <w:r>
          <w:tab/>
          <w:t>if the transaction is an agreement for transfer in relation to which there are 1 or more substituted transferees — each substituted transferee is a concessional first home owner;</w:t>
        </w:r>
      </w:ins>
    </w:p>
    <w:p>
      <w:pPr>
        <w:pStyle w:val="Indenta"/>
      </w:pPr>
      <w:ins w:id="2245" w:author="Master Repository Process" w:date="2022-05-27T14:27:00Z">
        <w:r>
          <w:tab/>
        </w:r>
        <w:r>
          <w:tab/>
        </w:r>
      </w:ins>
      <w:r>
        <w:t>and</w:t>
      </w:r>
    </w:p>
    <w:p>
      <w:pPr>
        <w:pStyle w:val="Indenta"/>
      </w:pPr>
      <w:r>
        <w:tab/>
        <w:t>(b)</w:t>
      </w:r>
      <w:r>
        <w:tab/>
        <w:t xml:space="preserve">the unencumbered value of the land, or the land and home, the subject of the transaction does not exceed — </w:t>
      </w:r>
    </w:p>
    <w:p>
      <w:pPr>
        <w:pStyle w:val="Indenti"/>
      </w:pPr>
      <w:r>
        <w:tab/>
        <w:t>(i)</w:t>
      </w:r>
      <w:r>
        <w:tab/>
        <w:t>if there is no home on the land — $400 000; or</w:t>
      </w:r>
    </w:p>
    <w:p>
      <w:pPr>
        <w:pStyle w:val="Indenti"/>
      </w:pPr>
      <w:r>
        <w:tab/>
        <w:t>(ii)</w:t>
      </w:r>
      <w:r>
        <w:tab/>
        <w:t>otherwise — $530 000</w:t>
      </w:r>
      <w:del w:id="2246" w:author="Master Repository Process" w:date="2022-05-27T14:27:00Z">
        <w:r>
          <w:delText>,</w:delText>
        </w:r>
      </w:del>
      <w:ins w:id="2247" w:author="Master Repository Process" w:date="2022-05-27T14:27:00Z">
        <w:r>
          <w:t>.</w:t>
        </w:r>
      </w:ins>
    </w:p>
    <w:p>
      <w:pPr>
        <w:pStyle w:val="Subsection"/>
        <w:rPr>
          <w:del w:id="2248" w:author="Master Repository Process" w:date="2022-05-27T14:27:00Z"/>
        </w:rPr>
      </w:pPr>
      <w:del w:id="2249" w:author="Master Repository Process" w:date="2022-05-27T14:27:00Z">
        <w:r>
          <w:tab/>
        </w:r>
        <w:r>
          <w:tab/>
          <w:delText>and includes a transaction where, due to the operation of section 42(2) or (4), duty is not chargeable on the transfer of dutiable property the subject of the transaction.</w:delText>
        </w:r>
      </w:del>
    </w:p>
    <w:p>
      <w:pPr>
        <w:pStyle w:val="Subsection"/>
      </w:pPr>
      <w:r>
        <w:tab/>
        <w:t>(2)</w:t>
      </w:r>
      <w:r>
        <w:tab/>
        <w:t xml:space="preserve">A reference in this Division to a further concessional transaction is to a transfer of, or an agreement for the transfer of, a further interest in the dutiable property the subject of a first home owner concessional transaction (the </w:t>
      </w:r>
      <w:r>
        <w:rPr>
          <w:rStyle w:val="CharDefText"/>
          <w:snapToGrid w:val="0"/>
        </w:rPr>
        <w:t>first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concessional transaction is executed within 10 years of an instrument that effected the first concessional transaction; and</w:t>
      </w:r>
    </w:p>
    <w:p>
      <w:pPr>
        <w:pStyle w:val="Indenta"/>
      </w:pPr>
      <w:r>
        <w:tab/>
        <w:t>(c)</w:t>
      </w:r>
      <w:r>
        <w:tab/>
        <w:t>where each transferee in respect of the further concessional transaction is a transferee in relation to the first concessional transaction</w:t>
      </w:r>
      <w:del w:id="2250" w:author="Master Repository Process" w:date="2022-05-27T14:27:00Z">
        <w:r>
          <w:delText>,</w:delText>
        </w:r>
      </w:del>
      <w:ins w:id="2251" w:author="Master Repository Process" w:date="2022-05-27T14:27:00Z">
        <w:r>
          <w:t>.</w:t>
        </w:r>
      </w:ins>
    </w:p>
    <w:p>
      <w:pPr>
        <w:pStyle w:val="Subsection"/>
        <w:rPr>
          <w:del w:id="2252" w:author="Master Repository Process" w:date="2022-05-27T14:27:00Z"/>
        </w:rPr>
      </w:pPr>
      <w:del w:id="2253" w:author="Master Repository Process" w:date="2022-05-27T14:27:00Z">
        <w:r>
          <w:tab/>
        </w:r>
        <w:r>
          <w:tab/>
          <w:delText>and includes a transaction where, due to the operation of section 42(2) or (4), duty is not chargeable on the transfer of dutiable property the subject of the transaction.</w:delText>
        </w:r>
      </w:del>
    </w:p>
    <w:p>
      <w:pPr>
        <w:pStyle w:val="Footnotesection"/>
      </w:pPr>
      <w:r>
        <w:tab/>
        <w:t>[Section 142 amended: No. 29 of 2012 s. 7; No. 15 of 2014 s. 4; No. 27 of 2015 s. </w:t>
      </w:r>
      <w:del w:id="2254" w:author="Master Repository Process" w:date="2022-05-27T14:27:00Z">
        <w:r>
          <w:delText>11</w:delText>
        </w:r>
      </w:del>
      <w:ins w:id="2255" w:author="Master Repository Process" w:date="2022-05-27T14:27:00Z">
        <w:r>
          <w:t>11; No. 12 of 2019 s. 51</w:t>
        </w:r>
      </w:ins>
      <w:r>
        <w:t>.]</w:t>
      </w:r>
    </w:p>
    <w:p>
      <w:pPr>
        <w:pStyle w:val="Heading5"/>
        <w:spacing w:before="240"/>
        <w:rPr>
          <w:b w:val="0"/>
        </w:rPr>
      </w:pPr>
      <w:bookmarkStart w:id="2256" w:name="_Toc104291017"/>
      <w:bookmarkStart w:id="2257" w:name="_Toc531859364"/>
      <w:r>
        <w:rPr>
          <w:rStyle w:val="CharSectno"/>
        </w:rPr>
        <w:t>143</w:t>
      </w:r>
      <w:r>
        <w:t>.</w:t>
      </w:r>
      <w:r>
        <w:tab/>
        <w:t>First home owner concessional rate of duty</w:t>
      </w:r>
      <w:bookmarkEnd w:id="2256"/>
      <w:bookmarkEnd w:id="2257"/>
    </w:p>
    <w:p>
      <w:pPr>
        <w:pStyle w:val="Subsection"/>
      </w:pPr>
      <w:r>
        <w:tab/>
        <w:t>(1)</w:t>
      </w:r>
      <w:r>
        <w:tab/>
        <w:t>Duty is chargeable on a first home owner concessional transaction at the applicable concessional rate of duty.</w:t>
      </w:r>
    </w:p>
    <w:p>
      <w:pPr>
        <w:pStyle w:val="Subsection"/>
      </w:pPr>
      <w:r>
        <w:tab/>
        <w:t>(2)</w:t>
      </w:r>
      <w:r>
        <w:tab/>
        <w:t>Duty is chargeable on a further concessional transaction at the same rate and using the same thresholds that applied when duty became chargeable on the first concessional transaction.</w:t>
      </w:r>
    </w:p>
    <w:p>
      <w:pPr>
        <w:pStyle w:val="Subsection"/>
      </w:pPr>
      <w:r>
        <w:tab/>
        <w:t>(3)</w:t>
      </w:r>
      <w:r>
        <w:tab/>
        <w:t xml:space="preserve">The dutiable value of a further concessional transaction is the greater of the following amounts — </w:t>
      </w:r>
    </w:p>
    <w:p>
      <w:pPr>
        <w:pStyle w:val="Indenta"/>
      </w:pPr>
      <w:r>
        <w:tab/>
        <w:t>(a)</w:t>
      </w:r>
      <w:r>
        <w:tab/>
        <w:t xml:space="preserve">the consideration for the first concessional transaction; </w:t>
      </w:r>
    </w:p>
    <w:p>
      <w:pPr>
        <w:pStyle w:val="Indenta"/>
      </w:pPr>
      <w:r>
        <w:tab/>
        <w:t>(b)</w:t>
      </w:r>
      <w:r>
        <w:tab/>
        <w:t>the unencumbered value of the whole of the dutiable property the subject of the first concessional transaction at the time when liability for duty on the first concessional transaction arose.</w:t>
      </w:r>
    </w:p>
    <w:p>
      <w:pPr>
        <w:pStyle w:val="Subsection"/>
      </w:pPr>
      <w:r>
        <w:tab/>
        <w:t>(4)</w:t>
      </w:r>
      <w:r>
        <w:tab/>
        <w:t xml:space="preserve">When subsection (2) applies — </w:t>
      </w:r>
    </w:p>
    <w:p>
      <w:pPr>
        <w:pStyle w:val="Indenta"/>
      </w:pPr>
      <w:r>
        <w:tab/>
        <w:t>(a)</w:t>
      </w:r>
      <w:r>
        <w:tab/>
        <w:t>the liability of the transferee to pay duty on the further concessional transaction is to bear the same proportion to the whole of the amount of duty payable as the interest in the dutiable property held by the transferee after the further concessional transaction bears to the whole of the dutiable property; and</w:t>
      </w:r>
    </w:p>
    <w:p>
      <w:pPr>
        <w:pStyle w:val="Indenta"/>
      </w:pPr>
      <w:r>
        <w:tab/>
        <w:t>(b)</w:t>
      </w:r>
      <w:r>
        <w:tab/>
        <w:t>the amount of duty payable is to be reduced by the amount of the duty paid by the transferee on the first concessional transaction and any other further concessional transactions on which duty has been paid; and</w:t>
      </w:r>
    </w:p>
    <w:p>
      <w:pPr>
        <w:pStyle w:val="Indenta"/>
      </w:pPr>
      <w:r>
        <w:tab/>
        <w:t>(c)</w:t>
      </w:r>
      <w:r>
        <w:tab/>
        <w:t>there is no liability to pay any remaining portion of the duty that would, but for this paragraph be payable.</w:t>
      </w:r>
    </w:p>
    <w:p>
      <w:pPr>
        <w:pStyle w:val="Footnotesection"/>
      </w:pPr>
      <w:r>
        <w:tab/>
        <w:t>[Section 143 amended: No. 27 of 2015 s. 12.]</w:t>
      </w:r>
    </w:p>
    <w:p>
      <w:pPr>
        <w:pStyle w:val="Heading5"/>
        <w:spacing w:before="240"/>
        <w:rPr>
          <w:b w:val="0"/>
        </w:rPr>
      </w:pPr>
      <w:bookmarkStart w:id="2258" w:name="_Toc104291018"/>
      <w:bookmarkStart w:id="2259" w:name="_Toc531859365"/>
      <w:r>
        <w:rPr>
          <w:rStyle w:val="CharSectno"/>
        </w:rPr>
        <w:t>144</w:t>
      </w:r>
      <w:r>
        <w:t>.</w:t>
      </w:r>
      <w:r>
        <w:tab/>
        <w:t>Application for first home owner concessional rate of duty</w:t>
      </w:r>
      <w:bookmarkEnd w:id="2258"/>
      <w:bookmarkEnd w:id="2259"/>
    </w:p>
    <w:p>
      <w:pPr>
        <w:pStyle w:val="Subsection"/>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Division, the Taxation Administration Act section 17 applies as if — </w:t>
      </w:r>
    </w:p>
    <w:p>
      <w:pPr>
        <w:pStyle w:val="Indenta"/>
      </w:pPr>
      <w:r>
        <w:tab/>
        <w:t>(a)</w:t>
      </w:r>
      <w:r>
        <w:tab/>
        <w:t xml:space="preserve">in respect of a first home owner concessional transaction — </w:t>
      </w:r>
    </w:p>
    <w:p>
      <w:pPr>
        <w:pStyle w:val="Indenti"/>
      </w:pPr>
      <w:r>
        <w:tab/>
        <w:t>(i)</w:t>
      </w:r>
      <w:r>
        <w:tab/>
        <w:t>despite subsection (1) of that section, a person is not entitled to apply for a reassessment other than within the period beginning on the commencement date of the first home owner concessional transaction to which the application relates and ending whichever is the later of the day that is —</w:t>
      </w:r>
    </w:p>
    <w:p>
      <w:pPr>
        <w:pStyle w:val="IndentI0"/>
      </w:pPr>
      <w:r>
        <w:tab/>
        <w:t>(I)</w:t>
      </w:r>
      <w:r>
        <w:tab/>
        <w:t>12 months after the day on which the first home owner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first home owner concessional transaction made within that time; </w:t>
      </w:r>
    </w:p>
    <w:p>
      <w:pPr>
        <w:pStyle w:val="Indenta"/>
      </w:pPr>
      <w:r>
        <w:tab/>
      </w:r>
      <w:r>
        <w:tab/>
        <w:t>and</w:t>
      </w:r>
    </w:p>
    <w:p>
      <w:pPr>
        <w:pStyle w:val="Indenta"/>
      </w:pPr>
      <w:r>
        <w:tab/>
        <w:t>(b)</w:t>
      </w:r>
      <w:r>
        <w:tab/>
        <w:t xml:space="preserve">in respect of a further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first home owner concessional transaction made within that time.</w:t>
      </w:r>
    </w:p>
    <w:p>
      <w:pPr>
        <w:pStyle w:val="Footnotesection"/>
      </w:pPr>
      <w:r>
        <w:tab/>
        <w:t>[Section 144 amended: No. 27 of 2015 s. 13.]</w:t>
      </w:r>
    </w:p>
    <w:p>
      <w:pPr>
        <w:pStyle w:val="Heading5"/>
        <w:spacing w:before="240"/>
      </w:pPr>
      <w:bookmarkStart w:id="2260" w:name="_Toc104291019"/>
      <w:bookmarkStart w:id="2261" w:name="_Toc531859366"/>
      <w:r>
        <w:rPr>
          <w:rStyle w:val="CharSectno"/>
        </w:rPr>
        <w:t>145</w:t>
      </w:r>
      <w:r>
        <w:t>.</w:t>
      </w:r>
      <w:r>
        <w:tab/>
        <w:t>Subsequent liability in certain circumstances</w:t>
      </w:r>
      <w:bookmarkEnd w:id="2260"/>
      <w:bookmarkEnd w:id="2261"/>
    </w:p>
    <w:p>
      <w:pPr>
        <w:pStyle w:val="Subsection"/>
      </w:pPr>
      <w:r>
        <w:tab/>
        <w:t>(1)</w:t>
      </w:r>
      <w:r>
        <w:tab/>
        <w:t xml:space="preserve">Despite section 143, duty is not chargeable on a transaction referred to in section 142 at the first home owner concessional rate if — </w:t>
      </w:r>
    </w:p>
    <w:p>
      <w:pPr>
        <w:pStyle w:val="Indenta"/>
      </w:pPr>
      <w:r>
        <w:tab/>
        <w:t>(a)</w:t>
      </w:r>
      <w:r>
        <w:tab/>
        <w:t>a transferee described in section 142A(1)(a) is required to repay an amount under the FHOG Act section 21(2) or 51; or</w:t>
      </w:r>
    </w:p>
    <w:p>
      <w:pPr>
        <w:pStyle w:val="Indenta"/>
      </w:pPr>
      <w:r>
        <w:tab/>
        <w:t>(b)</w:t>
      </w:r>
      <w:r>
        <w:tab/>
        <w:t xml:space="preserve">a transferee described in section 142A(1)(b) would be required to repay an amount under the FHOG Act — </w:t>
      </w:r>
    </w:p>
    <w:p>
      <w:pPr>
        <w:pStyle w:val="Indenti"/>
      </w:pPr>
      <w:r>
        <w:tab/>
        <w:t>(i)</w:t>
      </w:r>
      <w:r>
        <w:tab/>
        <w:t>section 21(2) had a first home owner grant been authorised to be paid to that person under the FHOG Act section 21(1); or</w:t>
      </w:r>
    </w:p>
    <w:p>
      <w:pPr>
        <w:pStyle w:val="Indenti"/>
      </w:pPr>
      <w:r>
        <w:tab/>
        <w:t>(ii)</w:t>
      </w:r>
      <w:r>
        <w:tab/>
        <w:t>section 51 had a first home owner grant been authorised to be paid to that person under the FHOG Act.</w:t>
      </w:r>
    </w:p>
    <w:p>
      <w:pPr>
        <w:pStyle w:val="Subsection"/>
      </w:pPr>
      <w:r>
        <w:tab/>
        <w:t>(2A)</w:t>
      </w:r>
      <w:r>
        <w:tab/>
        <w:t xml:space="preserve">For the purposes of subsection (1)(b)(i), a first home owner grant would be, or would have been, authorised to be paid under the FHOG Act section 21(1) if the transaction was assessed in anticipation of compliance by the transferee — </w:t>
      </w:r>
    </w:p>
    <w:p>
      <w:pPr>
        <w:pStyle w:val="Indenta"/>
      </w:pPr>
      <w:r>
        <w:tab/>
        <w:t>(a)</w:t>
      </w:r>
      <w:r>
        <w:tab/>
        <w:t xml:space="preserve">with the residence requirements; or </w:t>
      </w:r>
    </w:p>
    <w:p>
      <w:pPr>
        <w:pStyle w:val="Indenta"/>
      </w:pPr>
      <w:r>
        <w:tab/>
        <w:t>(b)</w:t>
      </w:r>
      <w:r>
        <w:tab/>
        <w:t>if the requirement under the FHOG Act section 13(4) had already been complied with by the transferee, with the requirement under section 13(1) of that Act.</w:t>
      </w:r>
    </w:p>
    <w:p>
      <w:pPr>
        <w:pStyle w:val="Subsection"/>
      </w:pPr>
      <w:r>
        <w:tab/>
        <w:t>(2B)</w:t>
      </w:r>
      <w:r>
        <w:tab/>
        <w:t xml:space="preserve">Written notice referred to in the FHOG Act section 21(2)(d) must be given to the Commissioner — </w:t>
      </w:r>
    </w:p>
    <w:p>
      <w:pPr>
        <w:pStyle w:val="Indenta"/>
      </w:pPr>
      <w:r>
        <w:tab/>
        <w:t>(a)</w:t>
      </w:r>
      <w:r>
        <w:tab/>
        <w:t>by a transferee referred to in subsection (1)(b)(i) who would be required to repay an amount under the FHOG Act section 21(2), had a first home owner grant been authorised to be paid to that person under the FHOG Act section 21(1);</w:t>
      </w:r>
    </w:p>
    <w:p>
      <w:pPr>
        <w:pStyle w:val="Indenta"/>
      </w:pPr>
      <w:r>
        <w:tab/>
        <w:t>(b)</w:t>
      </w:r>
      <w:r>
        <w:tab/>
        <w:t>as if the conditions set out in the FHOG Act section 21(2)(a), (b) or (c) applied in respect of that person.</w:t>
      </w:r>
    </w:p>
    <w:p>
      <w:pPr>
        <w:pStyle w:val="Subsection"/>
      </w:pPr>
      <w:r>
        <w:tab/>
        <w:t>(2)</w:t>
      </w:r>
      <w:r>
        <w:tab/>
        <w:t>The previous assessment of a transaction referred to in subsection (1) is taken to be incorrect for the purposes of the Taxation Administration Act section 16(2)(a).</w:t>
      </w:r>
    </w:p>
    <w:p>
      <w:pPr>
        <w:pStyle w:val="Footnotesection"/>
      </w:pPr>
      <w:r>
        <w:tab/>
        <w:t>[Section 145 amended: No. 27 of 2015 s. 14.]</w:t>
      </w:r>
    </w:p>
    <w:p>
      <w:pPr>
        <w:pStyle w:val="Heading5"/>
        <w:spacing w:before="240"/>
      </w:pPr>
      <w:bookmarkStart w:id="2262" w:name="_Toc104291020"/>
      <w:bookmarkStart w:id="2263" w:name="_Toc531859367"/>
      <w:r>
        <w:rPr>
          <w:rStyle w:val="CharSectno"/>
        </w:rPr>
        <w:t>146</w:t>
      </w:r>
      <w:r>
        <w:t>.</w:t>
      </w:r>
      <w:r>
        <w:tab/>
        <w:t>Other provisions about first home owner concessions</w:t>
      </w:r>
      <w:bookmarkEnd w:id="2262"/>
      <w:bookmarkEnd w:id="2263"/>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rPr>
          <w:ins w:id="2264" w:author="Master Repository Process" w:date="2022-05-27T14:27:00Z"/>
        </w:rPr>
      </w:pPr>
      <w:r>
        <w:tab/>
        <w:t>(b)</w:t>
      </w:r>
      <w:r>
        <w:tab/>
        <w:t>the FHOG Act applies to and in relation to an application under this Division, to the extent that it can be applied for those purposes, as if</w:t>
      </w:r>
      <w:del w:id="2265" w:author="Master Repository Process" w:date="2022-05-27T14:27:00Z">
        <w:r>
          <w:delText xml:space="preserve"> </w:delText>
        </w:r>
      </w:del>
      <w:ins w:id="2266" w:author="Master Repository Process" w:date="2022-05-27T14:27:00Z">
        <w:r>
          <w:t xml:space="preserve"> — </w:t>
        </w:r>
      </w:ins>
    </w:p>
    <w:p>
      <w:pPr>
        <w:pStyle w:val="Indenti"/>
      </w:pPr>
      <w:ins w:id="2267" w:author="Master Repository Process" w:date="2022-05-27T14:27:00Z">
        <w:r>
          <w:tab/>
          <w:t>(i)</w:t>
        </w:r>
        <w:r>
          <w:tab/>
        </w:r>
      </w:ins>
      <w:r>
        <w:t>a reference in the FHOG Act to an application or an applicant were a reference to the application or applicant under this Division; and</w:t>
      </w:r>
    </w:p>
    <w:p>
      <w:pPr>
        <w:pStyle w:val="Indenti"/>
        <w:rPr>
          <w:ins w:id="2268" w:author="Master Repository Process" w:date="2022-05-27T14:27:00Z"/>
        </w:rPr>
      </w:pPr>
      <w:ins w:id="2269" w:author="Master Repository Process" w:date="2022-05-27T14:27:00Z">
        <w:r>
          <w:tab/>
          <w:t>(ii)</w:t>
        </w:r>
        <w:r>
          <w:tab/>
          <w:t>the reference in the FHOG Act section 37(1)(a) to functions of the Commissioner were a reference to functions of the Commissioner related to an application under this Division;</w:t>
        </w:r>
      </w:ins>
    </w:p>
    <w:p>
      <w:pPr>
        <w:pStyle w:val="Indenta"/>
        <w:rPr>
          <w:ins w:id="2270" w:author="Master Repository Process" w:date="2022-05-27T14:27:00Z"/>
        </w:rPr>
      </w:pPr>
      <w:ins w:id="2271" w:author="Master Repository Process" w:date="2022-05-27T14:27:00Z">
        <w:r>
          <w:tab/>
        </w:r>
        <w:r>
          <w:tab/>
          <w:t>and</w:t>
        </w:r>
      </w:ins>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Footnotesection"/>
        <w:rPr>
          <w:ins w:id="2272" w:author="Master Repository Process" w:date="2022-05-27T14:27:00Z"/>
        </w:rPr>
      </w:pPr>
      <w:ins w:id="2273" w:author="Master Repository Process" w:date="2022-05-27T14:27:00Z">
        <w:r>
          <w:tab/>
          <w:t>[Section 146 amended: No. 12 of 2019 s. 52.]</w:t>
        </w:r>
      </w:ins>
    </w:p>
    <w:p>
      <w:pPr>
        <w:pStyle w:val="Heading4"/>
        <w:spacing w:before="180"/>
        <w:rPr>
          <w:bCs/>
          <w:sz w:val="26"/>
          <w:szCs w:val="26"/>
        </w:rPr>
      </w:pPr>
      <w:bookmarkStart w:id="2274" w:name="_Toc37946826"/>
      <w:bookmarkStart w:id="2275" w:name="_Toc37947426"/>
      <w:bookmarkStart w:id="2276" w:name="_Toc38031490"/>
      <w:bookmarkStart w:id="2277" w:name="_Toc93309999"/>
      <w:bookmarkStart w:id="2278" w:name="_Toc104291021"/>
      <w:bookmarkStart w:id="2279" w:name="_Toc530491753"/>
      <w:bookmarkStart w:id="2280" w:name="_Toc530492213"/>
      <w:bookmarkStart w:id="2281" w:name="_Toc530493223"/>
      <w:bookmarkStart w:id="2282" w:name="_Toc530556358"/>
      <w:bookmarkStart w:id="2283" w:name="_Toc531692196"/>
      <w:bookmarkStart w:id="2284" w:name="_Toc531856101"/>
      <w:bookmarkStart w:id="2285" w:name="_Toc531858829"/>
      <w:bookmarkStart w:id="2286" w:name="_Toc531859368"/>
      <w:r>
        <w:rPr>
          <w:sz w:val="26"/>
          <w:szCs w:val="26"/>
        </w:rPr>
        <w:t>Division 4A — Residential concession</w:t>
      </w:r>
      <w:bookmarkEnd w:id="2274"/>
      <w:bookmarkEnd w:id="2275"/>
      <w:bookmarkEnd w:id="2276"/>
      <w:bookmarkEnd w:id="2277"/>
      <w:bookmarkEnd w:id="2278"/>
      <w:bookmarkEnd w:id="2279"/>
      <w:bookmarkEnd w:id="2280"/>
      <w:bookmarkEnd w:id="2281"/>
      <w:bookmarkEnd w:id="2282"/>
      <w:bookmarkEnd w:id="2283"/>
      <w:bookmarkEnd w:id="2284"/>
      <w:bookmarkEnd w:id="2285"/>
      <w:bookmarkEnd w:id="2286"/>
    </w:p>
    <w:p>
      <w:pPr>
        <w:pStyle w:val="Footnoteheading"/>
        <w:keepNext/>
        <w:keepLines/>
        <w:spacing w:before="80"/>
      </w:pPr>
      <w:r>
        <w:tab/>
        <w:t>[Heading inserted: No. 30 of 2008 s. 26.]</w:t>
      </w:r>
    </w:p>
    <w:p>
      <w:pPr>
        <w:pStyle w:val="Heading5"/>
        <w:spacing w:before="180"/>
      </w:pPr>
      <w:bookmarkStart w:id="2287" w:name="_Toc104291022"/>
      <w:bookmarkStart w:id="2288" w:name="_Toc531859369"/>
      <w:r>
        <w:rPr>
          <w:rStyle w:val="CharSectno"/>
        </w:rPr>
        <w:t>147A</w:t>
      </w:r>
      <w:r>
        <w:t>.</w:t>
      </w:r>
      <w:r>
        <w:tab/>
        <w:t>Terms used</w:t>
      </w:r>
      <w:bookmarkEnd w:id="2287"/>
      <w:bookmarkEnd w:id="2288"/>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spacing w:before="60"/>
      </w:pPr>
      <w:r>
        <w:tab/>
        <w:t>(a)</w:t>
      </w:r>
      <w:r>
        <w:tab/>
        <w:t>may lawfully be used; and</w:t>
      </w:r>
    </w:p>
    <w:p>
      <w:pPr>
        <w:pStyle w:val="Defpara"/>
        <w:spacing w:before="60"/>
      </w:pPr>
      <w:r>
        <w:tab/>
        <w:t>(b)</w:t>
      </w:r>
      <w:r>
        <w:tab/>
        <w:t xml:space="preserve">in the Commissioner’s opinion, is suitable to be used; and </w:t>
      </w:r>
    </w:p>
    <w:p>
      <w:pPr>
        <w:pStyle w:val="Defpara"/>
        <w:spacing w:before="60"/>
      </w:pPr>
      <w:r>
        <w:tab/>
        <w:t>(c)</w:t>
      </w:r>
      <w:r>
        <w:tab/>
        <w:t>is intended by the taxpayer to be used,</w:t>
      </w:r>
    </w:p>
    <w:p>
      <w:pPr>
        <w:pStyle w:val="Defstart"/>
      </w:pPr>
      <w:r>
        <w:tab/>
        <w:t>as a place of residence for one or more individuals;</w:t>
      </w:r>
    </w:p>
    <w:p>
      <w:pPr>
        <w:pStyle w:val="Defstart"/>
      </w:pPr>
      <w:r>
        <w:tab/>
      </w:r>
      <w:r>
        <w:rPr>
          <w:rStyle w:val="CharDefText"/>
        </w:rPr>
        <w:t>residential land</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spacing w:before="120"/>
      </w:pPr>
      <w:r>
        <w:tab/>
        <w:t>(2)</w:t>
      </w:r>
      <w:r>
        <w:tab/>
        <w:t xml:space="preserve">For the purposes of this Division the construction of a residence begins on — </w:t>
      </w:r>
    </w:p>
    <w:p>
      <w:pPr>
        <w:pStyle w:val="Indenta"/>
        <w:spacing w:before="60"/>
      </w:pPr>
      <w:r>
        <w:tab/>
        <w:t>(a)</w:t>
      </w:r>
      <w:r>
        <w:tab/>
        <w:t>the date when laying the foundations for the residence begins; or</w:t>
      </w:r>
    </w:p>
    <w:p>
      <w:pPr>
        <w:pStyle w:val="Indenta"/>
      </w:pPr>
      <w:r>
        <w:tab/>
        <w:t>(b)</w:t>
      </w:r>
      <w:r>
        <w:tab/>
        <w:t>another date the Commissioner considers appropriate in the circumstances of the case.</w:t>
      </w:r>
    </w:p>
    <w:p>
      <w:pPr>
        <w:pStyle w:val="Subsection"/>
        <w:rPr>
          <w:ins w:id="2289" w:author="Master Repository Process" w:date="2022-05-27T14:27:00Z"/>
        </w:rPr>
      </w:pPr>
      <w:ins w:id="2290" w:author="Master Repository Process" w:date="2022-05-27T14:27:00Z">
        <w:r>
          <w:tab/>
          <w:t>(3)</w:t>
        </w:r>
        <w:r>
          <w:tab/>
          <w:t xml:space="preserve">For the purposes of this Division, a person is a </w:t>
        </w:r>
        <w:r>
          <w:rPr>
            <w:rStyle w:val="CharDefText"/>
          </w:rPr>
          <w:t>substituted transferee</w:t>
        </w:r>
        <w:r>
          <w:t xml:space="preserve"> in relation to an eligible transaction if — </w:t>
        </w:r>
      </w:ins>
    </w:p>
    <w:p>
      <w:pPr>
        <w:pStyle w:val="Indenta"/>
        <w:rPr>
          <w:ins w:id="2291" w:author="Master Repository Process" w:date="2022-05-27T14:27:00Z"/>
        </w:rPr>
      </w:pPr>
      <w:ins w:id="2292" w:author="Master Repository Process" w:date="2022-05-27T14:27:00Z">
        <w:r>
          <w:tab/>
          <w:t>(a)</w:t>
        </w:r>
        <w:r>
          <w:tab/>
          <w:t>the eligible transaction is of a kind referred to in section 147B(b); and</w:t>
        </w:r>
      </w:ins>
    </w:p>
    <w:p>
      <w:pPr>
        <w:pStyle w:val="Indenta"/>
        <w:rPr>
          <w:ins w:id="2293" w:author="Master Repository Process" w:date="2022-05-27T14:27:00Z"/>
        </w:rPr>
      </w:pPr>
      <w:ins w:id="2294" w:author="Master Repository Process" w:date="2022-05-27T14:27:00Z">
        <w:r>
          <w:tab/>
          <w:t>(b)</w:t>
        </w:r>
        <w:r>
          <w:tab/>
          <w:t>due to the operation of section 42(2), (4) or (5), duty is not chargeable on the transfer to the person of the dutiable property under the agreement.</w:t>
        </w:r>
      </w:ins>
    </w:p>
    <w:p>
      <w:pPr>
        <w:pStyle w:val="Footnotesection"/>
      </w:pPr>
      <w:r>
        <w:tab/>
        <w:t>[Section 147A inserted: No. 30 of 2008 s. 26; amended: No. 24 of 2018 s. </w:t>
      </w:r>
      <w:del w:id="2295" w:author="Master Repository Process" w:date="2022-05-27T14:27:00Z">
        <w:r>
          <w:delText>5</w:delText>
        </w:r>
      </w:del>
      <w:ins w:id="2296" w:author="Master Repository Process" w:date="2022-05-27T14:27:00Z">
        <w:r>
          <w:t>5; No. 12 of 2019 s. 53</w:t>
        </w:r>
      </w:ins>
      <w:r>
        <w:t>.]</w:t>
      </w:r>
    </w:p>
    <w:p>
      <w:pPr>
        <w:pStyle w:val="Heading5"/>
      </w:pPr>
      <w:bookmarkStart w:id="2297" w:name="_Toc104291023"/>
      <w:bookmarkStart w:id="2298" w:name="_Toc531859370"/>
      <w:r>
        <w:rPr>
          <w:rStyle w:val="CharSectno"/>
        </w:rPr>
        <w:t>147B</w:t>
      </w:r>
      <w:r>
        <w:t>.</w:t>
      </w:r>
      <w:r>
        <w:tab/>
        <w:t>Eligible transaction</w:t>
      </w:r>
      <w:bookmarkEnd w:id="2297"/>
      <w:bookmarkEnd w:id="2298"/>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r>
        <w:tab/>
        <w:t>[Section 147B inserted: No. 30 of 2008 s. 26.]</w:t>
      </w:r>
    </w:p>
    <w:p>
      <w:pPr>
        <w:pStyle w:val="Heading5"/>
      </w:pPr>
      <w:bookmarkStart w:id="2299" w:name="_Toc104291024"/>
      <w:bookmarkStart w:id="2300" w:name="_Toc531859371"/>
      <w:r>
        <w:rPr>
          <w:rStyle w:val="CharSectno"/>
        </w:rPr>
        <w:t>147C</w:t>
      </w:r>
      <w:r>
        <w:t>.</w:t>
      </w:r>
      <w:r>
        <w:tab/>
        <w:t>Concessional transaction</w:t>
      </w:r>
      <w:bookmarkEnd w:id="2299"/>
      <w:bookmarkEnd w:id="2300"/>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land.</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r>
        <w:tab/>
        <w:t>[Section 147C inserted: No. 30 of 2008 s. 26; amended: No. 24 of 2018 s. 6.]</w:t>
      </w:r>
    </w:p>
    <w:p>
      <w:pPr>
        <w:pStyle w:val="Heading5"/>
      </w:pPr>
      <w:bookmarkStart w:id="2301" w:name="_Toc104291025"/>
      <w:bookmarkStart w:id="2302" w:name="_Toc531859372"/>
      <w:r>
        <w:rPr>
          <w:rStyle w:val="CharSectno"/>
        </w:rPr>
        <w:t>147D</w:t>
      </w:r>
      <w:r>
        <w:t>.</w:t>
      </w:r>
      <w:r>
        <w:tab/>
        <w:t>Residential land</w:t>
      </w:r>
      <w:bookmarkEnd w:id="2301"/>
      <w:bookmarkEnd w:id="2302"/>
    </w:p>
    <w:p>
      <w:pPr>
        <w:pStyle w:val="Subsection"/>
      </w:pPr>
      <w:r>
        <w:tab/>
      </w:r>
      <w:r>
        <w:tab/>
        <w:t xml:space="preserve">Land </w:t>
      </w:r>
      <w:ins w:id="2303" w:author="Master Repository Process" w:date="2022-05-27T14:27:00Z">
        <w:r>
          <w:t xml:space="preserve">that is the subject of an eligible transaction </w:t>
        </w:r>
      </w:ins>
      <w:r>
        <w:t xml:space="preserve">is </w:t>
      </w:r>
      <w:r>
        <w:rPr>
          <w:rStyle w:val="CharDefText"/>
        </w:rPr>
        <w:t>residential land</w:t>
      </w:r>
      <w:r>
        <w:t xml:space="preserve"> if — </w:t>
      </w:r>
    </w:p>
    <w:p>
      <w:pPr>
        <w:pStyle w:val="Indenta"/>
      </w:pPr>
      <w:r>
        <w:tab/>
        <w:t>(a)</w:t>
      </w:r>
      <w:r>
        <w:tab/>
        <w:t>there is a residence on the land; or</w:t>
      </w:r>
    </w:p>
    <w:p>
      <w:pPr>
        <w:pStyle w:val="Indenta"/>
      </w:pPr>
      <w:r>
        <w:tab/>
        <w:t>(b)</w:t>
      </w:r>
      <w:r>
        <w:tab/>
        <w:t>the taxpayer</w:t>
      </w:r>
      <w:ins w:id="2304" w:author="Master Repository Process" w:date="2022-05-27T14:27:00Z">
        <w:r>
          <w:t>, or a substituted transferee in relation to the eligible transaction,</w:t>
        </w:r>
      </w:ins>
      <w:r>
        <w:t xml:space="preserve"> has begun construction of a residence on the land; or</w:t>
      </w:r>
    </w:p>
    <w:p>
      <w:pPr>
        <w:pStyle w:val="Indenta"/>
      </w:pPr>
      <w:r>
        <w:tab/>
        <w:t>(c)</w:t>
      </w:r>
      <w:r>
        <w:tab/>
        <w:t>the taxpayer</w:t>
      </w:r>
      <w:ins w:id="2305" w:author="Master Repository Process" w:date="2022-05-27T14:27:00Z">
        <w:r>
          <w:t>, or a substituted transferee in relation to the eligible transaction,</w:t>
        </w:r>
      </w:ins>
      <w:r>
        <w:t xml:space="preserve"> has entered into a contract for the construction of a residence on the land; or</w:t>
      </w:r>
    </w:p>
    <w:p>
      <w:pPr>
        <w:pStyle w:val="Indenta"/>
      </w:pPr>
      <w:r>
        <w:tab/>
        <w:t>(d)</w:t>
      </w:r>
      <w:r>
        <w:tab/>
        <w:t>the taxpayer</w:t>
      </w:r>
      <w:del w:id="2306" w:author="Master Repository Process" w:date="2022-05-27T14:27:00Z">
        <w:r>
          <w:delText xml:space="preserve"> </w:delText>
        </w:r>
      </w:del>
      <w:ins w:id="2307" w:author="Master Repository Process" w:date="2022-05-27T14:27:00Z">
        <w:r>
          <w:t>, or a substituted transferee in relation to the eligible transaction,</w:t>
        </w:r>
      </w:ins>
      <w:r>
        <w:t>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r>
        <w:tab/>
        <w:t>[Section 147D inserted: No. 30 of 2008 s. 26; amended: No. 24 of 2018 s. </w:t>
      </w:r>
      <w:del w:id="2308" w:author="Master Repository Process" w:date="2022-05-27T14:27:00Z">
        <w:r>
          <w:delText>7</w:delText>
        </w:r>
      </w:del>
      <w:ins w:id="2309" w:author="Master Repository Process" w:date="2022-05-27T14:27:00Z">
        <w:r>
          <w:t>7; No. 12 of 2019 s. 54</w:t>
        </w:r>
      </w:ins>
      <w:r>
        <w:t>.]</w:t>
      </w:r>
    </w:p>
    <w:p>
      <w:pPr>
        <w:pStyle w:val="Heading5"/>
        <w:keepNext w:val="0"/>
        <w:keepLines w:val="0"/>
      </w:pPr>
      <w:bookmarkStart w:id="2310" w:name="_Toc104291026"/>
      <w:bookmarkStart w:id="2311" w:name="_Toc531859373"/>
      <w:r>
        <w:rPr>
          <w:rStyle w:val="CharSectno"/>
        </w:rPr>
        <w:t>147E</w:t>
      </w:r>
      <w:r>
        <w:t>.</w:t>
      </w:r>
      <w:r>
        <w:tab/>
        <w:t>Concessional rate of duty chargeable on concessional transactions</w:t>
      </w:r>
      <w:bookmarkEnd w:id="2310"/>
      <w:bookmarkEnd w:id="2311"/>
    </w:p>
    <w:p>
      <w:pPr>
        <w:pStyle w:val="Subsection"/>
        <w:spacing w:before="120"/>
      </w:pPr>
      <w:r>
        <w:tab/>
      </w:r>
      <w:r>
        <w:tab/>
        <w:t>Duty is chargeable on a concessional transaction at the applicable concessional rate of duty and the Commissioner, on application being made in the approved form, is to assess the liability to duty at that rate.</w:t>
      </w:r>
    </w:p>
    <w:p>
      <w:pPr>
        <w:pStyle w:val="Footnotesection"/>
      </w:pPr>
      <w:r>
        <w:tab/>
        <w:t>[Section 147E inserted: No. 30 of 2008 s. 26; amended: No. 17 of 2010 s. 14.]</w:t>
      </w:r>
    </w:p>
    <w:p>
      <w:pPr>
        <w:pStyle w:val="Heading5"/>
      </w:pPr>
      <w:bookmarkStart w:id="2312" w:name="_Toc104291027"/>
      <w:bookmarkStart w:id="2313" w:name="_Toc531859374"/>
      <w:r>
        <w:rPr>
          <w:rStyle w:val="CharSectno"/>
        </w:rPr>
        <w:t>147F</w:t>
      </w:r>
      <w:r>
        <w:t>.</w:t>
      </w:r>
      <w:r>
        <w:tab/>
        <w:t>Eligible transactions to be reassessed if construction of residence begins etc. in certain time</w:t>
      </w:r>
      <w:bookmarkEnd w:id="2312"/>
      <w:bookmarkEnd w:id="2313"/>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the taxpayer</w:t>
      </w:r>
      <w:del w:id="2314" w:author="Master Repository Process" w:date="2022-05-27T14:27:00Z">
        <w:r>
          <w:delText xml:space="preserve"> — </w:delText>
        </w:r>
      </w:del>
      <w:ins w:id="2315" w:author="Master Repository Process" w:date="2022-05-27T14:27:00Z">
        <w:r>
          <w:t xml:space="preserve"> or a substituted transferee in relation to the eligible transaction —</w:t>
        </w:r>
      </w:ins>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the taxpayer</w:t>
      </w:r>
      <w:del w:id="2316" w:author="Master Repository Process" w:date="2022-05-27T14:27:00Z">
        <w:r>
          <w:delText> —</w:delText>
        </w:r>
      </w:del>
      <w:ins w:id="2317" w:author="Master Repository Process" w:date="2022-05-27T14:27:00Z">
        <w:r>
          <w:t xml:space="preserve">, or a substituted transferee in relation to the eligible transaction for the land — </w:t>
        </w:r>
      </w:ins>
      <w:r>
        <w:t xml:space="preserve">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aggregated transaction at the applicable concessional rate of duty and the duty as reassessed is to be apportioned between the separate transactions as decided by the Commissioner.</w:t>
      </w:r>
    </w:p>
    <w:p>
      <w:pPr>
        <w:pStyle w:val="Subsection"/>
        <w:keepNext/>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r>
        <w:tab/>
        <w:t>[Section 147F inserted: No. 30 of 2008 s. 26; amended: No. 17 of 2010 s. </w:t>
      </w:r>
      <w:del w:id="2318" w:author="Master Repository Process" w:date="2022-05-27T14:27:00Z">
        <w:r>
          <w:delText>15</w:delText>
        </w:r>
      </w:del>
      <w:ins w:id="2319" w:author="Master Repository Process" w:date="2022-05-27T14:27:00Z">
        <w:r>
          <w:t>15; No. 12 of 2019 s. 55</w:t>
        </w:r>
      </w:ins>
      <w:r>
        <w:t>.]</w:t>
      </w:r>
    </w:p>
    <w:p>
      <w:pPr>
        <w:pStyle w:val="Heading5"/>
        <w:keepNext w:val="0"/>
        <w:keepLines w:val="0"/>
      </w:pPr>
      <w:bookmarkStart w:id="2320" w:name="_Toc104291028"/>
      <w:bookmarkStart w:id="2321" w:name="_Toc531859375"/>
      <w:r>
        <w:rPr>
          <w:rStyle w:val="CharSectno"/>
        </w:rPr>
        <w:t>147G</w:t>
      </w:r>
      <w:r>
        <w:t>.</w:t>
      </w:r>
      <w:r>
        <w:tab/>
        <w:t>Application for assessment or reassessment at concessional rate</w:t>
      </w:r>
      <w:bookmarkEnd w:id="2320"/>
      <w:bookmarkEnd w:id="2321"/>
    </w:p>
    <w:p>
      <w:pPr>
        <w:pStyle w:val="Subsection"/>
      </w:pPr>
      <w:r>
        <w:tab/>
      </w:r>
      <w:r>
        <w:tab/>
        <w:t>An application for assessment or reassessment under this Division must be made in the approved form.</w:t>
      </w:r>
    </w:p>
    <w:p>
      <w:pPr>
        <w:pStyle w:val="Footnotesection"/>
      </w:pPr>
      <w:r>
        <w:tab/>
        <w:t>[Section 147G inserted: No. 30 of 2008 s. 26.]</w:t>
      </w:r>
    </w:p>
    <w:p>
      <w:pPr>
        <w:pStyle w:val="Heading4"/>
        <w:rPr>
          <w:sz w:val="26"/>
        </w:rPr>
      </w:pPr>
      <w:bookmarkStart w:id="2322" w:name="_Toc37946834"/>
      <w:bookmarkStart w:id="2323" w:name="_Toc37947434"/>
      <w:bookmarkStart w:id="2324" w:name="_Toc38031498"/>
      <w:bookmarkStart w:id="2325" w:name="_Toc93310007"/>
      <w:bookmarkStart w:id="2326" w:name="_Toc104291029"/>
      <w:bookmarkStart w:id="2327" w:name="_Toc530491761"/>
      <w:bookmarkStart w:id="2328" w:name="_Toc530492221"/>
      <w:bookmarkStart w:id="2329" w:name="_Toc530493231"/>
      <w:bookmarkStart w:id="2330" w:name="_Toc530556366"/>
      <w:bookmarkStart w:id="2331" w:name="_Toc531692204"/>
      <w:bookmarkStart w:id="2332" w:name="_Toc531856109"/>
      <w:bookmarkStart w:id="2333" w:name="_Toc531858837"/>
      <w:bookmarkStart w:id="2334" w:name="_Toc531859376"/>
      <w:r>
        <w:rPr>
          <w:sz w:val="26"/>
        </w:rPr>
        <w:t>Division 4 — Residential or business concessions</w:t>
      </w:r>
      <w:bookmarkEnd w:id="2322"/>
      <w:bookmarkEnd w:id="2323"/>
      <w:bookmarkEnd w:id="2324"/>
      <w:bookmarkEnd w:id="2325"/>
      <w:bookmarkEnd w:id="2326"/>
      <w:bookmarkEnd w:id="2327"/>
      <w:bookmarkEnd w:id="2328"/>
      <w:bookmarkEnd w:id="2329"/>
      <w:bookmarkEnd w:id="2330"/>
      <w:bookmarkEnd w:id="2331"/>
      <w:bookmarkEnd w:id="2332"/>
      <w:bookmarkEnd w:id="2333"/>
      <w:bookmarkEnd w:id="2334"/>
    </w:p>
    <w:p>
      <w:pPr>
        <w:pStyle w:val="Heading5"/>
      </w:pPr>
      <w:bookmarkStart w:id="2335" w:name="_Toc104291030"/>
      <w:bookmarkStart w:id="2336" w:name="_Toc531859377"/>
      <w:r>
        <w:rPr>
          <w:rStyle w:val="CharSectno"/>
        </w:rPr>
        <w:t>147</w:t>
      </w:r>
      <w:r>
        <w:t>.</w:t>
      </w:r>
      <w:r>
        <w:tab/>
        <w:t xml:space="preserve">Concessional rates for transactions referred to in </w:t>
      </w:r>
      <w:r>
        <w:rPr>
          <w:i/>
          <w:iCs/>
        </w:rPr>
        <w:t>Stamp Act 1921</w:t>
      </w:r>
      <w:r>
        <w:t xml:space="preserve"> s. 75AE</w:t>
      </w:r>
      <w:bookmarkEnd w:id="2335"/>
      <w:bookmarkEnd w:id="2336"/>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keepLines/>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No. 30 of 2008 s. 27.]</w:t>
      </w:r>
    </w:p>
    <w:p>
      <w:pPr>
        <w:pStyle w:val="Heading2"/>
        <w:rPr>
          <w:sz w:val="32"/>
        </w:rPr>
      </w:pPr>
      <w:bookmarkStart w:id="2337" w:name="_Toc37946836"/>
      <w:bookmarkStart w:id="2338" w:name="_Toc37947436"/>
      <w:bookmarkStart w:id="2339" w:name="_Toc38031500"/>
      <w:bookmarkStart w:id="2340" w:name="_Toc93310009"/>
      <w:bookmarkStart w:id="2341" w:name="_Toc104291031"/>
      <w:bookmarkStart w:id="2342" w:name="_Toc530491763"/>
      <w:bookmarkStart w:id="2343" w:name="_Toc530492223"/>
      <w:bookmarkStart w:id="2344" w:name="_Toc530493233"/>
      <w:bookmarkStart w:id="2345" w:name="_Toc530556368"/>
      <w:bookmarkStart w:id="2346" w:name="_Toc531692206"/>
      <w:bookmarkStart w:id="2347" w:name="_Toc531856111"/>
      <w:bookmarkStart w:id="2348" w:name="_Toc531858839"/>
      <w:bookmarkStart w:id="2349" w:name="_Toc531859378"/>
      <w:r>
        <w:rPr>
          <w:rStyle w:val="CharPartNo"/>
          <w:sz w:val="32"/>
        </w:rPr>
        <w:t>Chapter 3</w:t>
      </w:r>
      <w:r>
        <w:rPr>
          <w:sz w:val="32"/>
        </w:rPr>
        <w:t> — </w:t>
      </w:r>
      <w:r>
        <w:rPr>
          <w:rStyle w:val="CharPartText"/>
          <w:sz w:val="32"/>
        </w:rPr>
        <w:t>Landholder duty</w:t>
      </w:r>
      <w:bookmarkEnd w:id="2337"/>
      <w:bookmarkEnd w:id="2338"/>
      <w:bookmarkEnd w:id="2339"/>
      <w:bookmarkEnd w:id="2340"/>
      <w:bookmarkEnd w:id="2341"/>
      <w:bookmarkEnd w:id="2342"/>
      <w:bookmarkEnd w:id="2343"/>
      <w:bookmarkEnd w:id="2344"/>
      <w:bookmarkEnd w:id="2345"/>
      <w:bookmarkEnd w:id="2346"/>
      <w:bookmarkEnd w:id="2347"/>
      <w:bookmarkEnd w:id="2348"/>
      <w:bookmarkEnd w:id="2349"/>
    </w:p>
    <w:p>
      <w:pPr>
        <w:pStyle w:val="Heading3"/>
        <w:rPr>
          <w:sz w:val="28"/>
        </w:rPr>
      </w:pPr>
      <w:bookmarkStart w:id="2350" w:name="_Toc37946837"/>
      <w:bookmarkStart w:id="2351" w:name="_Toc37947437"/>
      <w:bookmarkStart w:id="2352" w:name="_Toc38031501"/>
      <w:bookmarkStart w:id="2353" w:name="_Toc93310010"/>
      <w:bookmarkStart w:id="2354" w:name="_Toc104291032"/>
      <w:bookmarkStart w:id="2355" w:name="_Toc530491764"/>
      <w:bookmarkStart w:id="2356" w:name="_Toc530492224"/>
      <w:bookmarkStart w:id="2357" w:name="_Toc530493234"/>
      <w:bookmarkStart w:id="2358" w:name="_Toc530556369"/>
      <w:bookmarkStart w:id="2359" w:name="_Toc531692207"/>
      <w:bookmarkStart w:id="2360" w:name="_Toc531856112"/>
      <w:bookmarkStart w:id="2361" w:name="_Toc531858840"/>
      <w:bookmarkStart w:id="2362" w:name="_Toc531859379"/>
      <w:r>
        <w:rPr>
          <w:rStyle w:val="CharDivNo"/>
          <w:sz w:val="28"/>
        </w:rPr>
        <w:t>Part 1</w:t>
      </w:r>
      <w:r>
        <w:rPr>
          <w:sz w:val="28"/>
        </w:rPr>
        <w:t> — </w:t>
      </w:r>
      <w:r>
        <w:rPr>
          <w:rStyle w:val="CharDivText"/>
          <w:sz w:val="28"/>
        </w:rPr>
        <w:t>Preliminary</w:t>
      </w:r>
      <w:bookmarkEnd w:id="2350"/>
      <w:bookmarkEnd w:id="2351"/>
      <w:bookmarkEnd w:id="2352"/>
      <w:bookmarkEnd w:id="2353"/>
      <w:bookmarkEnd w:id="2354"/>
      <w:bookmarkEnd w:id="2355"/>
      <w:bookmarkEnd w:id="2356"/>
      <w:bookmarkEnd w:id="2357"/>
      <w:bookmarkEnd w:id="2358"/>
      <w:bookmarkEnd w:id="2359"/>
      <w:bookmarkEnd w:id="2360"/>
      <w:bookmarkEnd w:id="2361"/>
      <w:bookmarkEnd w:id="2362"/>
    </w:p>
    <w:p>
      <w:pPr>
        <w:pStyle w:val="Heading5"/>
      </w:pPr>
      <w:bookmarkStart w:id="2363" w:name="_Toc104291033"/>
      <w:bookmarkStart w:id="2364" w:name="_Toc531859380"/>
      <w:r>
        <w:rPr>
          <w:rStyle w:val="CharSectno"/>
        </w:rPr>
        <w:t>148</w:t>
      </w:r>
      <w:r>
        <w:t>.</w:t>
      </w:r>
      <w:r>
        <w:tab/>
        <w:t>Terms used</w:t>
      </w:r>
      <w:bookmarkEnd w:id="2363"/>
      <w:bookmarkEnd w:id="2364"/>
    </w:p>
    <w:p>
      <w:pPr>
        <w:pStyle w:val="Subsection"/>
      </w:pPr>
      <w:r>
        <w:tab/>
      </w:r>
      <w:ins w:id="2365" w:author="Master Repository Process" w:date="2022-05-27T14:27:00Z">
        <w:r>
          <w:t>(1)</w:t>
        </w:r>
      </w:ins>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rPr>
          <w:ins w:id="2366" w:author="Master Repository Process" w:date="2022-05-27T14:27:00Z"/>
        </w:rPr>
      </w:pPr>
      <w:ins w:id="2367" w:author="Master Repository Process" w:date="2022-05-27T14:27:00Z">
        <w:r>
          <w:tab/>
        </w:r>
        <w:r>
          <w:rPr>
            <w:rStyle w:val="CharDefText"/>
          </w:rPr>
          <w:t>further interest</w:t>
        </w:r>
        <w:r>
          <w:t xml:space="preserve"> means an interest in a landholder acquired by a relevant acquisition to which section 163(1)(c) or (d) applies;</w:t>
        </w:r>
      </w:ins>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rPr>
          <w:ins w:id="2368" w:author="Master Repository Process" w:date="2022-05-27T14:27:00Z"/>
        </w:rPr>
      </w:pPr>
      <w:ins w:id="2369" w:author="Master Repository Process" w:date="2022-05-27T14:27:00Z">
        <w:r>
          <w:tab/>
        </w:r>
        <w:r>
          <w:rPr>
            <w:rStyle w:val="CharDefText"/>
          </w:rPr>
          <w:t>land asset</w:t>
        </w:r>
        <w:r>
          <w:t xml:space="preserve"> means any of the following — </w:t>
        </w:r>
      </w:ins>
    </w:p>
    <w:p>
      <w:pPr>
        <w:pStyle w:val="Defpara"/>
        <w:rPr>
          <w:ins w:id="2370" w:author="Master Repository Process" w:date="2022-05-27T14:27:00Z"/>
        </w:rPr>
      </w:pPr>
      <w:ins w:id="2371" w:author="Master Repository Process" w:date="2022-05-27T14:27:00Z">
        <w:r>
          <w:tab/>
          <w:t>(a)</w:t>
        </w:r>
        <w:r>
          <w:tab/>
          <w:t>land;</w:t>
        </w:r>
      </w:ins>
    </w:p>
    <w:p>
      <w:pPr>
        <w:pStyle w:val="Indenta"/>
        <w:rPr>
          <w:ins w:id="2372" w:author="Master Repository Process" w:date="2022-05-27T14:27:00Z"/>
        </w:rPr>
      </w:pPr>
      <w:ins w:id="2373" w:author="Master Repository Process" w:date="2022-05-27T14:27:00Z">
        <w:r>
          <w:tab/>
          <w:t>(b)</w:t>
        </w:r>
        <w:r>
          <w:tab/>
          <w:t>a fixed infrastructure control right;</w:t>
        </w:r>
      </w:ins>
    </w:p>
    <w:p>
      <w:pPr>
        <w:pStyle w:val="Indenta"/>
        <w:rPr>
          <w:ins w:id="2374" w:author="Master Repository Process" w:date="2022-05-27T14:27:00Z"/>
        </w:rPr>
      </w:pPr>
      <w:ins w:id="2375" w:author="Master Repository Process" w:date="2022-05-27T14:27:00Z">
        <w:r>
          <w:tab/>
          <w:t>(c)</w:t>
        </w:r>
        <w:r>
          <w:tab/>
          <w:t>a derivative mining right;</w:t>
        </w:r>
      </w:ins>
    </w:p>
    <w:p>
      <w:pPr>
        <w:pStyle w:val="Indenta"/>
        <w:rPr>
          <w:ins w:id="2376" w:author="Master Repository Process" w:date="2022-05-27T14:27:00Z"/>
        </w:rPr>
      </w:pPr>
      <w:ins w:id="2377" w:author="Master Repository Process" w:date="2022-05-27T14:27:00Z">
        <w:r>
          <w:tab/>
          <w:t>(d)</w:t>
        </w:r>
        <w:r>
          <w:tab/>
          <w:t>subject to section 204A, a fixed infrastructure access right;</w:t>
        </w:r>
      </w:ins>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tab/>
      </w:r>
      <w:r>
        <w:rPr>
          <w:rStyle w:val="CharDefText"/>
        </w:rPr>
        <w:t>related person</w:t>
      </w:r>
      <w:r>
        <w:t xml:space="preserve"> has the meaning given in section 162;</w:t>
      </w:r>
    </w:p>
    <w:p>
      <w:pPr>
        <w:pStyle w:val="Defstart"/>
      </w:pPr>
      <w:r>
        <w:rPr>
          <w:b/>
        </w:rPr>
        <w:tab/>
      </w:r>
      <w:r>
        <w:rPr>
          <w:rStyle w:val="CharDefText"/>
        </w:rPr>
        <w:t>relevant acquisition</w:t>
      </w:r>
      <w:r>
        <w:t xml:space="preserve"> has the meaning given in </w:t>
      </w:r>
      <w:del w:id="2378" w:author="Master Repository Process" w:date="2022-05-27T14:27:00Z">
        <w:r>
          <w:delText>sections</w:delText>
        </w:r>
      </w:del>
      <w:ins w:id="2379" w:author="Master Repository Process" w:date="2022-05-27T14:27:00Z">
        <w:r>
          <w:t>section</w:t>
        </w:r>
      </w:ins>
      <w:r>
        <w:t> 163</w:t>
      </w:r>
      <w:del w:id="2380" w:author="Master Repository Process" w:date="2022-05-27T14:27:00Z">
        <w:r>
          <w:delText xml:space="preserve"> and 164;</w:delText>
        </w:r>
      </w:del>
      <w:ins w:id="2381" w:author="Master Repository Process" w:date="2022-05-27T14:27:00Z">
        <w:r>
          <w:t>(1);</w:t>
        </w:r>
      </w:ins>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w:t>
      </w:r>
      <w:del w:id="2382" w:author="Master Repository Process" w:date="2022-05-27T14:27:00Z">
        <w:r>
          <w:delText>section</w:delText>
        </w:r>
      </w:del>
      <w:ins w:id="2383" w:author="Master Repository Process" w:date="2022-05-27T14:27:00Z">
        <w:r>
          <w:t>sections</w:t>
        </w:r>
      </w:ins>
      <w:r>
        <w:t xml:space="preserve"> 36 </w:t>
      </w:r>
      <w:ins w:id="2384" w:author="Master Repository Process" w:date="2022-05-27T14:27:00Z">
        <w:r>
          <w:t xml:space="preserve">and 36A </w:t>
        </w:r>
      </w:ins>
      <w:r>
        <w:t xml:space="preserve">as applied by </w:t>
      </w:r>
      <w:del w:id="2385" w:author="Master Repository Process" w:date="2022-05-27T14:27:00Z">
        <w:r>
          <w:delText>section</w:delText>
        </w:r>
      </w:del>
      <w:ins w:id="2386" w:author="Master Repository Process" w:date="2022-05-27T14:27:00Z">
        <w:r>
          <w:t>sections</w:t>
        </w:r>
      </w:ins>
      <w:r>
        <w:t> 150</w:t>
      </w:r>
      <w:ins w:id="2387" w:author="Master Repository Process" w:date="2022-05-27T14:27:00Z">
        <w:r>
          <w:t xml:space="preserve"> and 204C</w:t>
        </w:r>
      </w:ins>
      <w:r>
        <w:t>.</w:t>
      </w:r>
    </w:p>
    <w:p>
      <w:pPr>
        <w:pStyle w:val="Subsection"/>
        <w:rPr>
          <w:ins w:id="2388" w:author="Master Repository Process" w:date="2022-05-27T14:27:00Z"/>
        </w:rPr>
      </w:pPr>
      <w:ins w:id="2389" w:author="Master Repository Process" w:date="2022-05-27T14:27:00Z">
        <w:r>
          <w:tab/>
          <w:t>(2)</w:t>
        </w:r>
        <w:r>
          <w:tab/>
          <w:t xml:space="preserve">For the purposes of this Chapter, a land asset referred to in paragraph (b), (c) or (d) of the definition of </w:t>
        </w:r>
        <w:r>
          <w:rPr>
            <w:b/>
            <w:i/>
          </w:rPr>
          <w:t>land asset</w:t>
        </w:r>
        <w:r>
          <w:t xml:space="preserve"> in subsection (1) is taken to be a land asset in Western Australia.</w:t>
        </w:r>
      </w:ins>
    </w:p>
    <w:p>
      <w:pPr>
        <w:pStyle w:val="Footnotesection"/>
        <w:ind w:left="890" w:hanging="890"/>
      </w:pPr>
      <w:r>
        <w:tab/>
        <w:t>[Section 148 amended: No. 32 of 2012 s. </w:t>
      </w:r>
      <w:del w:id="2390" w:author="Master Repository Process" w:date="2022-05-27T14:27:00Z">
        <w:r>
          <w:delText>10</w:delText>
        </w:r>
      </w:del>
      <w:ins w:id="2391" w:author="Master Repository Process" w:date="2022-05-27T14:27:00Z">
        <w:r>
          <w:t>10; No. 12 of 2019 s. 56</w:t>
        </w:r>
      </w:ins>
      <w:r>
        <w:t>.]</w:t>
      </w:r>
    </w:p>
    <w:p>
      <w:pPr>
        <w:pStyle w:val="Heading5"/>
        <w:spacing w:before="240"/>
      </w:pPr>
      <w:bookmarkStart w:id="2392" w:name="_Toc531859381"/>
      <w:bookmarkStart w:id="2393" w:name="_Toc104291034"/>
      <w:r>
        <w:rPr>
          <w:rStyle w:val="CharSectno"/>
        </w:rPr>
        <w:t>149</w:t>
      </w:r>
      <w:r>
        <w:t>.</w:t>
      </w:r>
      <w:r>
        <w:tab/>
      </w:r>
      <w:del w:id="2394" w:author="Master Repository Process" w:date="2022-05-27T14:27:00Z">
        <w:r>
          <w:delText>Entitlement</w:delText>
        </w:r>
      </w:del>
      <w:ins w:id="2395" w:author="Master Repository Process" w:date="2022-05-27T14:27:00Z">
        <w:r>
          <w:t>Determining entitlement</w:t>
        </w:r>
      </w:ins>
      <w:r>
        <w:t xml:space="preserve"> to land</w:t>
      </w:r>
      <w:del w:id="2396" w:author="Master Repository Process" w:date="2022-05-27T14:27:00Z">
        <w:r>
          <w:delText>, determining</w:delText>
        </w:r>
      </w:del>
      <w:bookmarkEnd w:id="2392"/>
      <w:ins w:id="2397" w:author="Master Repository Process" w:date="2022-05-27T14:27:00Z">
        <w:r>
          <w:t xml:space="preserve"> assets and chattels</w:t>
        </w:r>
      </w:ins>
      <w:bookmarkEnd w:id="2393"/>
    </w:p>
    <w:p>
      <w:pPr>
        <w:pStyle w:val="Subsection"/>
        <w:spacing w:before="180"/>
      </w:pPr>
      <w:r>
        <w:tab/>
        <w:t>(1)</w:t>
      </w:r>
      <w:r>
        <w:tab/>
        <w:t xml:space="preserve">In determining the entitlement of a landholder or other entity to land </w:t>
      </w:r>
      <w:ins w:id="2398" w:author="Master Repository Process" w:date="2022-05-27T14:27:00Z">
        <w:r>
          <w:t xml:space="preserve">assets, chattels, or land assets and chattels, </w:t>
        </w:r>
      </w:ins>
      <w:r>
        <w:t xml:space="preserve">for the purposes of this Chapter — </w:t>
      </w:r>
    </w:p>
    <w:p>
      <w:pPr>
        <w:pStyle w:val="Indenta"/>
      </w:pPr>
      <w:r>
        <w:tab/>
        <w:t>(a)</w:t>
      </w:r>
      <w:r>
        <w:tab/>
        <w:t>if the landholder or other entity has entered into an agreement to acquire an interest in land</w:t>
      </w:r>
      <w:del w:id="2399" w:author="Master Repository Process" w:date="2022-05-27T14:27:00Z">
        <w:r>
          <w:delText>,</w:delText>
        </w:r>
      </w:del>
      <w:ins w:id="2400" w:author="Master Repository Process" w:date="2022-05-27T14:27:00Z">
        <w:r>
          <w:t xml:space="preserve"> assets, chattels, or land assets and chattels</w:t>
        </w:r>
      </w:ins>
      <w:r>
        <w:t xml:space="preserve"> the agreement is to be regarded as having been completed even if it has not yet been completed; and</w:t>
      </w:r>
    </w:p>
    <w:p>
      <w:pPr>
        <w:pStyle w:val="Indenta"/>
      </w:pPr>
      <w:r>
        <w:tab/>
        <w:t>(b)</w:t>
      </w:r>
      <w:r>
        <w:tab/>
        <w:t xml:space="preserve">if the landholder or other entity has entered into an agreement to dispose of an interest in land </w:t>
      </w:r>
      <w:ins w:id="2401" w:author="Master Repository Process" w:date="2022-05-27T14:27:00Z">
        <w:r>
          <w:t xml:space="preserve">assets, chattels, or land assets and chattels, </w:t>
        </w:r>
      </w:ins>
      <w:r>
        <w:t>but the agreement has not yet been completed, the agreement is to be disregarded.</w:t>
      </w:r>
    </w:p>
    <w:p>
      <w:pPr>
        <w:pStyle w:val="Subsection"/>
        <w:rPr>
          <w:ins w:id="2402" w:author="Master Repository Process" w:date="2022-05-27T14:27:00Z"/>
        </w:rPr>
      </w:pPr>
      <w:r>
        <w:tab/>
        <w:t>(</w:t>
      </w:r>
      <w:del w:id="2403" w:author="Master Repository Process" w:date="2022-05-27T14:27:00Z">
        <w:r>
          <w:delText>2A)</w:delText>
        </w:r>
        <w:r>
          <w:tab/>
          <w:delText>For</w:delText>
        </w:r>
      </w:del>
      <w:ins w:id="2404" w:author="Master Repository Process" w:date="2022-05-27T14:27:00Z">
        <w:r>
          <w:t>2)</w:t>
        </w:r>
        <w:r>
          <w:tab/>
          <w:t>In determining</w:t>
        </w:r>
      </w:ins>
      <w:r>
        <w:t xml:space="preserve"> the </w:t>
      </w:r>
      <w:del w:id="2405" w:author="Master Repository Process" w:date="2022-05-27T14:27:00Z">
        <w:r>
          <w:delText>purposes</w:delText>
        </w:r>
      </w:del>
      <w:ins w:id="2406" w:author="Master Repository Process" w:date="2022-05-27T14:27:00Z">
        <w:r>
          <w:t>entitlement</w:t>
        </w:r>
      </w:ins>
      <w:r>
        <w:t xml:space="preserve"> of </w:t>
      </w:r>
      <w:del w:id="2407" w:author="Master Repository Process" w:date="2022-05-27T14:27:00Z">
        <w:r>
          <w:delText>subsections (2)</w:delText>
        </w:r>
      </w:del>
      <w:ins w:id="2408" w:author="Master Repository Process" w:date="2022-05-27T14:27:00Z">
        <w:r>
          <w:t>an entity to land assets, chattels, or land assets</w:t>
        </w:r>
      </w:ins>
      <w:r>
        <w:t xml:space="preserve"> and </w:t>
      </w:r>
      <w:del w:id="2409" w:author="Master Repository Process" w:date="2022-05-27T14:27:00Z">
        <w:r>
          <w:delText>(3),</w:delText>
        </w:r>
      </w:del>
      <w:ins w:id="2410" w:author="Master Repository Process" w:date="2022-05-27T14:27:00Z">
        <w:r>
          <w:t>chattels, for</w:t>
        </w:r>
      </w:ins>
      <w:r>
        <w:t xml:space="preserve"> the </w:t>
      </w:r>
      <w:del w:id="2411" w:author="Master Repository Process" w:date="2022-05-27T14:27:00Z">
        <w:r>
          <w:delText>following are</w:delText>
        </w:r>
      </w:del>
      <w:ins w:id="2412" w:author="Master Repository Process" w:date="2022-05-27T14:27:00Z">
        <w:r>
          <w:t xml:space="preserve">purposes of this Chapter — </w:t>
        </w:r>
      </w:ins>
    </w:p>
    <w:p>
      <w:pPr>
        <w:pStyle w:val="Indenta"/>
        <w:rPr>
          <w:ins w:id="2413" w:author="Master Repository Process" w:date="2022-05-27T14:27:00Z"/>
        </w:rPr>
      </w:pPr>
      <w:ins w:id="2414" w:author="Master Repository Process" w:date="2022-05-27T14:27:00Z">
        <w:r>
          <w:tab/>
          <w:t>(a)</w:t>
        </w:r>
        <w:r>
          <w:tab/>
          <w:t>an entity that is a partnership is taken</w:t>
        </w:r>
      </w:ins>
      <w:r>
        <w:t xml:space="preserve"> to be</w:t>
      </w:r>
      <w:ins w:id="2415" w:author="Master Repository Process" w:date="2022-05-27T14:27:00Z">
        <w:r>
          <w:t xml:space="preserve"> entitled to land assets or chattels if the partnership property is or includes those land assets or chattels; and</w:t>
        </w:r>
      </w:ins>
    </w:p>
    <w:p>
      <w:pPr>
        <w:pStyle w:val="Indenta"/>
        <w:rPr>
          <w:ins w:id="2416" w:author="Master Repository Process" w:date="2022-05-27T14:27:00Z"/>
        </w:rPr>
      </w:pPr>
      <w:ins w:id="2417" w:author="Master Repository Process" w:date="2022-05-27T14:27:00Z">
        <w:r>
          <w:tab/>
          <w:t>(b)</w:t>
        </w:r>
        <w:r>
          <w:tab/>
          <w:t>an entity that is a unit trust scheme or the trustee of a discretionary trust is</w:t>
        </w:r>
      </w:ins>
      <w:r>
        <w:t xml:space="preserve"> taken to be </w:t>
      </w:r>
      <w:del w:id="2418" w:author="Master Repository Process" w:date="2022-05-27T14:27:00Z">
        <w:r>
          <w:delText>part of land as a</w:delText>
        </w:r>
      </w:del>
      <w:ins w:id="2419" w:author="Master Repository Process" w:date="2022-05-27T14:27:00Z">
        <w:r>
          <w:t>entitled to land assets or chattels if the trust property is or includes those land assets or chattels.</w:t>
        </w:r>
      </w:ins>
    </w:p>
    <w:p>
      <w:pPr>
        <w:pStyle w:val="Ednotesubsection"/>
        <w:rPr>
          <w:ins w:id="2420" w:author="Master Repository Process" w:date="2022-05-27T14:27:00Z"/>
        </w:rPr>
      </w:pPr>
      <w:ins w:id="2421" w:author="Master Repository Process" w:date="2022-05-27T14:27:00Z">
        <w:r>
          <w:tab/>
          <w:t>[(2A), (3) and (4) deleted]</w:t>
        </w:r>
      </w:ins>
    </w:p>
    <w:p>
      <w:pPr>
        <w:pStyle w:val="Footnotesection"/>
        <w:rPr>
          <w:ins w:id="2422" w:author="Master Repository Process" w:date="2022-05-27T14:27:00Z"/>
        </w:rPr>
      </w:pPr>
      <w:ins w:id="2423" w:author="Master Repository Process" w:date="2022-05-27T14:27:00Z">
        <w:r>
          <w:tab/>
          <w:t>[Section 149 amended: No. 33 of 2011 s. 5; No. 12 of 2019 s. 57.]</w:t>
        </w:r>
      </w:ins>
    </w:p>
    <w:p>
      <w:pPr>
        <w:pStyle w:val="Heading5"/>
        <w:rPr>
          <w:ins w:id="2424" w:author="Master Repository Process" w:date="2022-05-27T14:27:00Z"/>
        </w:rPr>
      </w:pPr>
      <w:bookmarkStart w:id="2425" w:name="_Toc104291035"/>
      <w:ins w:id="2426" w:author="Master Repository Process" w:date="2022-05-27T14:27:00Z">
        <w:r>
          <w:rPr>
            <w:rStyle w:val="CharSectno"/>
          </w:rPr>
          <w:t>149A</w:t>
        </w:r>
        <w:r>
          <w:t>.</w:t>
        </w:r>
        <w:r>
          <w:tab/>
          <w:t>Determining entitlement to land assets: fixtures and mining tenement fixtures</w:t>
        </w:r>
        <w:bookmarkEnd w:id="2425"/>
      </w:ins>
    </w:p>
    <w:p>
      <w:pPr>
        <w:pStyle w:val="Subsection"/>
        <w:rPr>
          <w:ins w:id="2427" w:author="Master Repository Process" w:date="2022-05-27T14:27:00Z"/>
        </w:rPr>
      </w:pPr>
      <w:ins w:id="2428" w:author="Master Repository Process" w:date="2022-05-27T14:27:00Z">
        <w:r>
          <w:tab/>
          <w:t>(1)</w:t>
        </w:r>
        <w:r>
          <w:tab/>
          <w:t xml:space="preserve">In this section — </w:t>
        </w:r>
      </w:ins>
    </w:p>
    <w:p>
      <w:pPr>
        <w:pStyle w:val="Defstart"/>
      </w:pPr>
      <w:ins w:id="2429" w:author="Master Repository Process" w:date="2022-05-27T14:27:00Z">
        <w:r>
          <w:tab/>
        </w:r>
        <w:r>
          <w:rPr>
            <w:rStyle w:val="CharDefText"/>
          </w:rPr>
          <w:t>mining tenement</w:t>
        </w:r>
      </w:ins>
      <w:r>
        <w:rPr>
          <w:rStyle w:val="CharDefText"/>
        </w:rPr>
        <w:t xml:space="preserve"> fixture</w:t>
      </w:r>
      <w:ins w:id="2430" w:author="Master Repository Process" w:date="2022-05-27T14:27:00Z">
        <w:r>
          <w:t>, in relation to a mining tenement, means a thing that</w:t>
        </w:r>
      </w:ins>
      <w:r>
        <w:t xml:space="preserve"> — </w:t>
      </w:r>
    </w:p>
    <w:p>
      <w:pPr>
        <w:pStyle w:val="Indenta"/>
        <w:spacing w:before="100"/>
        <w:rPr>
          <w:del w:id="2431" w:author="Master Repository Process" w:date="2022-05-27T14:27:00Z"/>
        </w:rPr>
      </w:pPr>
      <w:r>
        <w:tab/>
        <w:t>(a</w:t>
      </w:r>
      <w:del w:id="2432" w:author="Master Repository Process" w:date="2022-05-27T14:27:00Z">
        <w:r>
          <w:delText>)</w:delText>
        </w:r>
        <w:r>
          <w:tab/>
          <w:delText xml:space="preserve">anything that — </w:delText>
        </w:r>
      </w:del>
    </w:p>
    <w:p>
      <w:pPr>
        <w:pStyle w:val="Defpara"/>
      </w:pPr>
      <w:del w:id="2433" w:author="Master Repository Process" w:date="2022-05-27T14:27:00Z">
        <w:r>
          <w:tab/>
          <w:delText>(i</w:delText>
        </w:r>
      </w:del>
      <w:r>
        <w:t>)</w:t>
      </w:r>
      <w:r>
        <w:tab/>
        <w:t xml:space="preserve">under the authority (whether direct or indirect) of </w:t>
      </w:r>
      <w:del w:id="2434" w:author="Master Repository Process" w:date="2022-05-27T14:27:00Z">
        <w:r>
          <w:delText>a</w:delText>
        </w:r>
      </w:del>
      <w:ins w:id="2435" w:author="Master Repository Process" w:date="2022-05-27T14:27:00Z">
        <w:r>
          <w:t>the</w:t>
        </w:r>
      </w:ins>
      <w:r>
        <w:t xml:space="preserve"> mining tenement, is fixed to land that is the subject of </w:t>
      </w:r>
      <w:del w:id="2436" w:author="Master Repository Process" w:date="2022-05-27T14:27:00Z">
        <w:r>
          <w:delText>that</w:delText>
        </w:r>
      </w:del>
      <w:ins w:id="2437" w:author="Master Repository Process" w:date="2022-05-27T14:27:00Z">
        <w:r>
          <w:t>the</w:t>
        </w:r>
      </w:ins>
      <w:r>
        <w:t xml:space="preserve"> mining tenement; and</w:t>
      </w:r>
    </w:p>
    <w:p>
      <w:pPr>
        <w:pStyle w:val="Defpara"/>
      </w:pPr>
      <w:r>
        <w:tab/>
        <w:t>(</w:t>
      </w:r>
      <w:del w:id="2438" w:author="Master Repository Process" w:date="2022-05-27T14:27:00Z">
        <w:r>
          <w:delText>ii</w:delText>
        </w:r>
      </w:del>
      <w:ins w:id="2439" w:author="Master Repository Process" w:date="2022-05-27T14:27:00Z">
        <w:r>
          <w:t>b</w:t>
        </w:r>
      </w:ins>
      <w:r>
        <w:t>)</w:t>
      </w:r>
      <w:r>
        <w:tab/>
        <w:t xml:space="preserve">would be part of that land as a fixture if the mining tenement were a freehold estate in the </w:t>
      </w:r>
      <w:ins w:id="2440" w:author="Master Repository Process" w:date="2022-05-27T14:27:00Z">
        <w:r>
          <w:t xml:space="preserve">subject </w:t>
        </w:r>
      </w:ins>
      <w:r>
        <w:t>land</w:t>
      </w:r>
      <w:del w:id="2441" w:author="Master Repository Process" w:date="2022-05-27T14:27:00Z">
        <w:r>
          <w:delText>;</w:delText>
        </w:r>
      </w:del>
      <w:ins w:id="2442" w:author="Master Repository Process" w:date="2022-05-27T14:27:00Z">
        <w:r>
          <w:t>.</w:t>
        </w:r>
      </w:ins>
    </w:p>
    <w:p>
      <w:pPr>
        <w:pStyle w:val="Indenta"/>
        <w:spacing w:before="100"/>
        <w:rPr>
          <w:del w:id="2443" w:author="Master Repository Process" w:date="2022-05-27T14:27:00Z"/>
        </w:rPr>
      </w:pPr>
      <w:del w:id="2444" w:author="Master Repository Process" w:date="2022-05-27T14:27:00Z">
        <w:r>
          <w:tab/>
          <w:delText>(b)</w:delText>
        </w:r>
        <w:r>
          <w:tab/>
          <w:delText xml:space="preserve">a pipeline, as defined in the </w:delText>
        </w:r>
        <w:r>
          <w:rPr>
            <w:i/>
          </w:rPr>
          <w:delText>Petroleum Pipelines Act 1969</w:delText>
        </w:r>
        <w:r>
          <w:delText xml:space="preserve"> section 4(1), constructed on land under the authority of a licence under that Act.</w:delText>
        </w:r>
      </w:del>
    </w:p>
    <w:p>
      <w:pPr>
        <w:pStyle w:val="Subsection"/>
      </w:pPr>
      <w:r>
        <w:tab/>
        <w:t>(2)</w:t>
      </w:r>
      <w:r>
        <w:tab/>
      </w:r>
      <w:del w:id="2445" w:author="Master Repository Process" w:date="2022-05-27T14:27:00Z">
        <w:r>
          <w:delText xml:space="preserve">If a landholder or other entity has an </w:delText>
        </w:r>
      </w:del>
      <w:ins w:id="2446" w:author="Master Repository Process" w:date="2022-05-27T14:27:00Z">
        <w:r>
          <w:t xml:space="preserve">In determining the </w:t>
        </w:r>
      </w:ins>
      <w:r>
        <w:t xml:space="preserve">entitlement </w:t>
      </w:r>
      <w:ins w:id="2447" w:author="Master Repository Process" w:date="2022-05-27T14:27:00Z">
        <w:r>
          <w:t xml:space="preserve">of an entity </w:t>
        </w:r>
      </w:ins>
      <w:r>
        <w:t xml:space="preserve">to </w:t>
      </w:r>
      <w:ins w:id="2448" w:author="Master Repository Process" w:date="2022-05-27T14:27:00Z">
        <w:r>
          <w:t xml:space="preserve">a land asset that is </w:t>
        </w:r>
      </w:ins>
      <w:r>
        <w:t>land, anything that is part of the land as a fixture is to be taken into account</w:t>
      </w:r>
      <w:del w:id="2449" w:author="Master Repository Process" w:date="2022-05-27T14:27:00Z">
        <w:r>
          <w:delText xml:space="preserve"> in determining the extent of the entitlement of the landholder or other entity to the land for the purposes of this Chapter</w:delText>
        </w:r>
      </w:del>
      <w:r>
        <w:t xml:space="preserve"> even if the fixture is, or purports to be, the subject of an entitlement separate from the ownership of the rest of the land.</w:t>
      </w:r>
    </w:p>
    <w:p>
      <w:pPr>
        <w:pStyle w:val="Subsection"/>
        <w:spacing w:before="120"/>
        <w:rPr>
          <w:del w:id="2450" w:author="Master Repository Process" w:date="2022-05-27T14:27:00Z"/>
        </w:rPr>
      </w:pPr>
      <w:r>
        <w:tab/>
        <w:t>(3)</w:t>
      </w:r>
      <w:r>
        <w:tab/>
      </w:r>
      <w:del w:id="2451" w:author="Master Repository Process" w:date="2022-05-27T14:27:00Z">
        <w:r>
          <w:delText>If —</w:delText>
        </w:r>
      </w:del>
    </w:p>
    <w:p>
      <w:pPr>
        <w:pStyle w:val="Indenta"/>
        <w:rPr>
          <w:del w:id="2452" w:author="Master Repository Process" w:date="2022-05-27T14:27:00Z"/>
        </w:rPr>
      </w:pPr>
      <w:del w:id="2453" w:author="Master Repository Process" w:date="2022-05-27T14:27:00Z">
        <w:r>
          <w:tab/>
          <w:delText>(a)</w:delText>
        </w:r>
        <w:r>
          <w:tab/>
          <w:delText xml:space="preserve">a landholder or other entity has an </w:delText>
        </w:r>
      </w:del>
      <w:ins w:id="2454" w:author="Master Repository Process" w:date="2022-05-27T14:27:00Z">
        <w:r>
          <w:t xml:space="preserve">In determining the </w:t>
        </w:r>
      </w:ins>
      <w:r>
        <w:t xml:space="preserve">entitlement </w:t>
      </w:r>
      <w:ins w:id="2455" w:author="Master Repository Process" w:date="2022-05-27T14:27:00Z">
        <w:r>
          <w:t xml:space="preserve">of an entity </w:t>
        </w:r>
      </w:ins>
      <w:r>
        <w:t xml:space="preserve">to </w:t>
      </w:r>
      <w:del w:id="2456" w:author="Master Repository Process" w:date="2022-05-27T14:27:00Z">
        <w:r>
          <w:delText>something</w:delText>
        </w:r>
      </w:del>
      <w:ins w:id="2457" w:author="Master Repository Process" w:date="2022-05-27T14:27:00Z">
        <w:r>
          <w:t>a land asset</w:t>
        </w:r>
      </w:ins>
      <w:r>
        <w:t xml:space="preserve"> that is </w:t>
      </w:r>
      <w:del w:id="2458" w:author="Master Repository Process" w:date="2022-05-27T14:27:00Z">
        <w:r>
          <w:delText xml:space="preserve">part of land as a </w:delText>
        </w:r>
      </w:del>
      <w:ins w:id="2459" w:author="Master Repository Process" w:date="2022-05-27T14:27:00Z">
        <w:r>
          <w:t xml:space="preserve">a mining tenement or an estate or interest in a mining tenement (a </w:t>
        </w:r>
        <w:r>
          <w:rPr>
            <w:rStyle w:val="CharDefText"/>
          </w:rPr>
          <w:t>mining tenement land asset</w:t>
        </w:r>
        <w:r>
          <w:t xml:space="preserve">), anything that is a mining tenement </w:t>
        </w:r>
      </w:ins>
      <w:r>
        <w:t>fixture</w:t>
      </w:r>
      <w:del w:id="2460" w:author="Master Repository Process" w:date="2022-05-27T14:27:00Z">
        <w:r>
          <w:delText>; and</w:delText>
        </w:r>
      </w:del>
    </w:p>
    <w:p>
      <w:pPr>
        <w:pStyle w:val="Indenta"/>
        <w:rPr>
          <w:del w:id="2461" w:author="Master Repository Process" w:date="2022-05-27T14:27:00Z"/>
        </w:rPr>
      </w:pPr>
      <w:del w:id="2462" w:author="Master Repository Process" w:date="2022-05-27T14:27:00Z">
        <w:r>
          <w:tab/>
          <w:delText>(b)</w:delText>
        </w:r>
        <w:r>
          <w:tab/>
          <w:delText xml:space="preserve">that entitlement </w:delText>
        </w:r>
      </w:del>
      <w:ins w:id="2463" w:author="Master Repository Process" w:date="2022-05-27T14:27:00Z">
        <w:r>
          <w:t xml:space="preserve"> in relation to the mining tenement is to be taken into account even if the mining tenement fixture </w:t>
        </w:r>
      </w:ins>
      <w:r>
        <w:t xml:space="preserve">is, or purports to be, </w:t>
      </w:r>
      <w:ins w:id="2464" w:author="Master Repository Process" w:date="2022-05-27T14:27:00Z">
        <w:r>
          <w:t xml:space="preserve">the subject of an entitlement </w:t>
        </w:r>
      </w:ins>
      <w:r>
        <w:t xml:space="preserve">separate from the ownership of the rest of the </w:t>
      </w:r>
      <w:del w:id="2465" w:author="Master Repository Process" w:date="2022-05-27T14:27:00Z">
        <w:r>
          <w:delText>land,</w:delText>
        </w:r>
      </w:del>
    </w:p>
    <w:p>
      <w:pPr>
        <w:pStyle w:val="Subsection"/>
      </w:pPr>
      <w:del w:id="2466" w:author="Master Repository Process" w:date="2022-05-27T14:27:00Z">
        <w:r>
          <w:tab/>
        </w:r>
        <w:r>
          <w:tab/>
          <w:delText>the landholder or other entity is to be regarded as having an entitlement to</w:delText>
        </w:r>
      </w:del>
      <w:ins w:id="2467" w:author="Master Repository Process" w:date="2022-05-27T14:27:00Z">
        <w:r>
          <w:t>mining tenement</w:t>
        </w:r>
      </w:ins>
      <w:r>
        <w:t xml:space="preserve"> land </w:t>
      </w:r>
      <w:del w:id="2468" w:author="Master Repository Process" w:date="2022-05-27T14:27:00Z">
        <w:r>
          <w:delText>for the purposes of this Chapter to the extent of its entitlement to the fixture</w:delText>
        </w:r>
      </w:del>
      <w:ins w:id="2469" w:author="Master Repository Process" w:date="2022-05-27T14:27:00Z">
        <w:r>
          <w:t>asset</w:t>
        </w:r>
      </w:ins>
      <w:r>
        <w:t>.</w:t>
      </w:r>
    </w:p>
    <w:p>
      <w:pPr>
        <w:pStyle w:val="Subsection"/>
        <w:rPr>
          <w:ins w:id="2470" w:author="Master Repository Process" w:date="2022-05-27T14:27:00Z"/>
        </w:rPr>
      </w:pPr>
      <w:del w:id="2471" w:author="Master Repository Process" w:date="2022-05-27T14:27:00Z">
        <w:r>
          <w:tab/>
          <w:delText>(4)</w:delText>
        </w:r>
        <w:r>
          <w:tab/>
          <w:delText>In subsections (2A), (2) and (3),</w:delText>
        </w:r>
      </w:del>
      <w:ins w:id="2472" w:author="Master Repository Process" w:date="2022-05-27T14:27:00Z">
        <w:r>
          <w:tab/>
          <w:t>(4)</w:t>
        </w:r>
        <w:r>
          <w:tab/>
          <w:t>Subsection (2) or (3) (whichever is relevant) does not apply for the purposes of determining the land assets to which an entity is entitled in relation to an acquisition if the fixture or the mining tenement fixture would, apart from that subsection, be taken into account separately in relation to that acquisition in determining the land assets to which that entity or another entity is entitled.</w:t>
        </w:r>
      </w:ins>
    </w:p>
    <w:p>
      <w:pPr>
        <w:pStyle w:val="Subsection"/>
      </w:pPr>
      <w:ins w:id="2473" w:author="Master Repository Process" w:date="2022-05-27T14:27:00Z">
        <w:r>
          <w:tab/>
          <w:t>(5)</w:t>
        </w:r>
        <w:r>
          <w:tab/>
          <w:t>In this section,</w:t>
        </w:r>
      </w:ins>
      <w:r>
        <w:t xml:space="preserve"> a reference to land does not include anything that is land under </w:t>
      </w:r>
      <w:del w:id="2474" w:author="Master Repository Process" w:date="2022-05-27T14:27:00Z">
        <w:r>
          <w:delText xml:space="preserve">paragraph (cb), (da) or (d) of the definition of </w:delText>
        </w:r>
        <w:r>
          <w:rPr>
            <w:b/>
            <w:i/>
          </w:rPr>
          <w:delText>land</w:delText>
        </w:r>
        <w:r>
          <w:delText xml:space="preserve"> in section 3.</w:delText>
        </w:r>
      </w:del>
      <w:ins w:id="2475" w:author="Master Repository Process" w:date="2022-05-27T14:27:00Z">
        <w:r>
          <w:t>section 3A(1)(b), (c), (f) or (g).</w:t>
        </w:r>
      </w:ins>
    </w:p>
    <w:p>
      <w:pPr>
        <w:pStyle w:val="Footnotesection"/>
      </w:pPr>
      <w:r>
        <w:tab/>
        <w:t>[Section</w:t>
      </w:r>
      <w:del w:id="2476" w:author="Master Repository Process" w:date="2022-05-27T14:27:00Z">
        <w:r>
          <w:delText> 149 amended</w:delText>
        </w:r>
      </w:del>
      <w:ins w:id="2477" w:author="Master Repository Process" w:date="2022-05-27T14:27:00Z">
        <w:r>
          <w:t xml:space="preserve"> 149A inserted</w:t>
        </w:r>
      </w:ins>
      <w:r>
        <w:t>: No.</w:t>
      </w:r>
      <w:del w:id="2478" w:author="Master Repository Process" w:date="2022-05-27T14:27:00Z">
        <w:r>
          <w:delText> 33</w:delText>
        </w:r>
      </w:del>
      <w:ins w:id="2479" w:author="Master Repository Process" w:date="2022-05-27T14:27:00Z">
        <w:r>
          <w:t xml:space="preserve"> 12</w:t>
        </w:r>
      </w:ins>
      <w:r>
        <w:t xml:space="preserve"> of </w:t>
      </w:r>
      <w:del w:id="2480" w:author="Master Repository Process" w:date="2022-05-27T14:27:00Z">
        <w:r>
          <w:delText>2011</w:delText>
        </w:r>
      </w:del>
      <w:ins w:id="2481" w:author="Master Repository Process" w:date="2022-05-27T14:27:00Z">
        <w:r>
          <w:t>2019</w:t>
        </w:r>
      </w:ins>
      <w:r>
        <w:t xml:space="preserve"> s. </w:t>
      </w:r>
      <w:del w:id="2482" w:author="Master Repository Process" w:date="2022-05-27T14:27:00Z">
        <w:r>
          <w:delText>5</w:delText>
        </w:r>
      </w:del>
      <w:ins w:id="2483" w:author="Master Repository Process" w:date="2022-05-27T14:27:00Z">
        <w:r>
          <w:t>58</w:t>
        </w:r>
      </w:ins>
      <w:r>
        <w:t>.]</w:t>
      </w:r>
    </w:p>
    <w:p>
      <w:pPr>
        <w:pStyle w:val="Heading5"/>
        <w:spacing w:before="180"/>
      </w:pPr>
      <w:bookmarkStart w:id="2484" w:name="_Toc104291036"/>
      <w:bookmarkStart w:id="2485" w:name="_Toc531859382"/>
      <w:r>
        <w:rPr>
          <w:rStyle w:val="CharSectno"/>
        </w:rPr>
        <w:t>150</w:t>
      </w:r>
      <w:r>
        <w:t>.</w:t>
      </w:r>
      <w:r>
        <w:tab/>
        <w:t xml:space="preserve">Unencumbered value of land </w:t>
      </w:r>
      <w:ins w:id="2486" w:author="Master Repository Process" w:date="2022-05-27T14:27:00Z">
        <w:r>
          <w:t xml:space="preserve">assets </w:t>
        </w:r>
      </w:ins>
      <w:r>
        <w:t>or chattels</w:t>
      </w:r>
      <w:bookmarkEnd w:id="2484"/>
      <w:bookmarkEnd w:id="2485"/>
    </w:p>
    <w:p>
      <w:pPr>
        <w:pStyle w:val="Subsection"/>
      </w:pPr>
      <w:r>
        <w:tab/>
      </w:r>
      <w:r>
        <w:tab/>
      </w:r>
      <w:del w:id="2487" w:author="Master Repository Process" w:date="2022-05-27T14:27:00Z">
        <w:r>
          <w:delText>Section</w:delText>
        </w:r>
      </w:del>
      <w:ins w:id="2488" w:author="Master Repository Process" w:date="2022-05-27T14:27:00Z">
        <w:r>
          <w:t>Sections</w:t>
        </w:r>
      </w:ins>
      <w:r>
        <w:t xml:space="preserve"> 36 </w:t>
      </w:r>
      <w:del w:id="2489" w:author="Master Repository Process" w:date="2022-05-27T14:27:00Z">
        <w:r>
          <w:delText>applies</w:delText>
        </w:r>
      </w:del>
      <w:ins w:id="2490" w:author="Master Repository Process" w:date="2022-05-27T14:27:00Z">
        <w:r>
          <w:t>and 36A apply</w:t>
        </w:r>
      </w:ins>
      <w:r>
        <w:t xml:space="preserve">, with any appropriate modifications, where it is necessary to determine the unencumbered value of land </w:t>
      </w:r>
      <w:ins w:id="2491" w:author="Master Repository Process" w:date="2022-05-27T14:27:00Z">
        <w:r>
          <w:t xml:space="preserve">assets </w:t>
        </w:r>
      </w:ins>
      <w:r>
        <w:t>or chattels for the purposes of section 155(5)(a), 157(2) or 186.</w:t>
      </w:r>
    </w:p>
    <w:p>
      <w:pPr>
        <w:pStyle w:val="Footnotesection"/>
        <w:rPr>
          <w:ins w:id="2492" w:author="Master Repository Process" w:date="2022-05-27T14:27:00Z"/>
        </w:rPr>
      </w:pPr>
      <w:ins w:id="2493" w:author="Master Repository Process" w:date="2022-05-27T14:27:00Z">
        <w:r>
          <w:tab/>
          <w:t>[Section 150 amended: No. 12 of 2019 s. 59.]</w:t>
        </w:r>
      </w:ins>
    </w:p>
    <w:p>
      <w:pPr>
        <w:pStyle w:val="Heading3"/>
        <w:spacing w:before="200"/>
        <w:rPr>
          <w:sz w:val="28"/>
        </w:rPr>
      </w:pPr>
      <w:bookmarkStart w:id="2494" w:name="_Toc37946842"/>
      <w:bookmarkStart w:id="2495" w:name="_Toc37947442"/>
      <w:bookmarkStart w:id="2496" w:name="_Toc38031506"/>
      <w:bookmarkStart w:id="2497" w:name="_Toc93310015"/>
      <w:bookmarkStart w:id="2498" w:name="_Toc104291037"/>
      <w:bookmarkStart w:id="2499" w:name="_Toc530491768"/>
      <w:bookmarkStart w:id="2500" w:name="_Toc530492228"/>
      <w:bookmarkStart w:id="2501" w:name="_Toc530493238"/>
      <w:bookmarkStart w:id="2502" w:name="_Toc530556373"/>
      <w:bookmarkStart w:id="2503" w:name="_Toc531692211"/>
      <w:bookmarkStart w:id="2504" w:name="_Toc531856116"/>
      <w:bookmarkStart w:id="2505" w:name="_Toc531858844"/>
      <w:bookmarkStart w:id="2506" w:name="_Toc531859383"/>
      <w:r>
        <w:rPr>
          <w:rStyle w:val="CharDivNo"/>
          <w:sz w:val="28"/>
        </w:rPr>
        <w:t>Part 2</w:t>
      </w:r>
      <w:r>
        <w:rPr>
          <w:sz w:val="28"/>
        </w:rPr>
        <w:t> — </w:t>
      </w:r>
      <w:r>
        <w:rPr>
          <w:rStyle w:val="CharDivText"/>
          <w:sz w:val="28"/>
        </w:rPr>
        <w:t>Imposition of landholder duty</w:t>
      </w:r>
      <w:bookmarkEnd w:id="2494"/>
      <w:bookmarkEnd w:id="2495"/>
      <w:bookmarkEnd w:id="2496"/>
      <w:bookmarkEnd w:id="2497"/>
      <w:bookmarkEnd w:id="2498"/>
      <w:bookmarkEnd w:id="2499"/>
      <w:bookmarkEnd w:id="2500"/>
      <w:bookmarkEnd w:id="2501"/>
      <w:bookmarkEnd w:id="2502"/>
      <w:bookmarkEnd w:id="2503"/>
      <w:bookmarkEnd w:id="2504"/>
      <w:bookmarkEnd w:id="2505"/>
      <w:bookmarkEnd w:id="2506"/>
    </w:p>
    <w:p>
      <w:pPr>
        <w:pStyle w:val="Heading5"/>
        <w:spacing w:before="240"/>
      </w:pPr>
      <w:bookmarkStart w:id="2507" w:name="_Toc104291038"/>
      <w:bookmarkStart w:id="2508" w:name="_Toc531859384"/>
      <w:r>
        <w:rPr>
          <w:rStyle w:val="CharSectno"/>
        </w:rPr>
        <w:t>151</w:t>
      </w:r>
      <w:r>
        <w:t>.</w:t>
      </w:r>
      <w:r>
        <w:tab/>
        <w:t>Landholder duty imposed</w:t>
      </w:r>
      <w:bookmarkEnd w:id="2507"/>
      <w:bookmarkEnd w:id="2508"/>
    </w:p>
    <w:p>
      <w:pPr>
        <w:pStyle w:val="Subsection"/>
        <w:spacing w:before="180"/>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spacing w:before="180"/>
      </w:pPr>
      <w:bookmarkStart w:id="2509" w:name="_Toc37946844"/>
      <w:bookmarkStart w:id="2510" w:name="_Toc37947444"/>
      <w:bookmarkStart w:id="2511" w:name="_Toc38031508"/>
      <w:bookmarkStart w:id="2512" w:name="_Toc93310017"/>
      <w:bookmarkStart w:id="2513" w:name="_Toc104291039"/>
      <w:bookmarkStart w:id="2514" w:name="_Toc530491770"/>
      <w:bookmarkStart w:id="2515" w:name="_Toc530492230"/>
      <w:bookmarkStart w:id="2516" w:name="_Toc530493240"/>
      <w:bookmarkStart w:id="2517" w:name="_Toc530556375"/>
      <w:bookmarkStart w:id="2518" w:name="_Toc531692213"/>
      <w:bookmarkStart w:id="2519" w:name="_Toc531856118"/>
      <w:bookmarkStart w:id="2520" w:name="_Toc531858846"/>
      <w:bookmarkStart w:id="2521" w:name="_Toc531859385"/>
      <w:r>
        <w:rPr>
          <w:rStyle w:val="CharDivNo"/>
          <w:sz w:val="28"/>
        </w:rPr>
        <w:t>Part 3</w:t>
      </w:r>
      <w:r>
        <w:rPr>
          <w:sz w:val="28"/>
        </w:rPr>
        <w:t> — </w:t>
      </w:r>
      <w:r>
        <w:rPr>
          <w:rStyle w:val="CharDivText"/>
          <w:sz w:val="28"/>
        </w:rPr>
        <w:t>Certain key concepts defined and related provisions</w:t>
      </w:r>
      <w:bookmarkEnd w:id="2509"/>
      <w:bookmarkEnd w:id="2510"/>
      <w:bookmarkEnd w:id="2511"/>
      <w:bookmarkEnd w:id="2512"/>
      <w:bookmarkEnd w:id="2513"/>
      <w:bookmarkEnd w:id="2514"/>
      <w:bookmarkEnd w:id="2515"/>
      <w:bookmarkEnd w:id="2516"/>
      <w:bookmarkEnd w:id="2517"/>
      <w:bookmarkEnd w:id="2518"/>
      <w:bookmarkEnd w:id="2519"/>
      <w:bookmarkEnd w:id="2520"/>
      <w:bookmarkEnd w:id="2521"/>
    </w:p>
    <w:p>
      <w:pPr>
        <w:pStyle w:val="Heading5"/>
      </w:pPr>
      <w:bookmarkStart w:id="2522" w:name="_Toc104291040"/>
      <w:bookmarkStart w:id="2523" w:name="_Toc531859386"/>
      <w:r>
        <w:rPr>
          <w:rStyle w:val="CharSectno"/>
        </w:rPr>
        <w:t>152</w:t>
      </w:r>
      <w:r>
        <w:t>.</w:t>
      </w:r>
      <w:r>
        <w:tab/>
        <w:t>References to entity</w:t>
      </w:r>
      <w:bookmarkEnd w:id="2522"/>
      <w:bookmarkEnd w:id="2523"/>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rPr>
          <w:ins w:id="2524" w:author="Master Repository Process" w:date="2022-05-27T14:27:00Z"/>
        </w:rPr>
      </w:pPr>
      <w:r>
        <w:tab/>
      </w:r>
      <w:r>
        <w:tab/>
        <w:t xml:space="preserve">is also an entity to </w:t>
      </w:r>
      <w:del w:id="2525" w:author="Master Repository Process" w:date="2022-05-27T14:27:00Z">
        <w:r>
          <w:delText>this</w:delText>
        </w:r>
      </w:del>
      <w:ins w:id="2526" w:author="Master Repository Process" w:date="2022-05-27T14:27:00Z">
        <w:r>
          <w:t>the</w:t>
        </w:r>
      </w:ins>
      <w:r>
        <w:t xml:space="preserve"> extent</w:t>
      </w:r>
      <w:del w:id="2527" w:author="Master Repository Process" w:date="2022-05-27T14:27:00Z">
        <w:r>
          <w:delText>, namely that the</w:delText>
        </w:r>
      </w:del>
      <w:ins w:id="2528" w:author="Master Repository Process" w:date="2022-05-27T14:27:00Z">
        <w:r>
          <w:t xml:space="preserve"> set out in subsection (3), but not otherwise.</w:t>
        </w:r>
      </w:ins>
    </w:p>
    <w:p>
      <w:pPr>
        <w:pStyle w:val="Subsection"/>
        <w:rPr>
          <w:ins w:id="2529" w:author="Master Repository Process" w:date="2022-05-27T14:27:00Z"/>
        </w:rPr>
      </w:pPr>
      <w:ins w:id="2530" w:author="Master Repository Process" w:date="2022-05-27T14:27:00Z">
        <w:r>
          <w:tab/>
          <w:t>(3)</w:t>
        </w:r>
        <w:r>
          <w:tab/>
          <w:t>The</w:t>
        </w:r>
      </w:ins>
      <w:r>
        <w:t xml:space="preserve"> trustee of a discretionary trust or a partnership may be</w:t>
      </w:r>
      <w:del w:id="2531" w:author="Master Repository Process" w:date="2022-05-27T14:27:00Z">
        <w:r>
          <w:delText xml:space="preserve"> </w:delText>
        </w:r>
      </w:del>
      <w:ins w:id="2532" w:author="Master Repository Process" w:date="2022-05-27T14:27:00Z">
        <w:r>
          <w:t xml:space="preserve"> — </w:t>
        </w:r>
      </w:ins>
    </w:p>
    <w:p>
      <w:pPr>
        <w:pStyle w:val="Indenta"/>
        <w:rPr>
          <w:ins w:id="2533" w:author="Master Repository Process" w:date="2022-05-27T14:27:00Z"/>
        </w:rPr>
      </w:pPr>
      <w:ins w:id="2534" w:author="Master Repository Process" w:date="2022-05-27T14:27:00Z">
        <w:r>
          <w:tab/>
          <w:t>(a)</w:t>
        </w:r>
        <w:r>
          <w:tab/>
          <w:t>an entity in an ownership chain referred to in section 154A (other than the main entity referred to in that section); or</w:t>
        </w:r>
      </w:ins>
    </w:p>
    <w:p>
      <w:pPr>
        <w:pStyle w:val="Indenta"/>
        <w:rPr>
          <w:ins w:id="2535" w:author="Master Repository Process" w:date="2022-05-27T14:27:00Z"/>
        </w:rPr>
      </w:pPr>
      <w:ins w:id="2536" w:author="Master Repository Process" w:date="2022-05-27T14:27:00Z">
        <w:r>
          <w:tab/>
          <w:t>(b)</w:t>
        </w:r>
        <w:r>
          <w:tab/>
          <w:t>an entity referred to in section 154B; or</w:t>
        </w:r>
      </w:ins>
    </w:p>
    <w:p>
      <w:pPr>
        <w:pStyle w:val="Indenta"/>
      </w:pPr>
      <w:ins w:id="2537" w:author="Master Repository Process" w:date="2022-05-27T14:27:00Z">
        <w:r>
          <w:tab/>
          <w:t>(c)</w:t>
        </w:r>
        <w:r>
          <w:tab/>
        </w:r>
      </w:ins>
      <w:r>
        <w:t>a linked entity under section 156</w:t>
      </w:r>
      <w:del w:id="2538" w:author="Master Repository Process" w:date="2022-05-27T14:27:00Z">
        <w:r>
          <w:delText>, but not otherwise.</w:delText>
        </w:r>
      </w:del>
      <w:ins w:id="2539" w:author="Master Repository Process" w:date="2022-05-27T14:27:00Z">
        <w:r>
          <w:t>; or</w:t>
        </w:r>
      </w:ins>
    </w:p>
    <w:p>
      <w:pPr>
        <w:pStyle w:val="Indenta"/>
        <w:rPr>
          <w:ins w:id="2540" w:author="Master Repository Process" w:date="2022-05-27T14:27:00Z"/>
        </w:rPr>
      </w:pPr>
      <w:ins w:id="2541" w:author="Master Repository Process" w:date="2022-05-27T14:27:00Z">
        <w:r>
          <w:tab/>
          <w:t>(d)</w:t>
        </w:r>
        <w:r>
          <w:tab/>
          <w:t>a relevant entity referred to in section 156A(1)(b)(i).</w:t>
        </w:r>
      </w:ins>
    </w:p>
    <w:p>
      <w:pPr>
        <w:pStyle w:val="Footnotesection"/>
        <w:rPr>
          <w:ins w:id="2542" w:author="Master Repository Process" w:date="2022-05-27T14:27:00Z"/>
        </w:rPr>
      </w:pPr>
      <w:ins w:id="2543" w:author="Master Repository Process" w:date="2022-05-27T14:27:00Z">
        <w:r>
          <w:tab/>
          <w:t>[Section 152 amended: No. 12 of 2019 s. 60.]</w:t>
        </w:r>
      </w:ins>
    </w:p>
    <w:p>
      <w:pPr>
        <w:pStyle w:val="Heading5"/>
        <w:spacing w:before="180"/>
      </w:pPr>
      <w:bookmarkStart w:id="2544" w:name="_Toc104291041"/>
      <w:bookmarkStart w:id="2545" w:name="_Toc531859387"/>
      <w:r>
        <w:rPr>
          <w:rStyle w:val="CharSectno"/>
        </w:rPr>
        <w:t>153</w:t>
      </w:r>
      <w:r>
        <w:t>.</w:t>
      </w:r>
      <w:r>
        <w:tab/>
        <w:t>References to interest in landholder or other entity</w:t>
      </w:r>
      <w:bookmarkEnd w:id="2544"/>
      <w:bookmarkEnd w:id="2545"/>
    </w:p>
    <w:p>
      <w:pPr>
        <w:pStyle w:val="Subsection"/>
        <w:spacing w:before="150"/>
      </w:pPr>
      <w:r>
        <w:tab/>
        <w:t>(1)</w:t>
      </w:r>
      <w:r>
        <w:tab/>
        <w:t>A reference in this Chapter to an interest</w:t>
      </w:r>
      <w:ins w:id="2546" w:author="Master Repository Process" w:date="2022-05-27T14:27:00Z">
        <w:r>
          <w:t xml:space="preserve"> (other than a reference to an indirect interest)</w:t>
        </w:r>
      </w:ins>
      <w:r>
        <w:t xml:space="preserve">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 xml:space="preserve">This section has effect subject to </w:t>
      </w:r>
      <w:del w:id="2547" w:author="Master Repository Process" w:date="2022-05-27T14:27:00Z">
        <w:r>
          <w:delText>section 159</w:delText>
        </w:r>
      </w:del>
      <w:ins w:id="2548" w:author="Master Repository Process" w:date="2022-05-27T14:27:00Z">
        <w:r>
          <w:t>sections 153A and 153B</w:t>
        </w:r>
      </w:ins>
      <w:r>
        <w:t>.</w:t>
      </w:r>
    </w:p>
    <w:p>
      <w:pPr>
        <w:pStyle w:val="Heading5"/>
        <w:spacing w:before="180"/>
        <w:rPr>
          <w:del w:id="2549" w:author="Master Repository Process" w:date="2022-05-27T14:27:00Z"/>
        </w:rPr>
      </w:pPr>
      <w:bookmarkStart w:id="2550" w:name="_Toc531859388"/>
      <w:del w:id="2551" w:author="Master Repository Process" w:date="2022-05-27T14:27:00Z">
        <w:r>
          <w:rPr>
            <w:rStyle w:val="CharSectno"/>
          </w:rPr>
          <w:delText>154</w:delText>
        </w:r>
        <w:r>
          <w:delText>.</w:delText>
        </w:r>
        <w:r>
          <w:tab/>
          <w:delText>Interest of person in landholder etc., calculating</w:delText>
        </w:r>
        <w:bookmarkEnd w:id="2550"/>
      </w:del>
    </w:p>
    <w:p>
      <w:pPr>
        <w:pStyle w:val="Footnotesection"/>
        <w:rPr>
          <w:ins w:id="2552" w:author="Master Repository Process" w:date="2022-05-27T14:27:00Z"/>
        </w:rPr>
      </w:pPr>
      <w:ins w:id="2553" w:author="Master Repository Process" w:date="2022-05-27T14:27:00Z">
        <w:r>
          <w:tab/>
          <w:t>[Section 153 amended: No. 12 of 2019 s. 61.]</w:t>
        </w:r>
      </w:ins>
    </w:p>
    <w:p>
      <w:pPr>
        <w:pStyle w:val="Heading5"/>
        <w:rPr>
          <w:ins w:id="2554" w:author="Master Repository Process" w:date="2022-05-27T14:27:00Z"/>
        </w:rPr>
      </w:pPr>
      <w:bookmarkStart w:id="2555" w:name="_Toc104291042"/>
      <w:ins w:id="2556" w:author="Master Repository Process" w:date="2022-05-27T14:27:00Z">
        <w:r>
          <w:rPr>
            <w:rStyle w:val="CharSectno"/>
          </w:rPr>
          <w:t>153A</w:t>
        </w:r>
        <w:r>
          <w:t>.</w:t>
        </w:r>
        <w:r>
          <w:tab/>
          <w:t>References to interest in, or held by, trustee of discretionary trust</w:t>
        </w:r>
        <w:bookmarkEnd w:id="2555"/>
      </w:ins>
    </w:p>
    <w:p>
      <w:pPr>
        <w:pStyle w:val="Subsection"/>
        <w:rPr>
          <w:ins w:id="2557" w:author="Master Repository Process" w:date="2022-05-27T14:27:00Z"/>
        </w:rPr>
      </w:pPr>
      <w:ins w:id="2558" w:author="Master Repository Process" w:date="2022-05-27T14:27:00Z">
        <w:r>
          <w:tab/>
        </w:r>
        <w:r>
          <w:tab/>
          <w:t xml:space="preserve">For the purposes of section 154A, if a trustee of a discretionary trust is an entity in an ownership chain referred to in that section — </w:t>
        </w:r>
      </w:ins>
    </w:p>
    <w:p>
      <w:pPr>
        <w:pStyle w:val="Indenta"/>
        <w:rPr>
          <w:ins w:id="2559" w:author="Master Repository Process" w:date="2022-05-27T14:27:00Z"/>
        </w:rPr>
      </w:pPr>
      <w:ins w:id="2560" w:author="Master Repository Process" w:date="2022-05-27T14:27:00Z">
        <w:r>
          <w:tab/>
          <w:t>(a)</w:t>
        </w:r>
        <w:r>
          <w:tab/>
          <w:t>an entity has an interest in the trustee of the discretionary trust if the entity is a potential beneficiary under the trust; and</w:t>
        </w:r>
      </w:ins>
    </w:p>
    <w:p>
      <w:pPr>
        <w:pStyle w:val="Indenta"/>
        <w:rPr>
          <w:ins w:id="2561" w:author="Master Repository Process" w:date="2022-05-27T14:27:00Z"/>
        </w:rPr>
      </w:pPr>
      <w:ins w:id="2562" w:author="Master Repository Process" w:date="2022-05-27T14:27:00Z">
        <w:r>
          <w:tab/>
          <w:t>(b)</w:t>
        </w:r>
        <w:r>
          <w:tab/>
          <w:t>the trustee of the discretionary trust has an interest in an entity if the trust property is or includes the interest; and</w:t>
        </w:r>
      </w:ins>
    </w:p>
    <w:p>
      <w:pPr>
        <w:pStyle w:val="Indenta"/>
        <w:rPr>
          <w:ins w:id="2563" w:author="Master Repository Process" w:date="2022-05-27T14:27:00Z"/>
        </w:rPr>
      </w:pPr>
      <w:ins w:id="2564" w:author="Master Repository Process" w:date="2022-05-27T14:27:00Z">
        <w:r>
          <w:tab/>
          <w:t>(c)</w:t>
        </w:r>
        <w:r>
          <w:tab/>
          <w:t xml:space="preserve">the percentage of the interest that the entity immediately above the trustee of the discretionary trust in the ownership chain has in the trustee of the discretionary trust is taken to be — </w:t>
        </w:r>
      </w:ins>
    </w:p>
    <w:p>
      <w:pPr>
        <w:pStyle w:val="Indenti"/>
        <w:rPr>
          <w:ins w:id="2565" w:author="Master Repository Process" w:date="2022-05-27T14:27:00Z"/>
        </w:rPr>
      </w:pPr>
      <w:ins w:id="2566" w:author="Master Repository Process" w:date="2022-05-27T14:27:00Z">
        <w:r>
          <w:tab/>
          <w:t>(i)</w:t>
        </w:r>
        <w:r>
          <w:tab/>
          <w:t>a 100% interest; or</w:t>
        </w:r>
      </w:ins>
    </w:p>
    <w:p>
      <w:pPr>
        <w:pStyle w:val="Indenti"/>
        <w:rPr>
          <w:ins w:id="2567" w:author="Master Repository Process" w:date="2022-05-27T14:27:00Z"/>
        </w:rPr>
      </w:pPr>
      <w:ins w:id="2568" w:author="Master Repository Process" w:date="2022-05-27T14:27:00Z">
        <w:r>
          <w:tab/>
          <w:t>(ii)</w:t>
        </w:r>
        <w:r>
          <w:tab/>
          <w:t>if the Commissioner decides in a particular case that the operation of subparagraph (i) would be inequitable — an interest of some other percentage, or no interest, as determined by the Commissioner.</w:t>
        </w:r>
      </w:ins>
    </w:p>
    <w:p>
      <w:pPr>
        <w:pStyle w:val="Footnotesection"/>
        <w:rPr>
          <w:ins w:id="2569" w:author="Master Repository Process" w:date="2022-05-27T14:27:00Z"/>
        </w:rPr>
      </w:pPr>
      <w:ins w:id="2570" w:author="Master Repository Process" w:date="2022-05-27T14:27:00Z">
        <w:r>
          <w:tab/>
          <w:t>[Section 153A inserted: No. 12 of 2019 s. 62.]</w:t>
        </w:r>
      </w:ins>
    </w:p>
    <w:p>
      <w:pPr>
        <w:pStyle w:val="Heading5"/>
        <w:rPr>
          <w:ins w:id="2571" w:author="Master Repository Process" w:date="2022-05-27T14:27:00Z"/>
        </w:rPr>
      </w:pPr>
      <w:bookmarkStart w:id="2572" w:name="_Toc104291043"/>
      <w:ins w:id="2573" w:author="Master Repository Process" w:date="2022-05-27T14:27:00Z">
        <w:r>
          <w:rPr>
            <w:rStyle w:val="CharSectno"/>
          </w:rPr>
          <w:t>153B</w:t>
        </w:r>
        <w:r>
          <w:t>.</w:t>
        </w:r>
        <w:r>
          <w:tab/>
          <w:t>References to interest in, or held by, partnership</w:t>
        </w:r>
        <w:bookmarkEnd w:id="2572"/>
      </w:ins>
    </w:p>
    <w:p>
      <w:pPr>
        <w:pStyle w:val="Subsection"/>
        <w:rPr>
          <w:ins w:id="2574" w:author="Master Repository Process" w:date="2022-05-27T14:27:00Z"/>
        </w:rPr>
      </w:pPr>
      <w:ins w:id="2575" w:author="Master Repository Process" w:date="2022-05-27T14:27:00Z">
        <w:r>
          <w:tab/>
        </w:r>
        <w:r>
          <w:tab/>
          <w:t xml:space="preserve">For the purposes of section 154A, if a partnership is an entity in an ownership chain referred to in that section — </w:t>
        </w:r>
      </w:ins>
    </w:p>
    <w:p>
      <w:pPr>
        <w:pStyle w:val="Indenta"/>
        <w:rPr>
          <w:ins w:id="2576" w:author="Master Repository Process" w:date="2022-05-27T14:27:00Z"/>
        </w:rPr>
      </w:pPr>
      <w:ins w:id="2577" w:author="Master Repository Process" w:date="2022-05-27T14:27:00Z">
        <w:r>
          <w:tab/>
          <w:t>(a)</w:t>
        </w:r>
        <w:r>
          <w:tab/>
          <w:t>an entity has an interest in the partnership if the entity is a partner in the partnership or, in the case of a unit trust scheme, the trustee, as trustee of the scheme, is a partner in the partnership; and</w:t>
        </w:r>
      </w:ins>
    </w:p>
    <w:p>
      <w:pPr>
        <w:pStyle w:val="Indenta"/>
        <w:rPr>
          <w:ins w:id="2578" w:author="Master Repository Process" w:date="2022-05-27T14:27:00Z"/>
        </w:rPr>
      </w:pPr>
      <w:ins w:id="2579" w:author="Master Repository Process" w:date="2022-05-27T14:27:00Z">
        <w:r>
          <w:tab/>
          <w:t>(b)</w:t>
        </w:r>
        <w:r>
          <w:tab/>
          <w:t>the partnership has an interest in an entity if the partnership property is or includes the interest; and</w:t>
        </w:r>
      </w:ins>
    </w:p>
    <w:p>
      <w:pPr>
        <w:pStyle w:val="Indenta"/>
        <w:rPr>
          <w:ins w:id="2580" w:author="Master Repository Process" w:date="2022-05-27T14:27:00Z"/>
        </w:rPr>
      </w:pPr>
      <w:ins w:id="2581" w:author="Master Repository Process" w:date="2022-05-27T14:27:00Z">
        <w:r>
          <w:tab/>
          <w:t>(c)</w:t>
        </w:r>
        <w:r>
          <w:tab/>
          <w:t xml:space="preserve">the percentage of the interest that the entity immediately above the partnership in the ownership chain has in the partnership is taken to be the greater of the following — </w:t>
        </w:r>
      </w:ins>
    </w:p>
    <w:p>
      <w:pPr>
        <w:pStyle w:val="Indenti"/>
        <w:rPr>
          <w:ins w:id="2582" w:author="Master Repository Process" w:date="2022-05-27T14:27:00Z"/>
        </w:rPr>
      </w:pPr>
      <w:ins w:id="2583" w:author="Master Repository Process" w:date="2022-05-27T14:27:00Z">
        <w:r>
          <w:tab/>
          <w:t>(i)</w:t>
        </w:r>
        <w:r>
          <w:tab/>
          <w:t>the percentage of the capital of the partnership that the entity has contributed or is required to contribute;</w:t>
        </w:r>
      </w:ins>
    </w:p>
    <w:p>
      <w:pPr>
        <w:pStyle w:val="Indenti"/>
        <w:rPr>
          <w:ins w:id="2584" w:author="Master Repository Process" w:date="2022-05-27T14:27:00Z"/>
        </w:rPr>
      </w:pPr>
      <w:ins w:id="2585" w:author="Master Repository Process" w:date="2022-05-27T14:27:00Z">
        <w:r>
          <w:tab/>
          <w:t>(ii)</w:t>
        </w:r>
        <w:r>
          <w:tab/>
          <w:t>the percentage of the losses of the partnership that the entity is required to bear.</w:t>
        </w:r>
      </w:ins>
    </w:p>
    <w:p>
      <w:pPr>
        <w:pStyle w:val="Footnotesection"/>
        <w:rPr>
          <w:ins w:id="2586" w:author="Master Repository Process" w:date="2022-05-27T14:27:00Z"/>
        </w:rPr>
      </w:pPr>
      <w:ins w:id="2587" w:author="Master Repository Process" w:date="2022-05-27T14:27:00Z">
        <w:r>
          <w:tab/>
          <w:t>[Section 153B inserted: No. 12 of 2019 s. 62.]</w:t>
        </w:r>
      </w:ins>
    </w:p>
    <w:p>
      <w:pPr>
        <w:pStyle w:val="Heading5"/>
        <w:spacing w:before="180"/>
        <w:rPr>
          <w:ins w:id="2588" w:author="Master Repository Process" w:date="2022-05-27T14:27:00Z"/>
        </w:rPr>
      </w:pPr>
      <w:bookmarkStart w:id="2589" w:name="_Toc104291044"/>
      <w:ins w:id="2590" w:author="Master Repository Process" w:date="2022-05-27T14:27:00Z">
        <w:r>
          <w:rPr>
            <w:rStyle w:val="CharSectno"/>
          </w:rPr>
          <w:t>154</w:t>
        </w:r>
        <w:r>
          <w:t>.</w:t>
        </w:r>
        <w:r>
          <w:tab/>
          <w:t>Calculating interest in entity</w:t>
        </w:r>
        <w:bookmarkEnd w:id="2589"/>
      </w:ins>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spacing w:before="120"/>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spacing w:before="120"/>
      </w:pPr>
      <w:r>
        <w:tab/>
        <w:t>(3)</w:t>
      </w:r>
      <w:r>
        <w:tab/>
        <w:t>This section does not apply where section </w:t>
      </w:r>
      <w:del w:id="2591" w:author="Master Repository Process" w:date="2022-05-27T14:27:00Z">
        <w:r>
          <w:delText>158</w:delText>
        </w:r>
      </w:del>
      <w:ins w:id="2592" w:author="Master Repository Process" w:date="2022-05-27T14:27:00Z">
        <w:r>
          <w:t>153A(c)</w:t>
        </w:r>
      </w:ins>
      <w:r>
        <w:t xml:space="preserve"> or</w:t>
      </w:r>
      <w:del w:id="2593" w:author="Master Repository Process" w:date="2022-05-27T14:27:00Z">
        <w:r>
          <w:delText> 159</w:delText>
        </w:r>
      </w:del>
      <w:ins w:id="2594" w:author="Master Repository Process" w:date="2022-05-27T14:27:00Z">
        <w:r>
          <w:t xml:space="preserve"> 153B(c)</w:t>
        </w:r>
      </w:ins>
      <w:r>
        <w:t xml:space="preserve"> applies.</w:t>
      </w:r>
    </w:p>
    <w:p>
      <w:pPr>
        <w:pStyle w:val="Subsection"/>
        <w:spacing w:before="120"/>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pPr>
      <w:r>
        <w:tab/>
      </w:r>
      <w:r>
        <w:tab/>
        <w:t>in such a manner as would maximise the value of the relevant person’s interest.</w:t>
      </w:r>
    </w:p>
    <w:p>
      <w:pPr>
        <w:pStyle w:val="Subsection"/>
        <w:keepNext/>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w:t>
      </w:r>
      <w:del w:id="2595" w:author="Master Repository Process" w:date="2022-05-27T14:27:00Z">
        <w:r>
          <w:delText xml:space="preserve"> or 164</w:delText>
        </w:r>
      </w:del>
      <w:r>
        <w:t>, to a related person under section 162 in respect of the relevant person or a person referred to in paragraph (b).</w:t>
      </w:r>
    </w:p>
    <w:p>
      <w:pPr>
        <w:pStyle w:val="Subsection"/>
      </w:pPr>
      <w:r>
        <w:tab/>
        <w:t>(7)</w:t>
      </w:r>
      <w:r>
        <w:tab/>
        <w:t>The relevant person’s interest is the greater of the interest calculated under subsection (4) and the interest calculated under subsection (5).</w:t>
      </w:r>
    </w:p>
    <w:p>
      <w:pPr>
        <w:pStyle w:val="Subsection"/>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Footnotesection"/>
        <w:rPr>
          <w:ins w:id="2596" w:author="Master Repository Process" w:date="2022-05-27T14:27:00Z"/>
        </w:rPr>
      </w:pPr>
      <w:ins w:id="2597" w:author="Master Repository Process" w:date="2022-05-27T14:27:00Z">
        <w:r>
          <w:tab/>
          <w:t>[Section 154 amended: No. 12 of 2019 s. 63.]</w:t>
        </w:r>
      </w:ins>
    </w:p>
    <w:p>
      <w:pPr>
        <w:pStyle w:val="Heading5"/>
        <w:rPr>
          <w:ins w:id="2598" w:author="Master Repository Process" w:date="2022-05-27T14:27:00Z"/>
        </w:rPr>
      </w:pPr>
      <w:bookmarkStart w:id="2599" w:name="_Toc104291045"/>
      <w:ins w:id="2600" w:author="Master Repository Process" w:date="2022-05-27T14:27:00Z">
        <w:r>
          <w:rPr>
            <w:rStyle w:val="CharSectno"/>
          </w:rPr>
          <w:t>154A</w:t>
        </w:r>
        <w:r>
          <w:t>.</w:t>
        </w:r>
        <w:r>
          <w:tab/>
          <w:t>Calculating total direct or indirect interest in entity</w:t>
        </w:r>
        <w:bookmarkEnd w:id="2599"/>
      </w:ins>
    </w:p>
    <w:p>
      <w:pPr>
        <w:pStyle w:val="Subsection"/>
        <w:rPr>
          <w:ins w:id="2601" w:author="Master Repository Process" w:date="2022-05-27T14:27:00Z"/>
        </w:rPr>
      </w:pPr>
      <w:ins w:id="2602" w:author="Master Repository Process" w:date="2022-05-27T14:27:00Z">
        <w:r>
          <w:tab/>
          <w:t>(1)</w:t>
        </w:r>
        <w:r>
          <w:tab/>
          <w:t xml:space="preserve">This section applies where it is necessary in relation to an acquisition of an interest in an entity (the </w:t>
        </w:r>
        <w:r>
          <w:rPr>
            <w:rStyle w:val="CharDefText"/>
          </w:rPr>
          <w:t>main entity</w:t>
        </w:r>
        <w:r>
          <w:t xml:space="preserve">) to calculate the total direct or indirect interest that one entity (a </w:t>
        </w:r>
        <w:r>
          <w:rPr>
            <w:rStyle w:val="CharDefText"/>
          </w:rPr>
          <w:t>higher entity</w:t>
        </w:r>
        <w:r>
          <w:t xml:space="preserve">) has in another entity (a </w:t>
        </w:r>
        <w:r>
          <w:rPr>
            <w:rStyle w:val="CharDefText"/>
          </w:rPr>
          <w:t>lower entity</w:t>
        </w:r>
        <w:r>
          <w:t>).</w:t>
        </w:r>
      </w:ins>
    </w:p>
    <w:p>
      <w:pPr>
        <w:pStyle w:val="Subsection"/>
        <w:rPr>
          <w:ins w:id="2603" w:author="Master Repository Process" w:date="2022-05-27T14:27:00Z"/>
        </w:rPr>
      </w:pPr>
      <w:ins w:id="2604" w:author="Master Repository Process" w:date="2022-05-27T14:27:00Z">
        <w:r>
          <w:tab/>
          <w:t>(2)</w:t>
        </w:r>
        <w:r>
          <w:tab/>
          <w:t>A higher entity has a direct or indirect interest in a lower entity if there are 1 or more ownership chains between the higher entity and the lower entity.</w:t>
        </w:r>
      </w:ins>
    </w:p>
    <w:p>
      <w:pPr>
        <w:pStyle w:val="Subsection"/>
        <w:rPr>
          <w:ins w:id="2605" w:author="Master Repository Process" w:date="2022-05-27T14:27:00Z"/>
        </w:rPr>
      </w:pPr>
      <w:ins w:id="2606" w:author="Master Repository Process" w:date="2022-05-27T14:27:00Z">
        <w:r>
          <w:tab/>
          <w:t>(3)</w:t>
        </w:r>
        <w:r>
          <w:tab/>
          <w:t xml:space="preserve">An ownership chain exists if — </w:t>
        </w:r>
      </w:ins>
    </w:p>
    <w:p>
      <w:pPr>
        <w:pStyle w:val="Indenta"/>
        <w:rPr>
          <w:ins w:id="2607" w:author="Master Repository Process" w:date="2022-05-27T14:27:00Z"/>
        </w:rPr>
      </w:pPr>
      <w:ins w:id="2608" w:author="Master Repository Process" w:date="2022-05-27T14:27:00Z">
        <w:r>
          <w:tab/>
          <w:t>(a)</w:t>
        </w:r>
        <w:r>
          <w:tab/>
          <w:t xml:space="preserve">the higher entity has an interest as defined in whichever of section 153, 153A or 153B is applicable (a </w:t>
        </w:r>
        <w:r>
          <w:rPr>
            <w:rStyle w:val="CharDefText"/>
          </w:rPr>
          <w:t>direct interest</w:t>
        </w:r>
        <w:r>
          <w:t>) in the lower entity; or</w:t>
        </w:r>
      </w:ins>
    </w:p>
    <w:p>
      <w:pPr>
        <w:pStyle w:val="Indenta"/>
        <w:rPr>
          <w:ins w:id="2609" w:author="Master Repository Process" w:date="2022-05-27T14:27:00Z"/>
        </w:rPr>
      </w:pPr>
      <w:ins w:id="2610" w:author="Master Repository Process" w:date="2022-05-27T14:27:00Z">
        <w:r>
          <w:tab/>
          <w:t>(b)</w:t>
        </w:r>
        <w:r>
          <w:tab/>
          <w:t>there is a series of at least 3 entities, starting with the higher entity and ending with the lower entity, each of which successively has a direct interest in the next.</w:t>
        </w:r>
      </w:ins>
    </w:p>
    <w:p>
      <w:pPr>
        <w:pStyle w:val="Subsection"/>
        <w:rPr>
          <w:ins w:id="2611" w:author="Master Repository Process" w:date="2022-05-27T14:27:00Z"/>
        </w:rPr>
      </w:pPr>
      <w:ins w:id="2612" w:author="Master Repository Process" w:date="2022-05-27T14:27:00Z">
        <w:r>
          <w:tab/>
          <w:t>(4)</w:t>
        </w:r>
        <w:r>
          <w:tab/>
          <w:t xml:space="preserve">The percentage of the interest that a higher entity has in a lower entity through a particular ownership chain is — </w:t>
        </w:r>
      </w:ins>
    </w:p>
    <w:p>
      <w:pPr>
        <w:pStyle w:val="Indenta"/>
        <w:rPr>
          <w:ins w:id="2613" w:author="Master Repository Process" w:date="2022-05-27T14:27:00Z"/>
        </w:rPr>
      </w:pPr>
      <w:ins w:id="2614" w:author="Master Repository Process" w:date="2022-05-27T14:27:00Z">
        <w:r>
          <w:tab/>
          <w:t>(a)</w:t>
        </w:r>
        <w:r>
          <w:tab/>
          <w:t>for an ownership chain referred to in subsection (3)(a) — the percentage of the higher entity’s direct interest in the lower entity calculated under whichever of section 153A(c), 153B(c) or 154 is applicable; or</w:t>
        </w:r>
      </w:ins>
    </w:p>
    <w:p>
      <w:pPr>
        <w:pStyle w:val="Indenta"/>
        <w:rPr>
          <w:ins w:id="2615" w:author="Master Repository Process" w:date="2022-05-27T14:27:00Z"/>
        </w:rPr>
      </w:pPr>
      <w:ins w:id="2616" w:author="Master Repository Process" w:date="2022-05-27T14:27:00Z">
        <w:r>
          <w:tab/>
          <w:t>(b)</w:t>
        </w:r>
        <w:r>
          <w:tab/>
          <w:t>for an ownership chain referred to in subsection (3)(b) — the percentage calculated by multiplying the percentage of the higher entity’s direct interest in the entity immediately below it in the ownership chain by the percentage of the direct interest that each entity in the ownership chain between the higher entity and the lower entity has in the entity immediately below it in the ownership chain.</w:t>
        </w:r>
      </w:ins>
    </w:p>
    <w:p>
      <w:pPr>
        <w:pStyle w:val="Subsection"/>
        <w:rPr>
          <w:ins w:id="2617" w:author="Master Repository Process" w:date="2022-05-27T14:27:00Z"/>
        </w:rPr>
      </w:pPr>
      <w:ins w:id="2618" w:author="Master Repository Process" w:date="2022-05-27T14:27:00Z">
        <w:r>
          <w:tab/>
          <w:t>(5)</w:t>
        </w:r>
        <w:r>
          <w:tab/>
          <w:t>The percentage of the total direct or indirect interest that a higher entity has in a lower entity is the aggregate of the percentage interests calculated under subsection (4) for each ownership chain between the higher entity and the lower entity.</w:t>
        </w:r>
      </w:ins>
    </w:p>
    <w:p>
      <w:pPr>
        <w:pStyle w:val="Footnotesection"/>
        <w:rPr>
          <w:ins w:id="2619" w:author="Master Repository Process" w:date="2022-05-27T14:27:00Z"/>
        </w:rPr>
      </w:pPr>
      <w:ins w:id="2620" w:author="Master Repository Process" w:date="2022-05-27T14:27:00Z">
        <w:r>
          <w:tab/>
          <w:t>[Section 154A inserted: No. 12 of 2019 s. 64.]</w:t>
        </w:r>
      </w:ins>
    </w:p>
    <w:p>
      <w:pPr>
        <w:pStyle w:val="Heading5"/>
        <w:rPr>
          <w:ins w:id="2621" w:author="Master Repository Process" w:date="2022-05-27T14:27:00Z"/>
        </w:rPr>
      </w:pPr>
      <w:bookmarkStart w:id="2622" w:name="_Toc104291046"/>
      <w:ins w:id="2623" w:author="Master Repository Process" w:date="2022-05-27T14:27:00Z">
        <w:r>
          <w:rPr>
            <w:rStyle w:val="CharSectno"/>
          </w:rPr>
          <w:t>154B</w:t>
        </w:r>
        <w:r>
          <w:t>.</w:t>
        </w:r>
        <w:r>
          <w:tab/>
          <w:t>Determining interest in entity: uncompleted agreements</w:t>
        </w:r>
        <w:bookmarkEnd w:id="2622"/>
      </w:ins>
    </w:p>
    <w:p>
      <w:pPr>
        <w:pStyle w:val="Subsection"/>
        <w:rPr>
          <w:ins w:id="2624" w:author="Master Repository Process" w:date="2022-05-27T14:27:00Z"/>
        </w:rPr>
      </w:pPr>
      <w:ins w:id="2625" w:author="Master Repository Process" w:date="2022-05-27T14:27:00Z">
        <w:r>
          <w:tab/>
        </w:r>
        <w:r>
          <w:tab/>
          <w:t xml:space="preserve">In determining the interest that an entity has in another entity for the purposes of section 154A, 156, or 156A — </w:t>
        </w:r>
      </w:ins>
    </w:p>
    <w:p>
      <w:pPr>
        <w:pStyle w:val="Indenta"/>
        <w:rPr>
          <w:ins w:id="2626" w:author="Master Repository Process" w:date="2022-05-27T14:27:00Z"/>
        </w:rPr>
      </w:pPr>
      <w:ins w:id="2627" w:author="Master Repository Process" w:date="2022-05-27T14:27:00Z">
        <w:r>
          <w:tab/>
          <w:t>(a)</w:t>
        </w:r>
        <w:r>
          <w:tab/>
          <w:t>if the entity has entered into an agreement to acquire an interest in the other entity, the agreement is to be regarded as having been completed even if it has not yet been completed; and</w:t>
        </w:r>
      </w:ins>
    </w:p>
    <w:p>
      <w:pPr>
        <w:pStyle w:val="Indenta"/>
        <w:rPr>
          <w:ins w:id="2628" w:author="Master Repository Process" w:date="2022-05-27T14:27:00Z"/>
        </w:rPr>
      </w:pPr>
      <w:ins w:id="2629" w:author="Master Repository Process" w:date="2022-05-27T14:27:00Z">
        <w:r>
          <w:tab/>
          <w:t>(b)</w:t>
        </w:r>
        <w:r>
          <w:tab/>
          <w:t>if the entity has entered into an agreement to dispose of an interest in the other entity but the agreement has not yet been completed, the agreement is to be disregarded.</w:t>
        </w:r>
      </w:ins>
    </w:p>
    <w:p>
      <w:pPr>
        <w:pStyle w:val="Footnotesection"/>
        <w:rPr>
          <w:ins w:id="2630" w:author="Master Repository Process" w:date="2022-05-27T14:27:00Z"/>
        </w:rPr>
      </w:pPr>
      <w:ins w:id="2631" w:author="Master Repository Process" w:date="2022-05-27T14:27:00Z">
        <w:r>
          <w:tab/>
          <w:t>[Section 154B inserted: No. 12 of 2019 s. 64.]</w:t>
        </w:r>
      </w:ins>
    </w:p>
    <w:p>
      <w:pPr>
        <w:pStyle w:val="Heading3"/>
        <w:keepNext w:val="0"/>
        <w:rPr>
          <w:sz w:val="28"/>
        </w:rPr>
      </w:pPr>
      <w:bookmarkStart w:id="2632" w:name="_Toc37946852"/>
      <w:bookmarkStart w:id="2633" w:name="_Toc37947452"/>
      <w:bookmarkStart w:id="2634" w:name="_Toc38031516"/>
      <w:bookmarkStart w:id="2635" w:name="_Toc93310025"/>
      <w:bookmarkStart w:id="2636" w:name="_Toc104291047"/>
      <w:bookmarkStart w:id="2637" w:name="_Toc530491774"/>
      <w:bookmarkStart w:id="2638" w:name="_Toc530492234"/>
      <w:bookmarkStart w:id="2639" w:name="_Toc530493244"/>
      <w:bookmarkStart w:id="2640" w:name="_Toc530556379"/>
      <w:bookmarkStart w:id="2641" w:name="_Toc531692217"/>
      <w:bookmarkStart w:id="2642" w:name="_Toc531856122"/>
      <w:bookmarkStart w:id="2643" w:name="_Toc531858850"/>
      <w:bookmarkStart w:id="2644" w:name="_Toc531859389"/>
      <w:r>
        <w:rPr>
          <w:rStyle w:val="CharDivNo"/>
          <w:sz w:val="28"/>
        </w:rPr>
        <w:t>Part 4</w:t>
      </w:r>
      <w:r>
        <w:rPr>
          <w:sz w:val="28"/>
        </w:rPr>
        <w:t> — </w:t>
      </w:r>
      <w:r>
        <w:rPr>
          <w:rStyle w:val="CharDivText"/>
          <w:sz w:val="28"/>
        </w:rPr>
        <w:t>Landholders to which this Chapter applies</w:t>
      </w:r>
      <w:bookmarkEnd w:id="2632"/>
      <w:bookmarkEnd w:id="2633"/>
      <w:bookmarkEnd w:id="2634"/>
      <w:bookmarkEnd w:id="2635"/>
      <w:bookmarkEnd w:id="2636"/>
      <w:bookmarkEnd w:id="2637"/>
      <w:bookmarkEnd w:id="2638"/>
      <w:bookmarkEnd w:id="2639"/>
      <w:bookmarkEnd w:id="2640"/>
      <w:bookmarkEnd w:id="2641"/>
      <w:bookmarkEnd w:id="2642"/>
      <w:bookmarkEnd w:id="2643"/>
      <w:bookmarkEnd w:id="2644"/>
    </w:p>
    <w:p>
      <w:pPr>
        <w:pStyle w:val="Heading5"/>
        <w:keepNext w:val="0"/>
        <w:keepLines w:val="0"/>
        <w:spacing w:before="180"/>
      </w:pPr>
      <w:bookmarkStart w:id="2645" w:name="_Toc104291048"/>
      <w:bookmarkStart w:id="2646" w:name="_Toc531859390"/>
      <w:r>
        <w:rPr>
          <w:rStyle w:val="CharSectno"/>
        </w:rPr>
        <w:t>155</w:t>
      </w:r>
      <w:r>
        <w:t>.</w:t>
      </w:r>
      <w:r>
        <w:tab/>
        <w:t>Which entities are landholders</w:t>
      </w:r>
      <w:bookmarkEnd w:id="2645"/>
      <w:bookmarkEnd w:id="2646"/>
    </w:p>
    <w:p>
      <w:pPr>
        <w:pStyle w:val="Subsection"/>
      </w:pPr>
      <w:r>
        <w:tab/>
        <w:t>(1)</w:t>
      </w:r>
      <w:r>
        <w:tab/>
        <w:t>This section applies where it is necessary to determine in relation to an acquisition of an interest in an entity whether the entity is a landholder for the purposes of section 163</w:t>
      </w:r>
      <w:del w:id="2647" w:author="Master Repository Process" w:date="2022-05-27T14:27:00Z">
        <w:r>
          <w:delText xml:space="preserve"> or 164</w:delText>
        </w:r>
      </w:del>
      <w:r>
        <w:t>.</w:t>
      </w:r>
    </w:p>
    <w:p>
      <w:pPr>
        <w:pStyle w:val="Subsection"/>
      </w:pPr>
      <w:r>
        <w:tab/>
        <w:t>(2)</w:t>
      </w:r>
      <w:r>
        <w:tab/>
      </w:r>
      <w:del w:id="2648" w:author="Master Repository Process" w:date="2022-05-27T14:27:00Z">
        <w:r>
          <w:delText xml:space="preserve">A corporation </w:delText>
        </w:r>
      </w:del>
      <w:ins w:id="2649" w:author="Master Repository Process" w:date="2022-05-27T14:27:00Z">
        <w:r>
          <w:t xml:space="preserve">An entity </w:t>
        </w:r>
      </w:ins>
      <w:r>
        <w:t xml:space="preserve">is a landholder if immediately before the acquisition — </w:t>
      </w:r>
    </w:p>
    <w:p>
      <w:pPr>
        <w:pStyle w:val="Indenta"/>
      </w:pPr>
      <w:r>
        <w:tab/>
        <w:t>(a)</w:t>
      </w:r>
      <w:r>
        <w:tab/>
        <w:t xml:space="preserve">it is entitled to land </w:t>
      </w:r>
      <w:ins w:id="2650" w:author="Master Repository Process" w:date="2022-05-27T14:27:00Z">
        <w:r>
          <w:t xml:space="preserve">assets </w:t>
        </w:r>
      </w:ins>
      <w:r>
        <w:t xml:space="preserve">in Western Australia or an entity linked to the </w:t>
      </w:r>
      <w:del w:id="2651" w:author="Master Repository Process" w:date="2022-05-27T14:27:00Z">
        <w:r>
          <w:delText>corporation</w:delText>
        </w:r>
      </w:del>
      <w:ins w:id="2652" w:author="Master Repository Process" w:date="2022-05-27T14:27:00Z">
        <w:r>
          <w:t>entity</w:t>
        </w:r>
      </w:ins>
      <w:r>
        <w:t xml:space="preserve"> is so entitled; and </w:t>
      </w:r>
    </w:p>
    <w:p>
      <w:pPr>
        <w:pStyle w:val="Indenta"/>
      </w:pPr>
      <w:r>
        <w:tab/>
        <w:t>(b)</w:t>
      </w:r>
      <w:r>
        <w:tab/>
        <w:t>the total value of all such entitlements is $2 000 000 or more.</w:t>
      </w:r>
    </w:p>
    <w:p>
      <w:pPr>
        <w:pStyle w:val="Subsection"/>
        <w:rPr>
          <w:ins w:id="2653" w:author="Master Repository Process" w:date="2022-05-27T14:27:00Z"/>
        </w:rPr>
      </w:pPr>
      <w:r>
        <w:tab/>
        <w:t>(3)</w:t>
      </w:r>
      <w:r>
        <w:tab/>
      </w:r>
      <w:del w:id="2654" w:author="Master Repository Process" w:date="2022-05-27T14:27:00Z">
        <w:r>
          <w:delText>A unit trust scheme</w:delText>
        </w:r>
      </w:del>
      <w:ins w:id="2655" w:author="Master Repository Process" w:date="2022-05-27T14:27:00Z">
        <w:r>
          <w:t>An entity to which subsection (2) does not apply</w:t>
        </w:r>
      </w:ins>
      <w:r>
        <w:t xml:space="preserve"> is a landholder if</w:t>
      </w:r>
      <w:del w:id="2656" w:author="Master Repository Process" w:date="2022-05-27T14:27:00Z">
        <w:r>
          <w:delText xml:space="preserve"> </w:delText>
        </w:r>
      </w:del>
      <w:ins w:id="2657" w:author="Master Repository Process" w:date="2022-05-27T14:27:00Z">
        <w:r>
          <w:t xml:space="preserve"> — </w:t>
        </w:r>
      </w:ins>
    </w:p>
    <w:p>
      <w:pPr>
        <w:pStyle w:val="Subsection"/>
        <w:rPr>
          <w:del w:id="2658" w:author="Master Repository Process" w:date="2022-05-27T14:27:00Z"/>
        </w:rPr>
      </w:pPr>
      <w:ins w:id="2659" w:author="Master Repository Process" w:date="2022-05-27T14:27:00Z">
        <w:r>
          <w:tab/>
          <w:t>(a)</w:t>
        </w:r>
        <w:r>
          <w:tab/>
        </w:r>
      </w:ins>
      <w:r>
        <w:t>immediately before the acquisition</w:t>
      </w:r>
      <w:del w:id="2660" w:author="Master Repository Process" w:date="2022-05-27T14:27:00Z">
        <w:r>
          <w:delText xml:space="preserve"> — </w:delText>
        </w:r>
      </w:del>
    </w:p>
    <w:p>
      <w:pPr>
        <w:pStyle w:val="Indenta"/>
      </w:pPr>
      <w:del w:id="2661" w:author="Master Repository Process" w:date="2022-05-27T14:27:00Z">
        <w:r>
          <w:tab/>
          <w:delText>(a)</w:delText>
        </w:r>
        <w:r>
          <w:tab/>
          <w:delText>the trustee of the scheme</w:delText>
        </w:r>
      </w:del>
      <w:ins w:id="2662" w:author="Master Repository Process" w:date="2022-05-27T14:27:00Z">
        <w:r>
          <w:t>, it</w:t>
        </w:r>
      </w:ins>
      <w:r>
        <w:t xml:space="preserve"> is entitled to land </w:t>
      </w:r>
      <w:ins w:id="2663" w:author="Master Repository Process" w:date="2022-05-27T14:27:00Z">
        <w:r>
          <w:t xml:space="preserve">assets, chattels, or land assets and chattels, </w:t>
        </w:r>
      </w:ins>
      <w:r>
        <w:t xml:space="preserve">in Western Australia or an entity linked to the </w:t>
      </w:r>
      <w:del w:id="2664" w:author="Master Repository Process" w:date="2022-05-27T14:27:00Z">
        <w:r>
          <w:delText>unit trust scheme</w:delText>
        </w:r>
      </w:del>
      <w:ins w:id="2665" w:author="Master Repository Process" w:date="2022-05-27T14:27:00Z">
        <w:r>
          <w:t>entity</w:t>
        </w:r>
      </w:ins>
      <w:r>
        <w:t xml:space="preserve"> is so entitled; and</w:t>
      </w:r>
    </w:p>
    <w:p>
      <w:pPr>
        <w:pStyle w:val="Indenta"/>
        <w:rPr>
          <w:ins w:id="2666" w:author="Master Repository Process" w:date="2022-05-27T14:27:00Z"/>
        </w:rPr>
      </w:pPr>
      <w:r>
        <w:tab/>
        <w:t>(b)</w:t>
      </w:r>
      <w:r>
        <w:tab/>
        <w:t xml:space="preserve">the </w:t>
      </w:r>
      <w:ins w:id="2667" w:author="Master Repository Process" w:date="2022-05-27T14:27:00Z">
        <w:r>
          <w:t>acquisition is part of a relevant arrangement under subsection (4).</w:t>
        </w:r>
      </w:ins>
    </w:p>
    <w:p>
      <w:pPr>
        <w:pStyle w:val="Subsection"/>
        <w:rPr>
          <w:ins w:id="2668" w:author="Master Repository Process" w:date="2022-05-27T14:27:00Z"/>
        </w:rPr>
      </w:pPr>
      <w:ins w:id="2669" w:author="Master Repository Process" w:date="2022-05-27T14:27:00Z">
        <w:r>
          <w:tab/>
          <w:t>(4)</w:t>
        </w:r>
        <w:r>
          <w:tab/>
          <w:t xml:space="preserve">An acquisition of an interest in an entity (the </w:t>
        </w:r>
        <w:r>
          <w:rPr>
            <w:rStyle w:val="CharDefText"/>
          </w:rPr>
          <w:t>relevant entity</w:t>
        </w:r>
        <w:r>
          <w:t xml:space="preserve">) is part of a relevant arrangement for the purposes of subsection (3)(b) if — </w:t>
        </w:r>
      </w:ins>
    </w:p>
    <w:p>
      <w:pPr>
        <w:pStyle w:val="Indenta"/>
        <w:rPr>
          <w:ins w:id="2670" w:author="Master Repository Process" w:date="2022-05-27T14:27:00Z"/>
        </w:rPr>
      </w:pPr>
      <w:ins w:id="2671" w:author="Master Repository Process" w:date="2022-05-27T14:27:00Z">
        <w:r>
          <w:tab/>
          <w:t>(a)</w:t>
        </w:r>
        <w:r>
          <w:tab/>
          <w:t xml:space="preserve">there are 1 or more acquisitions of interests in 1 or more other entities (the </w:t>
        </w:r>
        <w:r>
          <w:rPr>
            <w:rStyle w:val="CharDefText"/>
          </w:rPr>
          <w:t>other entities</w:t>
        </w:r>
        <w:r>
          <w:t>), which may occur before or after the acquisition of the interest in the relevant entity; and</w:t>
        </w:r>
      </w:ins>
    </w:p>
    <w:p>
      <w:pPr>
        <w:pStyle w:val="Indenta"/>
        <w:rPr>
          <w:ins w:id="2672" w:author="Master Repository Process" w:date="2022-05-27T14:27:00Z"/>
        </w:rPr>
      </w:pPr>
      <w:ins w:id="2673" w:author="Master Repository Process" w:date="2022-05-27T14:27:00Z">
        <w:r>
          <w:tab/>
          <w:t>(b)</w:t>
        </w:r>
        <w:r>
          <w:tab/>
          <w:t>the acquisition of the interest in the relevant entity and the acquisitions of the interests in the other entities together form, evidence, give effect to or arise from what is, substantially one arrangement; and</w:t>
        </w:r>
      </w:ins>
    </w:p>
    <w:p>
      <w:pPr>
        <w:pStyle w:val="Indenta"/>
        <w:rPr>
          <w:ins w:id="2674" w:author="Master Repository Process" w:date="2022-05-27T14:27:00Z"/>
        </w:rPr>
      </w:pPr>
      <w:ins w:id="2675" w:author="Master Repository Process" w:date="2022-05-27T14:27:00Z">
        <w:r>
          <w:tab/>
          <w:t>(c)</w:t>
        </w:r>
        <w:r>
          <w:tab/>
          <w:t xml:space="preserve">either or both of the following applies — </w:t>
        </w:r>
      </w:ins>
    </w:p>
    <w:p>
      <w:pPr>
        <w:pStyle w:val="Indenti"/>
        <w:rPr>
          <w:ins w:id="2676" w:author="Master Repository Process" w:date="2022-05-27T14:27:00Z"/>
        </w:rPr>
      </w:pPr>
      <w:ins w:id="2677" w:author="Master Repository Process" w:date="2022-05-27T14:27:00Z">
        <w:r>
          <w:tab/>
          <w:t>(i)</w:t>
        </w:r>
        <w:r>
          <w:tab/>
          <w:t>at least 1 of the other entities is, at the time the acquisition of the interest in that entity occurs, a landholder to which subsection (2) applies;</w:t>
        </w:r>
      </w:ins>
    </w:p>
    <w:p>
      <w:pPr>
        <w:pStyle w:val="Indenti"/>
      </w:pPr>
      <w:ins w:id="2678" w:author="Master Repository Process" w:date="2022-05-27T14:27:00Z">
        <w:r>
          <w:tab/>
          <w:t>(ii)</w:t>
        </w:r>
        <w:r>
          <w:tab/>
          <w:t xml:space="preserve">the </w:t>
        </w:r>
      </w:ins>
      <w:r>
        <w:t xml:space="preserve">total value of all </w:t>
      </w:r>
      <w:del w:id="2679" w:author="Master Repository Process" w:date="2022-05-27T14:27:00Z">
        <w:r>
          <w:delText>such</w:delText>
        </w:r>
      </w:del>
      <w:ins w:id="2680" w:author="Master Repository Process" w:date="2022-05-27T14:27:00Z">
        <w:r>
          <w:t>of the</w:t>
        </w:r>
      </w:ins>
      <w:r>
        <w:t xml:space="preserve"> entitlements </w:t>
      </w:r>
      <w:ins w:id="2681" w:author="Master Repository Process" w:date="2022-05-27T14:27:00Z">
        <w:r>
          <w:t xml:space="preserve">to land assets in Western Australia referred to in subsection (4A) </w:t>
        </w:r>
      </w:ins>
      <w:r>
        <w:t>is $2 000 000 or more.</w:t>
      </w:r>
      <w:del w:id="2682" w:author="Master Repository Process" w:date="2022-05-27T14:27:00Z">
        <w:r>
          <w:delText xml:space="preserve"> </w:delText>
        </w:r>
      </w:del>
    </w:p>
    <w:p>
      <w:pPr>
        <w:pStyle w:val="Subsection"/>
      </w:pPr>
      <w:r>
        <w:tab/>
        <w:t>(</w:t>
      </w:r>
      <w:del w:id="2683" w:author="Master Repository Process" w:date="2022-05-27T14:27:00Z">
        <w:r>
          <w:delText>4</w:delText>
        </w:r>
      </w:del>
      <w:ins w:id="2684" w:author="Master Repository Process" w:date="2022-05-27T14:27:00Z">
        <w:r>
          <w:t>4A</w:t>
        </w:r>
      </w:ins>
      <w:r>
        <w:t>)</w:t>
      </w:r>
      <w:r>
        <w:tab/>
        <w:t xml:space="preserve">For the purposes of </w:t>
      </w:r>
      <w:del w:id="2685" w:author="Master Repository Process" w:date="2022-05-27T14:27:00Z">
        <w:r>
          <w:delText>subsections (2)(a) and (3)(a)</w:delText>
        </w:r>
      </w:del>
      <w:ins w:id="2686" w:author="Master Repository Process" w:date="2022-05-27T14:27:00Z">
        <w:r>
          <w:t>subsection (4)(c)(ii), the total value of the following entitlements is to be determined</w:t>
        </w:r>
      </w:ins>
      <w:r>
        <w:t xml:space="preserve"> — </w:t>
      </w:r>
    </w:p>
    <w:p>
      <w:pPr>
        <w:pStyle w:val="Indenta"/>
        <w:rPr>
          <w:del w:id="2687" w:author="Master Repository Process" w:date="2022-05-27T14:27:00Z"/>
        </w:rPr>
      </w:pPr>
      <w:del w:id="2688" w:author="Master Repository Process" w:date="2022-05-27T14:27:00Z">
        <w:r>
          <w:tab/>
          <w:delText>(a)</w:delText>
        </w:r>
        <w:r>
          <w:tab/>
          <w:delText xml:space="preserve">a partnership, as </w:delText>
        </w:r>
      </w:del>
      <w:ins w:id="2689" w:author="Master Repository Process" w:date="2022-05-27T14:27:00Z">
        <w:r>
          <w:tab/>
          <w:t>(</w:t>
        </w:r>
      </w:ins>
      <w:r>
        <w:t>a</w:t>
      </w:r>
      <w:del w:id="2690" w:author="Master Repository Process" w:date="2022-05-27T14:27:00Z">
        <w:r>
          <w:delText xml:space="preserve"> linked entity, is entitled to land in Western Australia if the partnership property is or includes such land; and </w:delText>
        </w:r>
      </w:del>
    </w:p>
    <w:p>
      <w:pPr>
        <w:pStyle w:val="Indenta"/>
      </w:pPr>
      <w:del w:id="2691" w:author="Master Repository Process" w:date="2022-05-27T14:27:00Z">
        <w:r>
          <w:tab/>
          <w:delText>(b)</w:delText>
        </w:r>
        <w:r>
          <w:tab/>
          <w:delText>a unit trust scheme, as a linked entity, is entitled</w:delText>
        </w:r>
      </w:del>
      <w:ins w:id="2692" w:author="Master Repository Process" w:date="2022-05-27T14:27:00Z">
        <w:r>
          <w:t>)</w:t>
        </w:r>
        <w:r>
          <w:tab/>
          <w:t>the entitlements</w:t>
        </w:r>
      </w:ins>
      <w:r>
        <w:t xml:space="preserve"> to land </w:t>
      </w:r>
      <w:ins w:id="2693" w:author="Master Repository Process" w:date="2022-05-27T14:27:00Z">
        <w:r>
          <w:t xml:space="preserve">assets </w:t>
        </w:r>
      </w:ins>
      <w:r>
        <w:t>in Western Australia</w:t>
      </w:r>
      <w:del w:id="2694" w:author="Master Repository Process" w:date="2022-05-27T14:27:00Z">
        <w:r>
          <w:delText xml:space="preserve"> if the trustee of the scheme is so entitled.</w:delText>
        </w:r>
      </w:del>
      <w:ins w:id="2695" w:author="Master Repository Process" w:date="2022-05-27T14:27:00Z">
        <w:r>
          <w:t>, immediately before the acquisition of the interest in the relevant entity, of the relevant entity and each entity linked to the relevant entity;</w:t>
        </w:r>
      </w:ins>
    </w:p>
    <w:p>
      <w:pPr>
        <w:pStyle w:val="Indenta"/>
        <w:rPr>
          <w:ins w:id="2696" w:author="Master Repository Process" w:date="2022-05-27T14:27:00Z"/>
        </w:rPr>
      </w:pPr>
      <w:ins w:id="2697" w:author="Master Repository Process" w:date="2022-05-27T14:27:00Z">
        <w:r>
          <w:tab/>
          <w:t>(b)</w:t>
        </w:r>
        <w:r>
          <w:tab/>
          <w:t>for each of the other entities — the entitlements to land assets in Western Australia, immediately before the acquisition of the interest in that other entity, of that other entity and each entity linked to that other entity.</w:t>
        </w:r>
      </w:ins>
    </w:p>
    <w:p>
      <w:pPr>
        <w:pStyle w:val="Subsection"/>
      </w:pPr>
      <w:r>
        <w:tab/>
        <w:t>(5)</w:t>
      </w:r>
      <w:r>
        <w:tab/>
        <w:t xml:space="preserve">For the purposes of this section — </w:t>
      </w:r>
    </w:p>
    <w:p>
      <w:pPr>
        <w:pStyle w:val="Indenta"/>
      </w:pPr>
      <w:r>
        <w:tab/>
        <w:t>(a)</w:t>
      </w:r>
      <w:r>
        <w:tab/>
        <w:t xml:space="preserve">land </w:t>
      </w:r>
      <w:ins w:id="2698" w:author="Master Repository Process" w:date="2022-05-27T14:27:00Z">
        <w:r>
          <w:t xml:space="preserve">assets </w:t>
        </w:r>
      </w:ins>
      <w:r>
        <w:t xml:space="preserve">to which </w:t>
      </w:r>
      <w:del w:id="2699" w:author="Master Repository Process" w:date="2022-05-27T14:27:00Z">
        <w:r>
          <w:delText>a corporation or the trustee of a unit trust scheme</w:delText>
        </w:r>
      </w:del>
      <w:ins w:id="2700" w:author="Master Repository Process" w:date="2022-05-27T14:27:00Z">
        <w:r>
          <w:t>an entity</w:t>
        </w:r>
      </w:ins>
      <w:r>
        <w:t xml:space="preserve"> is entitled </w:t>
      </w:r>
      <w:del w:id="2701" w:author="Master Repository Process" w:date="2022-05-27T14:27:00Z">
        <w:r>
          <w:delText>is</w:delText>
        </w:r>
      </w:del>
      <w:ins w:id="2702" w:author="Master Repository Process" w:date="2022-05-27T14:27:00Z">
        <w:r>
          <w:t>are</w:t>
        </w:r>
      </w:ins>
      <w:r>
        <w:t xml:space="preserve"> to be valued at </w:t>
      </w:r>
      <w:del w:id="2703" w:author="Master Repository Process" w:date="2022-05-27T14:27:00Z">
        <w:r>
          <w:delText>its</w:delText>
        </w:r>
      </w:del>
      <w:ins w:id="2704" w:author="Master Repository Process" w:date="2022-05-27T14:27:00Z">
        <w:r>
          <w:t>their</w:t>
        </w:r>
      </w:ins>
      <w:r>
        <w:t xml:space="preserve"> unencumbered value; and </w:t>
      </w:r>
    </w:p>
    <w:p>
      <w:pPr>
        <w:pStyle w:val="Indenta"/>
      </w:pPr>
      <w:r>
        <w:tab/>
        <w:t>(b)</w:t>
      </w:r>
      <w:r>
        <w:tab/>
        <w:t xml:space="preserve">the value of a linked entity’s entitlement to land </w:t>
      </w:r>
      <w:ins w:id="2705" w:author="Master Repository Process" w:date="2022-05-27T14:27:00Z">
        <w:r>
          <w:t xml:space="preserve">assets </w:t>
        </w:r>
      </w:ins>
      <w:r>
        <w:t>is to be determined under section 157.</w:t>
      </w:r>
    </w:p>
    <w:p>
      <w:pPr>
        <w:pStyle w:val="Subsection"/>
        <w:rPr>
          <w:ins w:id="2706" w:author="Master Repository Process" w:date="2022-05-27T14:27:00Z"/>
        </w:rPr>
      </w:pPr>
      <w:ins w:id="2707" w:author="Master Repository Process" w:date="2022-05-27T14:27:00Z">
        <w:r>
          <w:tab/>
          <w:t>(6)</w:t>
        </w:r>
        <w:r>
          <w:tab/>
          <w:t>An entity that, under subsection (3), is a landholder in relation to an acquisition is taken to be a landholder in relation to that acquisition even if the acquisition does not become part of a relevant arrangement referred to in subsection (4) until after the acquisition occurs.</w:t>
        </w:r>
      </w:ins>
    </w:p>
    <w:p>
      <w:pPr>
        <w:pStyle w:val="Footnotesection"/>
        <w:rPr>
          <w:ins w:id="2708" w:author="Master Repository Process" w:date="2022-05-27T14:27:00Z"/>
        </w:rPr>
      </w:pPr>
      <w:ins w:id="2709" w:author="Master Repository Process" w:date="2022-05-27T14:27:00Z">
        <w:r>
          <w:tab/>
          <w:t>[Section 155 amended: No. 12 of 2019 s. 65.]</w:t>
        </w:r>
      </w:ins>
    </w:p>
    <w:p>
      <w:pPr>
        <w:pStyle w:val="Heading5"/>
        <w:spacing w:before="240"/>
      </w:pPr>
      <w:bookmarkStart w:id="2710" w:name="_Toc104291049"/>
      <w:bookmarkStart w:id="2711" w:name="_Toc531859391"/>
      <w:r>
        <w:rPr>
          <w:rStyle w:val="CharSectno"/>
        </w:rPr>
        <w:t>156</w:t>
      </w:r>
      <w:r>
        <w:t>.</w:t>
      </w:r>
      <w:r>
        <w:tab/>
        <w:t>Which entities are linked to an entity</w:t>
      </w:r>
      <w:bookmarkEnd w:id="2710"/>
      <w:bookmarkEnd w:id="2711"/>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w:t>
      </w:r>
      <w:del w:id="2712" w:author="Master Repository Process" w:date="2022-05-27T14:27:00Z">
        <w:r>
          <w:delText>(2)(a) or (3)(a).</w:delText>
        </w:r>
      </w:del>
      <w:ins w:id="2713" w:author="Master Repository Process" w:date="2022-05-27T14:27:00Z">
        <w:r>
          <w:t>.</w:t>
        </w:r>
      </w:ins>
    </w:p>
    <w:p>
      <w:pPr>
        <w:pStyle w:val="Subsection"/>
      </w:pPr>
      <w:r>
        <w:tab/>
        <w:t>(2)</w:t>
      </w:r>
      <w:r>
        <w:tab/>
        <w:t>Each entity (a</w:t>
      </w:r>
      <w:r>
        <w:rPr>
          <w:b/>
          <w:bCs/>
        </w:rPr>
        <w:t xml:space="preserve"> </w:t>
      </w:r>
      <w:r>
        <w:rPr>
          <w:rStyle w:val="CharDefText"/>
        </w:rPr>
        <w:t>linked entity</w:t>
      </w:r>
      <w:r>
        <w:t xml:space="preserve">) below the main entity in </w:t>
      </w:r>
      <w:del w:id="2714" w:author="Master Repository Process" w:date="2022-05-27T14:27:00Z">
        <w:r>
          <w:delText>an ownership</w:delText>
        </w:r>
      </w:del>
      <w:ins w:id="2715" w:author="Master Repository Process" w:date="2022-05-27T14:27:00Z">
        <w:r>
          <w:t>a linkage</w:t>
        </w:r>
      </w:ins>
      <w:r>
        <w:t xml:space="preserve"> chain that exists immediately before the acquisition is linked to the main entity.</w:t>
      </w:r>
    </w:p>
    <w:p>
      <w:pPr>
        <w:pStyle w:val="Subsection"/>
      </w:pPr>
      <w:r>
        <w:tab/>
        <w:t>(3)</w:t>
      </w:r>
      <w:r>
        <w:tab/>
      </w:r>
      <w:del w:id="2716" w:author="Master Repository Process" w:date="2022-05-27T14:27:00Z">
        <w:r>
          <w:delText>An ownership</w:delText>
        </w:r>
      </w:del>
      <w:ins w:id="2717" w:author="Master Repository Process" w:date="2022-05-27T14:27:00Z">
        <w:r>
          <w:t>A linkage</w:t>
        </w:r>
      </w:ins>
      <w:r>
        <w:t xml:space="preserve"> chain exists if a series of entities starting with the main entity are successively linked to one another.</w:t>
      </w:r>
    </w:p>
    <w:p>
      <w:pPr>
        <w:pStyle w:val="Subsection"/>
      </w:pPr>
      <w:r>
        <w:tab/>
        <w:t>(4)</w:t>
      </w:r>
      <w:r>
        <w:tab/>
      </w:r>
      <w:del w:id="2718" w:author="Master Repository Process" w:date="2022-05-27T14:27:00Z">
        <w:r>
          <w:delText>Except where subsection (5) or (6) applies, an</w:delText>
        </w:r>
      </w:del>
      <w:ins w:id="2719" w:author="Master Repository Process" w:date="2022-05-27T14:27:00Z">
        <w:r>
          <w:t>An</w:t>
        </w:r>
      </w:ins>
      <w:r>
        <w:t xml:space="preserve"> entity is linked to another entity if — </w:t>
      </w:r>
    </w:p>
    <w:p>
      <w:pPr>
        <w:pStyle w:val="Indenta"/>
      </w:pPr>
      <w:r>
        <w:tab/>
        <w:t>(a)</w:t>
      </w:r>
      <w:r>
        <w:tab/>
        <w:t xml:space="preserve">where the other entity is a listed corporation or a listed unit trust scheme — it has </w:t>
      </w:r>
      <w:del w:id="2720" w:author="Master Repository Process" w:date="2022-05-27T14:27:00Z">
        <w:r>
          <w:delText>a 90%</w:delText>
        </w:r>
      </w:del>
      <w:ins w:id="2721" w:author="Master Repository Process" w:date="2022-05-27T14:27:00Z">
        <w:r>
          <w:t>an</w:t>
        </w:r>
      </w:ins>
      <w:r>
        <w:t xml:space="preserve"> interest</w:t>
      </w:r>
      <w:del w:id="2722" w:author="Master Repository Process" w:date="2022-05-27T14:27:00Z">
        <w:r>
          <w:delText>, or a greater interest,</w:delText>
        </w:r>
      </w:del>
      <w:r>
        <w:t xml:space="preserve"> in the </w:t>
      </w:r>
      <w:ins w:id="2723" w:author="Master Repository Process" w:date="2022-05-27T14:27:00Z">
        <w:r>
          <w:t xml:space="preserve">other </w:t>
        </w:r>
      </w:ins>
      <w:r>
        <w:t>entity</w:t>
      </w:r>
      <w:del w:id="2724" w:author="Master Repository Process" w:date="2022-05-27T14:27:00Z">
        <w:r>
          <w:delText>;</w:delText>
        </w:r>
      </w:del>
      <w:ins w:id="2725" w:author="Master Repository Process" w:date="2022-05-27T14:27:00Z">
        <w:r>
          <w:t xml:space="preserve"> of at least 90%;</w:t>
        </w:r>
      </w:ins>
      <w:r>
        <w:t xml:space="preserve"> or</w:t>
      </w:r>
    </w:p>
    <w:p>
      <w:pPr>
        <w:pStyle w:val="Indenta"/>
        <w:rPr>
          <w:del w:id="2726" w:author="Master Repository Process" w:date="2022-05-27T14:27:00Z"/>
        </w:rPr>
      </w:pPr>
      <w:r>
        <w:tab/>
        <w:t>(b)</w:t>
      </w:r>
      <w:r>
        <w:tab/>
        <w:t xml:space="preserve">in any other case — it has a </w:t>
      </w:r>
      <w:del w:id="2727" w:author="Master Repository Process" w:date="2022-05-27T14:27:00Z">
        <w:r>
          <w:delText>50%</w:delText>
        </w:r>
      </w:del>
      <w:ins w:id="2728" w:author="Master Repository Process" w:date="2022-05-27T14:27:00Z">
        <w:r>
          <w:t>total direct or indirect</w:t>
        </w:r>
      </w:ins>
      <w:r>
        <w:t xml:space="preserve"> interest</w:t>
      </w:r>
      <w:del w:id="2729" w:author="Master Repository Process" w:date="2022-05-27T14:27:00Z">
        <w:r>
          <w:delText>, or a greater interest,</w:delText>
        </w:r>
      </w:del>
      <w:r>
        <w:t xml:space="preserve"> in the </w:t>
      </w:r>
      <w:ins w:id="2730" w:author="Master Repository Process" w:date="2022-05-27T14:27:00Z">
        <w:r>
          <w:t xml:space="preserve">other </w:t>
        </w:r>
      </w:ins>
      <w:r>
        <w:t>entity</w:t>
      </w:r>
      <w:del w:id="2731" w:author="Master Repository Process" w:date="2022-05-27T14:27:00Z">
        <w:r>
          <w:delText>.</w:delText>
        </w:r>
      </w:del>
    </w:p>
    <w:p>
      <w:pPr>
        <w:pStyle w:val="Indenta"/>
      </w:pPr>
      <w:del w:id="2732" w:author="Master Repository Process" w:date="2022-05-27T14:27:00Z">
        <w:r>
          <w:tab/>
          <w:delText>(5)</w:delText>
        </w:r>
        <w:r>
          <w:tab/>
          <w:delText>An entity is linked to the trustee of a discretionary trust if it is a potential beneficiary</w:delText>
        </w:r>
      </w:del>
      <w:ins w:id="2733" w:author="Master Repository Process" w:date="2022-05-27T14:27:00Z">
        <w:r>
          <w:t>, calculated</w:t>
        </w:r>
      </w:ins>
      <w:r>
        <w:t xml:space="preserve"> under </w:t>
      </w:r>
      <w:del w:id="2734" w:author="Master Repository Process" w:date="2022-05-27T14:27:00Z">
        <w:r>
          <w:delText>the trust.</w:delText>
        </w:r>
      </w:del>
      <w:ins w:id="2735" w:author="Master Repository Process" w:date="2022-05-27T14:27:00Z">
        <w:r>
          <w:t>section 154A, of at least 50%.</w:t>
        </w:r>
      </w:ins>
    </w:p>
    <w:p>
      <w:pPr>
        <w:pStyle w:val="Subsection"/>
        <w:rPr>
          <w:del w:id="2736" w:author="Master Repository Process" w:date="2022-05-27T14:27:00Z"/>
        </w:rPr>
      </w:pPr>
      <w:del w:id="2737" w:author="Master Repository Process" w:date="2022-05-27T14:27:00Z">
        <w:r>
          <w:tab/>
          <w:delText>(6)</w:delText>
        </w:r>
        <w:r>
          <w:tab/>
          <w:delText xml:space="preserve">An entity is linked to a partnership if it is a partner in the partnership, or in the case of a unit trust scheme the trustee, as trustee of the scheme, is a partner, and — </w:delText>
        </w:r>
      </w:del>
    </w:p>
    <w:p>
      <w:pPr>
        <w:pStyle w:val="Indenta"/>
        <w:rPr>
          <w:del w:id="2738" w:author="Master Repository Process" w:date="2022-05-27T14:27:00Z"/>
        </w:rPr>
      </w:pPr>
      <w:del w:id="2739" w:author="Master Repository Process" w:date="2022-05-27T14:27:00Z">
        <w:r>
          <w:tab/>
          <w:delText>(a)</w:delText>
        </w:r>
        <w:r>
          <w:tab/>
          <w:delText>has contributed or is required to contribute 50%, or a greater percentage, of the capital of the partnership; or</w:delText>
        </w:r>
      </w:del>
    </w:p>
    <w:p>
      <w:pPr>
        <w:pStyle w:val="Indenta"/>
        <w:rPr>
          <w:del w:id="2740" w:author="Master Repository Process" w:date="2022-05-27T14:27:00Z"/>
        </w:rPr>
      </w:pPr>
      <w:del w:id="2741" w:author="Master Repository Process" w:date="2022-05-27T14:27:00Z">
        <w:r>
          <w:tab/>
          <w:delText>(b)</w:delText>
        </w:r>
        <w:r>
          <w:tab/>
          <w:delText>is required to bear 50%, or a greater percentage, of the losses of the partnership.</w:delText>
        </w:r>
      </w:del>
    </w:p>
    <w:p>
      <w:pPr>
        <w:pStyle w:val="Ednotesubsection"/>
        <w:rPr>
          <w:ins w:id="2742" w:author="Master Repository Process" w:date="2022-05-27T14:27:00Z"/>
        </w:rPr>
      </w:pPr>
      <w:ins w:id="2743" w:author="Master Repository Process" w:date="2022-05-27T14:27:00Z">
        <w:r>
          <w:tab/>
          <w:t>[(5), (6)</w:t>
        </w:r>
        <w:r>
          <w:tab/>
          <w:t>deleted]</w:t>
        </w:r>
      </w:ins>
    </w:p>
    <w:p>
      <w:pPr>
        <w:pStyle w:val="Subsection"/>
      </w:pPr>
      <w:r>
        <w:tab/>
        <w:t>(7)</w:t>
      </w:r>
      <w:r>
        <w:tab/>
        <w:t>A series of entities under subsection (3) may consist of the main entity and one other entity to which it is linked as mentioned in subsection (4</w:t>
      </w:r>
      <w:del w:id="2744" w:author="Master Repository Process" w:date="2022-05-27T14:27:00Z">
        <w:r>
          <w:delText>), (5) or (6</w:delText>
        </w:r>
      </w:del>
      <w:r>
        <w:t>).</w:t>
      </w:r>
    </w:p>
    <w:p>
      <w:pPr>
        <w:pStyle w:val="Ednotesubsection"/>
        <w:rPr>
          <w:ins w:id="2745" w:author="Master Repository Process" w:date="2022-05-27T14:27:00Z"/>
        </w:rPr>
      </w:pPr>
      <w:r>
        <w:tab/>
      </w:r>
      <w:del w:id="2746" w:author="Master Repository Process" w:date="2022-05-27T14:27:00Z">
        <w:r>
          <w:delText>(</w:delText>
        </w:r>
      </w:del>
      <w:ins w:id="2747" w:author="Master Repository Process" w:date="2022-05-27T14:27:00Z">
        <w:r>
          <w:t>[(</w:t>
        </w:r>
      </w:ins>
      <w:r>
        <w:t>8)</w:t>
      </w:r>
      <w:r>
        <w:tab/>
      </w:r>
      <w:del w:id="2748" w:author="Master Repository Process" w:date="2022-05-27T14:27:00Z">
        <w:r>
          <w:delText>In determining whether</w:delText>
        </w:r>
      </w:del>
      <w:ins w:id="2749" w:author="Master Repository Process" w:date="2022-05-27T14:27:00Z">
        <w:r>
          <w:t>deleted]</w:t>
        </w:r>
      </w:ins>
    </w:p>
    <w:p>
      <w:pPr>
        <w:pStyle w:val="Footnotesection"/>
        <w:rPr>
          <w:ins w:id="2750" w:author="Master Repository Process" w:date="2022-05-27T14:27:00Z"/>
        </w:rPr>
      </w:pPr>
      <w:ins w:id="2751" w:author="Master Repository Process" w:date="2022-05-27T14:27:00Z">
        <w:r>
          <w:tab/>
          <w:t>[Section 156 amended: No. 1 of 2015 s. 25; No. 12 of 2019 s. 66.]</w:t>
        </w:r>
      </w:ins>
    </w:p>
    <w:p>
      <w:pPr>
        <w:pStyle w:val="Heading5"/>
        <w:rPr>
          <w:ins w:id="2752" w:author="Master Repository Process" w:date="2022-05-27T14:27:00Z"/>
        </w:rPr>
      </w:pPr>
      <w:bookmarkStart w:id="2753" w:name="_Toc104291050"/>
      <w:ins w:id="2754" w:author="Master Repository Process" w:date="2022-05-27T14:27:00Z">
        <w:r>
          <w:rPr>
            <w:rStyle w:val="CharSectno"/>
          </w:rPr>
          <w:t>156A</w:t>
        </w:r>
        <w:r>
          <w:t>.</w:t>
        </w:r>
        <w:r>
          <w:tab/>
          <w:t>Linked entities: acquisitions forming one arrangement</w:t>
        </w:r>
        <w:bookmarkEnd w:id="2753"/>
      </w:ins>
    </w:p>
    <w:p>
      <w:pPr>
        <w:pStyle w:val="Subsection"/>
        <w:rPr>
          <w:ins w:id="2755" w:author="Master Repository Process" w:date="2022-05-27T14:27:00Z"/>
        </w:rPr>
      </w:pPr>
      <w:ins w:id="2756" w:author="Master Repository Process" w:date="2022-05-27T14:27:00Z">
        <w:r>
          <w:tab/>
          <w:t>(1)</w:t>
        </w:r>
        <w:r>
          <w:tab/>
          <w:t xml:space="preserve">Subsection (3) applies if — </w:t>
        </w:r>
      </w:ins>
    </w:p>
    <w:p>
      <w:pPr>
        <w:pStyle w:val="Indenta"/>
        <w:rPr>
          <w:ins w:id="2757" w:author="Master Repository Process" w:date="2022-05-27T14:27:00Z"/>
        </w:rPr>
      </w:pPr>
      <w:ins w:id="2758" w:author="Master Repository Process" w:date="2022-05-27T14:27:00Z">
        <w:r>
          <w:tab/>
          <w:t>(a)</w:t>
        </w:r>
        <w:r>
          <w:tab/>
          <w:t xml:space="preserve">there are acquisitions (the </w:t>
        </w:r>
        <w:r>
          <w:rPr>
            <w:rStyle w:val="CharDefText"/>
          </w:rPr>
          <w:t>related acquisitions</w:t>
        </w:r>
        <w:r>
          <w:t xml:space="preserve">) of interests in 2 or more entities (the </w:t>
        </w:r>
        <w:r>
          <w:rPr>
            <w:rStyle w:val="CharDefText"/>
          </w:rPr>
          <w:t>main entities</w:t>
        </w:r>
        <w:r>
          <w:t>) that together form, evidence, give effect to or arise from what is, substantially one arrangement; and</w:t>
        </w:r>
      </w:ins>
    </w:p>
    <w:p>
      <w:pPr>
        <w:pStyle w:val="Indenta"/>
        <w:rPr>
          <w:ins w:id="2759" w:author="Master Repository Process" w:date="2022-05-27T14:27:00Z"/>
        </w:rPr>
      </w:pPr>
      <w:ins w:id="2760" w:author="Master Repository Process" w:date="2022-05-27T14:27:00Z">
        <w:r>
          <w:tab/>
          <w:t>(b)</w:t>
        </w:r>
        <w:r>
          <w:tab/>
          <w:t xml:space="preserve">either — </w:t>
        </w:r>
      </w:ins>
    </w:p>
    <w:p>
      <w:pPr>
        <w:pStyle w:val="Indenti"/>
      </w:pPr>
      <w:ins w:id="2761" w:author="Master Repository Process" w:date="2022-05-27T14:27:00Z">
        <w:r>
          <w:tab/>
          <w:t>(i)</w:t>
        </w:r>
        <w:r>
          <w:tab/>
          <w:t>each of the main entities has a direct or indirect interest (as referred to in section 154A(2)) in</w:t>
        </w:r>
      </w:ins>
      <w:r>
        <w:t xml:space="preserve"> an entity </w:t>
      </w:r>
      <w:del w:id="2762" w:author="Master Repository Process" w:date="2022-05-27T14:27:00Z">
        <w:r>
          <w:delText>is linked to another</w:delText>
        </w:r>
      </w:del>
      <w:ins w:id="2763" w:author="Master Repository Process" w:date="2022-05-27T14:27:00Z">
        <w:r>
          <w:t xml:space="preserve">(the </w:t>
        </w:r>
        <w:r>
          <w:rPr>
            <w:rStyle w:val="CharDefText"/>
          </w:rPr>
          <w:t>relevant</w:t>
        </w:r>
      </w:ins>
      <w:r>
        <w:rPr>
          <w:rStyle w:val="CharDefText"/>
        </w:rPr>
        <w:t xml:space="preserve"> entity</w:t>
      </w:r>
      <w:del w:id="2764" w:author="Master Repository Process" w:date="2022-05-27T14:27:00Z">
        <w:r>
          <w:delText xml:space="preserve"> — </w:delText>
        </w:r>
      </w:del>
      <w:ins w:id="2765" w:author="Master Repository Process" w:date="2022-05-27T14:27:00Z">
        <w:r>
          <w:t>) that is not a listed corporation or listed unit trust scheme; or</w:t>
        </w:r>
      </w:ins>
    </w:p>
    <w:p>
      <w:pPr>
        <w:pStyle w:val="Indenta"/>
        <w:rPr>
          <w:del w:id="2766" w:author="Master Repository Process" w:date="2022-05-27T14:27:00Z"/>
        </w:rPr>
      </w:pPr>
      <w:del w:id="2767" w:author="Master Repository Process" w:date="2022-05-27T14:27:00Z">
        <w:r>
          <w:tab/>
          <w:delText>(a)</w:delText>
        </w:r>
        <w:r>
          <w:tab/>
          <w:delText>if the entity has entered into an agreement to acquire an interest in the other entity, the agreement is to be regarded as having been completed even if it has not yet been completed; and</w:delText>
        </w:r>
      </w:del>
    </w:p>
    <w:p>
      <w:pPr>
        <w:pStyle w:val="Indenti"/>
        <w:rPr>
          <w:ins w:id="2768" w:author="Master Repository Process" w:date="2022-05-27T14:27:00Z"/>
        </w:rPr>
      </w:pPr>
      <w:ins w:id="2769" w:author="Master Repository Process" w:date="2022-05-27T14:27:00Z">
        <w:r>
          <w:tab/>
          <w:t>(ii)</w:t>
        </w:r>
        <w:r>
          <w:tab/>
          <w:t xml:space="preserve">one of the main entities (the </w:t>
        </w:r>
        <w:r>
          <w:rPr>
            <w:rStyle w:val="CharDefText"/>
          </w:rPr>
          <w:t>relevant entity</w:t>
        </w:r>
        <w:r>
          <w:t>) is an entity that is not a listed corporation or listed unit trust scheme and each of the other main entities has a direct or indirect interest (as referred to in section 154A(2)) in the relevant entity;</w:t>
        </w:r>
      </w:ins>
    </w:p>
    <w:p>
      <w:pPr>
        <w:pStyle w:val="Indenta"/>
        <w:rPr>
          <w:ins w:id="2770" w:author="Master Repository Process" w:date="2022-05-27T14:27:00Z"/>
        </w:rPr>
      </w:pPr>
      <w:ins w:id="2771" w:author="Master Repository Process" w:date="2022-05-27T14:27:00Z">
        <w:r>
          <w:tab/>
        </w:r>
        <w:r>
          <w:tab/>
          <w:t>and</w:t>
        </w:r>
      </w:ins>
    </w:p>
    <w:p>
      <w:pPr>
        <w:pStyle w:val="Indenta"/>
        <w:rPr>
          <w:ins w:id="2772" w:author="Master Repository Process" w:date="2022-05-27T14:27:00Z"/>
        </w:rPr>
      </w:pPr>
      <w:ins w:id="2773" w:author="Master Repository Process" w:date="2022-05-27T14:27:00Z">
        <w:r>
          <w:tab/>
          <w:t>(c)</w:t>
        </w:r>
        <w:r>
          <w:tab/>
          <w:t>there is at least 1 main entity that has a total direct or indirect interest in the relevant entity, calculated under section 154A, that is less than 50%; and</w:t>
        </w:r>
      </w:ins>
    </w:p>
    <w:p>
      <w:pPr>
        <w:pStyle w:val="Indenta"/>
        <w:rPr>
          <w:ins w:id="2774" w:author="Master Repository Process" w:date="2022-05-27T14:27:00Z"/>
        </w:rPr>
      </w:pPr>
      <w:ins w:id="2775" w:author="Master Repository Process" w:date="2022-05-27T14:27:00Z">
        <w:r>
          <w:tab/>
          <w:t>(d)</w:t>
        </w:r>
        <w:r>
          <w:tab/>
          <w:t>the aggregated direct or indirect interest in the relevant entity determined under subsection (2) is at least 50%.</w:t>
        </w:r>
      </w:ins>
    </w:p>
    <w:p>
      <w:pPr>
        <w:pStyle w:val="Subsection"/>
        <w:rPr>
          <w:ins w:id="2776" w:author="Master Repository Process" w:date="2022-05-27T14:27:00Z"/>
        </w:rPr>
      </w:pPr>
      <w:ins w:id="2777" w:author="Master Repository Process" w:date="2022-05-27T14:27:00Z">
        <w:r>
          <w:tab/>
          <w:t>(2)</w:t>
        </w:r>
        <w:r>
          <w:tab/>
          <w:t xml:space="preserve">The aggregated direct or indirect interest for the purposes of subsection (1)(d) is — </w:t>
        </w:r>
      </w:ins>
    </w:p>
    <w:p>
      <w:pPr>
        <w:pStyle w:val="Indenta"/>
        <w:rPr>
          <w:ins w:id="2778" w:author="Master Repository Process" w:date="2022-05-27T14:27:00Z"/>
        </w:rPr>
      </w:pPr>
      <w:ins w:id="2779" w:author="Master Repository Process" w:date="2022-05-27T14:27:00Z">
        <w:r>
          <w:tab/>
          <w:t>(a)</w:t>
        </w:r>
        <w:r>
          <w:tab/>
          <w:t>if subsection (1)(b)(i) applies, the aggregate of the total direct or indirect interests, calculated under section 154A, that each of the main entities has in the relevant entity; or</w:t>
        </w:r>
      </w:ins>
    </w:p>
    <w:p>
      <w:pPr>
        <w:pStyle w:val="Indenta"/>
        <w:rPr>
          <w:ins w:id="2780" w:author="Master Repository Process" w:date="2022-05-27T14:27:00Z"/>
        </w:rPr>
      </w:pPr>
      <w:r>
        <w:tab/>
        <w:t>(b)</w:t>
      </w:r>
      <w:r>
        <w:tab/>
        <w:t xml:space="preserve">if </w:t>
      </w:r>
      <w:ins w:id="2781" w:author="Master Repository Process" w:date="2022-05-27T14:27:00Z">
        <w:r>
          <w:t xml:space="preserve">subsection (1)(b)(ii) applies, </w:t>
        </w:r>
      </w:ins>
      <w:r>
        <w:t xml:space="preserve">the </w:t>
      </w:r>
      <w:ins w:id="2782" w:author="Master Repository Process" w:date="2022-05-27T14:27:00Z">
        <w:r>
          <w:t xml:space="preserve">aggregate of — </w:t>
        </w:r>
      </w:ins>
    </w:p>
    <w:p>
      <w:pPr>
        <w:pStyle w:val="Indenti"/>
        <w:rPr>
          <w:ins w:id="2783" w:author="Master Repository Process" w:date="2022-05-27T14:27:00Z"/>
        </w:rPr>
      </w:pPr>
      <w:ins w:id="2784" w:author="Master Repository Process" w:date="2022-05-27T14:27:00Z">
        <w:r>
          <w:tab/>
          <w:t>(i)</w:t>
        </w:r>
        <w:r>
          <w:tab/>
          <w:t xml:space="preserve">the interests in the relevant </w:t>
        </w:r>
      </w:ins>
      <w:r>
        <w:t xml:space="preserve">entity </w:t>
      </w:r>
      <w:del w:id="2785" w:author="Master Repository Process" w:date="2022-05-27T14:27:00Z">
        <w:r>
          <w:delText>has entered into</w:delText>
        </w:r>
      </w:del>
      <w:ins w:id="2786" w:author="Master Repository Process" w:date="2022-05-27T14:27:00Z">
        <w:r>
          <w:t>acquired by each related acquisition that is an acquisition of</w:t>
        </w:r>
      </w:ins>
      <w:r>
        <w:t xml:space="preserve"> an </w:t>
      </w:r>
      <w:del w:id="2787" w:author="Master Repository Process" w:date="2022-05-27T14:27:00Z">
        <w:r>
          <w:delText>agreement</w:delText>
        </w:r>
      </w:del>
      <w:ins w:id="2788" w:author="Master Repository Process" w:date="2022-05-27T14:27:00Z">
        <w:r>
          <w:t>interest in the relevant entity; and</w:t>
        </w:r>
      </w:ins>
    </w:p>
    <w:p>
      <w:pPr>
        <w:pStyle w:val="Indenti"/>
        <w:rPr>
          <w:ins w:id="2789" w:author="Master Repository Process" w:date="2022-05-27T14:27:00Z"/>
        </w:rPr>
      </w:pPr>
      <w:ins w:id="2790" w:author="Master Repository Process" w:date="2022-05-27T14:27:00Z">
        <w:r>
          <w:tab/>
          <w:t>(ii)</w:t>
        </w:r>
        <w:r>
          <w:tab/>
          <w:t>the total direct or indirect interests, calculated under section 154A, that each of the main entities (other than the relevant entity) has in the relevant entity.</w:t>
        </w:r>
      </w:ins>
    </w:p>
    <w:p>
      <w:pPr>
        <w:pStyle w:val="Subsection"/>
      </w:pPr>
      <w:ins w:id="2791" w:author="Master Repository Process" w:date="2022-05-27T14:27:00Z">
        <w:r>
          <w:tab/>
          <w:t>(3)</w:t>
        </w:r>
        <w:r>
          <w:tab/>
          <w:t>The relevant entity is taken, in relation</w:t>
        </w:r>
      </w:ins>
      <w:r>
        <w:t xml:space="preserve"> to </w:t>
      </w:r>
      <w:del w:id="2792" w:author="Master Repository Process" w:date="2022-05-27T14:27:00Z">
        <w:r>
          <w:delText>dispose</w:delText>
        </w:r>
      </w:del>
      <w:ins w:id="2793" w:author="Master Repository Process" w:date="2022-05-27T14:27:00Z">
        <w:r>
          <w:t>a related acquisition</w:t>
        </w:r>
      </w:ins>
      <w:r>
        <w:t xml:space="preserve"> of an interest in </w:t>
      </w:r>
      <w:del w:id="2794" w:author="Master Repository Process" w:date="2022-05-27T14:27:00Z">
        <w:r>
          <w:delText>the other</w:delText>
        </w:r>
      </w:del>
      <w:ins w:id="2795" w:author="Master Repository Process" w:date="2022-05-27T14:27:00Z">
        <w:r>
          <w:t>a main</w:t>
        </w:r>
      </w:ins>
      <w:r>
        <w:t xml:space="preserve"> entity </w:t>
      </w:r>
      <w:del w:id="2796" w:author="Master Repository Process" w:date="2022-05-27T14:27:00Z">
        <w:r>
          <w:delText>but the agreement has not yet been completed, the agreement is</w:delText>
        </w:r>
      </w:del>
      <w:ins w:id="2797" w:author="Master Repository Process" w:date="2022-05-27T14:27:00Z">
        <w:r>
          <w:t>to which subsection (1)(c) applies,</w:t>
        </w:r>
      </w:ins>
      <w:r>
        <w:t xml:space="preserve"> to be </w:t>
      </w:r>
      <w:del w:id="2798" w:author="Master Repository Process" w:date="2022-05-27T14:27:00Z">
        <w:r>
          <w:delText>disregarded.</w:delText>
        </w:r>
      </w:del>
      <w:ins w:id="2799" w:author="Master Repository Process" w:date="2022-05-27T14:27:00Z">
        <w:r>
          <w:t>linked to that main entity under section 156(2).</w:t>
        </w:r>
      </w:ins>
    </w:p>
    <w:p>
      <w:pPr>
        <w:pStyle w:val="Subsection"/>
        <w:rPr>
          <w:ins w:id="2800" w:author="Master Repository Process" w:date="2022-05-27T14:27:00Z"/>
        </w:rPr>
      </w:pPr>
      <w:ins w:id="2801" w:author="Master Repository Process" w:date="2022-05-27T14:27:00Z">
        <w:r>
          <w:tab/>
          <w:t>(4)</w:t>
        </w:r>
        <w:r>
          <w:tab/>
          <w:t>A relevant entity that is linked to a main entity for the purposes of an acquisition because of subsection (3) is taken to be linked in relation to that acquisition even if that subsection does not become applicable in relation to the acquisition until after the acquisition occurs.</w:t>
        </w:r>
      </w:ins>
    </w:p>
    <w:p>
      <w:pPr>
        <w:pStyle w:val="Subsection"/>
        <w:rPr>
          <w:ins w:id="2802" w:author="Master Repository Process" w:date="2022-05-27T14:27:00Z"/>
        </w:rPr>
      </w:pPr>
      <w:ins w:id="2803" w:author="Master Repository Process" w:date="2022-05-27T14:27:00Z">
        <w:r>
          <w:tab/>
          <w:t>(5)</w:t>
        </w:r>
        <w:r>
          <w:tab/>
          <w:t>For the purposes of this section, the direct or indirect interest, or total direct or indirect interest, that a main entity has in the relevant entity is to be determined immediately after the related acquisition of an interest in that main entity.</w:t>
        </w:r>
      </w:ins>
    </w:p>
    <w:p>
      <w:pPr>
        <w:pStyle w:val="Footnotesection"/>
      </w:pPr>
      <w:r>
        <w:tab/>
        <w:t xml:space="preserve">[Section </w:t>
      </w:r>
      <w:del w:id="2804" w:author="Master Repository Process" w:date="2022-05-27T14:27:00Z">
        <w:r>
          <w:delText>156 amended</w:delText>
        </w:r>
      </w:del>
      <w:ins w:id="2805" w:author="Master Repository Process" w:date="2022-05-27T14:27:00Z">
        <w:r>
          <w:t>156A inserted</w:t>
        </w:r>
      </w:ins>
      <w:r>
        <w:t xml:space="preserve">: No. </w:t>
      </w:r>
      <w:del w:id="2806" w:author="Master Repository Process" w:date="2022-05-27T14:27:00Z">
        <w:r>
          <w:delText>1</w:delText>
        </w:r>
      </w:del>
      <w:ins w:id="2807" w:author="Master Repository Process" w:date="2022-05-27T14:27:00Z">
        <w:r>
          <w:t>12</w:t>
        </w:r>
      </w:ins>
      <w:r>
        <w:t xml:space="preserve"> of </w:t>
      </w:r>
      <w:del w:id="2808" w:author="Master Repository Process" w:date="2022-05-27T14:27:00Z">
        <w:r>
          <w:delText>2015</w:delText>
        </w:r>
      </w:del>
      <w:ins w:id="2809" w:author="Master Repository Process" w:date="2022-05-27T14:27:00Z">
        <w:r>
          <w:t>2019</w:t>
        </w:r>
      </w:ins>
      <w:r>
        <w:t xml:space="preserve"> s. </w:t>
      </w:r>
      <w:del w:id="2810" w:author="Master Repository Process" w:date="2022-05-27T14:27:00Z">
        <w:r>
          <w:delText>25</w:delText>
        </w:r>
      </w:del>
      <w:ins w:id="2811" w:author="Master Repository Process" w:date="2022-05-27T14:27:00Z">
        <w:r>
          <w:t>67</w:t>
        </w:r>
      </w:ins>
      <w:r>
        <w:t>.]</w:t>
      </w:r>
    </w:p>
    <w:p>
      <w:pPr>
        <w:pStyle w:val="Heading5"/>
        <w:spacing w:before="240"/>
      </w:pPr>
      <w:bookmarkStart w:id="2812" w:name="_Toc104291051"/>
      <w:bookmarkStart w:id="2813" w:name="_Toc531859392"/>
      <w:r>
        <w:rPr>
          <w:rStyle w:val="CharSectno"/>
        </w:rPr>
        <w:t>157</w:t>
      </w:r>
      <w:r>
        <w:t>.</w:t>
      </w:r>
      <w:r>
        <w:tab/>
      </w:r>
      <w:del w:id="2814" w:author="Master Repository Process" w:date="2022-05-27T14:27:00Z">
        <w:r>
          <w:delText>Land</w:delText>
        </w:r>
      </w:del>
      <w:ins w:id="2815" w:author="Master Repository Process" w:date="2022-05-27T14:27:00Z">
        <w:r>
          <w:t>Value of land assets</w:t>
        </w:r>
      </w:ins>
      <w:r>
        <w:t xml:space="preserve"> of linked entity</w:t>
      </w:r>
      <w:del w:id="2816" w:author="Master Repository Process" w:date="2022-05-27T14:27:00Z">
        <w:r>
          <w:delText>, value of</w:delText>
        </w:r>
      </w:del>
      <w:r>
        <w:t xml:space="preserve"> for s.</w:t>
      </w:r>
      <w:del w:id="2817" w:author="Master Repository Process" w:date="2022-05-27T14:27:00Z">
        <w:r>
          <w:delText> </w:delText>
        </w:r>
      </w:del>
      <w:ins w:id="2818" w:author="Master Repository Process" w:date="2022-05-27T14:27:00Z">
        <w:r>
          <w:t xml:space="preserve"> </w:t>
        </w:r>
      </w:ins>
      <w:r>
        <w:t>155</w:t>
      </w:r>
      <w:bookmarkEnd w:id="2812"/>
      <w:bookmarkEnd w:id="2813"/>
    </w:p>
    <w:p>
      <w:pPr>
        <w:pStyle w:val="Subsection"/>
      </w:pPr>
      <w:r>
        <w:tab/>
        <w:t>(1)</w:t>
      </w:r>
      <w:r>
        <w:tab/>
        <w:t>This section applies where a linked entity is entitled to land</w:t>
      </w:r>
      <w:ins w:id="2819" w:author="Master Repository Process" w:date="2022-05-27T14:27:00Z">
        <w:r>
          <w:t xml:space="preserve"> assets</w:t>
        </w:r>
      </w:ins>
      <w:r>
        <w:t xml:space="preserve"> in Western Australia and it is necessary to determine the value of that entitlement for the purposes of section 155.</w:t>
      </w:r>
    </w:p>
    <w:p>
      <w:pPr>
        <w:pStyle w:val="Subsection"/>
      </w:pPr>
      <w:r>
        <w:tab/>
        <w:t>(2)</w:t>
      </w:r>
      <w:r>
        <w:tab/>
        <w:t xml:space="preserve">The value of the entitlement is an amount equal to the same percentage of the unencumbered value of the land </w:t>
      </w:r>
      <w:ins w:id="2820" w:author="Master Repository Process" w:date="2022-05-27T14:27:00Z">
        <w:r>
          <w:t xml:space="preserve">assets </w:t>
        </w:r>
      </w:ins>
      <w:r>
        <w:t xml:space="preserve">as the percentage of the main entity’s </w:t>
      </w:r>
      <w:ins w:id="2821" w:author="Master Repository Process" w:date="2022-05-27T14:27:00Z">
        <w:r>
          <w:t xml:space="preserve">total direct or indirect </w:t>
        </w:r>
      </w:ins>
      <w:r>
        <w:t>interest in the linked entity</w:t>
      </w:r>
      <w:ins w:id="2822" w:author="Master Repository Process" w:date="2022-05-27T14:27:00Z">
        <w:r>
          <w:t xml:space="preserve"> calculated under section 154A</w:t>
        </w:r>
      </w:ins>
      <w:r>
        <w:t>.</w:t>
      </w:r>
    </w:p>
    <w:p>
      <w:pPr>
        <w:pStyle w:val="Subsection"/>
        <w:rPr>
          <w:del w:id="2823" w:author="Master Repository Process" w:date="2022-05-27T14:27:00Z"/>
        </w:rPr>
      </w:pPr>
      <w:del w:id="2824" w:author="Master Repository Process" w:date="2022-05-27T14:27:00Z">
        <w:r>
          <w:tab/>
          <w:delText>(3)</w:delText>
        </w:r>
        <w:r>
          <w:tab/>
          <w:delTex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delText>
        </w:r>
      </w:del>
    </w:p>
    <w:p>
      <w:pPr>
        <w:pStyle w:val="Subsection"/>
        <w:rPr>
          <w:del w:id="2825" w:author="Master Repository Process" w:date="2022-05-27T14:27:00Z"/>
        </w:rPr>
      </w:pPr>
      <w:del w:id="2826" w:author="Master Repository Process" w:date="2022-05-27T14:27:00Z">
        <w:r>
          <w:tab/>
          <w:delText>(4)</w:delText>
        </w:r>
        <w:r>
          <w:tab/>
          <w:delText>In this section, a reference to an interest in an entity is, if the entity is the trustee of a discretionary trust, a reference to being a potential beneficiary under the trust.</w:delText>
        </w:r>
      </w:del>
    </w:p>
    <w:p>
      <w:pPr>
        <w:pStyle w:val="Ednotesubsection"/>
        <w:rPr>
          <w:ins w:id="2827" w:author="Master Repository Process" w:date="2022-05-27T14:27:00Z"/>
        </w:rPr>
      </w:pPr>
      <w:ins w:id="2828" w:author="Master Repository Process" w:date="2022-05-27T14:27:00Z">
        <w:r>
          <w:tab/>
          <w:t>[(3), (4)</w:t>
        </w:r>
        <w:r>
          <w:tab/>
          <w:t>deleted]</w:t>
        </w:r>
      </w:ins>
    </w:p>
    <w:p>
      <w:pPr>
        <w:pStyle w:val="Footnotesection"/>
        <w:rPr>
          <w:ins w:id="2829" w:author="Master Repository Process" w:date="2022-05-27T14:27:00Z"/>
        </w:rPr>
      </w:pPr>
      <w:ins w:id="2830" w:author="Master Repository Process" w:date="2022-05-27T14:27:00Z">
        <w:r>
          <w:tab/>
          <w:t>[Section 157 amended: No. 12 of 2019 s. 68.]</w:t>
        </w:r>
      </w:ins>
    </w:p>
    <w:p>
      <w:pPr>
        <w:pStyle w:val="Heading5"/>
        <w:keepNext w:val="0"/>
        <w:keepLines w:val="0"/>
        <w:spacing w:before="160"/>
        <w:rPr>
          <w:del w:id="2831" w:author="Master Repository Process" w:date="2022-05-27T14:27:00Z"/>
        </w:rPr>
      </w:pPr>
      <w:ins w:id="2832" w:author="Master Repository Process" w:date="2022-05-27T14:27:00Z">
        <w:r>
          <w:t>[</w:t>
        </w:r>
      </w:ins>
      <w:bookmarkStart w:id="2833" w:name="_Toc531859393"/>
      <w:r>
        <w:t>158</w:t>
      </w:r>
      <w:del w:id="2834" w:author="Master Repository Process" w:date="2022-05-27T14:27:00Z">
        <w:r>
          <w:delText>.</w:delText>
        </w:r>
        <w:r>
          <w:tab/>
          <w:delText>Extent of interest in discretionary trust</w:delText>
        </w:r>
        <w:bookmarkEnd w:id="2833"/>
      </w:del>
    </w:p>
    <w:p>
      <w:pPr>
        <w:pStyle w:val="Subsection"/>
        <w:keepNext/>
        <w:keepLines/>
        <w:rPr>
          <w:del w:id="2835" w:author="Master Repository Process" w:date="2022-05-27T14:27:00Z"/>
        </w:rPr>
      </w:pPr>
      <w:del w:id="2836" w:author="Master Repository Process" w:date="2022-05-27T14:27:00Z">
        <w:r>
          <w:tab/>
        </w:r>
        <w:r>
          <w:tab/>
          <w:delText xml:space="preserve">For the purposes of section 157, if the trustee of a discretionary trust is a linked entity, a potential beneficiary under the trust is taken to have — </w:delText>
        </w:r>
      </w:del>
    </w:p>
    <w:p>
      <w:pPr>
        <w:pStyle w:val="Indenta"/>
        <w:rPr>
          <w:del w:id="2837" w:author="Master Repository Process" w:date="2022-05-27T14:27:00Z"/>
        </w:rPr>
      </w:pPr>
      <w:del w:id="2838" w:author="Master Repository Process" w:date="2022-05-27T14:27:00Z">
        <w:r>
          <w:tab/>
          <w:delText>(a)</w:delText>
        </w:r>
        <w:r>
          <w:tab/>
          <w:delText>a 100% interest in the trust; or</w:delText>
        </w:r>
      </w:del>
    </w:p>
    <w:p>
      <w:pPr>
        <w:pStyle w:val="Indenta"/>
        <w:rPr>
          <w:del w:id="2839" w:author="Master Repository Process" w:date="2022-05-27T14:27:00Z"/>
        </w:rPr>
      </w:pPr>
      <w:del w:id="2840" w:author="Master Repository Process" w:date="2022-05-27T14:27:00Z">
        <w:r>
          <w:tab/>
          <w:delText>(b)</w:delText>
        </w:r>
        <w:r>
          <w:tab/>
          <w:delText xml:space="preserve">if the Commissioner decides in a particular case that the operation of paragraph (a) would be inequitable, either — </w:delText>
        </w:r>
      </w:del>
    </w:p>
    <w:p>
      <w:pPr>
        <w:pStyle w:val="Indenti"/>
        <w:rPr>
          <w:del w:id="2841" w:author="Master Repository Process" w:date="2022-05-27T14:27:00Z"/>
        </w:rPr>
      </w:pPr>
      <w:del w:id="2842" w:author="Master Repository Process" w:date="2022-05-27T14:27:00Z">
        <w:r>
          <w:tab/>
          <w:delText>(i)</w:delText>
        </w:r>
        <w:r>
          <w:tab/>
          <w:delText>an interest in the trust of some other percentage; or</w:delText>
        </w:r>
      </w:del>
    </w:p>
    <w:p>
      <w:pPr>
        <w:pStyle w:val="Indenti"/>
        <w:rPr>
          <w:del w:id="2843" w:author="Master Repository Process" w:date="2022-05-27T14:27:00Z"/>
        </w:rPr>
      </w:pPr>
      <w:del w:id="2844" w:author="Master Repository Process" w:date="2022-05-27T14:27:00Z">
        <w:r>
          <w:tab/>
          <w:delText>(ii)</w:delText>
        </w:r>
        <w:r>
          <w:tab/>
          <w:delText>no interest in the trust,</w:delText>
        </w:r>
      </w:del>
    </w:p>
    <w:p>
      <w:pPr>
        <w:pStyle w:val="Indenta"/>
        <w:rPr>
          <w:del w:id="2845" w:author="Master Repository Process" w:date="2022-05-27T14:27:00Z"/>
        </w:rPr>
      </w:pPr>
      <w:del w:id="2846" w:author="Master Repository Process" w:date="2022-05-27T14:27:00Z">
        <w:r>
          <w:tab/>
        </w:r>
        <w:r>
          <w:tab/>
          <w:delText>as determined by the Commissioner.</w:delText>
        </w:r>
      </w:del>
    </w:p>
    <w:p>
      <w:pPr>
        <w:pStyle w:val="Ednotesection"/>
      </w:pPr>
      <w:ins w:id="2847" w:author="Master Repository Process" w:date="2022-05-27T14:27:00Z">
        <w:r>
          <w:rPr>
            <w:b/>
          </w:rPr>
          <w:t xml:space="preserve">, </w:t>
        </w:r>
      </w:ins>
      <w:bookmarkStart w:id="2848" w:name="_Toc531859394"/>
      <w:r>
        <w:rPr>
          <w:b/>
        </w:rPr>
        <w:t>159.</w:t>
      </w:r>
      <w:r>
        <w:rPr>
          <w:b/>
        </w:rPr>
        <w:tab/>
      </w:r>
      <w:del w:id="2849" w:author="Master Repository Process" w:date="2022-05-27T14:27:00Z">
        <w:r>
          <w:delText>Extent</w:delText>
        </w:r>
      </w:del>
      <w:ins w:id="2850" w:author="Master Repository Process" w:date="2022-05-27T14:27:00Z">
        <w:r>
          <w:t>Deleted: No. 12</w:t>
        </w:r>
      </w:ins>
      <w:r>
        <w:t xml:space="preserve"> of </w:t>
      </w:r>
      <w:del w:id="2851" w:author="Master Repository Process" w:date="2022-05-27T14:27:00Z">
        <w:r>
          <w:delText>interest in partnership</w:delText>
        </w:r>
      </w:del>
      <w:bookmarkEnd w:id="2848"/>
      <w:ins w:id="2852" w:author="Master Repository Process" w:date="2022-05-27T14:27:00Z">
        <w:r>
          <w:t>2019 s. 69.]</w:t>
        </w:r>
      </w:ins>
    </w:p>
    <w:p>
      <w:pPr>
        <w:pStyle w:val="Subsection"/>
        <w:rPr>
          <w:del w:id="2853" w:author="Master Repository Process" w:date="2022-05-27T14:27:00Z"/>
        </w:rPr>
      </w:pPr>
      <w:del w:id="2854" w:author="Master Repository Process" w:date="2022-05-27T14:27:00Z">
        <w:r>
          <w:tab/>
        </w:r>
        <w:r>
          <w:tab/>
          <w:delText xml:space="preserve">For the purposes of section 157, if a partnership is a linked entity in respect of another entity, the percentage of the interest in the partnership of that entity is the percentage — </w:delText>
        </w:r>
      </w:del>
    </w:p>
    <w:p>
      <w:pPr>
        <w:pStyle w:val="Indenta"/>
        <w:rPr>
          <w:del w:id="2855" w:author="Master Repository Process" w:date="2022-05-27T14:27:00Z"/>
        </w:rPr>
      </w:pPr>
      <w:del w:id="2856" w:author="Master Repository Process" w:date="2022-05-27T14:27:00Z">
        <w:r>
          <w:tab/>
          <w:delText>(a)</w:delText>
        </w:r>
        <w:r>
          <w:tab/>
          <w:delText>of the capital of the partnership that the entity has contributed or is required to contribute; or</w:delText>
        </w:r>
      </w:del>
    </w:p>
    <w:p>
      <w:pPr>
        <w:pStyle w:val="Indenta"/>
        <w:rPr>
          <w:del w:id="2857" w:author="Master Repository Process" w:date="2022-05-27T14:27:00Z"/>
        </w:rPr>
      </w:pPr>
      <w:del w:id="2858" w:author="Master Repository Process" w:date="2022-05-27T14:27:00Z">
        <w:r>
          <w:tab/>
          <w:delText>(b)</w:delText>
        </w:r>
        <w:r>
          <w:tab/>
          <w:delText>of the losses of the partnership that the entity is required to bear,</w:delText>
        </w:r>
      </w:del>
    </w:p>
    <w:p>
      <w:pPr>
        <w:pStyle w:val="Subsection"/>
        <w:rPr>
          <w:del w:id="2859" w:author="Master Repository Process" w:date="2022-05-27T14:27:00Z"/>
        </w:rPr>
      </w:pPr>
      <w:del w:id="2860" w:author="Master Repository Process" w:date="2022-05-27T14:27:00Z">
        <w:r>
          <w:tab/>
        </w:r>
        <w:r>
          <w:tab/>
          <w:delText>whichever is the greater or, if the percentage is the same in each case, that percentage.</w:delText>
        </w:r>
      </w:del>
    </w:p>
    <w:p>
      <w:pPr>
        <w:pStyle w:val="Heading3"/>
        <w:spacing w:before="180"/>
        <w:rPr>
          <w:sz w:val="28"/>
        </w:rPr>
      </w:pPr>
      <w:bookmarkStart w:id="2861" w:name="_Toc37946857"/>
      <w:bookmarkStart w:id="2862" w:name="_Toc37947457"/>
      <w:bookmarkStart w:id="2863" w:name="_Toc38031521"/>
      <w:bookmarkStart w:id="2864" w:name="_Toc93310030"/>
      <w:bookmarkStart w:id="2865" w:name="_Toc104291052"/>
      <w:bookmarkStart w:id="2866" w:name="_Toc530491780"/>
      <w:bookmarkStart w:id="2867" w:name="_Toc530492240"/>
      <w:bookmarkStart w:id="2868" w:name="_Toc530493250"/>
      <w:bookmarkStart w:id="2869" w:name="_Toc530556385"/>
      <w:bookmarkStart w:id="2870" w:name="_Toc531692223"/>
      <w:bookmarkStart w:id="2871" w:name="_Toc531856128"/>
      <w:bookmarkStart w:id="2872" w:name="_Toc531858856"/>
      <w:bookmarkStart w:id="2873" w:name="_Toc531859395"/>
      <w:r>
        <w:rPr>
          <w:rStyle w:val="CharDivNo"/>
          <w:sz w:val="28"/>
        </w:rPr>
        <w:t>Part 5</w:t>
      </w:r>
      <w:r>
        <w:rPr>
          <w:sz w:val="28"/>
        </w:rPr>
        <w:t> — </w:t>
      </w:r>
      <w:r>
        <w:rPr>
          <w:rStyle w:val="CharDivText"/>
          <w:sz w:val="28"/>
        </w:rPr>
        <w:t>Acquisitions to which this Chapter applies</w:t>
      </w:r>
      <w:bookmarkEnd w:id="2861"/>
      <w:bookmarkEnd w:id="2862"/>
      <w:bookmarkEnd w:id="2863"/>
      <w:bookmarkEnd w:id="2864"/>
      <w:bookmarkEnd w:id="2865"/>
      <w:bookmarkEnd w:id="2866"/>
      <w:bookmarkEnd w:id="2867"/>
      <w:bookmarkEnd w:id="2868"/>
      <w:bookmarkEnd w:id="2869"/>
      <w:bookmarkEnd w:id="2870"/>
      <w:bookmarkEnd w:id="2871"/>
      <w:bookmarkEnd w:id="2872"/>
      <w:bookmarkEnd w:id="2873"/>
    </w:p>
    <w:p>
      <w:pPr>
        <w:pStyle w:val="Heading4"/>
        <w:rPr>
          <w:sz w:val="26"/>
        </w:rPr>
      </w:pPr>
      <w:bookmarkStart w:id="2874" w:name="_Toc37946858"/>
      <w:bookmarkStart w:id="2875" w:name="_Toc37947458"/>
      <w:bookmarkStart w:id="2876" w:name="_Toc38031522"/>
      <w:bookmarkStart w:id="2877" w:name="_Toc93310031"/>
      <w:bookmarkStart w:id="2878" w:name="_Toc104291053"/>
      <w:bookmarkStart w:id="2879" w:name="_Toc530491781"/>
      <w:bookmarkStart w:id="2880" w:name="_Toc530492241"/>
      <w:bookmarkStart w:id="2881" w:name="_Toc530493251"/>
      <w:bookmarkStart w:id="2882" w:name="_Toc530556386"/>
      <w:bookmarkStart w:id="2883" w:name="_Toc531692224"/>
      <w:bookmarkStart w:id="2884" w:name="_Toc531856129"/>
      <w:bookmarkStart w:id="2885" w:name="_Toc531858857"/>
      <w:bookmarkStart w:id="2886" w:name="_Toc531859396"/>
      <w:r>
        <w:rPr>
          <w:sz w:val="26"/>
        </w:rPr>
        <w:t>Division 1 — Means by which interest acquired</w:t>
      </w:r>
      <w:bookmarkEnd w:id="2874"/>
      <w:bookmarkEnd w:id="2875"/>
      <w:bookmarkEnd w:id="2876"/>
      <w:bookmarkEnd w:id="2877"/>
      <w:bookmarkEnd w:id="2878"/>
      <w:bookmarkEnd w:id="2879"/>
      <w:bookmarkEnd w:id="2880"/>
      <w:bookmarkEnd w:id="2881"/>
      <w:bookmarkEnd w:id="2882"/>
      <w:bookmarkEnd w:id="2883"/>
      <w:bookmarkEnd w:id="2884"/>
      <w:bookmarkEnd w:id="2885"/>
      <w:bookmarkEnd w:id="2886"/>
    </w:p>
    <w:p>
      <w:pPr>
        <w:pStyle w:val="Heading5"/>
      </w:pPr>
      <w:bookmarkStart w:id="2887" w:name="_Toc104291054"/>
      <w:bookmarkStart w:id="2888" w:name="_Toc531859397"/>
      <w:r>
        <w:rPr>
          <w:rStyle w:val="CharSectno"/>
        </w:rPr>
        <w:t>160</w:t>
      </w:r>
      <w:r>
        <w:t>.</w:t>
      </w:r>
      <w:r>
        <w:tab/>
      </w:r>
      <w:del w:id="2889" w:author="Master Repository Process" w:date="2022-05-27T14:27:00Z">
        <w:r>
          <w:delText>When</w:delText>
        </w:r>
      </w:del>
      <w:ins w:id="2890" w:author="Master Repository Process" w:date="2022-05-27T14:27:00Z">
        <w:r>
          <w:t>How</w:t>
        </w:r>
      </w:ins>
      <w:r>
        <w:t xml:space="preserve"> person acquires interest in entity</w:t>
      </w:r>
      <w:bookmarkEnd w:id="2887"/>
      <w:bookmarkEnd w:id="2888"/>
    </w:p>
    <w:p>
      <w:pPr>
        <w:pStyle w:val="Subsection"/>
      </w:pPr>
      <w:r>
        <w:tab/>
        <w:t>(1)</w:t>
      </w:r>
      <w:r>
        <w:tab/>
        <w:t xml:space="preserve">A person acquires an interest in an entity if — </w:t>
      </w:r>
    </w:p>
    <w:p>
      <w:pPr>
        <w:pStyle w:val="Indenta"/>
      </w:pPr>
      <w:r>
        <w:tab/>
        <w:t>(a)</w:t>
      </w:r>
      <w:r>
        <w:tab/>
        <w:t xml:space="preserve">the person obtains an interest in the entity; or </w:t>
      </w:r>
    </w:p>
    <w:p>
      <w:pPr>
        <w:pStyle w:val="Indenta"/>
        <w:keepNext/>
      </w:pPr>
      <w:r>
        <w:tab/>
        <w:t>(b)</w:t>
      </w:r>
      <w:r>
        <w:tab/>
        <w:t xml:space="preserve">the person’s interest in the entity increases, </w:t>
      </w:r>
    </w:p>
    <w:p>
      <w:pPr>
        <w:pStyle w:val="Subsection"/>
      </w:pPr>
      <w:r>
        <w:tab/>
      </w:r>
      <w:r>
        <w:tab/>
        <w:t>regardless of how it is obtained or increased.</w:t>
      </w:r>
    </w:p>
    <w:p>
      <w:pPr>
        <w:pStyle w:val="Subsection"/>
      </w:pPr>
      <w:r>
        <w:tab/>
        <w:t>(2)</w:t>
      </w:r>
      <w:r>
        <w:tab/>
        <w:t xml:space="preserve">Without limiting subsection (1), a person may acquire an interest in a corporation or a unit trust scheme in the following ways — </w:t>
      </w:r>
    </w:p>
    <w:p>
      <w:pPr>
        <w:pStyle w:val="Indenta"/>
      </w:pPr>
      <w:r>
        <w:tab/>
        <w:t>(a)</w:t>
      </w:r>
      <w:r>
        <w:tab/>
        <w:t>by the purchase, gift, allotment or issue of a share or unit;</w:t>
      </w:r>
    </w:p>
    <w:p>
      <w:pPr>
        <w:pStyle w:val="Indenta"/>
      </w:pPr>
      <w:r>
        <w:tab/>
        <w:t>(b)</w:t>
      </w:r>
      <w:r>
        <w:tab/>
        <w:t>by the cancellation, redemption or surrender of a share or unit;</w:t>
      </w:r>
    </w:p>
    <w:p>
      <w:pPr>
        <w:pStyle w:val="Indenta"/>
      </w:pPr>
      <w:r>
        <w:tab/>
        <w:t>(c)</w:t>
      </w:r>
      <w:r>
        <w:tab/>
        <w:t>by the abrogation or alteration of any right in respect of a share or unit;</w:t>
      </w:r>
    </w:p>
    <w:p>
      <w:pPr>
        <w:pStyle w:val="Indenta"/>
      </w:pPr>
      <w:r>
        <w:tab/>
        <w:t>(d)</w:t>
      </w:r>
      <w:r>
        <w:tab/>
        <w:t>by the payment of an amount owing for a share or unit.</w:t>
      </w:r>
    </w:p>
    <w:p>
      <w:pPr>
        <w:pStyle w:val="Subsection"/>
      </w:pPr>
      <w:r>
        <w:tab/>
        <w:t>(3)</w:t>
      </w:r>
      <w:r>
        <w:tab/>
        <w:t>To remove any doubt, it is declared that an interest in a corporation or a unit trust scheme may be acquired without the acquisition of shares in the corporation or units in the scheme.</w:t>
      </w:r>
    </w:p>
    <w:p>
      <w:pPr>
        <w:pStyle w:val="Subsection"/>
        <w:rPr>
          <w:ins w:id="2891" w:author="Master Repository Process" w:date="2022-05-27T14:27:00Z"/>
        </w:rPr>
      </w:pPr>
      <w:ins w:id="2892" w:author="Master Repository Process" w:date="2022-05-27T14:27:00Z">
        <w:r>
          <w:tab/>
          <w:t>(4)</w:t>
        </w:r>
        <w:r>
          <w:tab/>
          <w:t>This section is subject to section 160A.</w:t>
        </w:r>
      </w:ins>
    </w:p>
    <w:p>
      <w:pPr>
        <w:pStyle w:val="Footnotesection"/>
        <w:rPr>
          <w:ins w:id="2893" w:author="Master Repository Process" w:date="2022-05-27T14:27:00Z"/>
        </w:rPr>
      </w:pPr>
      <w:ins w:id="2894" w:author="Master Repository Process" w:date="2022-05-27T14:27:00Z">
        <w:r>
          <w:tab/>
          <w:t>[Section 160 amended: No. 12 of 2019 s. 70.]</w:t>
        </w:r>
      </w:ins>
    </w:p>
    <w:p>
      <w:pPr>
        <w:pStyle w:val="Heading5"/>
        <w:rPr>
          <w:ins w:id="2895" w:author="Master Repository Process" w:date="2022-05-27T14:27:00Z"/>
        </w:rPr>
      </w:pPr>
      <w:bookmarkStart w:id="2896" w:name="_Toc104291055"/>
      <w:ins w:id="2897" w:author="Master Repository Process" w:date="2022-05-27T14:27:00Z">
        <w:r>
          <w:rPr>
            <w:rStyle w:val="CharSectno"/>
          </w:rPr>
          <w:t>160A</w:t>
        </w:r>
        <w:r>
          <w:t>.</w:t>
        </w:r>
        <w:r>
          <w:tab/>
          <w:t>Acquisition of interest by merger of corporations</w:t>
        </w:r>
        <w:bookmarkEnd w:id="2896"/>
      </w:ins>
    </w:p>
    <w:p>
      <w:pPr>
        <w:pStyle w:val="Subsection"/>
        <w:rPr>
          <w:ins w:id="2898" w:author="Master Repository Process" w:date="2022-05-27T14:27:00Z"/>
        </w:rPr>
      </w:pPr>
      <w:ins w:id="2899" w:author="Master Repository Process" w:date="2022-05-27T14:27:00Z">
        <w:r>
          <w:tab/>
          <w:t>(1)</w:t>
        </w:r>
        <w:r>
          <w:tab/>
          <w:t>If a corporation (</w:t>
        </w:r>
        <w:r>
          <w:rPr>
            <w:rStyle w:val="CharDefText"/>
          </w:rPr>
          <w:t>company A</w:t>
        </w:r>
        <w:r>
          <w:t>) has an interest in an entity and there is a merger of company A with and into another corporation (</w:t>
        </w:r>
        <w:r>
          <w:rPr>
            <w:rStyle w:val="CharDefText"/>
          </w:rPr>
          <w:t>company B</w:t>
        </w:r>
        <w:r>
          <w:t>) in circumstances where neither subsection (2) nor subsection (3) applies, company B is taken to acquire that interest.</w:t>
        </w:r>
      </w:ins>
    </w:p>
    <w:p>
      <w:pPr>
        <w:pStyle w:val="Subsection"/>
        <w:rPr>
          <w:ins w:id="2900" w:author="Master Repository Process" w:date="2022-05-27T14:27:00Z"/>
        </w:rPr>
      </w:pPr>
      <w:ins w:id="2901" w:author="Master Repository Process" w:date="2022-05-27T14:27:00Z">
        <w:r>
          <w:tab/>
          <w:t>(2)</w:t>
        </w:r>
        <w:r>
          <w:tab/>
          <w:t xml:space="preserve">If 2 or more corporations (the </w:t>
        </w:r>
        <w:r>
          <w:rPr>
            <w:rStyle w:val="CharDefText"/>
          </w:rPr>
          <w:t>merging corporations</w:t>
        </w:r>
        <w:r>
          <w:t>) merge in circumstances where another corporation (</w:t>
        </w:r>
        <w:r>
          <w:rPr>
            <w:rStyle w:val="CharDefText"/>
          </w:rPr>
          <w:t>company C</w:t>
        </w:r>
        <w:r>
          <w:t>) results as a consequence of the merger, and any of the merging corporations has an interest in an entity, company C is taken to acquire that interest.</w:t>
        </w:r>
      </w:ins>
    </w:p>
    <w:p>
      <w:pPr>
        <w:pStyle w:val="Subsection"/>
        <w:rPr>
          <w:ins w:id="2902" w:author="Master Repository Process" w:date="2022-05-27T14:27:00Z"/>
        </w:rPr>
      </w:pPr>
      <w:ins w:id="2903" w:author="Master Repository Process" w:date="2022-05-27T14:27:00Z">
        <w:r>
          <w:tab/>
          <w:t>(3)</w:t>
        </w:r>
        <w:r>
          <w:tab/>
          <w:t xml:space="preserve">If 2 or more corporations (the </w:t>
        </w:r>
        <w:r>
          <w:rPr>
            <w:rStyle w:val="CharDefText"/>
          </w:rPr>
          <w:t>merging corporations</w:t>
        </w:r>
        <w:r>
          <w:t>) merge with and into each other in circumstances where each of the merging corporations continues in existence, and any of the merging corporations has an interest in an entity, the merging corporations are taken to acquire, jointly, 50% of that interest.</w:t>
        </w:r>
      </w:ins>
    </w:p>
    <w:p>
      <w:pPr>
        <w:pStyle w:val="Footnotesection"/>
        <w:rPr>
          <w:ins w:id="2904" w:author="Master Repository Process" w:date="2022-05-27T14:27:00Z"/>
        </w:rPr>
      </w:pPr>
      <w:ins w:id="2905" w:author="Master Repository Process" w:date="2022-05-27T14:27:00Z">
        <w:r>
          <w:tab/>
          <w:t>[Section 160A inserted: No. 12 of 2019 s. 71.]</w:t>
        </w:r>
      </w:ins>
    </w:p>
    <w:p>
      <w:pPr>
        <w:pStyle w:val="Heading4"/>
        <w:rPr>
          <w:sz w:val="26"/>
        </w:rPr>
      </w:pPr>
      <w:bookmarkStart w:id="2906" w:name="_Toc37946861"/>
      <w:bookmarkStart w:id="2907" w:name="_Toc37947461"/>
      <w:bookmarkStart w:id="2908" w:name="_Toc38031525"/>
      <w:bookmarkStart w:id="2909" w:name="_Toc93310034"/>
      <w:bookmarkStart w:id="2910" w:name="_Toc104291056"/>
      <w:bookmarkStart w:id="2911" w:name="_Toc530491783"/>
      <w:bookmarkStart w:id="2912" w:name="_Toc530492243"/>
      <w:bookmarkStart w:id="2913" w:name="_Toc530493253"/>
      <w:bookmarkStart w:id="2914" w:name="_Toc530556388"/>
      <w:bookmarkStart w:id="2915" w:name="_Toc531692226"/>
      <w:bookmarkStart w:id="2916" w:name="_Toc531856131"/>
      <w:bookmarkStart w:id="2917" w:name="_Toc531858859"/>
      <w:bookmarkStart w:id="2918" w:name="_Toc531859398"/>
      <w:r>
        <w:rPr>
          <w:sz w:val="26"/>
        </w:rPr>
        <w:t>Division 2 — Relevant acquisitions of interests in landholders</w:t>
      </w:r>
      <w:bookmarkEnd w:id="2906"/>
      <w:bookmarkEnd w:id="2907"/>
      <w:bookmarkEnd w:id="2908"/>
      <w:bookmarkEnd w:id="2909"/>
      <w:bookmarkEnd w:id="2910"/>
      <w:bookmarkEnd w:id="2911"/>
      <w:bookmarkEnd w:id="2912"/>
      <w:bookmarkEnd w:id="2913"/>
      <w:bookmarkEnd w:id="2914"/>
      <w:bookmarkEnd w:id="2915"/>
      <w:bookmarkEnd w:id="2916"/>
      <w:bookmarkEnd w:id="2917"/>
      <w:bookmarkEnd w:id="2918"/>
    </w:p>
    <w:p>
      <w:pPr>
        <w:pStyle w:val="Heading4"/>
        <w:rPr>
          <w:sz w:val="26"/>
        </w:rPr>
      </w:pPr>
      <w:bookmarkStart w:id="2919" w:name="_Toc37946862"/>
      <w:bookmarkStart w:id="2920" w:name="_Toc37947462"/>
      <w:bookmarkStart w:id="2921" w:name="_Toc38031526"/>
      <w:bookmarkStart w:id="2922" w:name="_Toc93310035"/>
      <w:bookmarkStart w:id="2923" w:name="_Toc104291057"/>
      <w:bookmarkStart w:id="2924" w:name="_Toc530491784"/>
      <w:bookmarkStart w:id="2925" w:name="_Toc530492244"/>
      <w:bookmarkStart w:id="2926" w:name="_Toc530493254"/>
      <w:bookmarkStart w:id="2927" w:name="_Toc530556389"/>
      <w:bookmarkStart w:id="2928" w:name="_Toc531692227"/>
      <w:bookmarkStart w:id="2929" w:name="_Toc531856132"/>
      <w:bookmarkStart w:id="2930" w:name="_Toc531858860"/>
      <w:bookmarkStart w:id="2931" w:name="_Toc531859399"/>
      <w:r>
        <w:rPr>
          <w:sz w:val="26"/>
        </w:rPr>
        <w:t>Subdivision 1 — Definitions</w:t>
      </w:r>
      <w:bookmarkEnd w:id="2919"/>
      <w:bookmarkEnd w:id="2920"/>
      <w:bookmarkEnd w:id="2921"/>
      <w:bookmarkEnd w:id="2922"/>
      <w:bookmarkEnd w:id="2923"/>
      <w:bookmarkEnd w:id="2924"/>
      <w:bookmarkEnd w:id="2925"/>
      <w:bookmarkEnd w:id="2926"/>
      <w:bookmarkEnd w:id="2927"/>
      <w:bookmarkEnd w:id="2928"/>
      <w:bookmarkEnd w:id="2929"/>
      <w:bookmarkEnd w:id="2930"/>
      <w:bookmarkEnd w:id="2931"/>
      <w:r>
        <w:rPr>
          <w:sz w:val="26"/>
        </w:rPr>
        <w:t xml:space="preserve"> </w:t>
      </w:r>
    </w:p>
    <w:p>
      <w:pPr>
        <w:pStyle w:val="Heading5"/>
        <w:spacing w:before="240"/>
      </w:pPr>
      <w:bookmarkStart w:id="2932" w:name="_Toc104291058"/>
      <w:bookmarkStart w:id="2933" w:name="_Toc531859400"/>
      <w:r>
        <w:rPr>
          <w:rStyle w:val="CharSectno"/>
        </w:rPr>
        <w:t>161</w:t>
      </w:r>
      <w:r>
        <w:t>.</w:t>
      </w:r>
      <w:r>
        <w:tab/>
        <w:t>Term used: significant interest</w:t>
      </w:r>
      <w:bookmarkEnd w:id="2932"/>
      <w:bookmarkEnd w:id="2933"/>
      <w:r>
        <w:t xml:space="preserve"> </w:t>
      </w:r>
    </w:p>
    <w:p>
      <w:pPr>
        <w:pStyle w:val="Subsection"/>
        <w:spacing w:before="180"/>
      </w:pPr>
      <w:r>
        <w:tab/>
      </w:r>
      <w:r>
        <w:tab/>
        <w:t xml:space="preserve">In this Division — </w:t>
      </w:r>
    </w:p>
    <w:p>
      <w:pPr>
        <w:pStyle w:val="Defstart"/>
      </w:pPr>
      <w:r>
        <w:rPr>
          <w:b/>
        </w:rPr>
        <w:tab/>
      </w:r>
      <w:r>
        <w:rPr>
          <w:rStyle w:val="CharDefText"/>
        </w:rPr>
        <w:t>significant interest</w:t>
      </w:r>
      <w:ins w:id="2934" w:author="Master Repository Process" w:date="2022-05-27T14:27:00Z">
        <w:r>
          <w:t>, in a landholder,</w:t>
        </w:r>
      </w:ins>
      <w:r>
        <w:t xml:space="preserve"> means — </w:t>
      </w:r>
    </w:p>
    <w:p>
      <w:pPr>
        <w:pStyle w:val="Defpara"/>
      </w:pPr>
      <w:r>
        <w:tab/>
        <w:t>(a)</w:t>
      </w:r>
      <w:r>
        <w:tab/>
      </w:r>
      <w:del w:id="2935" w:author="Master Repository Process" w:date="2022-05-27T14:27:00Z">
        <w:r>
          <w:delText>a 90% interest or a greater interest, in</w:delText>
        </w:r>
      </w:del>
      <w:ins w:id="2936" w:author="Master Repository Process" w:date="2022-05-27T14:27:00Z">
        <w:r>
          <w:t>if</w:t>
        </w:r>
      </w:ins>
      <w:r>
        <w:t xml:space="preserve"> the </w:t>
      </w:r>
      <w:del w:id="2937" w:author="Master Repository Process" w:date="2022-05-27T14:27:00Z">
        <w:r>
          <w:delText xml:space="preserve">case of a </w:delText>
        </w:r>
      </w:del>
      <w:r>
        <w:t xml:space="preserve">landholder </w:t>
      </w:r>
      <w:del w:id="2938" w:author="Master Repository Process" w:date="2022-05-27T14:27:00Z">
        <w:r>
          <w:delText xml:space="preserve">that </w:delText>
        </w:r>
      </w:del>
      <w:r>
        <w:t>is a listed landholder</w:t>
      </w:r>
      <w:del w:id="2939" w:author="Master Repository Process" w:date="2022-05-27T14:27:00Z">
        <w:r>
          <w:delText>; and</w:delText>
        </w:r>
      </w:del>
      <w:ins w:id="2940" w:author="Master Repository Process" w:date="2022-05-27T14:27:00Z">
        <w:r>
          <w:t> — an interest of at least 90%; or</w:t>
        </w:r>
      </w:ins>
    </w:p>
    <w:p>
      <w:pPr>
        <w:pStyle w:val="Defpara"/>
      </w:pPr>
      <w:r>
        <w:tab/>
        <w:t>(b)</w:t>
      </w:r>
      <w:r>
        <w:tab/>
      </w:r>
      <w:del w:id="2941" w:author="Master Repository Process" w:date="2022-05-27T14:27:00Z">
        <w:r>
          <w:delText>a 50%</w:delText>
        </w:r>
      </w:del>
      <w:ins w:id="2942" w:author="Master Repository Process" w:date="2022-05-27T14:27:00Z">
        <w:r>
          <w:t>otherwise — an</w:t>
        </w:r>
      </w:ins>
      <w:r>
        <w:t xml:space="preserve"> interest </w:t>
      </w:r>
      <w:del w:id="2943" w:author="Master Repository Process" w:date="2022-05-27T14:27:00Z">
        <w:r>
          <w:delText xml:space="preserve">or a greater interest, in the case </w:delText>
        </w:r>
      </w:del>
      <w:r>
        <w:t xml:space="preserve">of </w:t>
      </w:r>
      <w:del w:id="2944" w:author="Master Repository Process" w:date="2022-05-27T14:27:00Z">
        <w:r>
          <w:delText>any other landholder.</w:delText>
        </w:r>
      </w:del>
      <w:ins w:id="2945" w:author="Master Repository Process" w:date="2022-05-27T14:27:00Z">
        <w:r>
          <w:t>at least 50%.</w:t>
        </w:r>
      </w:ins>
    </w:p>
    <w:p>
      <w:pPr>
        <w:pStyle w:val="Footnotesection"/>
        <w:ind w:left="890" w:hanging="890"/>
      </w:pPr>
      <w:r>
        <w:tab/>
        <w:t>[Section 161 amended: No. 32 of 2012 s. </w:t>
      </w:r>
      <w:del w:id="2946" w:author="Master Repository Process" w:date="2022-05-27T14:27:00Z">
        <w:r>
          <w:delText>11</w:delText>
        </w:r>
      </w:del>
      <w:ins w:id="2947" w:author="Master Repository Process" w:date="2022-05-27T14:27:00Z">
        <w:r>
          <w:t>11; No. 12 of 2019 s. 72</w:t>
        </w:r>
      </w:ins>
      <w:r>
        <w:t>.]</w:t>
      </w:r>
    </w:p>
    <w:p>
      <w:pPr>
        <w:pStyle w:val="Heading5"/>
        <w:spacing w:before="240"/>
      </w:pPr>
      <w:bookmarkStart w:id="2948" w:name="_Toc104291059"/>
      <w:bookmarkStart w:id="2949" w:name="_Toc531859401"/>
      <w:r>
        <w:rPr>
          <w:rStyle w:val="CharSectno"/>
        </w:rPr>
        <w:t>162</w:t>
      </w:r>
      <w:r>
        <w:t>.</w:t>
      </w:r>
      <w:r>
        <w:tab/>
        <w:t>Related persons</w:t>
      </w:r>
      <w:del w:id="2950" w:author="Master Repository Process" w:date="2022-05-27T14:27:00Z">
        <w:r>
          <w:delText>:</w:delText>
        </w:r>
      </w:del>
      <w:ins w:id="2951" w:author="Master Repository Process" w:date="2022-05-27T14:27:00Z">
        <w:r>
          <w:t xml:space="preserve"> for</w:t>
        </w:r>
      </w:ins>
      <w:r>
        <w:t xml:space="preserve"> s.</w:t>
      </w:r>
      <w:del w:id="2952" w:author="Master Repository Process" w:date="2022-05-27T14:27:00Z">
        <w:r>
          <w:delText> </w:delText>
        </w:r>
      </w:del>
      <w:ins w:id="2953" w:author="Master Repository Process" w:date="2022-05-27T14:27:00Z">
        <w:r>
          <w:t xml:space="preserve"> </w:t>
        </w:r>
      </w:ins>
      <w:r>
        <w:t>163</w:t>
      </w:r>
      <w:bookmarkEnd w:id="2948"/>
      <w:del w:id="2954" w:author="Master Repository Process" w:date="2022-05-27T14:27:00Z">
        <w:r>
          <w:delText xml:space="preserve"> and 164</w:delText>
        </w:r>
      </w:del>
      <w:bookmarkEnd w:id="2949"/>
    </w:p>
    <w:p>
      <w:pPr>
        <w:pStyle w:val="Subsection"/>
        <w:keepNext/>
        <w:keepLines/>
        <w:spacing w:before="180"/>
        <w:rPr>
          <w:snapToGrid w:val="0"/>
        </w:rPr>
      </w:pPr>
      <w:r>
        <w:tab/>
        <w:t>(1)</w:t>
      </w:r>
      <w:r>
        <w:tab/>
      </w:r>
      <w:r>
        <w:rPr>
          <w:snapToGrid w:val="0"/>
        </w:rPr>
        <w:t xml:space="preserve">For the purposes of </w:t>
      </w:r>
      <w:del w:id="2955" w:author="Master Repository Process" w:date="2022-05-27T14:27:00Z">
        <w:r>
          <w:rPr>
            <w:snapToGrid w:val="0"/>
          </w:rPr>
          <w:delText>sections</w:delText>
        </w:r>
      </w:del>
      <w:ins w:id="2956" w:author="Master Repository Process" w:date="2022-05-27T14:27:00Z">
        <w:r>
          <w:t>section</w:t>
        </w:r>
      </w:ins>
      <w:r>
        <w:t> 163</w:t>
      </w:r>
      <w:del w:id="2957" w:author="Master Repository Process" w:date="2022-05-27T14:27:00Z">
        <w:r>
          <w:rPr>
            <w:snapToGrid w:val="0"/>
          </w:rPr>
          <w:delText xml:space="preserve"> and 164</w:delText>
        </w:r>
      </w:del>
      <w:r>
        <w:t xml:space="preserve"> </w:t>
      </w:r>
      <w:r>
        <w:rPr>
          <w:snapToGrid w:val="0"/>
        </w:rPr>
        <w:t xml:space="preserve">the following persons </w:t>
      </w:r>
      <w:r>
        <w:t>or entities are related persons —</w:t>
      </w:r>
      <w:r>
        <w:rPr>
          <w:snapToGrid w:val="0"/>
        </w:rPr>
        <w:t xml:space="preserve"> </w:t>
      </w:r>
    </w:p>
    <w:p>
      <w:pPr>
        <w:pStyle w:val="Indenta"/>
        <w:rPr>
          <w:snapToGrid w:val="0"/>
        </w:rPr>
      </w:pPr>
      <w:r>
        <w:tab/>
        <w:t>(a)</w:t>
      </w:r>
      <w:r>
        <w:tab/>
        <w:t>individual</w:t>
      </w:r>
      <w:r>
        <w:rPr>
          <w:snapToGrid w:val="0"/>
        </w:rPr>
        <w:t>s who are spouses</w:t>
      </w:r>
      <w:r>
        <w:t>, or de facto partners,</w:t>
      </w:r>
      <w:r>
        <w:rPr>
          <w:snapToGrid w:val="0"/>
        </w:rPr>
        <w:t xml:space="preserve"> of each other; </w:t>
      </w:r>
    </w:p>
    <w:p>
      <w:pPr>
        <w:pStyle w:val="Indenta"/>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rPr>
          <w:snapToGrid w:val="0"/>
        </w:rPr>
      </w:pPr>
      <w:r>
        <w:tab/>
        <w:t>(c)</w:t>
      </w:r>
      <w:r>
        <w:tab/>
      </w:r>
      <w:r>
        <w:rPr>
          <w:snapToGrid w:val="0"/>
        </w:rPr>
        <w:t>related corporations;</w:t>
      </w:r>
    </w:p>
    <w:p>
      <w:pPr>
        <w:pStyle w:val="Indenta"/>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rPr>
          <w:snapToGrid w:val="0"/>
        </w:rPr>
      </w:pPr>
      <w:r>
        <w:tab/>
        <w:t>(g)</w:t>
      </w:r>
      <w:r>
        <w:tab/>
      </w:r>
      <w:r>
        <w:rPr>
          <w:snapToGrid w:val="0"/>
        </w:rPr>
        <w:t xml:space="preserve">a corporation and a trustee if — </w:t>
      </w:r>
    </w:p>
    <w:p>
      <w:pPr>
        <w:pStyle w:val="Indenti"/>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keepNext/>
        <w:rPr>
          <w:snapToGrid w:val="0"/>
        </w:rPr>
      </w:pPr>
      <w:r>
        <w:tab/>
        <w:t>(ii)</w:t>
      </w:r>
      <w:r>
        <w:tab/>
      </w:r>
      <w:r>
        <w:rPr>
          <w:snapToGrid w:val="0"/>
        </w:rPr>
        <w:t>a related corporation to the corporation is a beneficiary under the trust of which the trustee is a trustee,</w:t>
      </w:r>
    </w:p>
    <w:p>
      <w:pPr>
        <w:pStyle w:val="Indenta"/>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 xml:space="preserve">persons or entities that acquire interests in a landholder by virtue of acquisitions that together </w:t>
      </w:r>
      <w:r>
        <w:t>form</w:t>
      </w:r>
      <w:ins w:id="2958" w:author="Master Repository Process" w:date="2022-05-27T14:27:00Z">
        <w:r>
          <w:t>, evidence, give effect to</w:t>
        </w:r>
      </w:ins>
      <w:r>
        <w:t xml:space="preserve"> or arise from </w:t>
      </w:r>
      <w:ins w:id="2959" w:author="Master Repository Process" w:date="2022-05-27T14:27:00Z">
        <w:r>
          <w:t xml:space="preserve">what is, </w:t>
        </w:r>
      </w:ins>
      <w:r>
        <w:t xml:space="preserve">substantially one </w:t>
      </w:r>
      <w:del w:id="2960" w:author="Master Repository Process" w:date="2022-05-27T14:27:00Z">
        <w:r>
          <w:rPr>
            <w:snapToGrid w:val="0"/>
          </w:rPr>
          <w:delText>transaction or one series of transactions</w:delText>
        </w:r>
      </w:del>
      <w:ins w:id="2961" w:author="Master Repository Process" w:date="2022-05-27T14:27:00Z">
        <w:r>
          <w:t>arrangement</w:t>
        </w:r>
      </w:ins>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rPr>
          <w:ins w:id="2962" w:author="Master Repository Process" w:date="2022-05-27T14:27:00Z"/>
        </w:rPr>
      </w:pPr>
      <w:ins w:id="2963" w:author="Master Repository Process" w:date="2022-05-27T14:27:00Z">
        <w:r>
          <w:tab/>
          <w:t>(1A)</w:t>
        </w:r>
        <w:r>
          <w:tab/>
          <w:t xml:space="preserve">Subsection (1)(h) and (i) do not apply — </w:t>
        </w:r>
      </w:ins>
    </w:p>
    <w:p>
      <w:pPr>
        <w:pStyle w:val="Indenta"/>
        <w:rPr>
          <w:ins w:id="2964" w:author="Master Repository Process" w:date="2022-05-27T14:27:00Z"/>
        </w:rPr>
      </w:pPr>
      <w:ins w:id="2965" w:author="Master Repository Process" w:date="2022-05-27T14:27:00Z">
        <w:r>
          <w:tab/>
          <w:t>(a)</w:t>
        </w:r>
        <w:r>
          <w:tab/>
          <w:t>in circumstances where the acquisitions result from a public float; or</w:t>
        </w:r>
      </w:ins>
    </w:p>
    <w:p>
      <w:pPr>
        <w:pStyle w:val="Indenta"/>
        <w:rPr>
          <w:ins w:id="2966" w:author="Master Repository Process" w:date="2022-05-27T14:27:00Z"/>
        </w:rPr>
      </w:pPr>
      <w:ins w:id="2967" w:author="Master Repository Process" w:date="2022-05-27T14:27:00Z">
        <w:r>
          <w:tab/>
          <w:t>(b)</w:t>
        </w:r>
        <w:r>
          <w:tab/>
          <w:t>in prescribed circumstances.</w:t>
        </w:r>
      </w:ins>
    </w:p>
    <w:p>
      <w:pPr>
        <w:pStyle w:val="Subsection"/>
        <w:spacing w:before="180"/>
      </w:pPr>
      <w:r>
        <w:tab/>
        <w:t>(2)</w:t>
      </w:r>
      <w:r>
        <w:tab/>
        <w:t>If the Commissioner is satisfied, in the case of a particular acquisition of an interest in an entity, that subsection (3) applies to persons</w:t>
      </w:r>
      <w:del w:id="2968" w:author="Master Repository Process" w:date="2022-05-27T14:27:00Z">
        <w:r>
          <w:delText>, other than related corporations,</w:delText>
        </w:r>
      </w:del>
      <w:r>
        <w:t xml:space="preserve"> that would otherwise be related persons under subsection (1), the Commissioner may determine that, despite that subsection, the persons are not related persons for the purposes of </w:t>
      </w:r>
      <w:del w:id="2969" w:author="Master Repository Process" w:date="2022-05-27T14:27:00Z">
        <w:r>
          <w:delText>sections</w:delText>
        </w:r>
      </w:del>
      <w:ins w:id="2970" w:author="Master Repository Process" w:date="2022-05-27T14:27:00Z">
        <w:r>
          <w:t>section</w:t>
        </w:r>
      </w:ins>
      <w:r>
        <w:t> 163</w:t>
      </w:r>
      <w:del w:id="2971" w:author="Master Repository Process" w:date="2022-05-27T14:27:00Z">
        <w:r>
          <w:rPr>
            <w:snapToGrid w:val="0"/>
          </w:rPr>
          <w:delText xml:space="preserve"> and 164</w:delText>
        </w:r>
      </w:del>
      <w:r>
        <w:t>.</w:t>
      </w:r>
    </w:p>
    <w:p>
      <w:pPr>
        <w:pStyle w:val="Subsection"/>
        <w:rPr>
          <w:ins w:id="2972" w:author="Master Repository Process" w:date="2022-05-27T14:27:00Z"/>
        </w:rPr>
      </w:pPr>
      <w:ins w:id="2973" w:author="Master Repository Process" w:date="2022-05-27T14:27:00Z">
        <w:r>
          <w:tab/>
          <w:t>(2A)</w:t>
        </w:r>
        <w:r>
          <w:tab/>
          <w:t>The Commissioner cannot make a determination under subsection (2) in relation to persons or entities that are related persons under subsection (1)(c), (h) or (i).</w:t>
        </w:r>
      </w:ins>
    </w:p>
    <w:p>
      <w:pPr>
        <w:pStyle w:val="Subsection"/>
        <w:spacing w:before="180"/>
        <w:rPr>
          <w:del w:id="2974" w:author="Master Repository Process" w:date="2022-05-27T14:27:00Z"/>
        </w:rPr>
      </w:pPr>
      <w:r>
        <w:tab/>
        <w:t>(3)</w:t>
      </w:r>
      <w:r>
        <w:tab/>
        <w:t xml:space="preserve">This subsection applies to persons if </w:t>
      </w:r>
      <w:del w:id="2975" w:author="Master Repository Process" w:date="2022-05-27T14:27:00Z">
        <w:r>
          <w:delText xml:space="preserve">— </w:delText>
        </w:r>
      </w:del>
    </w:p>
    <w:p>
      <w:pPr>
        <w:pStyle w:val="Indenta"/>
        <w:rPr>
          <w:del w:id="2976" w:author="Master Repository Process" w:date="2022-05-27T14:27:00Z"/>
        </w:rPr>
      </w:pPr>
      <w:del w:id="2977" w:author="Master Repository Process" w:date="2022-05-27T14:27:00Z">
        <w:r>
          <w:tab/>
          <w:delText>(a)</w:delText>
        </w:r>
        <w:r>
          <w:tab/>
          <w:delText>they are not acting in concert with each other in respect of the acquisition; and</w:delText>
        </w:r>
      </w:del>
    </w:p>
    <w:p>
      <w:pPr>
        <w:pStyle w:val="Subsection"/>
      </w:pPr>
      <w:del w:id="2978" w:author="Master Repository Process" w:date="2022-05-27T14:27:00Z">
        <w:r>
          <w:tab/>
          <w:delText>(b)</w:delText>
        </w:r>
        <w:r>
          <w:tab/>
        </w:r>
      </w:del>
      <w:r>
        <w:t xml:space="preserve">their interests in the entity — </w:t>
      </w:r>
    </w:p>
    <w:p>
      <w:pPr>
        <w:pStyle w:val="Indenta"/>
      </w:pPr>
      <w:r>
        <w:tab/>
        <w:t>(</w:t>
      </w:r>
      <w:del w:id="2979" w:author="Master Repository Process" w:date="2022-05-27T14:27:00Z">
        <w:r>
          <w:delText>i</w:delText>
        </w:r>
      </w:del>
      <w:ins w:id="2980" w:author="Master Repository Process" w:date="2022-05-27T14:27:00Z">
        <w:r>
          <w:t>a</w:t>
        </w:r>
      </w:ins>
      <w:r>
        <w:t>)</w:t>
      </w:r>
      <w:r>
        <w:tab/>
        <w:t>were acquired independently and are, and will be, employed independently; and</w:t>
      </w:r>
    </w:p>
    <w:p>
      <w:pPr>
        <w:pStyle w:val="Indenta"/>
      </w:pPr>
      <w:r>
        <w:tab/>
        <w:t>(</w:t>
      </w:r>
      <w:del w:id="2981" w:author="Master Repository Process" w:date="2022-05-27T14:27:00Z">
        <w:r>
          <w:delText>ii</w:delText>
        </w:r>
      </w:del>
      <w:ins w:id="2982" w:author="Master Repository Process" w:date="2022-05-27T14:27:00Z">
        <w:r>
          <w:t>b</w:t>
        </w:r>
      </w:ins>
      <w:r>
        <w:t>)</w:t>
      </w:r>
      <w:r>
        <w:tab/>
        <w:t>were not acquired for a common purpose and are not, and will not be, employed for a common purpose.</w:t>
      </w:r>
    </w:p>
    <w:p>
      <w:pPr>
        <w:pStyle w:val="Footnotesection"/>
        <w:rPr>
          <w:ins w:id="2983" w:author="Master Repository Process" w:date="2022-05-27T14:27:00Z"/>
        </w:rPr>
      </w:pPr>
      <w:ins w:id="2984" w:author="Master Repository Process" w:date="2022-05-27T14:27:00Z">
        <w:r>
          <w:tab/>
          <w:t>[Section 162 amended: No. 12 of 2019 s. 73.]</w:t>
        </w:r>
      </w:ins>
    </w:p>
    <w:p>
      <w:pPr>
        <w:pStyle w:val="Heading4"/>
        <w:rPr>
          <w:sz w:val="26"/>
        </w:rPr>
      </w:pPr>
      <w:bookmarkStart w:id="2985" w:name="_Toc37946865"/>
      <w:bookmarkStart w:id="2986" w:name="_Toc37947465"/>
      <w:bookmarkStart w:id="2987" w:name="_Toc38031529"/>
      <w:bookmarkStart w:id="2988" w:name="_Toc93310038"/>
      <w:bookmarkStart w:id="2989" w:name="_Toc104291060"/>
      <w:bookmarkStart w:id="2990" w:name="_Toc530491787"/>
      <w:bookmarkStart w:id="2991" w:name="_Toc530492247"/>
      <w:bookmarkStart w:id="2992" w:name="_Toc530493257"/>
      <w:bookmarkStart w:id="2993" w:name="_Toc530556392"/>
      <w:bookmarkStart w:id="2994" w:name="_Toc531692230"/>
      <w:bookmarkStart w:id="2995" w:name="_Toc531856135"/>
      <w:bookmarkStart w:id="2996" w:name="_Toc531858863"/>
      <w:bookmarkStart w:id="2997" w:name="_Toc531859402"/>
      <w:r>
        <w:rPr>
          <w:sz w:val="26"/>
        </w:rPr>
        <w:t>Subdivision 2 — Relevant acquisitions</w:t>
      </w:r>
      <w:bookmarkEnd w:id="2985"/>
      <w:bookmarkEnd w:id="2986"/>
      <w:bookmarkEnd w:id="2987"/>
      <w:bookmarkEnd w:id="2988"/>
      <w:bookmarkEnd w:id="2989"/>
      <w:bookmarkEnd w:id="2990"/>
      <w:bookmarkEnd w:id="2991"/>
      <w:bookmarkEnd w:id="2992"/>
      <w:bookmarkEnd w:id="2993"/>
      <w:bookmarkEnd w:id="2994"/>
      <w:bookmarkEnd w:id="2995"/>
      <w:bookmarkEnd w:id="2996"/>
      <w:bookmarkEnd w:id="2997"/>
    </w:p>
    <w:p>
      <w:pPr>
        <w:pStyle w:val="Heading5"/>
        <w:spacing w:before="180"/>
        <w:rPr>
          <w:del w:id="2998" w:author="Master Repository Process" w:date="2022-05-27T14:27:00Z"/>
        </w:rPr>
      </w:pPr>
      <w:bookmarkStart w:id="2999" w:name="_Toc531859403"/>
      <w:del w:id="3000" w:author="Master Repository Process" w:date="2022-05-27T14:27:00Z">
        <w:r>
          <w:rPr>
            <w:rStyle w:val="CharSectno"/>
          </w:rPr>
          <w:delText>163</w:delText>
        </w:r>
        <w:r>
          <w:delText>.</w:delText>
        </w:r>
        <w:r>
          <w:tab/>
          <w:delText>Acquisition of significant interest in landholder</w:delText>
        </w:r>
        <w:bookmarkEnd w:id="2999"/>
      </w:del>
    </w:p>
    <w:p>
      <w:pPr>
        <w:pStyle w:val="Heading5"/>
        <w:rPr>
          <w:ins w:id="3001" w:author="Master Repository Process" w:date="2022-05-27T14:27:00Z"/>
        </w:rPr>
      </w:pPr>
      <w:del w:id="3002" w:author="Master Repository Process" w:date="2022-05-27T14:27:00Z">
        <w:r>
          <w:tab/>
        </w:r>
      </w:del>
      <w:bookmarkStart w:id="3003" w:name="_Toc104291061"/>
      <w:ins w:id="3004" w:author="Master Repository Process" w:date="2022-05-27T14:27:00Z">
        <w:r>
          <w:rPr>
            <w:rStyle w:val="CharSectno"/>
          </w:rPr>
          <w:t>163</w:t>
        </w:r>
        <w:r>
          <w:t>.</w:t>
        </w:r>
        <w:r>
          <w:tab/>
          <w:t>Relevant acquisitions</w:t>
        </w:r>
        <w:bookmarkEnd w:id="3003"/>
      </w:ins>
    </w:p>
    <w:p>
      <w:pPr>
        <w:pStyle w:val="Subsection"/>
      </w:pPr>
      <w:ins w:id="3005" w:author="Master Repository Process" w:date="2022-05-27T14:27:00Z">
        <w:r>
          <w:tab/>
          <w:t>(1)</w:t>
        </w:r>
      </w:ins>
      <w:r>
        <w:tab/>
        <w:t xml:space="preserve">An acquisition by a person </w:t>
      </w:r>
      <w:ins w:id="3006" w:author="Master Repository Process" w:date="2022-05-27T14:27:00Z">
        <w:r>
          <w:t xml:space="preserve">(the </w:t>
        </w:r>
        <w:r>
          <w:rPr>
            <w:rStyle w:val="CharDefText"/>
          </w:rPr>
          <w:t>acquirer</w:t>
        </w:r>
        <w:r>
          <w:t xml:space="preserve">) </w:t>
        </w:r>
      </w:ins>
      <w:r>
        <w:t xml:space="preserve">of an interest in an entity </w:t>
      </w:r>
      <w:ins w:id="3007" w:author="Master Repository Process" w:date="2022-05-27T14:27:00Z">
        <w:r>
          <w:t xml:space="preserve">that is a landholder in relation to the acquisition </w:t>
        </w:r>
      </w:ins>
      <w:r>
        <w:t xml:space="preserve">is a </w:t>
      </w:r>
      <w:r>
        <w:rPr>
          <w:rStyle w:val="CharDefText"/>
        </w:rPr>
        <w:t>relevant acquisition</w:t>
      </w:r>
      <w:r>
        <w:t xml:space="preserve"> </w:t>
      </w:r>
      <w:del w:id="3008" w:author="Master Repository Process" w:date="2022-05-27T14:27:00Z">
        <w:r>
          <w:delText xml:space="preserve">if — </w:delText>
        </w:r>
      </w:del>
      <w:ins w:id="3009" w:author="Master Repository Process" w:date="2022-05-27T14:27:00Z">
        <w:r>
          <w:t>in any of the following circumstances —</w:t>
        </w:r>
      </w:ins>
    </w:p>
    <w:p>
      <w:pPr>
        <w:pStyle w:val="Indenta"/>
        <w:rPr>
          <w:ins w:id="3010" w:author="Master Repository Process" w:date="2022-05-27T14:27:00Z"/>
        </w:rPr>
      </w:pPr>
      <w:r>
        <w:tab/>
        <w:t>(a)</w:t>
      </w:r>
      <w:r>
        <w:tab/>
      </w:r>
      <w:ins w:id="3011" w:author="Master Repository Process" w:date="2022-05-27T14:27:00Z">
        <w:r>
          <w:t xml:space="preserve">if — </w:t>
        </w:r>
      </w:ins>
    </w:p>
    <w:p>
      <w:pPr>
        <w:pStyle w:val="Indenti"/>
      </w:pPr>
      <w:ins w:id="3012" w:author="Master Repository Process" w:date="2022-05-27T14:27:00Z">
        <w:r>
          <w:tab/>
          <w:t>(i)</w:t>
        </w:r>
        <w:r>
          <w:tab/>
        </w:r>
      </w:ins>
      <w:r>
        <w:t>immediately before the acquisition</w:t>
      </w:r>
      <w:ins w:id="3013" w:author="Master Repository Process" w:date="2022-05-27T14:27:00Z">
        <w:r>
          <w:t>,</w:t>
        </w:r>
      </w:ins>
      <w:r>
        <w:t xml:space="preserve"> the </w:t>
      </w:r>
      <w:del w:id="3014" w:author="Master Repository Process" w:date="2022-05-27T14:27:00Z">
        <w:r>
          <w:delText>entity was</w:delText>
        </w:r>
      </w:del>
      <w:ins w:id="3015" w:author="Master Repository Process" w:date="2022-05-27T14:27:00Z">
        <w:r>
          <w:t>acquirer does not have</w:t>
        </w:r>
      </w:ins>
      <w:r>
        <w:t xml:space="preserve"> a </w:t>
      </w:r>
      <w:ins w:id="3016" w:author="Master Repository Process" w:date="2022-05-27T14:27:00Z">
        <w:r>
          <w:t xml:space="preserve">significant interest in the </w:t>
        </w:r>
      </w:ins>
      <w:r>
        <w:t>landholder</w:t>
      </w:r>
      <w:del w:id="3017" w:author="Master Repository Process" w:date="2022-05-27T14:27:00Z">
        <w:r>
          <w:delText xml:space="preserve"> in which the interest (if any) of the person</w:delText>
        </w:r>
      </w:del>
      <w:ins w:id="3018" w:author="Master Repository Process" w:date="2022-05-27T14:27:00Z">
        <w:r>
          <w:t>;</w:t>
        </w:r>
      </w:ins>
      <w:r>
        <w:t xml:space="preserve"> and</w:t>
      </w:r>
      <w:del w:id="3019" w:author="Master Repository Process" w:date="2022-05-27T14:27:00Z">
        <w:r>
          <w:delText xml:space="preserve"> the interest (if any) of any related person did not amount to a significant interest; and</w:delText>
        </w:r>
      </w:del>
    </w:p>
    <w:p>
      <w:pPr>
        <w:pStyle w:val="Indenti"/>
      </w:pPr>
      <w:r>
        <w:tab/>
        <w:t>(</w:t>
      </w:r>
      <w:del w:id="3020" w:author="Master Repository Process" w:date="2022-05-27T14:27:00Z">
        <w:r>
          <w:delText>b)</w:delText>
        </w:r>
        <w:r>
          <w:tab/>
        </w:r>
      </w:del>
      <w:ins w:id="3021" w:author="Master Repository Process" w:date="2022-05-27T14:27:00Z">
        <w:r>
          <w:t>ii)</w:t>
        </w:r>
        <w:r>
          <w:tab/>
          <w:t xml:space="preserve">immediately </w:t>
        </w:r>
      </w:ins>
      <w:r>
        <w:t>after the acquisition</w:t>
      </w:r>
      <w:ins w:id="3022" w:author="Master Repository Process" w:date="2022-05-27T14:27:00Z">
        <w:r>
          <w:t>,</w:t>
        </w:r>
      </w:ins>
      <w:r>
        <w:t xml:space="preserve"> the </w:t>
      </w:r>
      <w:del w:id="3023" w:author="Master Repository Process" w:date="2022-05-27T14:27:00Z">
        <w:r>
          <w:delText>entity is</w:delText>
        </w:r>
      </w:del>
      <w:ins w:id="3024" w:author="Master Repository Process" w:date="2022-05-27T14:27:00Z">
        <w:r>
          <w:t>acquirer has</w:t>
        </w:r>
      </w:ins>
      <w:r>
        <w:t xml:space="preserve"> a </w:t>
      </w:r>
      <w:ins w:id="3025" w:author="Master Repository Process" w:date="2022-05-27T14:27:00Z">
        <w:r>
          <w:t xml:space="preserve">significant interest in the </w:t>
        </w:r>
      </w:ins>
      <w:r>
        <w:t>landholder</w:t>
      </w:r>
      <w:del w:id="3026" w:author="Master Repository Process" w:date="2022-05-27T14:27:00Z">
        <w:r>
          <w:delText xml:space="preserve"> in which — </w:delText>
        </w:r>
      </w:del>
      <w:ins w:id="3027" w:author="Master Repository Process" w:date="2022-05-27T14:27:00Z">
        <w:r>
          <w:t>;</w:t>
        </w:r>
      </w:ins>
    </w:p>
    <w:p>
      <w:pPr>
        <w:pStyle w:val="Indenti"/>
        <w:rPr>
          <w:del w:id="3028" w:author="Master Repository Process" w:date="2022-05-27T14:27:00Z"/>
        </w:rPr>
      </w:pPr>
      <w:del w:id="3029" w:author="Master Repository Process" w:date="2022-05-27T14:27:00Z">
        <w:r>
          <w:tab/>
          <w:delText>(i)</w:delText>
        </w:r>
        <w:r>
          <w:tab/>
          <w:delText>the interest of the person is a significant interest; or</w:delText>
        </w:r>
      </w:del>
    </w:p>
    <w:p>
      <w:pPr>
        <w:pStyle w:val="Indenti"/>
        <w:rPr>
          <w:del w:id="3030" w:author="Master Repository Process" w:date="2022-05-27T14:27:00Z"/>
        </w:rPr>
      </w:pPr>
      <w:del w:id="3031" w:author="Master Repository Process" w:date="2022-05-27T14:27:00Z">
        <w:r>
          <w:tab/>
          <w:delText>(ii)</w:delText>
        </w:r>
        <w:r>
          <w:tab/>
          <w:delText>the interest of the person when aggregated with any interest of a related person amounts to a significant interest.</w:delText>
        </w:r>
      </w:del>
    </w:p>
    <w:p>
      <w:pPr>
        <w:pStyle w:val="Heading5"/>
        <w:spacing w:before="180"/>
        <w:rPr>
          <w:del w:id="3032" w:author="Master Repository Process" w:date="2022-05-27T14:27:00Z"/>
        </w:rPr>
      </w:pPr>
      <w:bookmarkStart w:id="3033" w:name="_Toc531859404"/>
      <w:del w:id="3034" w:author="Master Repository Process" w:date="2022-05-27T14:27:00Z">
        <w:r>
          <w:rPr>
            <w:rStyle w:val="CharSectno"/>
          </w:rPr>
          <w:delText>164</w:delText>
        </w:r>
        <w:r>
          <w:delText>.</w:delText>
        </w:r>
        <w:r>
          <w:tab/>
          <w:delText>Acquisition of further interest by holder of significant interest</w:delText>
        </w:r>
        <w:bookmarkEnd w:id="3033"/>
      </w:del>
    </w:p>
    <w:p>
      <w:pPr>
        <w:pStyle w:val="Subsection"/>
        <w:spacing w:before="120"/>
        <w:rPr>
          <w:del w:id="3035" w:author="Master Repository Process" w:date="2022-05-27T14:27:00Z"/>
        </w:rPr>
      </w:pPr>
      <w:del w:id="3036" w:author="Master Repository Process" w:date="2022-05-27T14:27:00Z">
        <w:r>
          <w:tab/>
        </w:r>
        <w:r>
          <w:tab/>
          <w:delText xml:space="preserve">An acquisition by a person of an interest in an entity is also a </w:delText>
        </w:r>
        <w:r>
          <w:rPr>
            <w:rStyle w:val="CharDefText"/>
          </w:rPr>
          <w:delText>relevant acquisition</w:delText>
        </w:r>
        <w:r>
          <w:delText xml:space="preserve"> if — </w:delText>
        </w:r>
      </w:del>
    </w:p>
    <w:p>
      <w:pPr>
        <w:pStyle w:val="Indenta"/>
        <w:keepNext/>
        <w:rPr>
          <w:ins w:id="3037" w:author="Master Repository Process" w:date="2022-05-27T14:27:00Z"/>
        </w:rPr>
      </w:pPr>
      <w:del w:id="3038" w:author="Master Repository Process" w:date="2022-05-27T14:27:00Z">
        <w:r>
          <w:tab/>
          <w:delText>(a)</w:delText>
        </w:r>
        <w:r>
          <w:tab/>
        </w:r>
      </w:del>
      <w:ins w:id="3039" w:author="Master Repository Process" w:date="2022-05-27T14:27:00Z">
        <w:r>
          <w:tab/>
          <w:t>(b)</w:t>
        </w:r>
        <w:r>
          <w:tab/>
          <w:t xml:space="preserve">if — </w:t>
        </w:r>
      </w:ins>
    </w:p>
    <w:p>
      <w:pPr>
        <w:pStyle w:val="Indenti"/>
      </w:pPr>
      <w:ins w:id="3040" w:author="Master Repository Process" w:date="2022-05-27T14:27:00Z">
        <w:r>
          <w:tab/>
          <w:t>(i)</w:t>
        </w:r>
        <w:r>
          <w:tab/>
        </w:r>
      </w:ins>
      <w:r>
        <w:t>immediately before the acquisition</w:t>
      </w:r>
      <w:ins w:id="3041" w:author="Master Repository Process" w:date="2022-05-27T14:27:00Z">
        <w:r>
          <w:t>,</w:t>
        </w:r>
      </w:ins>
      <w:r>
        <w:t xml:space="preserve"> the </w:t>
      </w:r>
      <w:del w:id="3042" w:author="Master Repository Process" w:date="2022-05-27T14:27:00Z">
        <w:r>
          <w:delText>entity is a</w:delText>
        </w:r>
      </w:del>
      <w:ins w:id="3043" w:author="Master Repository Process" w:date="2022-05-27T14:27:00Z">
        <w:r>
          <w:t>aggregated group interest in the</w:t>
        </w:r>
      </w:ins>
      <w:r>
        <w:t xml:space="preserve"> landholder </w:t>
      </w:r>
      <w:del w:id="3044" w:author="Master Repository Process" w:date="2022-05-27T14:27:00Z">
        <w:r>
          <w:delText xml:space="preserve">in which — </w:delText>
        </w:r>
      </w:del>
      <w:ins w:id="3045" w:author="Master Repository Process" w:date="2022-05-27T14:27:00Z">
        <w:r>
          <w:t>does not amount to a significant interest; and</w:t>
        </w:r>
      </w:ins>
    </w:p>
    <w:p>
      <w:pPr>
        <w:pStyle w:val="Indenti"/>
        <w:spacing w:before="60"/>
        <w:rPr>
          <w:del w:id="3046" w:author="Master Repository Process" w:date="2022-05-27T14:27:00Z"/>
        </w:rPr>
      </w:pPr>
      <w:del w:id="3047" w:author="Master Repository Process" w:date="2022-05-27T14:27:00Z">
        <w:r>
          <w:tab/>
          <w:delText>(i)</w:delText>
        </w:r>
        <w:r>
          <w:tab/>
          <w:delText xml:space="preserve">the interest of the person is a significant interest; or </w:delText>
        </w:r>
      </w:del>
    </w:p>
    <w:p>
      <w:pPr>
        <w:pStyle w:val="Indenti"/>
        <w:rPr>
          <w:ins w:id="3048" w:author="Master Repository Process" w:date="2022-05-27T14:27:00Z"/>
        </w:rPr>
      </w:pPr>
      <w:r>
        <w:tab/>
        <w:t>(ii)</w:t>
      </w:r>
      <w:r>
        <w:tab/>
      </w:r>
      <w:ins w:id="3049" w:author="Master Repository Process" w:date="2022-05-27T14:27:00Z">
        <w:r>
          <w:t xml:space="preserve">immediately after </w:t>
        </w:r>
      </w:ins>
      <w:r>
        <w:t xml:space="preserve">the </w:t>
      </w:r>
      <w:del w:id="3050" w:author="Master Repository Process" w:date="2022-05-27T14:27:00Z">
        <w:r>
          <w:delText>interest of</w:delText>
        </w:r>
      </w:del>
      <w:ins w:id="3051" w:author="Master Repository Process" w:date="2022-05-27T14:27:00Z">
        <w:r>
          <w:t>acquisition,</w:t>
        </w:r>
      </w:ins>
      <w:r>
        <w:t xml:space="preserve"> the </w:t>
      </w:r>
      <w:del w:id="3052" w:author="Master Repository Process" w:date="2022-05-27T14:27:00Z">
        <w:r>
          <w:delText xml:space="preserve">person when </w:delText>
        </w:r>
      </w:del>
      <w:r>
        <w:t xml:space="preserve">aggregated </w:t>
      </w:r>
      <w:del w:id="3053" w:author="Master Repository Process" w:date="2022-05-27T14:27:00Z">
        <w:r>
          <w:delText>with any</w:delText>
        </w:r>
      </w:del>
      <w:ins w:id="3054" w:author="Master Repository Process" w:date="2022-05-27T14:27:00Z">
        <w:r>
          <w:t>group</w:t>
        </w:r>
      </w:ins>
      <w:r>
        <w:t xml:space="preserve"> interest </w:t>
      </w:r>
      <w:ins w:id="3055" w:author="Master Repository Process" w:date="2022-05-27T14:27:00Z">
        <w:r>
          <w:t>in the landholder amounts to a significant interest;</w:t>
        </w:r>
      </w:ins>
    </w:p>
    <w:p>
      <w:pPr>
        <w:pStyle w:val="Indenta"/>
        <w:rPr>
          <w:ins w:id="3056" w:author="Master Repository Process" w:date="2022-05-27T14:27:00Z"/>
        </w:rPr>
      </w:pPr>
      <w:ins w:id="3057" w:author="Master Repository Process" w:date="2022-05-27T14:27:00Z">
        <w:r>
          <w:tab/>
          <w:t>(c)</w:t>
        </w:r>
        <w:r>
          <w:tab/>
          <w:t xml:space="preserve">if — </w:t>
        </w:r>
      </w:ins>
    </w:p>
    <w:p>
      <w:pPr>
        <w:pStyle w:val="Indenti"/>
        <w:rPr>
          <w:ins w:id="3058" w:author="Master Repository Process" w:date="2022-05-27T14:27:00Z"/>
        </w:rPr>
      </w:pPr>
      <w:ins w:id="3059" w:author="Master Repository Process" w:date="2022-05-27T14:27:00Z">
        <w:r>
          <w:tab/>
          <w:t>(i)</w:t>
        </w:r>
        <w:r>
          <w:tab/>
          <w:t>immediately before the acquisition, the acquirer has a significant interest in the landholder; and</w:t>
        </w:r>
      </w:ins>
    </w:p>
    <w:p>
      <w:pPr>
        <w:pStyle w:val="Indenti"/>
        <w:rPr>
          <w:ins w:id="3060" w:author="Master Repository Process" w:date="2022-05-27T14:27:00Z"/>
        </w:rPr>
      </w:pPr>
      <w:ins w:id="3061" w:author="Master Repository Process" w:date="2022-05-27T14:27:00Z">
        <w:r>
          <w:tab/>
          <w:t>(ii)</w:t>
        </w:r>
        <w:r>
          <w:tab/>
          <w:t xml:space="preserve">as a result </w:t>
        </w:r>
      </w:ins>
      <w:r>
        <w:t xml:space="preserve">of </w:t>
      </w:r>
      <w:del w:id="3062" w:author="Master Repository Process" w:date="2022-05-27T14:27:00Z">
        <w:r>
          <w:delText>a related person</w:delText>
        </w:r>
      </w:del>
      <w:ins w:id="3063" w:author="Master Repository Process" w:date="2022-05-27T14:27:00Z">
        <w:r>
          <w:t>the acquisition, the acquirer’s interest in the landholder increases;</w:t>
        </w:r>
      </w:ins>
    </w:p>
    <w:p>
      <w:pPr>
        <w:pStyle w:val="Indenta"/>
        <w:rPr>
          <w:ins w:id="3064" w:author="Master Repository Process" w:date="2022-05-27T14:27:00Z"/>
        </w:rPr>
      </w:pPr>
      <w:ins w:id="3065" w:author="Master Repository Process" w:date="2022-05-27T14:27:00Z">
        <w:r>
          <w:tab/>
          <w:t>(d)</w:t>
        </w:r>
        <w:r>
          <w:tab/>
          <w:t xml:space="preserve">if — </w:t>
        </w:r>
      </w:ins>
    </w:p>
    <w:p>
      <w:pPr>
        <w:pStyle w:val="Indenti"/>
      </w:pPr>
      <w:ins w:id="3066" w:author="Master Repository Process" w:date="2022-05-27T14:27:00Z">
        <w:r>
          <w:tab/>
          <w:t>(i)</w:t>
        </w:r>
        <w:r>
          <w:tab/>
          <w:t>immediately before the acquisition, the aggregated group interest in the landholder</w:t>
        </w:r>
      </w:ins>
      <w:r>
        <w:t xml:space="preserve"> amounts to a significant interest; </w:t>
      </w:r>
      <w:del w:id="3067" w:author="Master Repository Process" w:date="2022-05-27T14:27:00Z">
        <w:r>
          <w:delText>or</w:delText>
        </w:r>
      </w:del>
      <w:ins w:id="3068" w:author="Master Repository Process" w:date="2022-05-27T14:27:00Z">
        <w:r>
          <w:t>and</w:t>
        </w:r>
      </w:ins>
    </w:p>
    <w:p>
      <w:pPr>
        <w:pStyle w:val="Indenti"/>
        <w:rPr>
          <w:del w:id="3069" w:author="Master Repository Process" w:date="2022-05-27T14:27:00Z"/>
        </w:rPr>
      </w:pPr>
      <w:r>
        <w:tab/>
        <w:t>(</w:t>
      </w:r>
      <w:del w:id="3070" w:author="Master Repository Process" w:date="2022-05-27T14:27:00Z">
        <w:r>
          <w:delText>iii)</w:delText>
        </w:r>
        <w:r>
          <w:tab/>
          <w:delText>the interest</w:delText>
        </w:r>
      </w:del>
      <w:ins w:id="3071" w:author="Master Repository Process" w:date="2022-05-27T14:27:00Z">
        <w:r>
          <w:t>ii)</w:t>
        </w:r>
        <w:r>
          <w:tab/>
          <w:t>as a result</w:t>
        </w:r>
      </w:ins>
      <w:r>
        <w:t xml:space="preserve"> of </w:t>
      </w:r>
      <w:del w:id="3072" w:author="Master Repository Process" w:date="2022-05-27T14:27:00Z">
        <w:r>
          <w:delText>a related person is a significant interest;</w:delText>
        </w:r>
      </w:del>
    </w:p>
    <w:p>
      <w:pPr>
        <w:pStyle w:val="Indenta"/>
        <w:rPr>
          <w:del w:id="3073" w:author="Master Repository Process" w:date="2022-05-27T14:27:00Z"/>
        </w:rPr>
      </w:pPr>
      <w:del w:id="3074" w:author="Master Repository Process" w:date="2022-05-27T14:27:00Z">
        <w:r>
          <w:tab/>
        </w:r>
        <w:r>
          <w:tab/>
          <w:delText>and</w:delText>
        </w:r>
      </w:del>
    </w:p>
    <w:p>
      <w:pPr>
        <w:pStyle w:val="Indenti"/>
      </w:pPr>
      <w:del w:id="3075" w:author="Master Repository Process" w:date="2022-05-27T14:27:00Z">
        <w:r>
          <w:tab/>
          <w:delText>(b)</w:delText>
        </w:r>
        <w:r>
          <w:tab/>
          <w:delText xml:space="preserve">by </w:delText>
        </w:r>
      </w:del>
      <w:r>
        <w:t>the acquisition</w:t>
      </w:r>
      <w:del w:id="3076" w:author="Master Repository Process" w:date="2022-05-27T14:27:00Z">
        <w:r>
          <w:delText xml:space="preserve"> the person or any related person acquires, or the person and any related person acquire, a further</w:delText>
        </w:r>
      </w:del>
      <w:ins w:id="3077" w:author="Master Repository Process" w:date="2022-05-27T14:27:00Z">
        <w:r>
          <w:t>, the aggregated group</w:t>
        </w:r>
      </w:ins>
      <w:r>
        <w:t xml:space="preserve"> interest in the landholder</w:t>
      </w:r>
      <w:ins w:id="3078" w:author="Master Repository Process" w:date="2022-05-27T14:27:00Z">
        <w:r>
          <w:t xml:space="preserve"> increases</w:t>
        </w:r>
      </w:ins>
      <w:r>
        <w:t>.</w:t>
      </w:r>
    </w:p>
    <w:p>
      <w:pPr>
        <w:pStyle w:val="Subsection"/>
        <w:rPr>
          <w:ins w:id="3079" w:author="Master Repository Process" w:date="2022-05-27T14:27:00Z"/>
        </w:rPr>
      </w:pPr>
      <w:ins w:id="3080" w:author="Master Repository Process" w:date="2022-05-27T14:27:00Z">
        <w:r>
          <w:tab/>
          <w:t>(2)</w:t>
        </w:r>
        <w:r>
          <w:tab/>
          <w:t xml:space="preserve">In subsection (1) — </w:t>
        </w:r>
      </w:ins>
    </w:p>
    <w:p>
      <w:pPr>
        <w:pStyle w:val="Defstart"/>
        <w:rPr>
          <w:ins w:id="3081" w:author="Master Repository Process" w:date="2022-05-27T14:27:00Z"/>
        </w:rPr>
      </w:pPr>
      <w:ins w:id="3082" w:author="Master Repository Process" w:date="2022-05-27T14:27:00Z">
        <w:r>
          <w:tab/>
        </w:r>
        <w:r>
          <w:rPr>
            <w:rStyle w:val="CharDefText"/>
          </w:rPr>
          <w:t>aggregated group interest</w:t>
        </w:r>
        <w:r>
          <w:t xml:space="preserve"> means the aggregate of — </w:t>
        </w:r>
      </w:ins>
    </w:p>
    <w:p>
      <w:pPr>
        <w:pStyle w:val="Defpara"/>
        <w:rPr>
          <w:ins w:id="3083" w:author="Master Repository Process" w:date="2022-05-27T14:27:00Z"/>
        </w:rPr>
      </w:pPr>
      <w:ins w:id="3084" w:author="Master Repository Process" w:date="2022-05-27T14:27:00Z">
        <w:r>
          <w:tab/>
          <w:t>(a)</w:t>
        </w:r>
        <w:r>
          <w:tab/>
          <w:t>the interest (if any) that the acquirer has in the landholder; and</w:t>
        </w:r>
      </w:ins>
    </w:p>
    <w:p>
      <w:pPr>
        <w:pStyle w:val="Defpara"/>
        <w:rPr>
          <w:ins w:id="3085" w:author="Master Repository Process" w:date="2022-05-27T14:27:00Z"/>
        </w:rPr>
      </w:pPr>
      <w:ins w:id="3086" w:author="Master Repository Process" w:date="2022-05-27T14:27:00Z">
        <w:r>
          <w:tab/>
          <w:t>(b)</w:t>
        </w:r>
        <w:r>
          <w:tab/>
          <w:t>if 1 or more related persons have an interest in the landholder — all of those interests.</w:t>
        </w:r>
      </w:ins>
    </w:p>
    <w:p>
      <w:pPr>
        <w:pStyle w:val="Footnotesection"/>
        <w:rPr>
          <w:ins w:id="3087" w:author="Master Repository Process" w:date="2022-05-27T14:27:00Z"/>
        </w:rPr>
      </w:pPr>
      <w:r>
        <w:tab/>
        <w:t xml:space="preserve">[Section </w:t>
      </w:r>
      <w:del w:id="3088" w:author="Master Repository Process" w:date="2022-05-27T14:27:00Z">
        <w:r>
          <w:delText>164 amended</w:delText>
        </w:r>
      </w:del>
      <w:ins w:id="3089" w:author="Master Repository Process" w:date="2022-05-27T14:27:00Z">
        <w:r>
          <w:t>163 inserted</w:t>
        </w:r>
      </w:ins>
      <w:r>
        <w:t xml:space="preserve">: No. </w:t>
      </w:r>
      <w:del w:id="3090" w:author="Master Repository Process" w:date="2022-05-27T14:27:00Z">
        <w:r>
          <w:delText>32</w:delText>
        </w:r>
      </w:del>
      <w:ins w:id="3091" w:author="Master Repository Process" w:date="2022-05-27T14:27:00Z">
        <w:r>
          <w:t>12</w:t>
        </w:r>
      </w:ins>
      <w:r>
        <w:t xml:space="preserve"> of </w:t>
      </w:r>
      <w:del w:id="3092" w:author="Master Repository Process" w:date="2022-05-27T14:27:00Z">
        <w:r>
          <w:delText>2012</w:delText>
        </w:r>
      </w:del>
      <w:ins w:id="3093" w:author="Master Repository Process" w:date="2022-05-27T14:27:00Z">
        <w:r>
          <w:t>2019</w:t>
        </w:r>
      </w:ins>
      <w:r>
        <w:t xml:space="preserve"> s. </w:t>
      </w:r>
      <w:del w:id="3094" w:author="Master Repository Process" w:date="2022-05-27T14:27:00Z">
        <w:r>
          <w:delText>12</w:delText>
        </w:r>
      </w:del>
      <w:ins w:id="3095" w:author="Master Repository Process" w:date="2022-05-27T14:27:00Z">
        <w:r>
          <w:t>74.]</w:t>
        </w:r>
      </w:ins>
    </w:p>
    <w:p>
      <w:pPr>
        <w:pStyle w:val="Ednotesection"/>
      </w:pPr>
      <w:ins w:id="3096" w:author="Master Repository Process" w:date="2022-05-27T14:27:00Z">
        <w:r>
          <w:t>[</w:t>
        </w:r>
        <w:r>
          <w:rPr>
            <w:b/>
          </w:rPr>
          <w:t>164.</w:t>
        </w:r>
        <w:r>
          <w:tab/>
          <w:t>Deleted: No. 12 of 2019 s. 74</w:t>
        </w:r>
      </w:ins>
      <w:r>
        <w:t>.]</w:t>
      </w:r>
    </w:p>
    <w:p>
      <w:pPr>
        <w:pStyle w:val="Heading4"/>
        <w:rPr>
          <w:sz w:val="26"/>
        </w:rPr>
      </w:pPr>
      <w:bookmarkStart w:id="3097" w:name="_Toc37946867"/>
      <w:bookmarkStart w:id="3098" w:name="_Toc37947467"/>
      <w:bookmarkStart w:id="3099" w:name="_Toc38031531"/>
      <w:bookmarkStart w:id="3100" w:name="_Toc93310040"/>
      <w:bookmarkStart w:id="3101" w:name="_Toc104291062"/>
      <w:bookmarkStart w:id="3102" w:name="_Toc530491790"/>
      <w:bookmarkStart w:id="3103" w:name="_Toc530492250"/>
      <w:bookmarkStart w:id="3104" w:name="_Toc530493260"/>
      <w:bookmarkStart w:id="3105" w:name="_Toc530556395"/>
      <w:bookmarkStart w:id="3106" w:name="_Toc531692233"/>
      <w:bookmarkStart w:id="3107" w:name="_Toc531856138"/>
      <w:bookmarkStart w:id="3108" w:name="_Toc531858866"/>
      <w:bookmarkStart w:id="3109" w:name="_Toc531859405"/>
      <w:r>
        <w:rPr>
          <w:sz w:val="26"/>
        </w:rPr>
        <w:t>Subdivision 3 — Exempt acquisitions</w:t>
      </w:r>
      <w:bookmarkEnd w:id="3097"/>
      <w:bookmarkEnd w:id="3098"/>
      <w:bookmarkEnd w:id="3099"/>
      <w:bookmarkEnd w:id="3100"/>
      <w:bookmarkEnd w:id="3101"/>
      <w:bookmarkEnd w:id="3102"/>
      <w:bookmarkEnd w:id="3103"/>
      <w:bookmarkEnd w:id="3104"/>
      <w:bookmarkEnd w:id="3105"/>
      <w:bookmarkEnd w:id="3106"/>
      <w:bookmarkEnd w:id="3107"/>
      <w:bookmarkEnd w:id="3108"/>
      <w:bookmarkEnd w:id="3109"/>
    </w:p>
    <w:p>
      <w:pPr>
        <w:pStyle w:val="Heading5"/>
      </w:pPr>
      <w:bookmarkStart w:id="3110" w:name="_Toc104291063"/>
      <w:bookmarkStart w:id="3111" w:name="_Toc531859406"/>
      <w:r>
        <w:rPr>
          <w:rStyle w:val="CharSectno"/>
        </w:rPr>
        <w:t>165</w:t>
      </w:r>
      <w:r>
        <w:t>.</w:t>
      </w:r>
      <w:r>
        <w:tab/>
        <w:t>Term used: acquisition</w:t>
      </w:r>
      <w:bookmarkEnd w:id="3110"/>
      <w:bookmarkEnd w:id="3111"/>
    </w:p>
    <w:p>
      <w:pPr>
        <w:pStyle w:val="Subsection"/>
        <w:keepNext/>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3112" w:name="_Toc104291064"/>
      <w:bookmarkStart w:id="3113" w:name="_Toc531859407"/>
      <w:r>
        <w:rPr>
          <w:rStyle w:val="CharSectno"/>
        </w:rPr>
        <w:t>166</w:t>
      </w:r>
      <w:r>
        <w:t>.</w:t>
      </w:r>
      <w:r>
        <w:tab/>
        <w:t>Effect of acquisition being exempt</w:t>
      </w:r>
      <w:bookmarkEnd w:id="3112"/>
      <w:bookmarkEnd w:id="3113"/>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and is not an excluded interest under section 189.</w:t>
      </w:r>
    </w:p>
    <w:p>
      <w:pPr>
        <w:pStyle w:val="Footnotesection"/>
      </w:pPr>
      <w:r>
        <w:tab/>
        <w:t>[Section 166 amended: No. 32 of 2012 s. 13.]</w:t>
      </w:r>
    </w:p>
    <w:p>
      <w:pPr>
        <w:pStyle w:val="Heading5"/>
      </w:pPr>
      <w:bookmarkStart w:id="3114" w:name="_Toc104291065"/>
      <w:bookmarkStart w:id="3115" w:name="_Toc531859408"/>
      <w:r>
        <w:rPr>
          <w:rStyle w:val="CharSectno"/>
        </w:rPr>
        <w:t>167</w:t>
      </w:r>
      <w:r>
        <w:t>.</w:t>
      </w:r>
      <w:r>
        <w:tab/>
        <w:t xml:space="preserve">Exemption </w:t>
      </w:r>
      <w:ins w:id="3116" w:author="Master Repository Process" w:date="2022-05-27T14:27:00Z">
        <w:r>
          <w:t xml:space="preserve">or reduction of duty </w:t>
        </w:r>
      </w:ins>
      <w:r>
        <w:t>if nominal duty would be chargeable on transfer</w:t>
      </w:r>
      <w:bookmarkEnd w:id="3114"/>
      <w:bookmarkEnd w:id="3115"/>
    </w:p>
    <w:p>
      <w:pPr>
        <w:pStyle w:val="Subsection"/>
        <w:rPr>
          <w:ins w:id="3117" w:author="Master Repository Process" w:date="2022-05-27T14:27:00Z"/>
        </w:rPr>
      </w:pPr>
      <w:r>
        <w:tab/>
        <w:t>(1)</w:t>
      </w:r>
      <w:r>
        <w:tab/>
      </w:r>
      <w:del w:id="3118" w:author="Master Repository Process" w:date="2022-05-27T14:27:00Z">
        <w:r>
          <w:delText xml:space="preserve">An acquisition, by a person (the </w:delText>
        </w:r>
      </w:del>
      <w:ins w:id="3119" w:author="Master Repository Process" w:date="2022-05-27T14:27:00Z">
        <w:r>
          <w:t xml:space="preserve">In this section — </w:t>
        </w:r>
      </w:ins>
    </w:p>
    <w:p>
      <w:pPr>
        <w:pStyle w:val="Defstart"/>
        <w:rPr>
          <w:ins w:id="3120" w:author="Master Repository Process" w:date="2022-05-27T14:27:00Z"/>
        </w:rPr>
      </w:pPr>
      <w:ins w:id="3121" w:author="Master Repository Process" w:date="2022-05-27T14:27:00Z">
        <w:r>
          <w:tab/>
        </w:r>
      </w:ins>
      <w:r>
        <w:rPr>
          <w:rStyle w:val="CharDefText"/>
        </w:rPr>
        <w:t>acquiring person</w:t>
      </w:r>
      <w:del w:id="3122" w:author="Master Repository Process" w:date="2022-05-27T14:27:00Z">
        <w:r>
          <w:delText xml:space="preserve">) of an interest in a landholder, is exempt if nominal duty would be chargeable on the </w:delText>
        </w:r>
      </w:del>
      <w:ins w:id="3123" w:author="Master Repository Process" w:date="2022-05-27T14:27:00Z">
        <w:r>
          <w:t>, in relation to an acquisition, means the person making the acquisition;</w:t>
        </w:r>
      </w:ins>
    </w:p>
    <w:p>
      <w:pPr>
        <w:pStyle w:val="Defstart"/>
      </w:pPr>
      <w:ins w:id="3124" w:author="Master Repository Process" w:date="2022-05-27T14:27:00Z">
        <w:r>
          <w:tab/>
        </w:r>
        <w:r>
          <w:rPr>
            <w:rStyle w:val="CharDefText"/>
          </w:rPr>
          <w:t>notional transfer</w:t>
        </w:r>
        <w:r>
          <w:t xml:space="preserve">, in relation to an acquisition, means a notional transaction consisting of the </w:t>
        </w:r>
      </w:ins>
      <w:r>
        <w:t xml:space="preserve">transfer, at the time of the acquisition, by the </w:t>
      </w:r>
      <w:del w:id="3125" w:author="Master Repository Process" w:date="2022-05-27T14:27:00Z">
        <w:r>
          <w:delText xml:space="preserve">person from whom the interest in the landholder was acquired (the </w:delText>
        </w:r>
      </w:del>
      <w:r>
        <w:t>relinquishing person</w:t>
      </w:r>
      <w:del w:id="3126" w:author="Master Repository Process" w:date="2022-05-27T14:27:00Z">
        <w:r>
          <w:delText>)</w:delText>
        </w:r>
      </w:del>
      <w:r>
        <w:t xml:space="preserve"> to the acquiring person of </w:t>
      </w:r>
      <w:del w:id="3127" w:author="Master Repository Process" w:date="2022-05-27T14:27:00Z">
        <w:r>
          <w:delText xml:space="preserve">land of the landholder, or of a linked entity in respect of the landholder, </w:delText>
        </w:r>
      </w:del>
      <w:ins w:id="3128" w:author="Master Repository Process" w:date="2022-05-27T14:27:00Z">
        <w:r>
          <w:t xml:space="preserve">the relevant land assets, </w:t>
        </w:r>
      </w:ins>
      <w:r>
        <w:t xml:space="preserve">as if the </w:t>
      </w:r>
      <w:ins w:id="3129" w:author="Master Repository Process" w:date="2022-05-27T14:27:00Z">
        <w:r>
          <w:t xml:space="preserve">relevant </w:t>
        </w:r>
      </w:ins>
      <w:r>
        <w:t xml:space="preserve">land </w:t>
      </w:r>
      <w:ins w:id="3130" w:author="Master Repository Process" w:date="2022-05-27T14:27:00Z">
        <w:r>
          <w:t xml:space="preserve">assets </w:t>
        </w:r>
      </w:ins>
      <w:r>
        <w:t xml:space="preserve">were </w:t>
      </w:r>
      <w:del w:id="3131" w:author="Master Repository Process" w:date="2022-05-27T14:27:00Z">
        <w:r>
          <w:delText>that</w:delText>
        </w:r>
      </w:del>
      <w:ins w:id="3132" w:author="Master Repository Process" w:date="2022-05-27T14:27:00Z">
        <w:r>
          <w:t>those</w:t>
        </w:r>
      </w:ins>
      <w:r>
        <w:t xml:space="preserve"> of the relinquishing person</w:t>
      </w:r>
      <w:del w:id="3133" w:author="Master Repository Process" w:date="2022-05-27T14:27:00Z">
        <w:r>
          <w:delText>.</w:delText>
        </w:r>
      </w:del>
      <w:ins w:id="3134" w:author="Master Repository Process" w:date="2022-05-27T14:27:00Z">
        <w:r>
          <w:t>;</w:t>
        </w:r>
      </w:ins>
    </w:p>
    <w:p>
      <w:pPr>
        <w:pStyle w:val="Defstart"/>
        <w:rPr>
          <w:ins w:id="3135" w:author="Master Repository Process" w:date="2022-05-27T14:27:00Z"/>
        </w:rPr>
      </w:pPr>
      <w:del w:id="3136" w:author="Master Repository Process" w:date="2022-05-27T14:27:00Z">
        <w:r>
          <w:tab/>
          <w:delText>(2)</w:delText>
        </w:r>
        <w:r>
          <w:tab/>
          <w:delText>If the acquiring person did not acquire the interest</w:delText>
        </w:r>
      </w:del>
      <w:ins w:id="3137" w:author="Master Repository Process" w:date="2022-05-27T14:27:00Z">
        <w:r>
          <w:tab/>
        </w:r>
        <w:r>
          <w:rPr>
            <w:rStyle w:val="CharDefText"/>
          </w:rPr>
          <w:t>relevant land assets</w:t>
        </w:r>
        <w:r>
          <w:t>,</w:t>
        </w:r>
      </w:ins>
      <w:r>
        <w:t xml:space="preserve"> in </w:t>
      </w:r>
      <w:del w:id="3138" w:author="Master Repository Process" w:date="2022-05-27T14:27:00Z">
        <w:r>
          <w:delText>the landholder from another person, the reference to</w:delText>
        </w:r>
      </w:del>
      <w:ins w:id="3139" w:author="Master Repository Process" w:date="2022-05-27T14:27:00Z">
        <w:r>
          <w:t>relation to an acquisition of an interest in a landholder, means the land assets to which the landholder, and each linked entity in respect of the landholder, are entitled;</w:t>
        </w:r>
      </w:ins>
    </w:p>
    <w:p>
      <w:pPr>
        <w:pStyle w:val="Defstart"/>
        <w:rPr>
          <w:ins w:id="3140" w:author="Master Repository Process" w:date="2022-05-27T14:27:00Z"/>
        </w:rPr>
      </w:pPr>
      <w:ins w:id="3141" w:author="Master Repository Process" w:date="2022-05-27T14:27:00Z">
        <w:r>
          <w:tab/>
        </w:r>
        <w:r>
          <w:rPr>
            <w:rStyle w:val="CharDefText"/>
          </w:rPr>
          <w:t>relinquishing person</w:t>
        </w:r>
        <w:r>
          <w:t>, in relation to an acquisition, means</w:t>
        </w:r>
      </w:ins>
      <w:r>
        <w:t xml:space="preserve"> the person from whom the interest in the landholder was acquired</w:t>
      </w:r>
      <w:del w:id="3142" w:author="Master Repository Process" w:date="2022-05-27T14:27:00Z">
        <w:r>
          <w:delText xml:space="preserve"> is to be read (according to what is relevant) as a reference</w:delText>
        </w:r>
      </w:del>
      <w:ins w:id="3143" w:author="Master Repository Process" w:date="2022-05-27T14:27:00Z">
        <w:r>
          <w:t>.</w:t>
        </w:r>
      </w:ins>
    </w:p>
    <w:p>
      <w:pPr>
        <w:pStyle w:val="Subsection"/>
      </w:pPr>
      <w:ins w:id="3144" w:author="Master Repository Process" w:date="2022-05-27T14:27:00Z">
        <w:r>
          <w:tab/>
          <w:t>(2)</w:t>
        </w:r>
        <w:r>
          <w:tab/>
          <w:t>This section applies to an acquisition of an interest in a landholder if nominal duty would be chargeable, to any extent, on the notional transfer in relation</w:t>
        </w:r>
      </w:ins>
      <w:r>
        <w:t xml:space="preserve"> to the </w:t>
      </w:r>
      <w:del w:id="3145" w:author="Master Repository Process" w:date="2022-05-27T14:27:00Z">
        <w:r>
          <w:delText xml:space="preserve">or a person — </w:delText>
        </w:r>
      </w:del>
      <w:ins w:id="3146" w:author="Master Repository Process" w:date="2022-05-27T14:27:00Z">
        <w:r>
          <w:t>acquisition.</w:t>
        </w:r>
      </w:ins>
    </w:p>
    <w:p>
      <w:pPr>
        <w:pStyle w:val="Indenta"/>
        <w:rPr>
          <w:del w:id="3147" w:author="Master Repository Process" w:date="2022-05-27T14:27:00Z"/>
        </w:rPr>
      </w:pPr>
      <w:del w:id="3148" w:author="Master Repository Process" w:date="2022-05-27T14:27:00Z">
        <w:r>
          <w:tab/>
          <w:delText>(a)</w:delText>
        </w:r>
        <w:r>
          <w:tab/>
          <w:delText>whose interest in</w:delText>
        </w:r>
      </w:del>
      <w:ins w:id="3149" w:author="Master Repository Process" w:date="2022-05-27T14:27:00Z">
        <w:r>
          <w:tab/>
          <w:t>(3)</w:t>
        </w:r>
        <w:r>
          <w:tab/>
          <w:t>If only nominal duty would be chargeable on</w:t>
        </w:r>
      </w:ins>
      <w:r>
        <w:t xml:space="preserve"> the </w:t>
      </w:r>
      <w:del w:id="3150" w:author="Master Repository Process" w:date="2022-05-27T14:27:00Z">
        <w:r>
          <w:delText xml:space="preserve">landholder is decreased because of </w:delText>
        </w:r>
      </w:del>
      <w:ins w:id="3151" w:author="Master Repository Process" w:date="2022-05-27T14:27:00Z">
        <w:r>
          <w:t xml:space="preserve">notional transfer, </w:t>
        </w:r>
      </w:ins>
      <w:r>
        <w:t>the acquisition</w:t>
      </w:r>
      <w:del w:id="3152" w:author="Master Repository Process" w:date="2022-05-27T14:27:00Z">
        <w:r>
          <w:delText>; or</w:delText>
        </w:r>
      </w:del>
    </w:p>
    <w:p>
      <w:pPr>
        <w:pStyle w:val="Indenta"/>
        <w:keepNext/>
        <w:rPr>
          <w:del w:id="3153" w:author="Master Repository Process" w:date="2022-05-27T14:27:00Z"/>
        </w:rPr>
      </w:pPr>
      <w:del w:id="3154" w:author="Master Repository Process" w:date="2022-05-27T14:27:00Z">
        <w:r>
          <w:tab/>
          <w:delText>(b)</w:delText>
        </w:r>
        <w:r>
          <w:tab/>
          <w:delText>whose interest in the landholder decreased resulting in the acquisition.</w:delText>
        </w:r>
      </w:del>
    </w:p>
    <w:p>
      <w:pPr>
        <w:pStyle w:val="PermNoteHeading"/>
        <w:rPr>
          <w:del w:id="3155" w:author="Master Repository Process" w:date="2022-05-27T14:27:00Z"/>
        </w:rPr>
      </w:pPr>
      <w:del w:id="3156" w:author="Master Repository Process" w:date="2022-05-27T14:27:00Z">
        <w:r>
          <w:tab/>
          <w:delText>Note for this section:</w:delText>
        </w:r>
      </w:del>
    </w:p>
    <w:p>
      <w:pPr>
        <w:pStyle w:val="PermNoteText"/>
        <w:rPr>
          <w:del w:id="3157" w:author="Master Repository Process" w:date="2022-05-27T14:27:00Z"/>
        </w:rPr>
      </w:pPr>
      <w:del w:id="3158" w:author="Master Repository Process" w:date="2022-05-27T14:27:00Z">
        <w:r>
          <w:tab/>
        </w:r>
        <w:r>
          <w:tab/>
          <w:delText>An acquiring person may acquire an interest in a company by the company issuing shares to the person, or buying back shares of another person.</w:delText>
        </w:r>
      </w:del>
    </w:p>
    <w:p>
      <w:pPr>
        <w:pStyle w:val="Footnotesection"/>
        <w:rPr>
          <w:del w:id="3159" w:author="Master Repository Process" w:date="2022-05-27T14:27:00Z"/>
        </w:rPr>
      </w:pPr>
      <w:del w:id="3160" w:author="Master Repository Process" w:date="2022-05-27T14:27:00Z">
        <w:r>
          <w:tab/>
          <w:delText>[Section 167 inserted: No. 32 of 2012 s. 14.]</w:delText>
        </w:r>
      </w:del>
    </w:p>
    <w:p>
      <w:pPr>
        <w:pStyle w:val="Heading5"/>
        <w:keepNext w:val="0"/>
        <w:keepLines w:val="0"/>
        <w:rPr>
          <w:del w:id="3161" w:author="Master Repository Process" w:date="2022-05-27T14:27:00Z"/>
        </w:rPr>
      </w:pPr>
      <w:bookmarkStart w:id="3162" w:name="_Toc531859409"/>
      <w:del w:id="3163" w:author="Master Repository Process" w:date="2022-05-27T14:27:00Z">
        <w:r>
          <w:rPr>
            <w:rStyle w:val="CharSectno"/>
          </w:rPr>
          <w:delText>168</w:delText>
        </w:r>
        <w:r>
          <w:delText>.</w:delText>
        </w:r>
        <w:r>
          <w:tab/>
          <w:delText>Exemption if transfer duty would not be chargeable</w:delText>
        </w:r>
        <w:bookmarkEnd w:id="3162"/>
      </w:del>
    </w:p>
    <w:p>
      <w:pPr>
        <w:pStyle w:val="Subsection"/>
      </w:pPr>
      <w:del w:id="3164" w:author="Master Repository Process" w:date="2022-05-27T14:27:00Z">
        <w:r>
          <w:tab/>
          <w:delText>(1)</w:delText>
        </w:r>
        <w:r>
          <w:tab/>
          <w:delText xml:space="preserve">An acquisition, by a person (the </w:delText>
        </w:r>
        <w:r>
          <w:rPr>
            <w:rStyle w:val="CharDefText"/>
          </w:rPr>
          <w:delText>acquiring person</w:delText>
        </w:r>
        <w:r>
          <w:delText xml:space="preserve">) of an interest in a landholder, </w:delText>
        </w:r>
      </w:del>
      <w:ins w:id="3165" w:author="Master Repository Process" w:date="2022-05-27T14:27:00Z">
        <w:r>
          <w:t xml:space="preserve"> </w:t>
        </w:r>
      </w:ins>
      <w:r>
        <w:t>is exempt</w:t>
      </w:r>
      <w:del w:id="3166" w:author="Master Repository Process" w:date="2022-05-27T14:27:00Z">
        <w:r>
          <w:delText xml:space="preserve"> if no duty would be chargeable, other than under Chapter 6, on the transfer, at the time of the acquisition, by the person from whom the interest in the landholder was acquired (the </w:delText>
        </w:r>
        <w:r>
          <w:rPr>
            <w:rStyle w:val="CharDefText"/>
          </w:rPr>
          <w:delText>relinquishing person</w:delText>
        </w:r>
        <w:r>
          <w:delText>) to the acquiring person of land of the landholder, or of a linked entity in respect of the landholder, as if the land were that of the</w:delText>
        </w:r>
        <w:r>
          <w:rPr>
            <w:u w:val="single"/>
          </w:rPr>
          <w:delText xml:space="preserve"> </w:delText>
        </w:r>
        <w:r>
          <w:delText>relinquishing person</w:delText>
        </w:r>
      </w:del>
      <w:r>
        <w:t>.</w:t>
      </w:r>
    </w:p>
    <w:p>
      <w:pPr>
        <w:pStyle w:val="Subsection"/>
        <w:rPr>
          <w:ins w:id="3167" w:author="Master Repository Process" w:date="2022-05-27T14:27:00Z"/>
        </w:rPr>
      </w:pPr>
      <w:del w:id="3168" w:author="Master Repository Process" w:date="2022-05-27T14:27:00Z">
        <w:r>
          <w:tab/>
          <w:delText>(2</w:delText>
        </w:r>
      </w:del>
      <w:ins w:id="3169" w:author="Master Repository Process" w:date="2022-05-27T14:27:00Z">
        <w:r>
          <w:tab/>
          <w:t>(4)</w:t>
        </w:r>
        <w:r>
          <w:tab/>
          <w:t>If nominal duty would be chargeable on the notional transfer only to a particular extent, then despite Part 6 Division 5, the amount of duty chargeable in respect of the acquisition is the amount of duty calculated under that Division in respect of the acquisition reduced by the same proportion as the proportion of the notional transfer on which nominal duty would be chargeable.</w:t>
        </w:r>
      </w:ins>
    </w:p>
    <w:p>
      <w:pPr>
        <w:pStyle w:val="Subsection"/>
      </w:pPr>
      <w:ins w:id="3170" w:author="Master Repository Process" w:date="2022-05-27T14:27:00Z">
        <w:r>
          <w:tab/>
          <w:t>(5</w:t>
        </w:r>
      </w:ins>
      <w:r>
        <w:t>)</w:t>
      </w:r>
      <w:r>
        <w:tab/>
        <w:t xml:space="preserve">If the acquiring person did not acquire the interest in the landholder from another person, the reference to the </w:t>
      </w:r>
      <w:ins w:id="3171" w:author="Master Repository Process" w:date="2022-05-27T14:27:00Z">
        <w:r>
          <w:t xml:space="preserve">relinquishing </w:t>
        </w:r>
      </w:ins>
      <w:r>
        <w:t xml:space="preserve">person </w:t>
      </w:r>
      <w:del w:id="3172" w:author="Master Repository Process" w:date="2022-05-27T14:27:00Z">
        <w:r>
          <w:delText xml:space="preserve">from whom the interest </w:delText>
        </w:r>
      </w:del>
      <w:r>
        <w:t xml:space="preserve">in the </w:t>
      </w:r>
      <w:del w:id="3173" w:author="Master Repository Process" w:date="2022-05-27T14:27:00Z">
        <w:r>
          <w:delText>landholder was acquired</w:delText>
        </w:r>
      </w:del>
      <w:ins w:id="3174" w:author="Master Repository Process" w:date="2022-05-27T14:27:00Z">
        <w:r>
          <w:t xml:space="preserve">definition of </w:t>
        </w:r>
        <w:r>
          <w:rPr>
            <w:rStyle w:val="CharDefText"/>
          </w:rPr>
          <w:t>notional transfer</w:t>
        </w:r>
        <w:r>
          <w:t xml:space="preserve"> in subsection (1)</w:t>
        </w:r>
      </w:ins>
      <w:r>
        <w:t xml:space="preserve"> is to be read (according to what is relevant) as a reference to the or a person — </w:t>
      </w:r>
    </w:p>
    <w:p>
      <w:pPr>
        <w:pStyle w:val="Indenta"/>
        <w:rPr>
          <w:ins w:id="3175" w:author="Master Repository Process" w:date="2022-05-27T14:27:00Z"/>
        </w:rPr>
      </w:pPr>
      <w:ins w:id="3176" w:author="Master Repository Process" w:date="2022-05-27T14:27:00Z">
        <w:r>
          <w:tab/>
          <w:t>(a)</w:t>
        </w:r>
        <w:r>
          <w:tab/>
          <w:t>whose interest in the landholder is decreased because of the acquisition; or</w:t>
        </w:r>
      </w:ins>
    </w:p>
    <w:p>
      <w:pPr>
        <w:pStyle w:val="Indenta"/>
        <w:rPr>
          <w:ins w:id="3177" w:author="Master Repository Process" w:date="2022-05-27T14:27:00Z"/>
        </w:rPr>
      </w:pPr>
      <w:ins w:id="3178" w:author="Master Repository Process" w:date="2022-05-27T14:27:00Z">
        <w:r>
          <w:tab/>
          <w:t>(b)</w:t>
        </w:r>
        <w:r>
          <w:tab/>
          <w:t>whose interest in the landholder decreased resulting in the acquisition.</w:t>
        </w:r>
      </w:ins>
    </w:p>
    <w:p>
      <w:pPr>
        <w:pStyle w:val="PermNoteHeading"/>
        <w:rPr>
          <w:ins w:id="3179" w:author="Master Repository Process" w:date="2022-05-27T14:27:00Z"/>
        </w:rPr>
      </w:pPr>
      <w:ins w:id="3180" w:author="Master Repository Process" w:date="2022-05-27T14:27:00Z">
        <w:r>
          <w:tab/>
          <w:t>Note for this subsection:</w:t>
        </w:r>
      </w:ins>
    </w:p>
    <w:p>
      <w:pPr>
        <w:pStyle w:val="PermNoteText"/>
        <w:rPr>
          <w:ins w:id="3181" w:author="Master Repository Process" w:date="2022-05-27T14:27:00Z"/>
        </w:rPr>
      </w:pPr>
      <w:ins w:id="3182" w:author="Master Repository Process" w:date="2022-05-27T14:27:00Z">
        <w:r>
          <w:tab/>
        </w:r>
        <w:r>
          <w:tab/>
          <w:t>An acquiring person may acquire an interest in a company by the company issuing shares to the person, or buying back shares of another person.</w:t>
        </w:r>
      </w:ins>
    </w:p>
    <w:p>
      <w:pPr>
        <w:pStyle w:val="Footnotesection"/>
        <w:rPr>
          <w:ins w:id="3183" w:author="Master Repository Process" w:date="2022-05-27T14:27:00Z"/>
        </w:rPr>
      </w:pPr>
      <w:ins w:id="3184" w:author="Master Repository Process" w:date="2022-05-27T14:27:00Z">
        <w:r>
          <w:tab/>
          <w:t>[Section 166 inserted: No. 12 of 2019 s. 75.]</w:t>
        </w:r>
      </w:ins>
    </w:p>
    <w:p>
      <w:pPr>
        <w:pStyle w:val="Heading5"/>
        <w:rPr>
          <w:ins w:id="3185" w:author="Master Repository Process" w:date="2022-05-27T14:27:00Z"/>
        </w:rPr>
      </w:pPr>
      <w:bookmarkStart w:id="3186" w:name="_Toc104291066"/>
      <w:ins w:id="3187" w:author="Master Repository Process" w:date="2022-05-27T14:27:00Z">
        <w:r>
          <w:rPr>
            <w:rStyle w:val="CharSectno"/>
          </w:rPr>
          <w:t>168</w:t>
        </w:r>
        <w:r>
          <w:t>.</w:t>
        </w:r>
        <w:r>
          <w:tab/>
          <w:t>Exemption or reduction of duty if transfer duty would not be chargeable</w:t>
        </w:r>
        <w:bookmarkEnd w:id="3186"/>
      </w:ins>
    </w:p>
    <w:p>
      <w:pPr>
        <w:pStyle w:val="Subsection"/>
        <w:rPr>
          <w:ins w:id="3188" w:author="Master Repository Process" w:date="2022-05-27T14:27:00Z"/>
        </w:rPr>
      </w:pPr>
      <w:ins w:id="3189" w:author="Master Repository Process" w:date="2022-05-27T14:27:00Z">
        <w:r>
          <w:tab/>
          <w:t>(1)</w:t>
        </w:r>
        <w:r>
          <w:tab/>
          <w:t xml:space="preserve">In this section — </w:t>
        </w:r>
      </w:ins>
    </w:p>
    <w:p>
      <w:pPr>
        <w:pStyle w:val="Defstart"/>
        <w:rPr>
          <w:ins w:id="3190" w:author="Master Repository Process" w:date="2022-05-27T14:27:00Z"/>
        </w:rPr>
      </w:pPr>
      <w:ins w:id="3191" w:author="Master Repository Process" w:date="2022-05-27T14:27:00Z">
        <w:r>
          <w:tab/>
        </w:r>
        <w:r>
          <w:rPr>
            <w:rStyle w:val="CharDefText"/>
          </w:rPr>
          <w:t>acquiring person</w:t>
        </w:r>
        <w:r>
          <w:t>, in relation to an acquisition, means the person making the acquisition;</w:t>
        </w:r>
      </w:ins>
    </w:p>
    <w:p>
      <w:pPr>
        <w:pStyle w:val="Defstart"/>
        <w:rPr>
          <w:ins w:id="3192" w:author="Master Repository Process" w:date="2022-05-27T14:27:00Z"/>
        </w:rPr>
      </w:pPr>
      <w:ins w:id="3193" w:author="Master Repository Process" w:date="2022-05-27T14:27:00Z">
        <w:r>
          <w:tab/>
        </w:r>
        <w:r>
          <w:rPr>
            <w:rStyle w:val="CharDefText"/>
          </w:rPr>
          <w:t>notional transfer</w:t>
        </w:r>
        <w:r>
          <w:t>, in relation to an acquisition, means a notional transaction consisting of the transfer, at the time of the acquisition, by the relinquishing person to the acquiring person of the relevant land assets, as if the relevant land assets were those of the relinquishing person;</w:t>
        </w:r>
      </w:ins>
    </w:p>
    <w:p>
      <w:pPr>
        <w:pStyle w:val="Defstart"/>
        <w:rPr>
          <w:ins w:id="3194" w:author="Master Repository Process" w:date="2022-05-27T14:27:00Z"/>
        </w:rPr>
      </w:pPr>
      <w:ins w:id="3195" w:author="Master Repository Process" w:date="2022-05-27T14:27:00Z">
        <w:r>
          <w:tab/>
        </w:r>
        <w:r>
          <w:rPr>
            <w:rStyle w:val="CharDefText"/>
          </w:rPr>
          <w:t>relevant land assets</w:t>
        </w:r>
        <w:r>
          <w:t>, in relation to an acquisition of an interest in a landholder, means the land assets to which the landholder, and each linked entity in respect of the landholder, are entitled;</w:t>
        </w:r>
      </w:ins>
    </w:p>
    <w:p>
      <w:pPr>
        <w:pStyle w:val="Defstart"/>
        <w:rPr>
          <w:ins w:id="3196" w:author="Master Repository Process" w:date="2022-05-27T14:27:00Z"/>
        </w:rPr>
      </w:pPr>
      <w:ins w:id="3197" w:author="Master Repository Process" w:date="2022-05-27T14:27:00Z">
        <w:r>
          <w:tab/>
        </w:r>
        <w:r>
          <w:rPr>
            <w:rStyle w:val="CharDefText"/>
          </w:rPr>
          <w:t>relinquishing person</w:t>
        </w:r>
        <w:r>
          <w:t>, in relation to an acquisition, means the person from whom the interest in the landholder was acquired.</w:t>
        </w:r>
      </w:ins>
    </w:p>
    <w:p>
      <w:pPr>
        <w:pStyle w:val="Subsection"/>
        <w:rPr>
          <w:ins w:id="3198" w:author="Master Repository Process" w:date="2022-05-27T14:27:00Z"/>
        </w:rPr>
      </w:pPr>
      <w:ins w:id="3199" w:author="Master Repository Process" w:date="2022-05-27T14:27:00Z">
        <w:r>
          <w:tab/>
          <w:t>(2)</w:t>
        </w:r>
        <w:r>
          <w:tab/>
          <w:t>This section applies to an acquisition of an interest in a landholder if no transfer duty would be chargeable, or transfer duty would be chargeable only to a particular extent, on the notional transfer in relation to the acquisition.</w:t>
        </w:r>
      </w:ins>
    </w:p>
    <w:p>
      <w:pPr>
        <w:pStyle w:val="Subsection"/>
        <w:rPr>
          <w:ins w:id="3200" w:author="Master Repository Process" w:date="2022-05-27T14:27:00Z"/>
        </w:rPr>
      </w:pPr>
      <w:ins w:id="3201" w:author="Master Repository Process" w:date="2022-05-27T14:27:00Z">
        <w:r>
          <w:tab/>
          <w:t>(3)</w:t>
        </w:r>
        <w:r>
          <w:tab/>
          <w:t>If no transfer duty would be chargeable on the notional transfer, the acquisition is exempt.</w:t>
        </w:r>
      </w:ins>
    </w:p>
    <w:p>
      <w:pPr>
        <w:pStyle w:val="Subsection"/>
        <w:rPr>
          <w:ins w:id="3202" w:author="Master Repository Process" w:date="2022-05-27T14:27:00Z"/>
        </w:rPr>
      </w:pPr>
      <w:ins w:id="3203" w:author="Master Repository Process" w:date="2022-05-27T14:27:00Z">
        <w:r>
          <w:tab/>
          <w:t>(4)</w:t>
        </w:r>
        <w:r>
          <w:tab/>
          <w:t>If transfer duty would be chargeable on the notional transfer only to a particular extent, then despite Part 6 Division 5, the amount of duty chargeable in respect of the acquisition is the amount of duty calculated under that Division in respect of the acquisition reduced by the same proportion as the proportion of the notional transfer on which no transfer duty would be chargeable.</w:t>
        </w:r>
      </w:ins>
    </w:p>
    <w:p>
      <w:pPr>
        <w:pStyle w:val="Subsection"/>
        <w:rPr>
          <w:ins w:id="3204" w:author="Master Repository Process" w:date="2022-05-27T14:27:00Z"/>
        </w:rPr>
      </w:pPr>
      <w:ins w:id="3205" w:author="Master Repository Process" w:date="2022-05-27T14:27:00Z">
        <w:r>
          <w:tab/>
          <w:t>(5)</w:t>
        </w:r>
        <w:r>
          <w:tab/>
          <w:t xml:space="preserve">If the acquiring person did not acquire the interest in the landholder from another person, the reference to the relinquishing person in the definition of </w:t>
        </w:r>
        <w:r>
          <w:rPr>
            <w:rStyle w:val="CharDefText"/>
          </w:rPr>
          <w:t>notional transfer</w:t>
        </w:r>
        <w:r>
          <w:t xml:space="preserve"> in subsection (1) is to be read (according to what is relevant) as a reference to the or a person — </w:t>
        </w:r>
      </w:ins>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Subsection"/>
        <w:rPr>
          <w:ins w:id="3206" w:author="Master Repository Process" w:date="2022-05-27T14:27:00Z"/>
        </w:rPr>
      </w:pPr>
      <w:r>
        <w:tab/>
        <w:t>(</w:t>
      </w:r>
      <w:del w:id="3207" w:author="Master Repository Process" w:date="2022-05-27T14:27:00Z">
        <w:r>
          <w:delText>3</w:delText>
        </w:r>
      </w:del>
      <w:ins w:id="3208" w:author="Master Repository Process" w:date="2022-05-27T14:27:00Z">
        <w:r>
          <w:t>6</w:t>
        </w:r>
      </w:ins>
      <w:r>
        <w:t>)</w:t>
      </w:r>
      <w:r>
        <w:tab/>
        <w:t xml:space="preserve">This section does not apply </w:t>
      </w:r>
      <w:ins w:id="3209" w:author="Master Repository Process" w:date="2022-05-27T14:27:00Z">
        <w:r>
          <w:t xml:space="preserve">if — </w:t>
        </w:r>
      </w:ins>
    </w:p>
    <w:p>
      <w:pPr>
        <w:pStyle w:val="Indenta"/>
        <w:rPr>
          <w:ins w:id="3210" w:author="Master Repository Process" w:date="2022-05-27T14:27:00Z"/>
        </w:rPr>
      </w:pPr>
      <w:ins w:id="3211" w:author="Master Repository Process" w:date="2022-05-27T14:27:00Z">
        <w:r>
          <w:tab/>
          <w:t>(a)</w:t>
        </w:r>
        <w:r>
          <w:tab/>
          <w:t xml:space="preserve">no transfer duty would be chargeable, or transfer duty would be chargeable only </w:t>
        </w:r>
      </w:ins>
      <w:r>
        <w:t xml:space="preserve">to </w:t>
      </w:r>
      <w:del w:id="3212" w:author="Master Repository Process" w:date="2022-05-27T14:27:00Z">
        <w:r>
          <w:delText xml:space="preserve">an acquisition to which </w:delText>
        </w:r>
      </w:del>
      <w:ins w:id="3213" w:author="Master Repository Process" w:date="2022-05-27T14:27:00Z">
        <w:r>
          <w:t>a particular extent, on the notional transfer because of an exemption or reduction under Chapter 6; or</w:t>
        </w:r>
      </w:ins>
    </w:p>
    <w:p>
      <w:pPr>
        <w:pStyle w:val="Indenta"/>
      </w:pPr>
      <w:ins w:id="3214" w:author="Master Repository Process" w:date="2022-05-27T14:27:00Z">
        <w:r>
          <w:tab/>
          <w:t>(b)</w:t>
        </w:r>
        <w:r>
          <w:tab/>
        </w:r>
      </w:ins>
      <w:r>
        <w:t xml:space="preserve">section 171 </w:t>
      </w:r>
      <w:ins w:id="3215" w:author="Master Repository Process" w:date="2022-05-27T14:27:00Z">
        <w:r>
          <w:t xml:space="preserve">or 194 </w:t>
        </w:r>
      </w:ins>
      <w:r>
        <w:t>applies</w:t>
      </w:r>
      <w:ins w:id="3216" w:author="Master Repository Process" w:date="2022-05-27T14:27:00Z">
        <w:r>
          <w:t xml:space="preserve"> to the acquisition</w:t>
        </w:r>
      </w:ins>
      <w:r>
        <w:t>.</w:t>
      </w:r>
    </w:p>
    <w:p>
      <w:pPr>
        <w:pStyle w:val="Footnotesection"/>
      </w:pPr>
      <w:r>
        <w:tab/>
        <w:t xml:space="preserve">[Section 168 inserted: No. </w:t>
      </w:r>
      <w:del w:id="3217" w:author="Master Repository Process" w:date="2022-05-27T14:27:00Z">
        <w:r>
          <w:delText>32</w:delText>
        </w:r>
      </w:del>
      <w:ins w:id="3218" w:author="Master Repository Process" w:date="2022-05-27T14:27:00Z">
        <w:r>
          <w:t>12</w:t>
        </w:r>
      </w:ins>
      <w:r>
        <w:t xml:space="preserve"> of </w:t>
      </w:r>
      <w:del w:id="3219" w:author="Master Repository Process" w:date="2022-05-27T14:27:00Z">
        <w:r>
          <w:delText>2012</w:delText>
        </w:r>
      </w:del>
      <w:ins w:id="3220" w:author="Master Repository Process" w:date="2022-05-27T14:27:00Z">
        <w:r>
          <w:t>2019</w:t>
        </w:r>
      </w:ins>
      <w:r>
        <w:t xml:space="preserve"> s. </w:t>
      </w:r>
      <w:del w:id="3221" w:author="Master Repository Process" w:date="2022-05-27T14:27:00Z">
        <w:r>
          <w:delText>14</w:delText>
        </w:r>
      </w:del>
      <w:ins w:id="3222" w:author="Master Repository Process" w:date="2022-05-27T14:27:00Z">
        <w:r>
          <w:t>75</w:t>
        </w:r>
      </w:ins>
      <w:r>
        <w:t>.]</w:t>
      </w:r>
    </w:p>
    <w:p>
      <w:pPr>
        <w:pStyle w:val="Heading5"/>
        <w:keepNext w:val="0"/>
        <w:keepLines w:val="0"/>
        <w:spacing w:before="180"/>
      </w:pPr>
      <w:bookmarkStart w:id="3223" w:name="_Toc104291067"/>
      <w:bookmarkStart w:id="3224" w:name="_Toc531859410"/>
      <w:r>
        <w:rPr>
          <w:rStyle w:val="CharSectno"/>
        </w:rPr>
        <w:t>169</w:t>
      </w:r>
      <w:r>
        <w:t>.</w:t>
      </w:r>
      <w:r>
        <w:tab/>
        <w:t>Exemption if acquisition is dutiable under s. 67</w:t>
      </w:r>
      <w:bookmarkEnd w:id="3223"/>
      <w:bookmarkEnd w:id="3224"/>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spacing w:before="180"/>
      </w:pPr>
      <w:bookmarkStart w:id="3225" w:name="_Toc104291068"/>
      <w:bookmarkStart w:id="3226" w:name="_Toc531859411"/>
      <w:r>
        <w:rPr>
          <w:rStyle w:val="CharSectno"/>
        </w:rPr>
        <w:t>170</w:t>
      </w:r>
      <w:r>
        <w:t>.</w:t>
      </w:r>
      <w:r>
        <w:tab/>
        <w:t xml:space="preserve">Exemption relating to approved arrangements with creditors under </w:t>
      </w:r>
      <w:r>
        <w:rPr>
          <w:iCs/>
          <w:spacing w:val="-4"/>
          <w:kern w:val="2"/>
        </w:rPr>
        <w:t>Corporations Act</w:t>
      </w:r>
      <w:bookmarkEnd w:id="3225"/>
      <w:bookmarkEnd w:id="3226"/>
    </w:p>
    <w:p>
      <w:pPr>
        <w:pStyle w:val="Subsection"/>
        <w:spacing w:before="120"/>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spacing w:before="180"/>
      </w:pPr>
      <w:bookmarkStart w:id="3227" w:name="_Toc104291069"/>
      <w:bookmarkStart w:id="3228" w:name="_Toc531859412"/>
      <w:r>
        <w:rPr>
          <w:rStyle w:val="CharSectno"/>
        </w:rPr>
        <w:t>171</w:t>
      </w:r>
      <w:r>
        <w:t>.</w:t>
      </w:r>
      <w:r>
        <w:tab/>
        <w:t xml:space="preserve">Exemption of acquisition by family member of interest in </w:t>
      </w:r>
      <w:del w:id="3229" w:author="Master Repository Process" w:date="2022-05-27T14:27:00Z">
        <w:r>
          <w:delText>corporation</w:delText>
        </w:r>
      </w:del>
      <w:ins w:id="3230" w:author="Master Repository Process" w:date="2022-05-27T14:27:00Z">
        <w:r>
          <w:t>landholder</w:t>
        </w:r>
      </w:ins>
      <w:r>
        <w:t xml:space="preserve"> engaged in primary production</w:t>
      </w:r>
      <w:bookmarkEnd w:id="3227"/>
      <w:bookmarkEnd w:id="3228"/>
    </w:p>
    <w:p>
      <w:pPr>
        <w:pStyle w:val="Ednotesubsection"/>
      </w:pPr>
      <w:r>
        <w:tab/>
      </w:r>
      <w:del w:id="3231" w:author="Master Repository Process" w:date="2022-05-27T14:27:00Z">
        <w:r>
          <w:delText>(</w:delText>
        </w:r>
      </w:del>
      <w:ins w:id="3232" w:author="Master Repository Process" w:date="2022-05-27T14:27:00Z">
        <w:r>
          <w:t>[(</w:t>
        </w:r>
      </w:ins>
      <w:r>
        <w:t>1)</w:t>
      </w:r>
      <w:r>
        <w:tab/>
      </w:r>
      <w:del w:id="3233" w:author="Master Repository Process" w:date="2022-05-27T14:27:00Z">
        <w:r>
          <w:delText xml:space="preserve">In this section — </w:delText>
        </w:r>
      </w:del>
      <w:ins w:id="3234" w:author="Master Repository Process" w:date="2022-05-27T14:27:00Z">
        <w:r>
          <w:t>deleted]</w:t>
        </w:r>
      </w:ins>
    </w:p>
    <w:p>
      <w:pPr>
        <w:pStyle w:val="Defstart"/>
        <w:rPr>
          <w:del w:id="3235" w:author="Master Repository Process" w:date="2022-05-27T14:27:00Z"/>
        </w:rPr>
      </w:pPr>
      <w:del w:id="3236" w:author="Master Repository Process" w:date="2022-05-27T14:27:00Z">
        <w:r>
          <w:rPr>
            <w:b/>
          </w:rPr>
          <w:tab/>
        </w:r>
        <w:r>
          <w:rPr>
            <w:rStyle w:val="CharDefText"/>
          </w:rPr>
          <w:delText>corporation</w:delText>
        </w:r>
        <w:r>
          <w:delText xml:space="preserve"> means a corporation that is a landholder.</w:delText>
        </w:r>
      </w:del>
    </w:p>
    <w:p>
      <w:pPr>
        <w:pStyle w:val="Subsection"/>
        <w:spacing w:before="120"/>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w:t>
      </w:r>
      <w:del w:id="3237" w:author="Master Repository Process" w:date="2022-05-27T14:27:00Z">
        <w:r>
          <w:delText>corporation</w:delText>
        </w:r>
      </w:del>
      <w:ins w:id="3238" w:author="Master Repository Process" w:date="2022-05-27T14:27:00Z">
        <w:r>
          <w:t>landholder</w:t>
        </w:r>
      </w:ins>
      <w:r>
        <w:t xml:space="preserve"> which, or a linked entity in respect of which, uses land </w:t>
      </w:r>
      <w:ins w:id="3239" w:author="Master Repository Process" w:date="2022-05-27T14:27:00Z">
        <w:r>
          <w:t xml:space="preserve">assets </w:t>
        </w:r>
      </w:ins>
      <w:r>
        <w:t xml:space="preserve">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 xml:space="preserve">it had been a transfer, from that other person to the acquirer, of land </w:t>
      </w:r>
      <w:ins w:id="3240" w:author="Master Repository Process" w:date="2022-05-27T14:27:00Z">
        <w:r>
          <w:t xml:space="preserve">assets </w:t>
        </w:r>
      </w:ins>
      <w:r>
        <w:t xml:space="preserve">to which the </w:t>
      </w:r>
      <w:del w:id="3241" w:author="Master Repository Process" w:date="2022-05-27T14:27:00Z">
        <w:r>
          <w:delText>corporation</w:delText>
        </w:r>
      </w:del>
      <w:ins w:id="3242" w:author="Master Repository Process" w:date="2022-05-27T14:27:00Z">
        <w:r>
          <w:t>landholder</w:t>
        </w:r>
      </w:ins>
      <w:r>
        <w:t xml:space="preserve"> or a linked entity in respect of the </w:t>
      </w:r>
      <w:del w:id="3243" w:author="Master Repository Process" w:date="2022-05-27T14:27:00Z">
        <w:r>
          <w:delText>corporation</w:delText>
        </w:r>
      </w:del>
      <w:ins w:id="3244" w:author="Master Repository Process" w:date="2022-05-27T14:27:00Z">
        <w:r>
          <w:t>landholder</w:t>
        </w:r>
      </w:ins>
      <w:r>
        <w:t xml:space="preserve"> is entitled; and</w:t>
      </w:r>
    </w:p>
    <w:p>
      <w:pPr>
        <w:pStyle w:val="Indenti"/>
      </w:pPr>
      <w:r>
        <w:tab/>
        <w:t>(ii)</w:t>
      </w:r>
      <w:r>
        <w:tab/>
        <w:t>section 102(2</w:t>
      </w:r>
      <w:del w:id="3245" w:author="Master Repository Process" w:date="2022-05-27T14:27:00Z">
        <w:r>
          <w:delText>), (3), (5) and (6</w:delText>
        </w:r>
      </w:del>
      <w:r>
        <w:t>) had not been enacted;</w:t>
      </w:r>
    </w:p>
    <w:p>
      <w:pPr>
        <w:pStyle w:val="Indenta"/>
      </w:pPr>
      <w:r>
        <w:tab/>
      </w:r>
      <w:r>
        <w:tab/>
        <w:t>and</w:t>
      </w:r>
    </w:p>
    <w:p>
      <w:pPr>
        <w:pStyle w:val="Indenta"/>
      </w:pPr>
      <w:r>
        <w:tab/>
        <w:t>(b)</w:t>
      </w:r>
      <w:r>
        <w:tab/>
        <w:t xml:space="preserve">immediately after the acquisition the </w:t>
      </w:r>
      <w:del w:id="3246" w:author="Master Repository Process" w:date="2022-05-27T14:27:00Z">
        <w:r>
          <w:delText>corporation</w:delText>
        </w:r>
      </w:del>
      <w:ins w:id="3247" w:author="Master Repository Process" w:date="2022-05-27T14:27:00Z">
        <w:r>
          <w:t>landholder</w:t>
        </w:r>
      </w:ins>
      <w:r>
        <w:t xml:space="preserve">, or a linked entity in respect of the </w:t>
      </w:r>
      <w:del w:id="3248" w:author="Master Repository Process" w:date="2022-05-27T14:27:00Z">
        <w:r>
          <w:delText>corporation</w:delText>
        </w:r>
      </w:del>
      <w:ins w:id="3249" w:author="Master Repository Process" w:date="2022-05-27T14:27:00Z">
        <w:r>
          <w:t>landholder</w:t>
        </w:r>
      </w:ins>
      <w:r>
        <w:t xml:space="preserve">, intends to continue to use the land </w:t>
      </w:r>
      <w:ins w:id="3250" w:author="Master Repository Process" w:date="2022-05-27T14:27:00Z">
        <w:r>
          <w:t xml:space="preserve">assets </w:t>
        </w:r>
      </w:ins>
      <w:r>
        <w:t>solely or dominantly in the business of primary production.</w:t>
      </w:r>
    </w:p>
    <w:p>
      <w:pPr>
        <w:pStyle w:val="Subsection"/>
        <w:rPr>
          <w:ins w:id="3251" w:author="Master Repository Process" w:date="2022-05-27T14:27:00Z"/>
        </w:rPr>
      </w:pPr>
      <w:ins w:id="3252" w:author="Master Repository Process" w:date="2022-05-27T14:27:00Z">
        <w:r>
          <w:tab/>
          <w:t>(2A)</w:t>
        </w:r>
        <w:r>
          <w:tab/>
          <w:t xml:space="preserve">If the acquirer did not acquire the interest in the landholder from another person, the reference in subsection (2) to the person from whom the interest in the landholder was acquired is to be read (according to what is relevant) as a reference to the or a person — </w:t>
        </w:r>
      </w:ins>
    </w:p>
    <w:p>
      <w:pPr>
        <w:pStyle w:val="Indenta"/>
        <w:rPr>
          <w:ins w:id="3253" w:author="Master Repository Process" w:date="2022-05-27T14:27:00Z"/>
        </w:rPr>
      </w:pPr>
      <w:ins w:id="3254" w:author="Master Repository Process" w:date="2022-05-27T14:27:00Z">
        <w:r>
          <w:tab/>
          <w:t>(a)</w:t>
        </w:r>
        <w:r>
          <w:tab/>
          <w:t>whose interest in the landholder is decreased because of the acquisition; or</w:t>
        </w:r>
      </w:ins>
    </w:p>
    <w:p>
      <w:pPr>
        <w:pStyle w:val="Indenta"/>
        <w:rPr>
          <w:ins w:id="3255" w:author="Master Repository Process" w:date="2022-05-27T14:27:00Z"/>
        </w:rPr>
      </w:pPr>
      <w:ins w:id="3256" w:author="Master Repository Process" w:date="2022-05-27T14:27:00Z">
        <w:r>
          <w:tab/>
          <w:t>(b)</w:t>
        </w:r>
        <w:r>
          <w:tab/>
          <w:t>whose interest in the landholder decreased resulting in the acquisition.</w:t>
        </w:r>
      </w:ins>
    </w:p>
    <w:p>
      <w:pPr>
        <w:pStyle w:val="PermNoteHeading"/>
        <w:rPr>
          <w:ins w:id="3257" w:author="Master Repository Process" w:date="2022-05-27T14:27:00Z"/>
        </w:rPr>
      </w:pPr>
      <w:ins w:id="3258" w:author="Master Repository Process" w:date="2022-05-27T14:27:00Z">
        <w:r>
          <w:tab/>
          <w:t>Note for this subsection:</w:t>
        </w:r>
      </w:ins>
    </w:p>
    <w:p>
      <w:pPr>
        <w:pStyle w:val="PermNoteText"/>
        <w:rPr>
          <w:ins w:id="3259" w:author="Master Repository Process" w:date="2022-05-27T14:27:00Z"/>
        </w:rPr>
      </w:pPr>
      <w:ins w:id="3260" w:author="Master Repository Process" w:date="2022-05-27T14:27:00Z">
        <w:r>
          <w:tab/>
        </w:r>
        <w:r>
          <w:tab/>
          <w:t>An acquirer may acquire an interest in a company by the company issuing shares to the person, or buying back shares of another person.</w:t>
        </w:r>
      </w:ins>
    </w:p>
    <w:p>
      <w:pPr>
        <w:pStyle w:val="Subsection"/>
      </w:pPr>
      <w:r>
        <w:tab/>
        <w:t>(3)</w:t>
      </w:r>
      <w:r>
        <w:tab/>
        <w:t>For the purposes of subsection (2),</w:t>
      </w:r>
      <w:ins w:id="3261" w:author="Master Repository Process" w:date="2022-05-27T14:27:00Z">
        <w:r>
          <w:t xml:space="preserve"> a land asset that is</w:t>
        </w:r>
      </w:ins>
      <w:r>
        <w:t xml:space="preserve">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Footnotesection"/>
        <w:rPr>
          <w:ins w:id="3262" w:author="Master Repository Process" w:date="2022-05-27T14:27:00Z"/>
        </w:rPr>
      </w:pPr>
      <w:ins w:id="3263" w:author="Master Repository Process" w:date="2022-05-27T14:27:00Z">
        <w:r>
          <w:tab/>
          <w:t>[Section 171 amended: No. 12 of 2019 s. 76.]</w:t>
        </w:r>
      </w:ins>
    </w:p>
    <w:p>
      <w:pPr>
        <w:pStyle w:val="Heading4"/>
        <w:rPr>
          <w:sz w:val="26"/>
        </w:rPr>
      </w:pPr>
      <w:bookmarkStart w:id="3264" w:name="_Toc37946875"/>
      <w:bookmarkStart w:id="3265" w:name="_Toc37947475"/>
      <w:bookmarkStart w:id="3266" w:name="_Toc38031539"/>
      <w:bookmarkStart w:id="3267" w:name="_Toc93310048"/>
      <w:bookmarkStart w:id="3268" w:name="_Toc104291070"/>
      <w:bookmarkStart w:id="3269" w:name="_Toc530491798"/>
      <w:bookmarkStart w:id="3270" w:name="_Toc530492258"/>
      <w:bookmarkStart w:id="3271" w:name="_Toc530493268"/>
      <w:bookmarkStart w:id="3272" w:name="_Toc530556403"/>
      <w:bookmarkStart w:id="3273" w:name="_Toc531692241"/>
      <w:bookmarkStart w:id="3274" w:name="_Toc531856146"/>
      <w:bookmarkStart w:id="3275" w:name="_Toc531858874"/>
      <w:bookmarkStart w:id="3276" w:name="_Toc531859413"/>
      <w:r>
        <w:rPr>
          <w:sz w:val="26"/>
        </w:rPr>
        <w:t>Subdivision 4 — Further provisions in respect of exemptions under section 171</w:t>
      </w:r>
      <w:bookmarkEnd w:id="3264"/>
      <w:bookmarkEnd w:id="3265"/>
      <w:bookmarkEnd w:id="3266"/>
      <w:bookmarkEnd w:id="3267"/>
      <w:bookmarkEnd w:id="3268"/>
      <w:bookmarkEnd w:id="3269"/>
      <w:bookmarkEnd w:id="3270"/>
      <w:bookmarkEnd w:id="3271"/>
      <w:bookmarkEnd w:id="3272"/>
      <w:bookmarkEnd w:id="3273"/>
      <w:bookmarkEnd w:id="3274"/>
      <w:bookmarkEnd w:id="3275"/>
      <w:bookmarkEnd w:id="3276"/>
    </w:p>
    <w:p>
      <w:pPr>
        <w:pStyle w:val="Heading5"/>
      </w:pPr>
      <w:bookmarkStart w:id="3277" w:name="_Toc104291071"/>
      <w:bookmarkStart w:id="3278" w:name="_Toc531859414"/>
      <w:r>
        <w:rPr>
          <w:rStyle w:val="CharSectno"/>
        </w:rPr>
        <w:t>172</w:t>
      </w:r>
      <w:r>
        <w:t>.</w:t>
      </w:r>
      <w:r>
        <w:tab/>
        <w:t xml:space="preserve">Calculation of duty where some land </w:t>
      </w:r>
      <w:ins w:id="3279" w:author="Master Repository Process" w:date="2022-05-27T14:27:00Z">
        <w:r>
          <w:t xml:space="preserve">assets </w:t>
        </w:r>
      </w:ins>
      <w:r>
        <w:t xml:space="preserve">of </w:t>
      </w:r>
      <w:del w:id="3280" w:author="Master Repository Process" w:date="2022-05-27T14:27:00Z">
        <w:r>
          <w:delText>corporation</w:delText>
        </w:r>
      </w:del>
      <w:ins w:id="3281" w:author="Master Repository Process" w:date="2022-05-27T14:27:00Z">
        <w:r>
          <w:t>landholder</w:t>
        </w:r>
      </w:ins>
      <w:r>
        <w:t xml:space="preserve"> not used for primary production</w:t>
      </w:r>
      <w:bookmarkEnd w:id="3277"/>
      <w:bookmarkEnd w:id="3278"/>
    </w:p>
    <w:p>
      <w:pPr>
        <w:pStyle w:val="Subsection"/>
      </w:pPr>
      <w:r>
        <w:tab/>
        <w:t>(1)</w:t>
      </w:r>
      <w:r>
        <w:tab/>
        <w:t>This section applies to an acquisition</w:t>
      </w:r>
      <w:r>
        <w:rPr>
          <w:bCs/>
        </w:rPr>
        <w:t xml:space="preserve"> </w:t>
      </w:r>
      <w:r>
        <w:t xml:space="preserve">referred to in section 171 if immediately before the acquisition the </w:t>
      </w:r>
      <w:del w:id="3282" w:author="Master Repository Process" w:date="2022-05-27T14:27:00Z">
        <w:r>
          <w:delText>corporation</w:delText>
        </w:r>
      </w:del>
      <w:ins w:id="3283" w:author="Master Repository Process" w:date="2022-05-27T14:27:00Z">
        <w:r>
          <w:t>landholder</w:t>
        </w:r>
      </w:ins>
      <w:r>
        <w:t xml:space="preserve"> concerned, or a linked entity in respect of the </w:t>
      </w:r>
      <w:del w:id="3284" w:author="Master Repository Process" w:date="2022-05-27T14:27:00Z">
        <w:r>
          <w:delText>corporation</w:delText>
        </w:r>
      </w:del>
      <w:ins w:id="3285" w:author="Master Repository Process" w:date="2022-05-27T14:27:00Z">
        <w:r>
          <w:t>landholder</w:t>
        </w:r>
      </w:ins>
      <w:r>
        <w:t xml:space="preserve">, is entitled to — </w:t>
      </w:r>
    </w:p>
    <w:p>
      <w:pPr>
        <w:pStyle w:val="Indenta"/>
      </w:pPr>
      <w:r>
        <w:tab/>
        <w:t>(a)</w:t>
      </w:r>
      <w:r>
        <w:tab/>
        <w:t xml:space="preserve">land </w:t>
      </w:r>
      <w:ins w:id="3286" w:author="Master Repository Process" w:date="2022-05-27T14:27:00Z">
        <w:r>
          <w:t xml:space="preserve">assets </w:t>
        </w:r>
      </w:ins>
      <w:r>
        <w:t xml:space="preserve">in Western Australia that </w:t>
      </w:r>
      <w:del w:id="3287" w:author="Master Repository Process" w:date="2022-05-27T14:27:00Z">
        <w:r>
          <w:delText>is</w:delText>
        </w:r>
      </w:del>
      <w:ins w:id="3288" w:author="Master Repository Process" w:date="2022-05-27T14:27:00Z">
        <w:r>
          <w:t>are</w:t>
        </w:r>
      </w:ins>
      <w:r>
        <w:t xml:space="preserve"> used solely or dominantly in the business of primary production; and</w:t>
      </w:r>
    </w:p>
    <w:p>
      <w:pPr>
        <w:pStyle w:val="Indenta"/>
      </w:pPr>
      <w:r>
        <w:tab/>
        <w:t>(b)</w:t>
      </w:r>
      <w:r>
        <w:tab/>
        <w:t xml:space="preserve">land </w:t>
      </w:r>
      <w:ins w:id="3289" w:author="Master Repository Process" w:date="2022-05-27T14:27:00Z">
        <w:r>
          <w:t xml:space="preserve">assets </w:t>
        </w:r>
      </w:ins>
      <w:r>
        <w:t xml:space="preserve">in Western Australia that </w:t>
      </w:r>
      <w:del w:id="3290" w:author="Master Repository Process" w:date="2022-05-27T14:27:00Z">
        <w:r>
          <w:delText>is</w:delText>
        </w:r>
      </w:del>
      <w:ins w:id="3291" w:author="Master Repository Process" w:date="2022-05-27T14:27:00Z">
        <w:r>
          <w:t>are</w:t>
        </w:r>
      </w:ins>
      <w:r>
        <w:t xml:space="preserve">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 xml:space="preserve">despite Part 6 Division 5, the amount of duty payable in respect of the partially exempt acquisition is an amount that bears to the amount of duty calculated under that Division in respect of the acquisition the same proportion as the value of the land </w:t>
      </w:r>
      <w:ins w:id="3292" w:author="Master Repository Process" w:date="2022-05-27T14:27:00Z">
        <w:r>
          <w:t xml:space="preserve">assets </w:t>
        </w:r>
      </w:ins>
      <w:r>
        <w:t xml:space="preserve">referred to in subsection (1)(b) bears to the value of the </w:t>
      </w:r>
      <w:del w:id="3293" w:author="Master Repository Process" w:date="2022-05-27T14:27:00Z">
        <w:r>
          <w:delText>corporation</w:delText>
        </w:r>
      </w:del>
      <w:ins w:id="3294" w:author="Master Repository Process" w:date="2022-05-27T14:27:00Z">
        <w:r>
          <w:t>landholder</w:t>
        </w:r>
      </w:ins>
      <w:r>
        <w:t xml:space="preserve"> concerned, as determined under section 186.</w:t>
      </w:r>
    </w:p>
    <w:p>
      <w:pPr>
        <w:pStyle w:val="Footnotesection"/>
        <w:rPr>
          <w:ins w:id="3295" w:author="Master Repository Process" w:date="2022-05-27T14:27:00Z"/>
        </w:rPr>
      </w:pPr>
      <w:ins w:id="3296" w:author="Master Repository Process" w:date="2022-05-27T14:27:00Z">
        <w:r>
          <w:tab/>
          <w:t>[Section 172 amended: No. 12 of 2019 s. 77.]</w:t>
        </w:r>
      </w:ins>
    </w:p>
    <w:p>
      <w:pPr>
        <w:pStyle w:val="Heading5"/>
      </w:pPr>
      <w:bookmarkStart w:id="3297" w:name="_Toc104291072"/>
      <w:bookmarkStart w:id="3298" w:name="_Toc531859415"/>
      <w:r>
        <w:rPr>
          <w:rStyle w:val="CharSectno"/>
        </w:rPr>
        <w:t>173</w:t>
      </w:r>
      <w:r>
        <w:t>.</w:t>
      </w:r>
      <w:r>
        <w:tab/>
        <w:t>Reversal of exemption where certain changes made to discretionary trust</w:t>
      </w:r>
      <w:bookmarkEnd w:id="3297"/>
      <w:bookmarkEnd w:id="3298"/>
    </w:p>
    <w:p>
      <w:pPr>
        <w:pStyle w:val="Subsection"/>
      </w:pPr>
      <w:r>
        <w:tab/>
        <w:t>(1)</w:t>
      </w:r>
      <w:r>
        <w:tab/>
        <w:t xml:space="preserve">This section applies if — </w:t>
      </w:r>
    </w:p>
    <w:p>
      <w:pPr>
        <w:pStyle w:val="Indenta"/>
        <w:rPr>
          <w:bCs/>
        </w:rPr>
      </w:pPr>
      <w:r>
        <w:tab/>
        <w:t>(a)</w:t>
      </w:r>
      <w:r>
        <w:tab/>
        <w:t xml:space="preserve">an acquisition from a person (the </w:t>
      </w:r>
      <w:r>
        <w:rPr>
          <w:rStyle w:val="CharDefText"/>
        </w:rPr>
        <w:t>transferor</w:t>
      </w:r>
      <w:r>
        <w:rPr>
          <w:bCs/>
        </w:rPr>
        <w:t xml:space="preserve">) of an interest in </w:t>
      </w:r>
      <w:del w:id="3299" w:author="Master Repository Process" w:date="2022-05-27T14:27:00Z">
        <w:r>
          <w:rPr>
            <w:bCs/>
          </w:rPr>
          <w:delText>a corporation</w:delText>
        </w:r>
      </w:del>
      <w:ins w:id="3300" w:author="Master Repository Process" w:date="2022-05-27T14:27:00Z">
        <w:r>
          <w:t>an entity that is a landholder</w:t>
        </w:r>
      </w:ins>
      <w:r>
        <w:t xml:space="preserve"> </w:t>
      </w:r>
      <w:r>
        <w:rPr>
          <w:bCs/>
        </w:rPr>
        <w:t xml:space="preserve">by the trustee of a discretionary trust was — </w:t>
      </w:r>
    </w:p>
    <w:p>
      <w:pPr>
        <w:pStyle w:val="Indenti"/>
      </w:pPr>
      <w:r>
        <w:tab/>
        <w:t>(i)</w:t>
      </w:r>
      <w:r>
        <w:tab/>
        <w:t xml:space="preserve">exempt under section 171; or </w:t>
      </w:r>
    </w:p>
    <w:p>
      <w:pPr>
        <w:pStyle w:val="Indenti"/>
      </w:pPr>
      <w:r>
        <w:tab/>
        <w:t>(ii)</w:t>
      </w:r>
      <w:r>
        <w:tab/>
        <w:t xml:space="preserve">a partially exempt acquisition under section 172; </w:t>
      </w:r>
    </w:p>
    <w:p>
      <w:pPr>
        <w:pStyle w:val="Indenta"/>
      </w:pPr>
      <w:r>
        <w:tab/>
      </w:r>
      <w:r>
        <w:tab/>
        <w:t>and</w:t>
      </w:r>
    </w:p>
    <w:p>
      <w:pPr>
        <w:pStyle w:val="Indenta"/>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 xml:space="preserve">the </w:t>
      </w:r>
      <w:del w:id="3301" w:author="Master Repository Process" w:date="2022-05-27T14:27:00Z">
        <w:r>
          <w:delText>corporation</w:delText>
        </w:r>
      </w:del>
      <w:ins w:id="3302" w:author="Master Repository Process" w:date="2022-05-27T14:27:00Z">
        <w:r>
          <w:t>entity</w:t>
        </w:r>
      </w:ins>
      <w:r>
        <w:t xml:space="preserve"> is a landholder; and</w:t>
      </w:r>
    </w:p>
    <w:p>
      <w:pPr>
        <w:pStyle w:val="Indenti"/>
      </w:pPr>
      <w:r>
        <w:tab/>
        <w:t>(ii)</w:t>
      </w:r>
      <w:r>
        <w:tab/>
        <w:t xml:space="preserve">the </w:t>
      </w:r>
      <w:del w:id="3303" w:author="Master Repository Process" w:date="2022-05-27T14:27:00Z">
        <w:r>
          <w:delText>corporation</w:delText>
        </w:r>
      </w:del>
      <w:ins w:id="3304" w:author="Master Repository Process" w:date="2022-05-27T14:27:00Z">
        <w:r>
          <w:t>entity,</w:t>
        </w:r>
      </w:ins>
      <w:r>
        <w:t xml:space="preserve"> or a linked entity in respect of the </w:t>
      </w:r>
      <w:del w:id="3305" w:author="Master Repository Process" w:date="2022-05-27T14:27:00Z">
        <w:r>
          <w:delText>corporation</w:delText>
        </w:r>
      </w:del>
      <w:ins w:id="3306" w:author="Master Repository Process" w:date="2022-05-27T14:27:00Z">
        <w:r>
          <w:t>entity</w:t>
        </w:r>
      </w:ins>
      <w:r>
        <w:t>, is using solely or dominantly in the business of primary production any of the land</w:t>
      </w:r>
      <w:ins w:id="3307" w:author="Master Repository Process" w:date="2022-05-27T14:27:00Z">
        <w:r>
          <w:t xml:space="preserve"> assets</w:t>
        </w:r>
      </w:ins>
      <w:r>
        <w:t xml:space="preserve"> to which it was entitled when the acquisition occurred.</w:t>
      </w:r>
    </w:p>
    <w:p>
      <w:pPr>
        <w:pStyle w:val="Subsection"/>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w:t>
      </w:r>
      <w:ins w:id="3308" w:author="Master Repository Process" w:date="2022-05-27T14:27:00Z">
        <w:r>
          <w:t xml:space="preserve">the transferor or </w:t>
        </w:r>
      </w:ins>
      <w:r>
        <w:t xml:space="preserve">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spacing w:before="12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w:t>
      </w:r>
      <w:del w:id="3309" w:author="Master Repository Process" w:date="2022-05-27T14:27:00Z">
        <w:r>
          <w:delText>corporation</w:delText>
        </w:r>
      </w:del>
      <w:ins w:id="3310" w:author="Master Repository Process" w:date="2022-05-27T14:27:00Z">
        <w:r>
          <w:t>entity</w:t>
        </w:r>
      </w:ins>
      <w:r>
        <w:t xml:space="preserve">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spacing w:before="120"/>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Footnotesection"/>
        <w:rPr>
          <w:ins w:id="3311" w:author="Master Repository Process" w:date="2022-05-27T14:27:00Z"/>
        </w:rPr>
      </w:pPr>
      <w:ins w:id="3312" w:author="Master Repository Process" w:date="2022-05-27T14:27:00Z">
        <w:r>
          <w:tab/>
          <w:t>[Section 173 amended: No. 12 of 2019 s. 78.]</w:t>
        </w:r>
      </w:ins>
    </w:p>
    <w:p>
      <w:pPr>
        <w:pStyle w:val="Heading5"/>
        <w:spacing w:before="180"/>
      </w:pPr>
      <w:bookmarkStart w:id="3313" w:name="_Toc104291073"/>
      <w:bookmarkStart w:id="3314" w:name="_Toc531859416"/>
      <w:r>
        <w:rPr>
          <w:rStyle w:val="CharSectno"/>
        </w:rPr>
        <w:t>174</w:t>
      </w:r>
      <w:r>
        <w:t>.</w:t>
      </w:r>
      <w:r>
        <w:tab/>
        <w:t>No exemption where interest transferred within 5 years</w:t>
      </w:r>
      <w:bookmarkEnd w:id="3313"/>
      <w:bookmarkEnd w:id="3314"/>
    </w:p>
    <w:p>
      <w:pPr>
        <w:pStyle w:val="Subsection"/>
        <w:spacing w:before="120"/>
      </w:pPr>
      <w:r>
        <w:tab/>
        <w:t>(1)</w:t>
      </w:r>
      <w:r>
        <w:tab/>
        <w:t xml:space="preserve">This section applies if — </w:t>
      </w:r>
    </w:p>
    <w:p>
      <w:pPr>
        <w:pStyle w:val="Indenta"/>
      </w:pPr>
      <w:r>
        <w:tab/>
        <w:t>(a)</w:t>
      </w:r>
      <w:r>
        <w:tab/>
        <w:t xml:space="preserve">an acquisition of an interest in a </w:t>
      </w:r>
      <w:del w:id="3315" w:author="Master Repository Process" w:date="2022-05-27T14:27:00Z">
        <w:r>
          <w:delText>corporation</w:delText>
        </w:r>
      </w:del>
      <w:ins w:id="3316" w:author="Master Repository Process" w:date="2022-05-27T14:27:00Z">
        <w:r>
          <w:t>landholder</w:t>
        </w:r>
      </w:ins>
      <w:r>
        <w:t xml:space="preserve"> (the </w:t>
      </w:r>
      <w:r>
        <w:rPr>
          <w:rStyle w:val="CharDefText"/>
        </w:rPr>
        <w:t>first acquisition</w:t>
      </w:r>
      <w:r>
        <w:rPr>
          <w:bCs/>
        </w:rPr>
        <w:t xml:space="preserve">) </w:t>
      </w:r>
      <w:r>
        <w:t>was exempt under section 171; and</w:t>
      </w:r>
    </w:p>
    <w:p>
      <w:pPr>
        <w:pStyle w:val="Indenta"/>
      </w:pPr>
      <w:r>
        <w:tab/>
        <w:t>(b)</w:t>
      </w:r>
      <w:r>
        <w:tab/>
        <w:t xml:space="preserve">a further acquisition of an interest in the </w:t>
      </w:r>
      <w:del w:id="3317" w:author="Master Repository Process" w:date="2022-05-27T14:27:00Z">
        <w:r>
          <w:delText>corporation</w:delText>
        </w:r>
      </w:del>
      <w:ins w:id="3318" w:author="Master Repository Process" w:date="2022-05-27T14:27:00Z">
        <w:r>
          <w:t>landholder</w:t>
        </w:r>
      </w:ins>
      <w:r>
        <w:t xml:space="preserve"> occurs within 5 years after the day on which the first acquisition occurred; and</w:t>
      </w:r>
    </w:p>
    <w:p>
      <w:pPr>
        <w:pStyle w:val="Indenta"/>
      </w:pPr>
      <w:r>
        <w:tab/>
        <w:t>(c)</w:t>
      </w:r>
      <w:r>
        <w:tab/>
        <w:t xml:space="preserve">at the time when the further acquisition occurs the </w:t>
      </w:r>
      <w:del w:id="3319" w:author="Master Repository Process" w:date="2022-05-27T14:27:00Z">
        <w:r>
          <w:delText>corporation</w:delText>
        </w:r>
      </w:del>
      <w:ins w:id="3320" w:author="Master Repository Process" w:date="2022-05-27T14:27:00Z">
        <w:r>
          <w:t>landholder</w:t>
        </w:r>
      </w:ins>
      <w:r>
        <w:t xml:space="preserve">, or a linked entity in respect of the </w:t>
      </w:r>
      <w:del w:id="3321" w:author="Master Repository Process" w:date="2022-05-27T14:27:00Z">
        <w:r>
          <w:delText>corporation</w:delText>
        </w:r>
      </w:del>
      <w:ins w:id="3322" w:author="Master Repository Process" w:date="2022-05-27T14:27:00Z">
        <w:r>
          <w:t>landholder</w:t>
        </w:r>
      </w:ins>
      <w:r>
        <w:t>, is using solely or dominantly in the business of primary production any of the land</w:t>
      </w:r>
      <w:ins w:id="3323" w:author="Master Repository Process" w:date="2022-05-27T14:27:00Z">
        <w:r>
          <w:t xml:space="preserve"> assets</w:t>
        </w:r>
      </w:ins>
      <w:r>
        <w:t xml:space="preserve"> to which it was entitled when the first acquisition occurred; and </w:t>
      </w:r>
    </w:p>
    <w:p>
      <w:pPr>
        <w:pStyle w:val="Indenta"/>
      </w:pPr>
      <w:r>
        <w:tab/>
        <w:t>(d)</w:t>
      </w:r>
      <w:r>
        <w:tab/>
        <w:t xml:space="preserve">in the opinion of the Commissioner the further acquisition is by way of a transfer of an interest, or part of an interest, in the </w:t>
      </w:r>
      <w:del w:id="3324" w:author="Master Repository Process" w:date="2022-05-27T14:27:00Z">
        <w:r>
          <w:delText>corporation</w:delText>
        </w:r>
      </w:del>
      <w:ins w:id="3325" w:author="Master Repository Process" w:date="2022-05-27T14:27:00Z">
        <w:r>
          <w:t>landholder</w:t>
        </w:r>
      </w:ins>
      <w:r>
        <w:t xml:space="preserve"> that was acquired under the first acquisition.</w:t>
      </w:r>
    </w:p>
    <w:p>
      <w:pPr>
        <w:pStyle w:val="Subsection"/>
      </w:pPr>
      <w:r>
        <w:tab/>
        <w:t>(2)</w:t>
      </w:r>
      <w:r>
        <w:tab/>
        <w:t>The further acquisition is not exempt under section 171 even if it comes within the provisions of that section.</w:t>
      </w:r>
    </w:p>
    <w:p>
      <w:pPr>
        <w:pStyle w:val="Footnotesection"/>
        <w:rPr>
          <w:ins w:id="3326" w:author="Master Repository Process" w:date="2022-05-27T14:27:00Z"/>
        </w:rPr>
      </w:pPr>
      <w:ins w:id="3327" w:author="Master Repository Process" w:date="2022-05-27T14:27:00Z">
        <w:r>
          <w:tab/>
          <w:t>[Section 174 amended: No. 12 of 2019 s. 79.]</w:t>
        </w:r>
      </w:ins>
    </w:p>
    <w:p>
      <w:pPr>
        <w:pStyle w:val="Heading3"/>
        <w:keepLines/>
        <w:rPr>
          <w:sz w:val="28"/>
        </w:rPr>
      </w:pPr>
      <w:bookmarkStart w:id="3328" w:name="_Toc37946879"/>
      <w:bookmarkStart w:id="3329" w:name="_Toc37947479"/>
      <w:bookmarkStart w:id="3330" w:name="_Toc38031543"/>
      <w:bookmarkStart w:id="3331" w:name="_Toc93310052"/>
      <w:bookmarkStart w:id="3332" w:name="_Toc104291074"/>
      <w:bookmarkStart w:id="3333" w:name="_Toc530491802"/>
      <w:bookmarkStart w:id="3334" w:name="_Toc530492262"/>
      <w:bookmarkStart w:id="3335" w:name="_Toc530493272"/>
      <w:bookmarkStart w:id="3336" w:name="_Toc530556407"/>
      <w:bookmarkStart w:id="3337" w:name="_Toc531692245"/>
      <w:bookmarkStart w:id="3338" w:name="_Toc531856150"/>
      <w:bookmarkStart w:id="3339" w:name="_Toc531858878"/>
      <w:bookmarkStart w:id="3340" w:name="_Toc531859417"/>
      <w:r>
        <w:rPr>
          <w:rStyle w:val="CharDivNo"/>
          <w:sz w:val="28"/>
        </w:rPr>
        <w:t>Part 6</w:t>
      </w:r>
      <w:r>
        <w:rPr>
          <w:sz w:val="28"/>
        </w:rPr>
        <w:t> — </w:t>
      </w:r>
      <w:r>
        <w:rPr>
          <w:rStyle w:val="CharDivText"/>
          <w:sz w:val="28"/>
        </w:rPr>
        <w:t>Collection of landholder duty</w:t>
      </w:r>
      <w:bookmarkEnd w:id="3328"/>
      <w:bookmarkEnd w:id="3329"/>
      <w:bookmarkEnd w:id="3330"/>
      <w:bookmarkEnd w:id="3331"/>
      <w:bookmarkEnd w:id="3332"/>
      <w:bookmarkEnd w:id="3333"/>
      <w:bookmarkEnd w:id="3334"/>
      <w:bookmarkEnd w:id="3335"/>
      <w:bookmarkEnd w:id="3336"/>
      <w:bookmarkEnd w:id="3337"/>
      <w:bookmarkEnd w:id="3338"/>
      <w:bookmarkEnd w:id="3339"/>
      <w:bookmarkEnd w:id="3340"/>
    </w:p>
    <w:p>
      <w:pPr>
        <w:pStyle w:val="Heading4"/>
        <w:keepLines/>
        <w:rPr>
          <w:sz w:val="26"/>
        </w:rPr>
      </w:pPr>
      <w:bookmarkStart w:id="3341" w:name="_Toc37946880"/>
      <w:bookmarkStart w:id="3342" w:name="_Toc37947480"/>
      <w:bookmarkStart w:id="3343" w:name="_Toc38031544"/>
      <w:bookmarkStart w:id="3344" w:name="_Toc93310053"/>
      <w:bookmarkStart w:id="3345" w:name="_Toc104291075"/>
      <w:bookmarkStart w:id="3346" w:name="_Toc530491803"/>
      <w:bookmarkStart w:id="3347" w:name="_Toc530492263"/>
      <w:bookmarkStart w:id="3348" w:name="_Toc530493273"/>
      <w:bookmarkStart w:id="3349" w:name="_Toc530556408"/>
      <w:bookmarkStart w:id="3350" w:name="_Toc531692246"/>
      <w:bookmarkStart w:id="3351" w:name="_Toc531856151"/>
      <w:bookmarkStart w:id="3352" w:name="_Toc531858879"/>
      <w:bookmarkStart w:id="3353" w:name="_Toc531859418"/>
      <w:r>
        <w:rPr>
          <w:sz w:val="26"/>
        </w:rPr>
        <w:t>Division 1 — Preliminary</w:t>
      </w:r>
      <w:bookmarkEnd w:id="3341"/>
      <w:bookmarkEnd w:id="3342"/>
      <w:bookmarkEnd w:id="3343"/>
      <w:bookmarkEnd w:id="3344"/>
      <w:bookmarkEnd w:id="3345"/>
      <w:bookmarkEnd w:id="3346"/>
      <w:bookmarkEnd w:id="3347"/>
      <w:bookmarkEnd w:id="3348"/>
      <w:bookmarkEnd w:id="3349"/>
      <w:bookmarkEnd w:id="3350"/>
      <w:bookmarkEnd w:id="3351"/>
      <w:bookmarkEnd w:id="3352"/>
      <w:bookmarkEnd w:id="3353"/>
    </w:p>
    <w:p>
      <w:pPr>
        <w:pStyle w:val="Heading5"/>
        <w:spacing w:before="240"/>
      </w:pPr>
      <w:bookmarkStart w:id="3354" w:name="_Toc104291076"/>
      <w:bookmarkStart w:id="3355" w:name="_Toc531859419"/>
      <w:r>
        <w:rPr>
          <w:rStyle w:val="CharSectno"/>
        </w:rPr>
        <w:t>175</w:t>
      </w:r>
      <w:r>
        <w:t>.</w:t>
      </w:r>
      <w:r>
        <w:tab/>
        <w:t>Term used: acquirer</w:t>
      </w:r>
      <w:bookmarkEnd w:id="3354"/>
      <w:bookmarkEnd w:id="3355"/>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spacing w:before="240"/>
      </w:pPr>
      <w:bookmarkStart w:id="3356" w:name="_Toc104291077"/>
      <w:bookmarkStart w:id="3357" w:name="_Toc531859420"/>
      <w:r>
        <w:rPr>
          <w:rStyle w:val="CharSectno"/>
        </w:rPr>
        <w:t>176</w:t>
      </w:r>
      <w:r>
        <w:t>.</w:t>
      </w:r>
      <w:r>
        <w:tab/>
        <w:t>When acquisition occurs</w:t>
      </w:r>
      <w:bookmarkEnd w:id="3356"/>
      <w:bookmarkEnd w:id="3357"/>
    </w:p>
    <w:p>
      <w:pPr>
        <w:pStyle w:val="Subsection"/>
      </w:pPr>
      <w:r>
        <w:tab/>
        <w:t>(1)</w:t>
      </w:r>
      <w:r>
        <w:tab/>
      </w:r>
      <w:del w:id="3358" w:author="Master Repository Process" w:date="2022-05-27T14:27:00Z">
        <w:r>
          <w:delText xml:space="preserve">For the </w:delText>
        </w:r>
      </w:del>
      <w:ins w:id="3359" w:author="Master Repository Process" w:date="2022-05-27T14:27:00Z">
        <w:r>
          <w:t xml:space="preserve">In making an assessment of duty in relation to an acquisition of an interest in an entity, the time when that acquisition occurs is, for the </w:t>
        </w:r>
      </w:ins>
      <w:r>
        <w:t>purposes of this Chapter</w:t>
      </w:r>
      <w:del w:id="3360" w:author="Master Repository Process" w:date="2022-05-27T14:27:00Z">
        <w:r>
          <w:delText>,</w:delText>
        </w:r>
      </w:del>
      <w:r>
        <w:t xml:space="preserve"> but subject to section 173(4)(c</w:t>
      </w:r>
      <w:del w:id="3361" w:author="Master Repository Process" w:date="2022-05-27T14:27:00Z">
        <w:r>
          <w:delText>), the time when an acquisition of an interest in a landholder occurs is</w:delText>
        </w:r>
      </w:del>
      <w:ins w:id="3362" w:author="Master Repository Process" w:date="2022-05-27T14:27:00Z">
        <w:r>
          <w:t>) and 204G,</w:t>
        </w:r>
      </w:ins>
      <w:r>
        <w:t xml:space="preserve"> to be determined under this section.</w:t>
      </w:r>
    </w:p>
    <w:p>
      <w:pPr>
        <w:pStyle w:val="Subsection"/>
        <w:rPr>
          <w:ins w:id="3363" w:author="Master Repository Process" w:date="2022-05-27T14:27:00Z"/>
        </w:rPr>
      </w:pPr>
      <w:r>
        <w:tab/>
        <w:t>(2)</w:t>
      </w:r>
      <w:r>
        <w:tab/>
        <w:t xml:space="preserve">If </w:t>
      </w:r>
      <w:del w:id="3364" w:author="Master Repository Process" w:date="2022-05-27T14:27:00Z">
        <w:r>
          <w:delText xml:space="preserve">there is </w:delText>
        </w:r>
      </w:del>
      <w:r>
        <w:t xml:space="preserve">an agreement </w:t>
      </w:r>
      <w:ins w:id="3365" w:author="Master Repository Process" w:date="2022-05-27T14:27:00Z">
        <w:r>
          <w:t xml:space="preserve">is made </w:t>
        </w:r>
      </w:ins>
      <w:r>
        <w:t>for the making of the acquisition, whether conditional or not, and subsection (3) does not apply</w:t>
      </w:r>
      <w:del w:id="3366" w:author="Master Repository Process" w:date="2022-05-27T14:27:00Z">
        <w:r>
          <w:delText>,</w:delText>
        </w:r>
      </w:del>
      <w:ins w:id="3367" w:author="Master Repository Process" w:date="2022-05-27T14:27:00Z">
        <w:r>
          <w:t xml:space="preserve"> to</w:t>
        </w:r>
      </w:ins>
      <w:r>
        <w:t xml:space="preserve"> the </w:t>
      </w:r>
      <w:ins w:id="3368" w:author="Master Repository Process" w:date="2022-05-27T14:27:00Z">
        <w:r>
          <w:t xml:space="preserve">agreement — </w:t>
        </w:r>
      </w:ins>
    </w:p>
    <w:p>
      <w:pPr>
        <w:pStyle w:val="Indenta"/>
      </w:pPr>
      <w:ins w:id="3369" w:author="Master Repository Process" w:date="2022-05-27T14:27:00Z">
        <w:r>
          <w:tab/>
          <w:t>(a)</w:t>
        </w:r>
        <w:r>
          <w:tab/>
          <w:t xml:space="preserve">the </w:t>
        </w:r>
      </w:ins>
      <w:r>
        <w:t xml:space="preserve">acquisition </w:t>
      </w:r>
      <w:del w:id="3370" w:author="Master Repository Process" w:date="2022-05-27T14:27:00Z">
        <w:r>
          <w:delText>occurs</w:delText>
        </w:r>
      </w:del>
      <w:ins w:id="3371" w:author="Master Repository Process" w:date="2022-05-27T14:27:00Z">
        <w:r>
          <w:t>is taken to occur</w:t>
        </w:r>
      </w:ins>
      <w:r>
        <w:t xml:space="preserve"> when the agreement is made</w:t>
      </w:r>
      <w:del w:id="3372" w:author="Master Repository Process" w:date="2022-05-27T14:27:00Z">
        <w:r>
          <w:delText>.</w:delText>
        </w:r>
      </w:del>
      <w:ins w:id="3373" w:author="Master Repository Process" w:date="2022-05-27T14:27:00Z">
        <w:r>
          <w:t>; and</w:t>
        </w:r>
      </w:ins>
    </w:p>
    <w:p>
      <w:pPr>
        <w:pStyle w:val="Indenta"/>
        <w:rPr>
          <w:ins w:id="3374" w:author="Master Repository Process" w:date="2022-05-27T14:27:00Z"/>
        </w:rPr>
      </w:pPr>
      <w:del w:id="3375" w:author="Master Repository Process" w:date="2022-05-27T14:27:00Z">
        <w:r>
          <w:tab/>
          <w:delText>Note</w:delText>
        </w:r>
      </w:del>
      <w:ins w:id="3376" w:author="Master Repository Process" w:date="2022-05-27T14:27:00Z">
        <w:r>
          <w:tab/>
          <w:t>(b)</w:t>
        </w:r>
        <w:r>
          <w:tab/>
          <w:t>until the agreement is completed, the interests of persons in the entity are to be determined for the purposes of this Chapter as if the agreement had been completed.</w:t>
        </w:r>
      </w:ins>
    </w:p>
    <w:p>
      <w:pPr>
        <w:pStyle w:val="PermNoteHeading"/>
      </w:pPr>
      <w:ins w:id="3377" w:author="Master Repository Process" w:date="2022-05-27T14:27:00Z">
        <w:r>
          <w:tab/>
          <w:t>Notes</w:t>
        </w:r>
      </w:ins>
      <w:r>
        <w:t xml:space="preserve"> for this subsection:</w:t>
      </w:r>
    </w:p>
    <w:p>
      <w:pPr>
        <w:pStyle w:val="PermNoteText"/>
        <w:rPr>
          <w:ins w:id="3378" w:author="Master Repository Process" w:date="2022-05-27T14:27:00Z"/>
        </w:rPr>
      </w:pPr>
      <w:del w:id="3379" w:author="Master Repository Process" w:date="2022-05-27T14:27:00Z">
        <w:r>
          <w:tab/>
        </w:r>
      </w:del>
      <w:ins w:id="3380" w:author="Master Repository Process" w:date="2022-05-27T14:27:00Z">
        <w:r>
          <w:tab/>
          <w:t>1.</w:t>
        </w:r>
        <w:r>
          <w:tab/>
          <w:t>Section 195C provides for the assessment of duty if an agreement referred to in this subsection is terminated before the assessment is made.</w:t>
        </w:r>
      </w:ins>
    </w:p>
    <w:p>
      <w:pPr>
        <w:pStyle w:val="PermNoteText"/>
      </w:pPr>
      <w:ins w:id="3381" w:author="Master Repository Process" w:date="2022-05-27T14:27:00Z">
        <w:r>
          <w:tab/>
          <w:t>2.</w:t>
        </w:r>
      </w:ins>
      <w:r>
        <w:tab/>
        <w:t xml:space="preserve">Section 196 provides for the reassessment of duty if an agreement referred to in this subsection is </w:t>
      </w:r>
      <w:del w:id="3382" w:author="Master Repository Process" w:date="2022-05-27T14:27:00Z">
        <w:r>
          <w:rPr>
            <w:rFonts w:cs="Arial"/>
          </w:rPr>
          <w:delText>not completed</w:delText>
        </w:r>
      </w:del>
      <w:ins w:id="3383" w:author="Master Repository Process" w:date="2022-05-27T14:27:00Z">
        <w:r>
          <w:t>terminated after an assessment of duty is made</w:t>
        </w:r>
      </w:ins>
      <w:r>
        <w:t>.</w:t>
      </w:r>
    </w:p>
    <w:p>
      <w:pPr>
        <w:pStyle w:val="Subsection"/>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rPr>
          <w:ins w:id="3384" w:author="Master Repository Process" w:date="2022-05-27T14:27:00Z"/>
        </w:rPr>
      </w:pPr>
      <w:ins w:id="3385" w:author="Master Repository Process" w:date="2022-05-27T14:27:00Z">
        <w:r>
          <w:tab/>
          <w:t>(3A)</w:t>
        </w:r>
        <w:r>
          <w:tab/>
          <w:t>If the acquisition results from a merger of corporations in accordance with section 160A, the acquisition occurs when the merger is completed.</w:t>
        </w:r>
      </w:ins>
    </w:p>
    <w:p>
      <w:pPr>
        <w:pStyle w:val="Subsection"/>
        <w:spacing w:before="120"/>
      </w:pPr>
      <w:r>
        <w:tab/>
        <w:t>(4)</w:t>
      </w:r>
      <w:r>
        <w:tab/>
        <w:t>If subsections (2</w:t>
      </w:r>
      <w:ins w:id="3386" w:author="Master Repository Process" w:date="2022-05-27T14:27:00Z">
        <w:r>
          <w:t>), (3</w:t>
        </w:r>
      </w:ins>
      <w:r>
        <w:t>) and</w:t>
      </w:r>
      <w:del w:id="3387" w:author="Master Repository Process" w:date="2022-05-27T14:27:00Z">
        <w:r>
          <w:delText> (3</w:delText>
        </w:r>
      </w:del>
      <w:ins w:id="3388" w:author="Master Repository Process" w:date="2022-05-27T14:27:00Z">
        <w:r>
          <w:t xml:space="preserve"> (3A</w:t>
        </w:r>
      </w:ins>
      <w:r>
        <w:t>) do not apply, the acquisition occurs when the interest to which it relates is acquired.</w:t>
      </w:r>
    </w:p>
    <w:p>
      <w:pPr>
        <w:pStyle w:val="Footnotesection"/>
      </w:pPr>
      <w:r>
        <w:tab/>
        <w:t>[Section 176 amended: No. 32 of 2012 s. 15; No. 1 of 2015 s. </w:t>
      </w:r>
      <w:del w:id="3389" w:author="Master Repository Process" w:date="2022-05-27T14:27:00Z">
        <w:r>
          <w:delText>26</w:delText>
        </w:r>
      </w:del>
      <w:ins w:id="3390" w:author="Master Repository Process" w:date="2022-05-27T14:27:00Z">
        <w:r>
          <w:t>26; No. 12 of 2019 s. 80</w:t>
        </w:r>
      </w:ins>
      <w:r>
        <w:t>.]</w:t>
      </w:r>
    </w:p>
    <w:p>
      <w:pPr>
        <w:pStyle w:val="Heading5"/>
        <w:keepNext w:val="0"/>
        <w:keepLines w:val="0"/>
        <w:spacing w:before="180"/>
      </w:pPr>
      <w:bookmarkStart w:id="3391" w:name="_Toc104291078"/>
      <w:bookmarkStart w:id="3392" w:name="_Toc531859421"/>
      <w:r>
        <w:rPr>
          <w:rStyle w:val="CharSectno"/>
        </w:rPr>
        <w:t>177</w:t>
      </w:r>
      <w:r>
        <w:t>.</w:t>
      </w:r>
      <w:r>
        <w:tab/>
        <w:t>Certain transactions to be treated as agreements</w:t>
      </w:r>
      <w:bookmarkEnd w:id="3391"/>
      <w:bookmarkEnd w:id="3392"/>
    </w:p>
    <w:p>
      <w:pPr>
        <w:pStyle w:val="Subsection"/>
        <w:spacing w:before="120"/>
      </w:pPr>
      <w:r>
        <w:tab/>
        <w:t>(1)</w:t>
      </w:r>
      <w:r>
        <w:tab/>
        <w:t xml:space="preserve">In this section and in section 178 — </w:t>
      </w:r>
    </w:p>
    <w:p>
      <w:pPr>
        <w:pStyle w:val="Defstart"/>
        <w:spacing w:before="60"/>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w:t>
      </w:r>
      <w:del w:id="3393" w:author="Master Repository Process" w:date="2022-05-27T14:27:00Z">
        <w:r>
          <w:delText>section</w:delText>
        </w:r>
      </w:del>
      <w:ins w:id="3394" w:author="Master Repository Process" w:date="2022-05-27T14:27:00Z">
        <w:r>
          <w:t>sections 154B and</w:t>
        </w:r>
      </w:ins>
      <w:r>
        <w:t xml:space="preserve">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pPr>
      <w:r>
        <w:tab/>
        <w:t>(a)</w:t>
      </w:r>
      <w:r>
        <w:tab/>
        <w:t xml:space="preserve">the call option has been assigned to another person so that the other person has a right to require the sale of the relevant interest — </w:t>
      </w:r>
    </w:p>
    <w:p>
      <w:pPr>
        <w:pStyle w:val="Indenti"/>
      </w:pPr>
      <w:r>
        <w:tab/>
        <w:t>(i)</w:t>
      </w:r>
      <w:r>
        <w:tab/>
        <w:t xml:space="preserve">to the other person; or </w:t>
      </w:r>
    </w:p>
    <w:p>
      <w:pPr>
        <w:pStyle w:val="Indenti"/>
      </w:pPr>
      <w:r>
        <w:tab/>
        <w:t>(ii)</w:t>
      </w:r>
      <w:r>
        <w:tab/>
        <w:t>to a person that has an agreement, arrangement or understanding with the other person relating to the interest;</w:t>
      </w:r>
    </w:p>
    <w:p>
      <w:pPr>
        <w:pStyle w:val="Indenta"/>
      </w:pPr>
      <w:r>
        <w:tab/>
      </w:r>
      <w:r>
        <w:tab/>
        <w:t>and</w:t>
      </w:r>
    </w:p>
    <w:p>
      <w:pPr>
        <w:pStyle w:val="Indenta"/>
      </w:pPr>
      <w:r>
        <w:tab/>
        <w:t>(b)</w:t>
      </w:r>
      <w:r>
        <w:tab/>
        <w:t>the put option obligations have passed to any person referred to in paragraph (a),</w:t>
      </w:r>
    </w:p>
    <w:p>
      <w:pPr>
        <w:pStyle w:val="Subsection"/>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PermNoteHeading"/>
      </w:pPr>
      <w:r>
        <w:tab/>
        <w:t>Note for this section:</w:t>
      </w:r>
    </w:p>
    <w:p>
      <w:pPr>
        <w:pStyle w:val="PermNoteText"/>
        <w:rPr>
          <w:ins w:id="3395" w:author="Master Repository Process" w:date="2022-05-27T14:27:00Z"/>
        </w:rPr>
      </w:pPr>
      <w:r>
        <w:tab/>
      </w:r>
      <w:del w:id="3396" w:author="Master Repository Process" w:date="2022-05-27T14:27:00Z">
        <w:r>
          <w:tab/>
          <w:delText>Section </w:delText>
        </w:r>
      </w:del>
      <w:ins w:id="3397" w:author="Master Repository Process" w:date="2022-05-27T14:27:00Z">
        <w:r>
          <w:t>1.</w:t>
        </w:r>
        <w:r>
          <w:tab/>
          <w:t>Sections 195B and 195C provide for the assessment of duty if a deemed agreement is not completed.</w:t>
        </w:r>
      </w:ins>
    </w:p>
    <w:p>
      <w:pPr>
        <w:pStyle w:val="PermNoteText"/>
      </w:pPr>
      <w:ins w:id="3398" w:author="Master Repository Process" w:date="2022-05-27T14:27:00Z">
        <w:r>
          <w:tab/>
          <w:t>2.</w:t>
        </w:r>
        <w:r>
          <w:tab/>
          <w:t xml:space="preserve">Sections 195 and </w:t>
        </w:r>
      </w:ins>
      <w:r>
        <w:t xml:space="preserve">196 </w:t>
      </w:r>
      <w:del w:id="3399" w:author="Master Repository Process" w:date="2022-05-27T14:27:00Z">
        <w:r>
          <w:delText>provides</w:delText>
        </w:r>
      </w:del>
      <w:ins w:id="3400" w:author="Master Repository Process" w:date="2022-05-27T14:27:00Z">
        <w:r>
          <w:t>provide</w:t>
        </w:r>
      </w:ins>
      <w:r>
        <w:t xml:space="preserve"> for the reassessment of duty if a deemed agreement is not completed.</w:t>
      </w:r>
    </w:p>
    <w:p>
      <w:pPr>
        <w:pStyle w:val="Footnotesection"/>
        <w:rPr>
          <w:ins w:id="3401" w:author="Master Repository Process" w:date="2022-05-27T14:27:00Z"/>
        </w:rPr>
      </w:pPr>
      <w:ins w:id="3402" w:author="Master Repository Process" w:date="2022-05-27T14:27:00Z">
        <w:r>
          <w:tab/>
          <w:t>[Section 177 amended: No. 12 of 2019 s. 81.]</w:t>
        </w:r>
      </w:ins>
    </w:p>
    <w:p>
      <w:pPr>
        <w:pStyle w:val="Heading5"/>
        <w:spacing w:before="240"/>
      </w:pPr>
      <w:bookmarkStart w:id="3403" w:name="_Toc104291079"/>
      <w:bookmarkStart w:id="3404" w:name="_Toc531859422"/>
      <w:r>
        <w:rPr>
          <w:rStyle w:val="CharSectno"/>
        </w:rPr>
        <w:t>178</w:t>
      </w:r>
      <w:r>
        <w:t>.</w:t>
      </w:r>
      <w:r>
        <w:tab/>
        <w:t>Exceptions to s. 177</w:t>
      </w:r>
      <w:bookmarkEnd w:id="3403"/>
      <w:bookmarkEnd w:id="3404"/>
    </w:p>
    <w:p>
      <w:pPr>
        <w:pStyle w:val="Subsection"/>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pPr>
      <w:r>
        <w:tab/>
        <w:t>(2)</w:t>
      </w:r>
      <w:r>
        <w:tab/>
        <w:t>It is an exception to section 177(2) if the call option and the put option are for, and only for, the purpose of obtaining finance or making other financial arrangements.</w:t>
      </w:r>
    </w:p>
    <w:p>
      <w:pPr>
        <w:pStyle w:val="Subsection"/>
      </w:pPr>
      <w:r>
        <w:tab/>
        <w:t>(3)</w:t>
      </w:r>
      <w:r>
        <w:tab/>
        <w:t>It is also an exception to section 177(2) if the call option and the put option form part of a scheme of call options and put options given by the proprietors of a business that — </w:t>
      </w:r>
    </w:p>
    <w:p>
      <w:pPr>
        <w:pStyle w:val="Indenta"/>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pPr>
      <w:r>
        <w:tab/>
        <w:t>(b)</w:t>
      </w:r>
      <w:r>
        <w:tab/>
        <w:t>are not exercisable except on the occurrence of an event specified in them that would cause the continuing proprietor or proprietors to seek to acquire the interest of another of the proprietors.</w:t>
      </w:r>
    </w:p>
    <w:p>
      <w:pPr>
        <w:pStyle w:val="Heading4"/>
        <w:keepNext w:val="0"/>
        <w:rPr>
          <w:sz w:val="26"/>
        </w:rPr>
      </w:pPr>
      <w:bookmarkStart w:id="3405" w:name="_Toc37946885"/>
      <w:bookmarkStart w:id="3406" w:name="_Toc37947485"/>
      <w:bookmarkStart w:id="3407" w:name="_Toc38031549"/>
      <w:bookmarkStart w:id="3408" w:name="_Toc93310058"/>
      <w:bookmarkStart w:id="3409" w:name="_Toc104291080"/>
      <w:bookmarkStart w:id="3410" w:name="_Toc530491808"/>
      <w:bookmarkStart w:id="3411" w:name="_Toc530492268"/>
      <w:bookmarkStart w:id="3412" w:name="_Toc530493278"/>
      <w:bookmarkStart w:id="3413" w:name="_Toc530556413"/>
      <w:bookmarkStart w:id="3414" w:name="_Toc531692251"/>
      <w:bookmarkStart w:id="3415" w:name="_Toc531856156"/>
      <w:bookmarkStart w:id="3416" w:name="_Toc531858884"/>
      <w:bookmarkStart w:id="3417" w:name="_Toc531859423"/>
      <w:r>
        <w:rPr>
          <w:sz w:val="26"/>
        </w:rPr>
        <w:t>Division 2 — Liability</w:t>
      </w:r>
      <w:bookmarkEnd w:id="3405"/>
      <w:bookmarkEnd w:id="3406"/>
      <w:bookmarkEnd w:id="3407"/>
      <w:bookmarkEnd w:id="3408"/>
      <w:bookmarkEnd w:id="3409"/>
      <w:bookmarkEnd w:id="3410"/>
      <w:bookmarkEnd w:id="3411"/>
      <w:bookmarkEnd w:id="3412"/>
      <w:bookmarkEnd w:id="3413"/>
      <w:bookmarkEnd w:id="3414"/>
      <w:bookmarkEnd w:id="3415"/>
      <w:bookmarkEnd w:id="3416"/>
      <w:bookmarkEnd w:id="3417"/>
    </w:p>
    <w:p>
      <w:pPr>
        <w:pStyle w:val="Heading5"/>
        <w:keepNext w:val="0"/>
        <w:keepLines w:val="0"/>
      </w:pPr>
      <w:bookmarkStart w:id="3418" w:name="_Toc104291081"/>
      <w:bookmarkStart w:id="3419" w:name="_Toc531859424"/>
      <w:r>
        <w:rPr>
          <w:rStyle w:val="CharSectno"/>
        </w:rPr>
        <w:t>179</w:t>
      </w:r>
      <w:r>
        <w:t>.</w:t>
      </w:r>
      <w:r>
        <w:tab/>
        <w:t>Who is liable to pay duty</w:t>
      </w:r>
      <w:bookmarkEnd w:id="3418"/>
      <w:bookmarkEnd w:id="3419"/>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 xml:space="preserve">any person </w:t>
      </w:r>
      <w:del w:id="3420" w:author="Master Repository Process" w:date="2022-05-27T14:27:00Z">
        <w:r>
          <w:delText>taken into account under section 163 or 164 as being</w:delText>
        </w:r>
      </w:del>
      <w:ins w:id="3421" w:author="Master Repository Process" w:date="2022-05-27T14:27:00Z">
        <w:r>
          <w:t>that is a</w:t>
        </w:r>
      </w:ins>
      <w:r>
        <w:t xml:space="preserve"> related </w:t>
      </w:r>
      <w:del w:id="3422" w:author="Master Repository Process" w:date="2022-05-27T14:27:00Z">
        <w:r>
          <w:delText>to</w:delText>
        </w:r>
      </w:del>
      <w:ins w:id="3423" w:author="Master Repository Process" w:date="2022-05-27T14:27:00Z">
        <w:r>
          <w:t>person in respect of</w:t>
        </w:r>
      </w:ins>
      <w:r>
        <w:t xml:space="preserve"> the acquirer </w:t>
      </w:r>
      <w:del w:id="3424" w:author="Master Repository Process" w:date="2022-05-27T14:27:00Z">
        <w:r>
          <w:delText>for</w:delText>
        </w:r>
      </w:del>
      <w:ins w:id="3425" w:author="Master Repository Process" w:date="2022-05-27T14:27:00Z">
        <w:r>
          <w:t>and has an interest in</w:t>
        </w:r>
      </w:ins>
      <w:r>
        <w:t xml:space="preserve"> the </w:t>
      </w:r>
      <w:del w:id="3426" w:author="Master Repository Process" w:date="2022-05-27T14:27:00Z">
        <w:r>
          <w:delText>purposes of the</w:delText>
        </w:r>
      </w:del>
      <w:ins w:id="3427" w:author="Master Repository Process" w:date="2022-05-27T14:27:00Z">
        <w:r>
          <w:t>landholder immediately after the relevant</w:t>
        </w:r>
      </w:ins>
      <w:r>
        <w:t xml:space="preserve"> acquisition, other than a person whose interest in the landholder is, for the purpose of calculating the duty, an excluded interest under section 189.</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Footnotesection"/>
      </w:pPr>
      <w:r>
        <w:tab/>
        <w:t>[Section 179 amended: No. 32 of 2012 s. </w:t>
      </w:r>
      <w:del w:id="3428" w:author="Master Repository Process" w:date="2022-05-27T14:27:00Z">
        <w:r>
          <w:delText>16</w:delText>
        </w:r>
      </w:del>
      <w:ins w:id="3429" w:author="Master Repository Process" w:date="2022-05-27T14:27:00Z">
        <w:r>
          <w:t>16; No. 12 of 2019 s. 82</w:t>
        </w:r>
      </w:ins>
      <w:r>
        <w:t>.]</w:t>
      </w:r>
    </w:p>
    <w:p>
      <w:pPr>
        <w:pStyle w:val="Heading5"/>
      </w:pPr>
      <w:bookmarkStart w:id="3430" w:name="_Toc104291082"/>
      <w:bookmarkStart w:id="3431" w:name="_Toc531859425"/>
      <w:r>
        <w:rPr>
          <w:rStyle w:val="CharSectno"/>
        </w:rPr>
        <w:t>180</w:t>
      </w:r>
      <w:r>
        <w:t>.</w:t>
      </w:r>
      <w:r>
        <w:tab/>
        <w:t>Application to Commissioner for determination of liability</w:t>
      </w:r>
      <w:bookmarkEnd w:id="3430"/>
      <w:bookmarkEnd w:id="3431"/>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keepNext/>
      </w:pPr>
      <w:r>
        <w:tab/>
        <w:t>(2)</w:t>
      </w:r>
      <w:r>
        <w:tab/>
        <w:t xml:space="preserve">The persons that may apply are — </w:t>
      </w:r>
    </w:p>
    <w:p>
      <w:pPr>
        <w:pStyle w:val="Indenta"/>
      </w:pPr>
      <w:r>
        <w:tab/>
        <w:t>(a)</w:t>
      </w:r>
      <w:r>
        <w:tab/>
        <w:t>any person that by the acquisition acquires an interest in the entity; or</w:t>
      </w:r>
    </w:p>
    <w:p>
      <w:pPr>
        <w:pStyle w:val="Indenta"/>
      </w:pPr>
      <w:r>
        <w:tab/>
        <w:t>(b)</w:t>
      </w:r>
      <w:r>
        <w:tab/>
        <w:t xml:space="preserve">any person that </w:t>
      </w:r>
      <w:del w:id="3432" w:author="Master Repository Process" w:date="2022-05-27T14:27:00Z">
        <w:r>
          <w:delText xml:space="preserve">may be taken into account under section 163 or 164 as being </w:delText>
        </w:r>
      </w:del>
      <w:ins w:id="3433" w:author="Master Repository Process" w:date="2022-05-27T14:27:00Z">
        <w:r>
          <w:t xml:space="preserve">is a </w:t>
        </w:r>
      </w:ins>
      <w:r>
        <w:t xml:space="preserve">related </w:t>
      </w:r>
      <w:del w:id="3434" w:author="Master Repository Process" w:date="2022-05-27T14:27:00Z">
        <w:r>
          <w:delText>for the purposes</w:delText>
        </w:r>
      </w:del>
      <w:ins w:id="3435" w:author="Master Repository Process" w:date="2022-05-27T14:27:00Z">
        <w:r>
          <w:t>person in respect</w:t>
        </w:r>
      </w:ins>
      <w:r>
        <w:t xml:space="preserve"> of </w:t>
      </w:r>
      <w:del w:id="3436" w:author="Master Repository Process" w:date="2022-05-27T14:27:00Z">
        <w:r>
          <w:delText xml:space="preserve">the acquisition to </w:delText>
        </w:r>
      </w:del>
      <w:r>
        <w:t>a person referred to in paragraph (a</w:t>
      </w:r>
      <w:del w:id="3437" w:author="Master Repository Process" w:date="2022-05-27T14:27:00Z">
        <w:r>
          <w:delText>);</w:delText>
        </w:r>
      </w:del>
      <w:ins w:id="3438" w:author="Master Repository Process" w:date="2022-05-27T14:27:00Z">
        <w:r>
          <w:t>) and has an interest in the entity immediately after the acquisition;</w:t>
        </w:r>
      </w:ins>
      <w:r>
        <w:t xml:space="preserve"> or</w:t>
      </w:r>
    </w:p>
    <w:p>
      <w:pPr>
        <w:pStyle w:val="Indenta"/>
      </w:pPr>
      <w:r>
        <w:tab/>
        <w:t>(c)</w:t>
      </w:r>
      <w:r>
        <w:tab/>
        <w:t>if the entity is a corporation, the corporation; or</w:t>
      </w:r>
    </w:p>
    <w:p>
      <w:pPr>
        <w:pStyle w:val="Indenta"/>
        <w:keepNext/>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Footnotesection"/>
        <w:rPr>
          <w:ins w:id="3439" w:author="Master Repository Process" w:date="2022-05-27T14:27:00Z"/>
        </w:rPr>
      </w:pPr>
      <w:ins w:id="3440" w:author="Master Repository Process" w:date="2022-05-27T14:27:00Z">
        <w:r>
          <w:tab/>
          <w:t>[Section 180 amended: No. 12 of 2019 s. 83.]</w:t>
        </w:r>
      </w:ins>
    </w:p>
    <w:p>
      <w:pPr>
        <w:pStyle w:val="Heading5"/>
        <w:spacing w:before="180"/>
      </w:pPr>
      <w:bookmarkStart w:id="3441" w:name="_Toc104291083"/>
      <w:bookmarkStart w:id="3442" w:name="_Toc531859426"/>
      <w:r>
        <w:rPr>
          <w:rStyle w:val="CharSectno"/>
        </w:rPr>
        <w:t>181</w:t>
      </w:r>
      <w:r>
        <w:t>.</w:t>
      </w:r>
      <w:r>
        <w:tab/>
        <w:t>Determination of s. 180 application</w:t>
      </w:r>
      <w:bookmarkEnd w:id="3441"/>
      <w:bookmarkEnd w:id="3442"/>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spacing w:before="180"/>
      </w:pPr>
      <w:bookmarkStart w:id="3443" w:name="_Toc104291084"/>
      <w:bookmarkStart w:id="3444" w:name="_Toc531859427"/>
      <w:r>
        <w:rPr>
          <w:rStyle w:val="CharSectno"/>
        </w:rPr>
        <w:t>182</w:t>
      </w:r>
      <w:r>
        <w:t>.</w:t>
      </w:r>
      <w:r>
        <w:tab/>
        <w:t>Powers of Commissioner where further information required for determination of s. 180 application</w:t>
      </w:r>
      <w:bookmarkEnd w:id="3443"/>
      <w:bookmarkEnd w:id="3444"/>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3445" w:name="_Toc37946890"/>
      <w:bookmarkStart w:id="3446" w:name="_Toc37947490"/>
      <w:bookmarkStart w:id="3447" w:name="_Toc38031554"/>
      <w:bookmarkStart w:id="3448" w:name="_Toc93310063"/>
      <w:bookmarkStart w:id="3449" w:name="_Toc104291085"/>
      <w:bookmarkStart w:id="3450" w:name="_Toc530491813"/>
      <w:bookmarkStart w:id="3451" w:name="_Toc530492273"/>
      <w:bookmarkStart w:id="3452" w:name="_Toc530493283"/>
      <w:bookmarkStart w:id="3453" w:name="_Toc530556418"/>
      <w:bookmarkStart w:id="3454" w:name="_Toc531692256"/>
      <w:bookmarkStart w:id="3455" w:name="_Toc531856161"/>
      <w:bookmarkStart w:id="3456" w:name="_Toc531858889"/>
      <w:bookmarkStart w:id="3457" w:name="_Toc531859428"/>
      <w:r>
        <w:rPr>
          <w:sz w:val="26"/>
        </w:rPr>
        <w:t>Division 3 — Payment of landholder duty</w:t>
      </w:r>
      <w:bookmarkEnd w:id="3445"/>
      <w:bookmarkEnd w:id="3446"/>
      <w:bookmarkEnd w:id="3447"/>
      <w:bookmarkEnd w:id="3448"/>
      <w:bookmarkEnd w:id="3449"/>
      <w:bookmarkEnd w:id="3450"/>
      <w:bookmarkEnd w:id="3451"/>
      <w:bookmarkEnd w:id="3452"/>
      <w:bookmarkEnd w:id="3453"/>
      <w:bookmarkEnd w:id="3454"/>
      <w:bookmarkEnd w:id="3455"/>
      <w:bookmarkEnd w:id="3456"/>
      <w:bookmarkEnd w:id="3457"/>
    </w:p>
    <w:p>
      <w:pPr>
        <w:pStyle w:val="Heading5"/>
      </w:pPr>
      <w:bookmarkStart w:id="3458" w:name="_Toc104291086"/>
      <w:bookmarkStart w:id="3459" w:name="_Toc531859429"/>
      <w:r>
        <w:rPr>
          <w:rStyle w:val="CharSectno"/>
        </w:rPr>
        <w:t>183</w:t>
      </w:r>
      <w:r>
        <w:t>.</w:t>
      </w:r>
      <w:r>
        <w:tab/>
        <w:t>When landholder duty must be paid</w:t>
      </w:r>
      <w:bookmarkEnd w:id="3458"/>
      <w:bookmarkEnd w:id="3459"/>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rPr>
          <w:sz w:val="26"/>
        </w:rPr>
      </w:pPr>
      <w:bookmarkStart w:id="3460" w:name="_Toc37946892"/>
      <w:bookmarkStart w:id="3461" w:name="_Toc37947492"/>
      <w:bookmarkStart w:id="3462" w:name="_Toc38031556"/>
      <w:bookmarkStart w:id="3463" w:name="_Toc93310065"/>
      <w:bookmarkStart w:id="3464" w:name="_Toc104291087"/>
      <w:bookmarkStart w:id="3465" w:name="_Toc530491815"/>
      <w:bookmarkStart w:id="3466" w:name="_Toc530492275"/>
      <w:bookmarkStart w:id="3467" w:name="_Toc530493285"/>
      <w:bookmarkStart w:id="3468" w:name="_Toc530556420"/>
      <w:bookmarkStart w:id="3469" w:name="_Toc531692258"/>
      <w:bookmarkStart w:id="3470" w:name="_Toc531856163"/>
      <w:bookmarkStart w:id="3471" w:name="_Toc531858891"/>
      <w:bookmarkStart w:id="3472" w:name="_Toc531859430"/>
      <w:r>
        <w:rPr>
          <w:sz w:val="26"/>
        </w:rPr>
        <w:t>Division 4 — Rates of landholder duty</w:t>
      </w:r>
      <w:bookmarkEnd w:id="3460"/>
      <w:bookmarkEnd w:id="3461"/>
      <w:bookmarkEnd w:id="3462"/>
      <w:bookmarkEnd w:id="3463"/>
      <w:bookmarkEnd w:id="3464"/>
      <w:bookmarkEnd w:id="3465"/>
      <w:bookmarkEnd w:id="3466"/>
      <w:bookmarkEnd w:id="3467"/>
      <w:bookmarkEnd w:id="3468"/>
      <w:bookmarkEnd w:id="3469"/>
      <w:bookmarkEnd w:id="3470"/>
      <w:bookmarkEnd w:id="3471"/>
      <w:bookmarkEnd w:id="3472"/>
    </w:p>
    <w:p>
      <w:pPr>
        <w:pStyle w:val="Heading5"/>
      </w:pPr>
      <w:bookmarkStart w:id="3473" w:name="_Toc104291088"/>
      <w:bookmarkStart w:id="3474" w:name="_Toc531859431"/>
      <w:r>
        <w:rPr>
          <w:rStyle w:val="CharSectno"/>
        </w:rPr>
        <w:t>184</w:t>
      </w:r>
      <w:r>
        <w:t>.</w:t>
      </w:r>
      <w:r>
        <w:tab/>
        <w:t>Rates of landholder duty</w:t>
      </w:r>
      <w:bookmarkEnd w:id="3473"/>
      <w:bookmarkEnd w:id="3474"/>
    </w:p>
    <w:p>
      <w:pPr>
        <w:pStyle w:val="Subsection"/>
      </w:pPr>
      <w:r>
        <w:tab/>
        <w:t>(1)</w:t>
      </w:r>
      <w:r>
        <w:tab/>
        <w:t>Duty is chargeable at the general rate of duty set out in Schedule 2.</w:t>
      </w:r>
    </w:p>
    <w:p>
      <w:pPr>
        <w:pStyle w:val="Subsection"/>
      </w:pPr>
      <w:r>
        <w:tab/>
        <w:t>(2)</w:t>
      </w:r>
      <w:r>
        <w:tab/>
        <w:t>For the purposes of subsection (1) the value referred to in section 188(1) or 189(1), as the case may require, is taken to be the dutiable value.</w:t>
      </w:r>
    </w:p>
    <w:p>
      <w:pPr>
        <w:pStyle w:val="Footnotesection"/>
      </w:pPr>
      <w:r>
        <w:tab/>
        <w:t>[Section 184 amended: No. 32 of 2012 s. 17.]</w:t>
      </w:r>
    </w:p>
    <w:p>
      <w:pPr>
        <w:pStyle w:val="Heading4"/>
        <w:rPr>
          <w:sz w:val="26"/>
        </w:rPr>
      </w:pPr>
      <w:bookmarkStart w:id="3475" w:name="_Toc37946894"/>
      <w:bookmarkStart w:id="3476" w:name="_Toc37947494"/>
      <w:bookmarkStart w:id="3477" w:name="_Toc38031558"/>
      <w:bookmarkStart w:id="3478" w:name="_Toc93310067"/>
      <w:bookmarkStart w:id="3479" w:name="_Toc104291089"/>
      <w:bookmarkStart w:id="3480" w:name="_Toc530491817"/>
      <w:bookmarkStart w:id="3481" w:name="_Toc530492277"/>
      <w:bookmarkStart w:id="3482" w:name="_Toc530493287"/>
      <w:bookmarkStart w:id="3483" w:name="_Toc530556422"/>
      <w:bookmarkStart w:id="3484" w:name="_Toc531692260"/>
      <w:bookmarkStart w:id="3485" w:name="_Toc531856165"/>
      <w:bookmarkStart w:id="3486" w:name="_Toc531858893"/>
      <w:bookmarkStart w:id="3487" w:name="_Toc531859432"/>
      <w:r>
        <w:rPr>
          <w:sz w:val="26"/>
        </w:rPr>
        <w:t>Division 5 — Calculation of landholder duty</w:t>
      </w:r>
      <w:bookmarkEnd w:id="3475"/>
      <w:bookmarkEnd w:id="3476"/>
      <w:bookmarkEnd w:id="3477"/>
      <w:bookmarkEnd w:id="3478"/>
      <w:bookmarkEnd w:id="3479"/>
      <w:bookmarkEnd w:id="3480"/>
      <w:bookmarkEnd w:id="3481"/>
      <w:bookmarkEnd w:id="3482"/>
      <w:bookmarkEnd w:id="3483"/>
      <w:bookmarkEnd w:id="3484"/>
      <w:bookmarkEnd w:id="3485"/>
      <w:bookmarkEnd w:id="3486"/>
      <w:bookmarkEnd w:id="3487"/>
    </w:p>
    <w:p>
      <w:pPr>
        <w:pStyle w:val="Heading5"/>
      </w:pPr>
      <w:bookmarkStart w:id="3488" w:name="_Toc104291090"/>
      <w:bookmarkStart w:id="3489" w:name="_Toc531859433"/>
      <w:r>
        <w:rPr>
          <w:rStyle w:val="CharSectno"/>
        </w:rPr>
        <w:t>185</w:t>
      </w:r>
      <w:r>
        <w:t>.</w:t>
      </w:r>
      <w:r>
        <w:tab/>
        <w:t>References to interest of acquirer in landholder</w:t>
      </w:r>
      <w:bookmarkEnd w:id="3488"/>
      <w:bookmarkEnd w:id="3489"/>
    </w:p>
    <w:p>
      <w:pPr>
        <w:pStyle w:val="Subsection"/>
      </w:pPr>
      <w:r>
        <w:tab/>
      </w:r>
      <w:r>
        <w:tab/>
        <w:t>A reference in this Division to the interest of the acquirer in a landholder after a relevant acquisition is to the aggregated interests</w:t>
      </w:r>
      <w:ins w:id="3490" w:author="Master Repository Process" w:date="2022-05-27T14:27:00Z">
        <w:r>
          <w:t>, immediately after the relevant acquisition,</w:t>
        </w:r>
      </w:ins>
      <w:r>
        <w:t xml:space="preserve"> of — </w:t>
      </w:r>
    </w:p>
    <w:p>
      <w:pPr>
        <w:pStyle w:val="Indenta"/>
      </w:pPr>
      <w:r>
        <w:tab/>
        <w:t>(a)</w:t>
      </w:r>
      <w:r>
        <w:tab/>
        <w:t xml:space="preserve">the acquirer; and </w:t>
      </w:r>
    </w:p>
    <w:p>
      <w:pPr>
        <w:pStyle w:val="Indenta"/>
      </w:pPr>
      <w:r>
        <w:tab/>
        <w:t>(b)</w:t>
      </w:r>
      <w:r>
        <w:tab/>
      </w:r>
      <w:del w:id="3491" w:author="Master Repository Process" w:date="2022-05-27T14:27:00Z">
        <w:r>
          <w:delText>any</w:delText>
        </w:r>
      </w:del>
      <w:ins w:id="3492" w:author="Master Repository Process" w:date="2022-05-27T14:27:00Z">
        <w:r>
          <w:t>each person that is a</w:t>
        </w:r>
      </w:ins>
      <w:r>
        <w:t xml:space="preserve"> related person </w:t>
      </w:r>
      <w:del w:id="3493" w:author="Master Repository Process" w:date="2022-05-27T14:27:00Z">
        <w:r>
          <w:delText xml:space="preserve">that is to be taken into account </w:delText>
        </w:r>
      </w:del>
      <w:r>
        <w:t xml:space="preserve">in </w:t>
      </w:r>
      <w:del w:id="3494" w:author="Master Repository Process" w:date="2022-05-27T14:27:00Z">
        <w:r>
          <w:delText>relation to</w:delText>
        </w:r>
      </w:del>
      <w:ins w:id="3495" w:author="Master Repository Process" w:date="2022-05-27T14:27:00Z">
        <w:r>
          <w:t>respect of</w:t>
        </w:r>
      </w:ins>
      <w:r>
        <w:t xml:space="preserve"> the </w:t>
      </w:r>
      <w:del w:id="3496" w:author="Master Repository Process" w:date="2022-05-27T14:27:00Z">
        <w:r>
          <w:delText>acquisition for</w:delText>
        </w:r>
      </w:del>
      <w:ins w:id="3497" w:author="Master Repository Process" w:date="2022-05-27T14:27:00Z">
        <w:r>
          <w:t>acquirer and has an interest in</w:t>
        </w:r>
      </w:ins>
      <w:r>
        <w:t xml:space="preserve"> the </w:t>
      </w:r>
      <w:del w:id="3498" w:author="Master Repository Process" w:date="2022-05-27T14:27:00Z">
        <w:r>
          <w:delText>purposes of section 163 or 164</w:delText>
        </w:r>
      </w:del>
      <w:ins w:id="3499" w:author="Master Repository Process" w:date="2022-05-27T14:27:00Z">
        <w:r>
          <w:t>landholder</w:t>
        </w:r>
      </w:ins>
      <w:r>
        <w:t>.</w:t>
      </w:r>
    </w:p>
    <w:p>
      <w:pPr>
        <w:pStyle w:val="Footnotesection"/>
        <w:rPr>
          <w:ins w:id="3500" w:author="Master Repository Process" w:date="2022-05-27T14:27:00Z"/>
        </w:rPr>
      </w:pPr>
      <w:ins w:id="3501" w:author="Master Repository Process" w:date="2022-05-27T14:27:00Z">
        <w:r>
          <w:tab/>
          <w:t>[Section 185 amended: No. 12 of 2019 s. 84.]</w:t>
        </w:r>
      </w:ins>
    </w:p>
    <w:p>
      <w:pPr>
        <w:pStyle w:val="Heading5"/>
      </w:pPr>
      <w:bookmarkStart w:id="3502" w:name="_Toc104291091"/>
      <w:bookmarkStart w:id="3503" w:name="_Toc531859434"/>
      <w:r>
        <w:rPr>
          <w:rStyle w:val="CharSectno"/>
        </w:rPr>
        <w:t>186</w:t>
      </w:r>
      <w:r>
        <w:t>.</w:t>
      </w:r>
      <w:r>
        <w:tab/>
        <w:t>Value of landholder</w:t>
      </w:r>
      <w:bookmarkEnd w:id="3502"/>
      <w:bookmarkEnd w:id="3503"/>
    </w:p>
    <w:p>
      <w:pPr>
        <w:pStyle w:val="Subsection"/>
      </w:pPr>
      <w:r>
        <w:tab/>
        <w:t>(1)</w:t>
      </w:r>
      <w:r>
        <w:tab/>
        <w:t xml:space="preserve">For the purposes of calculating duty in respect of a relevant acquisition the value of a landholder is taken to be the sum of — </w:t>
      </w:r>
    </w:p>
    <w:p>
      <w:pPr>
        <w:pStyle w:val="Indenta"/>
      </w:pPr>
      <w:r>
        <w:tab/>
        <w:t>(a)</w:t>
      </w:r>
      <w:r>
        <w:tab/>
        <w:t>the unencumbered value of the land</w:t>
      </w:r>
      <w:ins w:id="3504" w:author="Master Repository Process" w:date="2022-05-27T14:27:00Z">
        <w:r>
          <w:t xml:space="preserve"> assets</w:t>
        </w:r>
      </w:ins>
      <w:r>
        <w:t>, chattels</w:t>
      </w:r>
      <w:ins w:id="3505" w:author="Master Repository Process" w:date="2022-05-27T14:27:00Z">
        <w:r>
          <w:t>,</w:t>
        </w:r>
      </w:ins>
      <w:r>
        <w:t xml:space="preserve"> or land </w:t>
      </w:r>
      <w:ins w:id="3506" w:author="Master Repository Process" w:date="2022-05-27T14:27:00Z">
        <w:r>
          <w:t xml:space="preserve">assets </w:t>
        </w:r>
      </w:ins>
      <w:r>
        <w:t>and chattels</w:t>
      </w:r>
      <w:del w:id="3507" w:author="Master Repository Process" w:date="2022-05-27T14:27:00Z">
        <w:r>
          <w:delText xml:space="preserve"> </w:delText>
        </w:r>
      </w:del>
      <w:ins w:id="3508" w:author="Master Repository Process" w:date="2022-05-27T14:27:00Z">
        <w:r>
          <w:t xml:space="preserve">, in Western Australia </w:t>
        </w:r>
      </w:ins>
      <w:r>
        <w:t xml:space="preserve">(whichever is relevant) </w:t>
      </w:r>
      <w:del w:id="3509" w:author="Master Repository Process" w:date="2022-05-27T14:27:00Z">
        <w:r>
          <w:delText xml:space="preserve">in Western Australia </w:delText>
        </w:r>
      </w:del>
      <w:r>
        <w:t>to which the landholder is entitled; and</w:t>
      </w:r>
    </w:p>
    <w:p>
      <w:pPr>
        <w:pStyle w:val="Indenta"/>
      </w:pPr>
      <w:r>
        <w:tab/>
        <w:t>(b)</w:t>
      </w:r>
      <w:r>
        <w:tab/>
        <w:t>the same percentage of the unencumbered value of the land</w:t>
      </w:r>
      <w:ins w:id="3510" w:author="Master Repository Process" w:date="2022-05-27T14:27:00Z">
        <w:r>
          <w:t xml:space="preserve"> assets</w:t>
        </w:r>
      </w:ins>
      <w:r>
        <w:t>, chattels</w:t>
      </w:r>
      <w:ins w:id="3511" w:author="Master Repository Process" w:date="2022-05-27T14:27:00Z">
        <w:r>
          <w:t>,</w:t>
        </w:r>
      </w:ins>
      <w:r>
        <w:t xml:space="preserve"> or land </w:t>
      </w:r>
      <w:ins w:id="3512" w:author="Master Repository Process" w:date="2022-05-27T14:27:00Z">
        <w:r>
          <w:t xml:space="preserve">assets </w:t>
        </w:r>
      </w:ins>
      <w:r>
        <w:t>and chattels</w:t>
      </w:r>
      <w:ins w:id="3513" w:author="Master Repository Process" w:date="2022-05-27T14:27:00Z">
        <w:r>
          <w:t>, in Western Australia</w:t>
        </w:r>
      </w:ins>
      <w:r>
        <w:t xml:space="preserve"> (whichever is relevant)</w:t>
      </w:r>
      <w:del w:id="3514" w:author="Master Repository Process" w:date="2022-05-27T14:27:00Z">
        <w:r>
          <w:delText xml:space="preserve"> in Western Australia</w:delText>
        </w:r>
      </w:del>
      <w:r>
        <w:t xml:space="preserve"> to which any linked entity in respect of the landholder is entitled as the percentage of the landholder’s </w:t>
      </w:r>
      <w:ins w:id="3515" w:author="Master Repository Process" w:date="2022-05-27T14:27:00Z">
        <w:r>
          <w:t xml:space="preserve">total direct or indirect </w:t>
        </w:r>
      </w:ins>
      <w:r>
        <w:t xml:space="preserve">interest in the linked entity </w:t>
      </w:r>
      <w:del w:id="3516" w:author="Master Repository Process" w:date="2022-05-27T14:27:00Z">
        <w:r>
          <w:delText>taken into account</w:delText>
        </w:r>
      </w:del>
      <w:ins w:id="3517" w:author="Master Repository Process" w:date="2022-05-27T14:27:00Z">
        <w:r>
          <w:t>calculated</w:t>
        </w:r>
      </w:ins>
      <w:r>
        <w:t xml:space="preserve"> under section </w:t>
      </w:r>
      <w:del w:id="3518" w:author="Master Repository Process" w:date="2022-05-27T14:27:00Z">
        <w:r>
          <w:delText>157</w:delText>
        </w:r>
      </w:del>
      <w:ins w:id="3519" w:author="Master Repository Process" w:date="2022-05-27T14:27:00Z">
        <w:r>
          <w:t>154A</w:t>
        </w:r>
      </w:ins>
      <w:r>
        <w:t>.</w:t>
      </w:r>
    </w:p>
    <w:p>
      <w:pPr>
        <w:pStyle w:val="Subsection"/>
        <w:rPr>
          <w:del w:id="3520" w:author="Master Repository Process" w:date="2022-05-27T14:27:00Z"/>
        </w:rPr>
      </w:pPr>
      <w:del w:id="3521" w:author="Master Repository Process" w:date="2022-05-27T14:27:00Z">
        <w:r>
          <w:tab/>
          <w:delText>(2A)</w:delText>
        </w:r>
        <w:r>
          <w:tab/>
          <w:delText>For the purposes of subsection (1)(b), the percentage of the landholder’s interest in a linked entity that is not entitled to land in Western Australia is the percentage (of the landholder’s interest in the linked entity) that would be used in section 157 if it were to be used to determine the value of the linked entity’s entitlement to chattels in Western Australia.</w:delText>
        </w:r>
      </w:del>
    </w:p>
    <w:p>
      <w:pPr>
        <w:pStyle w:val="Ednotesubsection"/>
        <w:rPr>
          <w:ins w:id="3522" w:author="Master Repository Process" w:date="2022-05-27T14:27:00Z"/>
        </w:rPr>
      </w:pPr>
      <w:ins w:id="3523" w:author="Master Repository Process" w:date="2022-05-27T14:27:00Z">
        <w:r>
          <w:tab/>
          <w:t>[(2A)</w:t>
        </w:r>
        <w:r>
          <w:tab/>
          <w:t>deleted]</w:t>
        </w:r>
      </w:ins>
    </w:p>
    <w:p>
      <w:pPr>
        <w:pStyle w:val="Subsection"/>
      </w:pPr>
      <w:r>
        <w:tab/>
        <w:t>(2)</w:t>
      </w:r>
      <w:r>
        <w:tab/>
        <w:t>Except where section 187 applies, the entitlements referred to in subsection (1) are to be those that exist immediately after the relevant acquisition.</w:t>
      </w:r>
    </w:p>
    <w:p>
      <w:pPr>
        <w:pStyle w:val="Footnotesection"/>
      </w:pPr>
      <w:r>
        <w:tab/>
        <w:t>[Section 186 amended: No. 32 of 2012 s. </w:t>
      </w:r>
      <w:del w:id="3524" w:author="Master Repository Process" w:date="2022-05-27T14:27:00Z">
        <w:r>
          <w:delText>18</w:delText>
        </w:r>
      </w:del>
      <w:ins w:id="3525" w:author="Master Repository Process" w:date="2022-05-27T14:27:00Z">
        <w:r>
          <w:t>18; No. 12 of 2019 s. 85</w:t>
        </w:r>
      </w:ins>
      <w:r>
        <w:t>.]</w:t>
      </w:r>
    </w:p>
    <w:p>
      <w:pPr>
        <w:pStyle w:val="Heading5"/>
        <w:keepNext w:val="0"/>
        <w:keepLines w:val="0"/>
      </w:pPr>
      <w:bookmarkStart w:id="3526" w:name="_Toc104291092"/>
      <w:bookmarkStart w:id="3527" w:name="_Toc531859435"/>
      <w:r>
        <w:rPr>
          <w:rStyle w:val="CharSectno"/>
        </w:rPr>
        <w:t>187</w:t>
      </w:r>
      <w:r>
        <w:t>.</w:t>
      </w:r>
      <w:r>
        <w:tab/>
        <w:t>Determining value of further interest for duty calculation</w:t>
      </w:r>
      <w:bookmarkEnd w:id="3526"/>
      <w:bookmarkEnd w:id="3527"/>
    </w:p>
    <w:p>
      <w:pPr>
        <w:pStyle w:val="Subsection"/>
        <w:keepNext/>
      </w:pPr>
      <w:r>
        <w:tab/>
        <w:t>(1)</w:t>
      </w:r>
      <w:r>
        <w:tab/>
        <w:t>This section applies where —</w:t>
      </w:r>
    </w:p>
    <w:p>
      <w:pPr>
        <w:pStyle w:val="Indenta"/>
      </w:pPr>
      <w:r>
        <w:tab/>
        <w:t>(a)</w:t>
      </w:r>
      <w:r>
        <w:tab/>
        <w:t xml:space="preserve">it is necessary to determine the value of an interest of an acquirer in a landholder </w:t>
      </w:r>
      <w:ins w:id="3528" w:author="Master Repository Process" w:date="2022-05-27T14:27:00Z">
        <w:r>
          <w:t xml:space="preserve">after a relevant acquisition </w:t>
        </w:r>
      </w:ins>
      <w:r>
        <w:t>for the purposes of section 188(3) or 189(3);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Footnotesection"/>
      </w:pPr>
      <w:r>
        <w:tab/>
        <w:t>[Section 187 amended: No. 32 of 2012 s. </w:t>
      </w:r>
      <w:del w:id="3529" w:author="Master Repository Process" w:date="2022-05-27T14:27:00Z">
        <w:r>
          <w:delText>19</w:delText>
        </w:r>
      </w:del>
      <w:ins w:id="3530" w:author="Master Repository Process" w:date="2022-05-27T14:27:00Z">
        <w:r>
          <w:t>19; No. 12 of 2019 s. 86</w:t>
        </w:r>
      </w:ins>
      <w:r>
        <w:t>.]</w:t>
      </w:r>
    </w:p>
    <w:p>
      <w:pPr>
        <w:pStyle w:val="Heading5"/>
        <w:spacing w:before="180"/>
      </w:pPr>
      <w:bookmarkStart w:id="3531" w:name="_Toc104291093"/>
      <w:bookmarkStart w:id="3532" w:name="_Toc531859436"/>
      <w:r>
        <w:rPr>
          <w:rStyle w:val="CharSectno"/>
        </w:rPr>
        <w:t>188</w:t>
      </w:r>
      <w:r>
        <w:t>.</w:t>
      </w:r>
      <w:r>
        <w:tab/>
        <w:t>Calculating duty payable</w:t>
      </w:r>
      <w:bookmarkEnd w:id="3531"/>
      <w:bookmarkEnd w:id="3532"/>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reduction is made under section 189.</w:t>
      </w:r>
    </w:p>
    <w:p>
      <w:pPr>
        <w:pStyle w:val="Subsection"/>
      </w:pPr>
      <w:r>
        <w:tab/>
        <w:t>(2)</w:t>
      </w:r>
      <w:r>
        <w:tab/>
        <w:t xml:space="preserve">The resulting amount is the duty payable in respect of the relevant acquisition. </w:t>
      </w:r>
    </w:p>
    <w:p>
      <w:pPr>
        <w:pStyle w:val="Subsection"/>
      </w:pPr>
      <w:r>
        <w:tab/>
        <w:t>(3)</w:t>
      </w:r>
      <w:r>
        <w:tab/>
        <w:t>The value of the interest referred to in subsection (1) is the same percentage of the value of the landholder as the percentage of the interest of the acquirer in the landholder after the relevant acquisition.</w:t>
      </w:r>
    </w:p>
    <w:p>
      <w:pPr>
        <w:pStyle w:val="Footnotesection"/>
        <w:spacing w:before="60"/>
        <w:ind w:left="890" w:hanging="890"/>
      </w:pPr>
      <w:r>
        <w:tab/>
        <w:t>[Section 188 amended: No. 32 of 2012 s. 20.]</w:t>
      </w:r>
    </w:p>
    <w:p>
      <w:pPr>
        <w:pStyle w:val="Heading5"/>
      </w:pPr>
      <w:bookmarkStart w:id="3533" w:name="_Toc104291094"/>
      <w:bookmarkStart w:id="3534" w:name="_Toc531859437"/>
      <w:r>
        <w:rPr>
          <w:rStyle w:val="CharSectno"/>
        </w:rPr>
        <w:t>189</w:t>
      </w:r>
      <w:r>
        <w:t>.</w:t>
      </w:r>
      <w:r>
        <w:tab/>
        <w:t>Reduction for s. 188</w:t>
      </w:r>
      <w:bookmarkEnd w:id="3533"/>
      <w:bookmarkEnd w:id="3534"/>
    </w:p>
    <w:p>
      <w:pPr>
        <w:pStyle w:val="Subsection"/>
      </w:pPr>
      <w:r>
        <w:tab/>
        <w:t>(1)</w:t>
      </w:r>
      <w:r>
        <w:tab/>
        <w:t>The amount calculated under section 188(1) is to be reduced by an amount determined by applying the appropriate rate of duty under section 184(1) to the value of the excluded interest or the sum of the values of each excluded interest.</w:t>
      </w:r>
    </w:p>
    <w:p>
      <w:pPr>
        <w:pStyle w:val="Subsection"/>
      </w:pPr>
      <w:r>
        <w:tab/>
        <w:t>(2)</w:t>
      </w:r>
      <w:r>
        <w:tab/>
        <w:t xml:space="preserve">An excluded interest is an interest of the acquirer in the landholder concerned </w:t>
      </w:r>
      <w:ins w:id="3535" w:author="Master Repository Process" w:date="2022-05-27T14:27:00Z">
        <w:r>
          <w:t xml:space="preserve">after the relevant acquisition referred to in section 188, other than the interest acquired by that relevant acquisition, </w:t>
        </w:r>
      </w:ins>
      <w:r>
        <w:t xml:space="preserve">that is — </w:t>
      </w:r>
    </w:p>
    <w:p>
      <w:pPr>
        <w:pStyle w:val="Indenta"/>
      </w:pPr>
      <w:r>
        <w:tab/>
        <w:t>(a)</w:t>
      </w:r>
      <w:r>
        <w:tab/>
        <w:t>an interest, other than one which cannot be excluded because of subsection (4),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first referred to in paragraph (a) if duty was chargeable in respect of that acquisition</w:t>
      </w:r>
      <w:del w:id="3536" w:author="Master Repository Process" w:date="2022-05-27T14:27:00Z">
        <w:r>
          <w:delText>, but only to the extent to which the interest is held immediately before the relevant acquisition referred to in section 188</w:delText>
        </w:r>
      </w:del>
      <w:r>
        <w:t>; or</w:t>
      </w:r>
    </w:p>
    <w:p>
      <w:pPr>
        <w:pStyle w:val="Indenta"/>
      </w:pPr>
      <w:r>
        <w:tab/>
        <w:t>(c)</w:t>
      </w:r>
      <w:r>
        <w:tab/>
        <w:t xml:space="preserve">an interest in the landholder concerned acquired by an acquisition if immediately before the acquisition neither the landholder nor a linked entity in respect of the landholder was entitled to land </w:t>
      </w:r>
      <w:ins w:id="3537" w:author="Master Repository Process" w:date="2022-05-27T14:27:00Z">
        <w:r>
          <w:t xml:space="preserve">assets </w:t>
        </w:r>
      </w:ins>
      <w:r>
        <w:t>in Western Australia.</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Subsection"/>
        <w:keepLines/>
      </w:pPr>
      <w:r>
        <w:tab/>
        <w:t>(4)</w:t>
      </w:r>
      <w:r>
        <w:tab/>
        <w:t xml:space="preserve">An interest in the landholder acquired by an acquisition (the </w:t>
      </w:r>
      <w:r>
        <w:rPr>
          <w:rStyle w:val="CharDefText"/>
        </w:rPr>
        <w:t>earlier acquisition</w:t>
      </w:r>
      <w:r>
        <w:t xml:space="preserve">) cannot be excluded under subsection (2)(a) if the relevant acquisition in respect of which duty is to be calculated under section 188(1) — </w:t>
      </w:r>
    </w:p>
    <w:p>
      <w:pPr>
        <w:pStyle w:val="Indenta"/>
      </w:pPr>
      <w:r>
        <w:tab/>
        <w:t>(a)</w:t>
      </w:r>
      <w:r>
        <w:tab/>
        <w:t>is described in section 163</w:t>
      </w:r>
      <w:del w:id="3538" w:author="Master Repository Process" w:date="2022-05-27T14:27:00Z">
        <w:r>
          <w:delText>;</w:delText>
        </w:r>
      </w:del>
      <w:ins w:id="3539" w:author="Master Repository Process" w:date="2022-05-27T14:27:00Z">
        <w:r>
          <w:t>(1)(a) or (b);</w:t>
        </w:r>
      </w:ins>
      <w:r>
        <w:t xml:space="preserve"> and</w:t>
      </w:r>
    </w:p>
    <w:p>
      <w:pPr>
        <w:pStyle w:val="Indenta"/>
        <w:keepNext/>
      </w:pPr>
      <w:r>
        <w:tab/>
        <w:t>(b)</w:t>
      </w:r>
      <w:r>
        <w:tab/>
        <w:t>was made under an arrangement entered into during the prescribed period in respect of the earlier acquisition.</w:t>
      </w:r>
    </w:p>
    <w:p>
      <w:pPr>
        <w:pStyle w:val="Subsection"/>
      </w:pPr>
      <w:r>
        <w:tab/>
        <w:t>(5)</w:t>
      </w:r>
      <w:r>
        <w:tab/>
        <w:t>The reference in subsection (4) to the prescribed period in respect of the earlier acquisition is to the period beginning on the day that is 3 years before the day on which the earlier acquisition occurred and ending on the day that is 3 years after the day on which the earlier acquisition occurred.</w:t>
      </w:r>
    </w:p>
    <w:p>
      <w:pPr>
        <w:pStyle w:val="Subsection"/>
      </w:pPr>
      <w:r>
        <w:tab/>
        <w:t>(6)</w:t>
      </w:r>
      <w:r>
        <w:tab/>
        <w:t xml:space="preserve">Despite subsections (4) and (5), an interest that was held by the person or a related person, or by the person and a related person, before 1 July 2008 (the </w:t>
      </w:r>
      <w:r>
        <w:rPr>
          <w:rStyle w:val="CharDefText"/>
        </w:rPr>
        <w:t>earlier acquisition</w:t>
      </w:r>
      <w:r>
        <w:t xml:space="preserve">) is an excluded interest unless the relevant acquisition in respect of which duty is to be calculated under section 188(1) was made pursuant to an arrangement entered into — </w:t>
      </w:r>
    </w:p>
    <w:p>
      <w:pPr>
        <w:pStyle w:val="Indenta"/>
      </w:pPr>
      <w:r>
        <w:tab/>
        <w:t>(a)</w:t>
      </w:r>
      <w:r>
        <w:tab/>
        <w:t>during the prescribed period in respect of the earlier acquisition; and</w:t>
      </w:r>
    </w:p>
    <w:p>
      <w:pPr>
        <w:pStyle w:val="Indenta"/>
      </w:pPr>
      <w:r>
        <w:tab/>
        <w:t>(b)</w:t>
      </w:r>
      <w:r>
        <w:tab/>
        <w:t>in the opinion of the Commissioner, for a purpose of avoiding or reducing the amount of duty payable.</w:t>
      </w:r>
    </w:p>
    <w:p>
      <w:pPr>
        <w:pStyle w:val="Footnotesection"/>
        <w:ind w:left="890" w:hanging="890"/>
      </w:pPr>
      <w:r>
        <w:tab/>
        <w:t>[Section 189 inserted: No. 32 of 2012 s. 21; amended: No. 32 of 2012 s. </w:t>
      </w:r>
      <w:del w:id="3540" w:author="Master Repository Process" w:date="2022-05-27T14:27:00Z">
        <w:r>
          <w:delText>22</w:delText>
        </w:r>
      </w:del>
      <w:ins w:id="3541" w:author="Master Repository Process" w:date="2022-05-27T14:27:00Z">
        <w:r>
          <w:t>22; No. 12 of 2019 s. 87</w:t>
        </w:r>
      </w:ins>
      <w:r>
        <w:t>.]</w:t>
      </w:r>
    </w:p>
    <w:p>
      <w:pPr>
        <w:pStyle w:val="Ednotesection"/>
        <w:spacing w:before="160"/>
        <w:ind w:left="890" w:hanging="890"/>
      </w:pPr>
      <w:r>
        <w:t>[</w:t>
      </w:r>
      <w:r>
        <w:rPr>
          <w:b/>
        </w:rPr>
        <w:t>190</w:t>
      </w:r>
      <w:r>
        <w:rPr>
          <w:b/>
        </w:rPr>
        <w:noBreakHyphen/>
        <w:t>192.</w:t>
      </w:r>
      <w:r>
        <w:tab/>
        <w:t>Deleted: No. 32 of 2012 s. 21.]</w:t>
      </w:r>
    </w:p>
    <w:p>
      <w:pPr>
        <w:pStyle w:val="Heading5"/>
      </w:pPr>
      <w:bookmarkStart w:id="3542" w:name="_Toc104291095"/>
      <w:bookmarkStart w:id="3543" w:name="_Toc531859438"/>
      <w:r>
        <w:rPr>
          <w:rStyle w:val="CharSectno"/>
        </w:rPr>
        <w:t>193</w:t>
      </w:r>
      <w:r>
        <w:t>.</w:t>
      </w:r>
      <w:r>
        <w:tab/>
        <w:t>Calculation of duty where statement lodged under s. 201</w:t>
      </w:r>
      <w:bookmarkEnd w:id="3542"/>
      <w:bookmarkEnd w:id="3543"/>
    </w:p>
    <w:p>
      <w:pPr>
        <w:pStyle w:val="Subsection"/>
        <w:rPr>
          <w:bCs/>
        </w:rPr>
      </w:pPr>
      <w:r>
        <w:tab/>
        <w:t>(1)</w:t>
      </w:r>
      <w:r>
        <w:tab/>
        <w:t>This section applies to the calculation of duty if a statement is lodged under section 201(6) in respect of a relevant acquisition referred to in section </w:t>
      </w:r>
      <w:del w:id="3544" w:author="Master Repository Process" w:date="2022-05-27T14:27:00Z">
        <w:r>
          <w:delText>164</w:delText>
        </w:r>
      </w:del>
      <w:ins w:id="3545" w:author="Master Repository Process" w:date="2022-05-27T14:27:00Z">
        <w:r>
          <w:t>163(1)(c) or (d)</w:t>
        </w:r>
      </w:ins>
      <w:r>
        <w:t xml:space="preserve"> that occurred during a period (a </w:t>
      </w:r>
      <w:r>
        <w:rPr>
          <w:rStyle w:val="CharDefText"/>
        </w:rPr>
        <w:t>relevant period</w:t>
      </w:r>
      <w:r>
        <w:rPr>
          <w:bCs/>
        </w:rPr>
        <w:t>) provided for by an approval under section 201(2).</w:t>
      </w:r>
    </w:p>
    <w:p>
      <w:pPr>
        <w:pStyle w:val="Subsection"/>
      </w:pPr>
      <w:r>
        <w:tab/>
        <w:t>(2)</w:t>
      </w:r>
      <w:r>
        <w:tab/>
        <w:t>The Commissioner is not required to make a separate calculation under this Division of duty in respect of each relevant acquisition that occurred during the relevant period.</w:t>
      </w:r>
    </w:p>
    <w:p>
      <w:pPr>
        <w:pStyle w:val="Subsection"/>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Footnotesection"/>
        <w:ind w:left="890" w:hanging="890"/>
        <w:rPr>
          <w:ins w:id="3546" w:author="Master Repository Process" w:date="2022-05-27T14:27:00Z"/>
        </w:rPr>
      </w:pPr>
      <w:ins w:id="3547" w:author="Master Repository Process" w:date="2022-05-27T14:27:00Z">
        <w:r>
          <w:tab/>
          <w:t>[Section 193 amended: No. 12 of 2019 s. 88.]</w:t>
        </w:r>
      </w:ins>
    </w:p>
    <w:p>
      <w:pPr>
        <w:pStyle w:val="Heading5"/>
        <w:spacing w:before="240"/>
      </w:pPr>
      <w:bookmarkStart w:id="3548" w:name="_Toc104291096"/>
      <w:bookmarkStart w:id="3549" w:name="_Toc531859439"/>
      <w:r>
        <w:rPr>
          <w:rStyle w:val="CharSectno"/>
        </w:rPr>
        <w:t>194</w:t>
      </w:r>
      <w:r>
        <w:t>.</w:t>
      </w:r>
      <w:r>
        <w:tab/>
        <w:t>Calculation of duty on certain acquisitions on winding up of corporation or unit trust scheme</w:t>
      </w:r>
      <w:bookmarkEnd w:id="3548"/>
      <w:bookmarkEnd w:id="3549"/>
    </w:p>
    <w:p>
      <w:pPr>
        <w:pStyle w:val="Subsection"/>
        <w:keepNext/>
      </w:pPr>
      <w:r>
        <w:tab/>
        <w:t>(1)</w:t>
      </w:r>
      <w:r>
        <w:tab/>
        <w:t xml:space="preserve">Despite anything else in this Division, duty is to be calculated under this section in respect of a relevant acquisition by a person of an interest in a landholder if the acquisition — </w:t>
      </w:r>
    </w:p>
    <w:p>
      <w:pPr>
        <w:pStyle w:val="Indenta"/>
      </w:pPr>
      <w:r>
        <w:tab/>
        <w:t>(a)</w:t>
      </w:r>
      <w:r>
        <w:tab/>
        <w:t xml:space="preserve">occurs in the circumstances referred to in subsection (2); and </w:t>
      </w:r>
    </w:p>
    <w:p>
      <w:pPr>
        <w:pStyle w:val="Indenta"/>
      </w:pPr>
      <w:r>
        <w:tab/>
        <w:t>(b)</w:t>
      </w:r>
      <w:r>
        <w:tab/>
        <w:t>is not exempt under section 167 because the effect of the acquisition is that the person receives a benefit in excess of the person’s entitlement.</w:t>
      </w:r>
    </w:p>
    <w:p>
      <w:pPr>
        <w:pStyle w:val="PermNoteHeading"/>
      </w:pPr>
      <w:r>
        <w:tab/>
        <w:t>Note for this subsection:</w:t>
      </w:r>
    </w:p>
    <w:p>
      <w:pPr>
        <w:pStyle w:val="PermNoteText"/>
      </w:pPr>
      <w:r>
        <w:tab/>
      </w:r>
      <w:r>
        <w:tab/>
        <w:t>The combined operation of sections 29(4) and 167 will make the acquisition exempt if the value of the person’s benefit is not in excess of the person’s entitlement.</w:t>
      </w:r>
    </w:p>
    <w:p>
      <w:pPr>
        <w:pStyle w:val="Subsection"/>
        <w:keepLines/>
        <w:spacing w:before="180"/>
      </w:pPr>
      <w:r>
        <w:tab/>
        <w:t>(2)</w:t>
      </w:r>
      <w:r>
        <w:tab/>
        <w:t xml:space="preserve">The circumstances referred to are that — </w:t>
      </w:r>
    </w:p>
    <w:p>
      <w:pPr>
        <w:pStyle w:val="Indenta"/>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keepNext/>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keepLines/>
      </w:pPr>
      <w:r>
        <w:tab/>
        <w:t>(c)</w:t>
      </w:r>
      <w:r>
        <w:tab/>
        <w:t>the Commissioner is satisfied that the winding up is not a scheme or arrangement, or part of a scheme or arrangement, for which a dominant purpose of any party is the reduction of the duty otherwise payable.</w:t>
      </w:r>
    </w:p>
    <w:p>
      <w:pPr>
        <w:pStyle w:val="Subsection"/>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keepNext/>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keepNext/>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keepNext/>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or a person related to the shareholder or unit holder, has, in the relevant period, assumed or discharged on behalf of the corporation or the trustee of the unit trust scheme.</w:t>
      </w:r>
    </w:p>
    <w:p>
      <w:pPr>
        <w:pStyle w:val="Subsection"/>
        <w:keepNext/>
      </w:pPr>
      <w:r>
        <w:tab/>
        <w:t>(6)</w:t>
      </w:r>
      <w:r>
        <w:tab/>
        <w:t xml:space="preserve">In subsection (5)(b)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(7A)</w:t>
      </w:r>
      <w:r>
        <w:tab/>
        <w:t>For the purposes of subsection (5)(b)(ii),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(5) to all relevant acquisitions occurring as a consequence of the winding up.</w:t>
      </w:r>
    </w:p>
    <w:p>
      <w:pPr>
        <w:pStyle w:val="Subsection"/>
        <w:keepNext/>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Footnotesection"/>
        <w:ind w:left="890" w:hanging="890"/>
      </w:pPr>
      <w:r>
        <w:tab/>
        <w:t>[Section 194</w:t>
      </w:r>
      <w:r>
        <w:rPr>
          <w:vertAlign w:val="superscript"/>
        </w:rPr>
        <w:t> </w:t>
      </w:r>
      <w:del w:id="3550" w:author="Master Repository Process" w:date="2022-05-27T14:27:00Z">
        <w:r>
          <w:rPr>
            <w:i w:val="0"/>
            <w:vertAlign w:val="superscript"/>
          </w:rPr>
          <w:delText>3</w:delText>
        </w:r>
      </w:del>
      <w:ins w:id="3551" w:author="Master Repository Process" w:date="2022-05-27T14:27:00Z">
        <w:r>
          <w:rPr>
            <w:vertAlign w:val="superscript"/>
          </w:rPr>
          <w:t>2</w:t>
        </w:r>
      </w:ins>
      <w:r>
        <w:t xml:space="preserve"> amended: No. 29 of 2012 s. 5.]</w:t>
      </w:r>
    </w:p>
    <w:p>
      <w:pPr>
        <w:pStyle w:val="Heading4"/>
      </w:pPr>
      <w:bookmarkStart w:id="3552" w:name="_Toc37946902"/>
      <w:bookmarkStart w:id="3553" w:name="_Toc37947502"/>
      <w:bookmarkStart w:id="3554" w:name="_Toc38031566"/>
      <w:bookmarkStart w:id="3555" w:name="_Toc93310075"/>
      <w:bookmarkStart w:id="3556" w:name="_Toc104291097"/>
      <w:bookmarkStart w:id="3557" w:name="_Toc530491825"/>
      <w:bookmarkStart w:id="3558" w:name="_Toc530492285"/>
      <w:bookmarkStart w:id="3559" w:name="_Toc530493295"/>
      <w:bookmarkStart w:id="3560" w:name="_Toc530556430"/>
      <w:bookmarkStart w:id="3561" w:name="_Toc531692268"/>
      <w:bookmarkStart w:id="3562" w:name="_Toc531856173"/>
      <w:bookmarkStart w:id="3563" w:name="_Toc531858901"/>
      <w:bookmarkStart w:id="3564" w:name="_Toc531859440"/>
      <w:r>
        <w:t>Division 6A — Interim assessment of landholder duty</w:t>
      </w:r>
      <w:bookmarkEnd w:id="3552"/>
      <w:bookmarkEnd w:id="3553"/>
      <w:bookmarkEnd w:id="3554"/>
      <w:bookmarkEnd w:id="3555"/>
      <w:bookmarkEnd w:id="3556"/>
      <w:bookmarkEnd w:id="3557"/>
      <w:bookmarkEnd w:id="3558"/>
      <w:bookmarkEnd w:id="3559"/>
      <w:bookmarkEnd w:id="3560"/>
      <w:bookmarkEnd w:id="3561"/>
      <w:bookmarkEnd w:id="3562"/>
      <w:bookmarkEnd w:id="3563"/>
      <w:bookmarkEnd w:id="3564"/>
    </w:p>
    <w:p>
      <w:pPr>
        <w:pStyle w:val="Footnoteheading"/>
      </w:pPr>
      <w:r>
        <w:tab/>
        <w:t>[Heading inserted: No. 10 of 2013 s. 6.]</w:t>
      </w:r>
    </w:p>
    <w:p>
      <w:pPr>
        <w:pStyle w:val="Heading5"/>
        <w:spacing w:before="240"/>
      </w:pPr>
      <w:bookmarkStart w:id="3565" w:name="_Toc104291098"/>
      <w:bookmarkStart w:id="3566" w:name="_Toc531859441"/>
      <w:r>
        <w:rPr>
          <w:rStyle w:val="CharSectno"/>
        </w:rPr>
        <w:t>195A</w:t>
      </w:r>
      <w:r>
        <w:t>.</w:t>
      </w:r>
      <w:r>
        <w:tab/>
        <w:t>Interim assessment of landholder duty</w:t>
      </w:r>
      <w:bookmarkEnd w:id="3565"/>
      <w:bookmarkEnd w:id="3566"/>
    </w:p>
    <w:p>
      <w:pPr>
        <w:pStyle w:val="Subsection"/>
        <w:spacing w:before="180"/>
      </w:pPr>
      <w:r>
        <w:tab/>
        <w:t>(1)</w:t>
      </w:r>
      <w:r>
        <w:tab/>
        <w:t xml:space="preserve">The Commissioner may make an assessment (an </w:t>
      </w:r>
      <w:r>
        <w:rPr>
          <w:rStyle w:val="CharDefText"/>
        </w:rPr>
        <w:t>interim assessment</w:t>
      </w:r>
      <w:r>
        <w:t xml:space="preserve">) of a portion of the duty payable in respect of a relevant acquisition if — </w:t>
      </w:r>
    </w:p>
    <w:p>
      <w:pPr>
        <w:pStyle w:val="Indenta"/>
      </w:pPr>
      <w:r>
        <w:tab/>
        <w:t>(a)</w:t>
      </w:r>
      <w:r>
        <w:tab/>
        <w:t>the Commissioner is satisfied that duty is payable in respect of the relevant acquisition; and</w:t>
      </w:r>
    </w:p>
    <w:p>
      <w:pPr>
        <w:pStyle w:val="Indenta"/>
        <w:keepNext/>
      </w:pPr>
      <w:r>
        <w:tab/>
        <w:t>(b)</w:t>
      </w:r>
      <w:r>
        <w:tab/>
        <w:t xml:space="preserve">one of the following applies — </w:t>
      </w:r>
    </w:p>
    <w:p>
      <w:pPr>
        <w:pStyle w:val="Indenti"/>
      </w:pPr>
      <w:r>
        <w:tab/>
        <w:t>(i)</w:t>
      </w:r>
      <w:r>
        <w:tab/>
        <w:t xml:space="preserve">more than 6 months have elapsed since the day on which an acquisition statement </w:t>
      </w:r>
      <w:ins w:id="3567" w:author="Master Repository Process" w:date="2022-05-27T14:27:00Z">
        <w:r>
          <w:t xml:space="preserve">or agreement </w:t>
        </w:r>
      </w:ins>
      <w:r>
        <w:t>for the relevant acquisition was lodged or an application was made under section 180 in relation to the relevant acquisition;</w:t>
      </w:r>
    </w:p>
    <w:p>
      <w:pPr>
        <w:pStyle w:val="Indenti"/>
      </w:pPr>
      <w:r>
        <w:tab/>
        <w:t>(ii)</w:t>
      </w:r>
      <w:r>
        <w:tab/>
        <w:t xml:space="preserve">more than 6 months have elapsed since the day on which an acquisition statement </w:t>
      </w:r>
      <w:ins w:id="3568" w:author="Master Repository Process" w:date="2022-05-27T14:27:00Z">
        <w:r>
          <w:t xml:space="preserve">or agreement </w:t>
        </w:r>
      </w:ins>
      <w:r>
        <w:t>for the relevant acquisition ought to have been lodged;</w:t>
      </w:r>
    </w:p>
    <w:p>
      <w:pPr>
        <w:pStyle w:val="Indenti"/>
      </w:pPr>
      <w:r>
        <w:tab/>
        <w:t>(iii)</w:t>
      </w:r>
      <w:r>
        <w:tab/>
        <w:t>the Commissioner is satisfied that it will not be possible to obtain the information necessary to determine the value of the landholder within the 6 months referred to in subparagraph (ii);</w:t>
      </w:r>
    </w:p>
    <w:p>
      <w:pPr>
        <w:pStyle w:val="Indenta"/>
      </w:pPr>
      <w:r>
        <w:tab/>
      </w:r>
      <w:r>
        <w:tab/>
        <w:t>and</w:t>
      </w:r>
    </w:p>
    <w:p>
      <w:pPr>
        <w:pStyle w:val="Indenta"/>
      </w:pPr>
      <w:r>
        <w:tab/>
        <w:t>(c)</w:t>
      </w:r>
      <w:r>
        <w:tab/>
        <w:t>the Commissioner is satisfied that a portion of the value of the landholder can be determined.</w:t>
      </w:r>
    </w:p>
    <w:p>
      <w:pPr>
        <w:pStyle w:val="Subsection"/>
      </w:pPr>
      <w:r>
        <w:tab/>
        <w:t>(2)</w:t>
      </w:r>
      <w:r>
        <w:tab/>
        <w:t xml:space="preserve">For the purposes of subsection (1)(b)(ii), the day on which an acquisition statement </w:t>
      </w:r>
      <w:ins w:id="3569" w:author="Master Repository Process" w:date="2022-05-27T14:27:00Z">
        <w:r>
          <w:t xml:space="preserve">or agreement </w:t>
        </w:r>
      </w:ins>
      <w:r>
        <w:t>ought to have been lodged is the last day of the period within which the statement</w:t>
      </w:r>
      <w:ins w:id="3570" w:author="Master Repository Process" w:date="2022-05-27T14:27:00Z">
        <w:r>
          <w:t xml:space="preserve"> or agreement</w:t>
        </w:r>
      </w:ins>
      <w:r>
        <w:t xml:space="preserve"> must be lodged under section 200, 201 or 202 (whichever is relevant).</w:t>
      </w:r>
    </w:p>
    <w:p>
      <w:pPr>
        <w:pStyle w:val="Subsection"/>
      </w:pPr>
      <w:r>
        <w:tab/>
        <w:t>(3)</w:t>
      </w:r>
      <w:r>
        <w:tab/>
        <w:t xml:space="preserve">For the purpose of being satisfied of the matter in subsection (1)(c), the Commissioner may have regard to any information that the Commissioner considers relevant, including the following — </w:t>
      </w:r>
    </w:p>
    <w:p>
      <w:pPr>
        <w:pStyle w:val="Indenta"/>
      </w:pPr>
      <w:r>
        <w:tab/>
        <w:t>(a)</w:t>
      </w:r>
      <w:r>
        <w:tab/>
        <w:t>the value, as agreed between the Commissioner and the taxpayer, of anything;</w:t>
      </w:r>
    </w:p>
    <w:p>
      <w:pPr>
        <w:pStyle w:val="Indenta"/>
      </w:pPr>
      <w:r>
        <w:tab/>
        <w:t>(b)</w:t>
      </w:r>
      <w:r>
        <w:tab/>
        <w:t>the consideration (if any) given for the relevant acquisition;</w:t>
      </w:r>
    </w:p>
    <w:p>
      <w:pPr>
        <w:pStyle w:val="Indenta"/>
      </w:pPr>
      <w:r>
        <w:tab/>
        <w:t>(c)</w:t>
      </w:r>
      <w:r>
        <w:tab/>
        <w:t>any evidence, whether provided by the taxpayer or obtained by the Commissioner, of the value of anything;</w:t>
      </w:r>
    </w:p>
    <w:p>
      <w:pPr>
        <w:pStyle w:val="Indenta"/>
      </w:pPr>
      <w:r>
        <w:tab/>
        <w:t>(d)</w:t>
      </w:r>
      <w:r>
        <w:tab/>
        <w:t>any document or other record kept by or on behalf of a party to the relevant acquisition;</w:t>
      </w:r>
    </w:p>
    <w:p>
      <w:pPr>
        <w:pStyle w:val="Indenta"/>
      </w:pPr>
      <w:r>
        <w:tab/>
        <w:t>(e)</w:t>
      </w:r>
      <w:r>
        <w:tab/>
        <w:t>any information held by a regulatory authority in the State, another Australian jurisdiction or an overseas jurisdiction;</w:t>
      </w:r>
    </w:p>
    <w:p>
      <w:pPr>
        <w:pStyle w:val="Indenta"/>
      </w:pPr>
      <w:r>
        <w:tab/>
        <w:t>(f)</w:t>
      </w:r>
      <w:r>
        <w:tab/>
        <w:t>any information that is publicly available.</w:t>
      </w:r>
    </w:p>
    <w:p>
      <w:pPr>
        <w:pStyle w:val="Subsection"/>
      </w:pPr>
      <w:r>
        <w:tab/>
        <w:t>(4)</w:t>
      </w:r>
      <w:r>
        <w:tab/>
        <w:t>For the purposes of making an interim assessment, the duty payable is to be determined as if the portion of the value of the landholder were the full value of the landholder.</w:t>
      </w:r>
    </w:p>
    <w:p>
      <w:pPr>
        <w:pStyle w:val="Subsection"/>
      </w:pPr>
      <w:r>
        <w:tab/>
        <w:t>(5)</w:t>
      </w:r>
      <w:r>
        <w:tab/>
        <w:t xml:space="preserve">The Commissioner can make a determination of a portion of the value of a landholder for the purposes of making an interim assessment even though the Commissioner has ascertained — </w:t>
      </w:r>
    </w:p>
    <w:p>
      <w:pPr>
        <w:pStyle w:val="Indenta"/>
      </w:pPr>
      <w:r>
        <w:tab/>
        <w:t>(a)</w:t>
      </w:r>
      <w:r>
        <w:tab/>
        <w:t>the value of only some of the land</w:t>
      </w:r>
      <w:ins w:id="3571" w:author="Master Repository Process" w:date="2022-05-27T14:27:00Z">
        <w:r>
          <w:t xml:space="preserve"> assets</w:t>
        </w:r>
      </w:ins>
      <w:r>
        <w:t xml:space="preserve"> or chattels to which section 186(1) applies; or</w:t>
      </w:r>
    </w:p>
    <w:p>
      <w:pPr>
        <w:pStyle w:val="Indenta"/>
      </w:pPr>
      <w:r>
        <w:tab/>
        <w:t>(b)</w:t>
      </w:r>
      <w:r>
        <w:tab/>
        <w:t xml:space="preserve">only a portion of the value of particular land </w:t>
      </w:r>
      <w:ins w:id="3572" w:author="Master Repository Process" w:date="2022-05-27T14:27:00Z">
        <w:r>
          <w:t xml:space="preserve">assets </w:t>
        </w:r>
      </w:ins>
      <w:r>
        <w:t>or chattels to which section 186(1) applies.</w:t>
      </w:r>
    </w:p>
    <w:p>
      <w:pPr>
        <w:pStyle w:val="Footnotesection"/>
        <w:ind w:left="890" w:hanging="890"/>
      </w:pPr>
      <w:r>
        <w:tab/>
        <w:t>[Section 195A inserted: No. 10 of 2013 s. </w:t>
      </w:r>
      <w:del w:id="3573" w:author="Master Repository Process" w:date="2022-05-27T14:27:00Z">
        <w:r>
          <w:delText>6</w:delText>
        </w:r>
      </w:del>
      <w:ins w:id="3574" w:author="Master Repository Process" w:date="2022-05-27T14:27:00Z">
        <w:r>
          <w:t>6; amended: No. 12 of 2019 s. 89</w:t>
        </w:r>
      </w:ins>
      <w:r>
        <w:t>.]</w:t>
      </w:r>
    </w:p>
    <w:p>
      <w:pPr>
        <w:pStyle w:val="Heading4"/>
      </w:pPr>
      <w:bookmarkStart w:id="3575" w:name="_Toc530491827"/>
      <w:bookmarkStart w:id="3576" w:name="_Toc530492287"/>
      <w:bookmarkStart w:id="3577" w:name="_Toc530493297"/>
      <w:bookmarkStart w:id="3578" w:name="_Toc530556432"/>
      <w:bookmarkStart w:id="3579" w:name="_Toc531692270"/>
      <w:bookmarkStart w:id="3580" w:name="_Toc531856175"/>
      <w:bookmarkStart w:id="3581" w:name="_Toc531858903"/>
      <w:bookmarkStart w:id="3582" w:name="_Toc531859442"/>
      <w:bookmarkStart w:id="3583" w:name="_Toc37946904"/>
      <w:bookmarkStart w:id="3584" w:name="_Toc37947504"/>
      <w:bookmarkStart w:id="3585" w:name="_Toc38031568"/>
      <w:bookmarkStart w:id="3586" w:name="_Toc93310077"/>
      <w:bookmarkStart w:id="3587" w:name="_Toc104291099"/>
      <w:r>
        <w:rPr>
          <w:sz w:val="26"/>
        </w:rPr>
        <w:t>Division 6 — </w:t>
      </w:r>
      <w:del w:id="3588" w:author="Master Repository Process" w:date="2022-05-27T14:27:00Z">
        <w:r>
          <w:rPr>
            <w:sz w:val="26"/>
          </w:rPr>
          <w:delText>Reassessment</w:delText>
        </w:r>
      </w:del>
      <w:ins w:id="3589" w:author="Master Repository Process" w:date="2022-05-27T14:27:00Z">
        <w:r>
          <w:rPr>
            <w:sz w:val="26"/>
          </w:rPr>
          <w:t>Assessment or reassessment</w:t>
        </w:r>
      </w:ins>
      <w:r>
        <w:rPr>
          <w:sz w:val="26"/>
        </w:rPr>
        <w:t xml:space="preserve"> of liability for landholder duty</w:t>
      </w:r>
      <w:bookmarkEnd w:id="3575"/>
      <w:bookmarkEnd w:id="3576"/>
      <w:bookmarkEnd w:id="3577"/>
      <w:bookmarkEnd w:id="3578"/>
      <w:bookmarkEnd w:id="3579"/>
      <w:bookmarkEnd w:id="3580"/>
      <w:bookmarkEnd w:id="3581"/>
      <w:bookmarkEnd w:id="3582"/>
      <w:ins w:id="3590" w:author="Master Repository Process" w:date="2022-05-27T14:27:00Z">
        <w:r>
          <w:rPr>
            <w:sz w:val="26"/>
          </w:rPr>
          <w:t xml:space="preserve"> if uncompleted agreements terminated or completed</w:t>
        </w:r>
      </w:ins>
      <w:bookmarkEnd w:id="3583"/>
      <w:bookmarkEnd w:id="3584"/>
      <w:bookmarkEnd w:id="3585"/>
      <w:bookmarkEnd w:id="3586"/>
      <w:bookmarkEnd w:id="3587"/>
    </w:p>
    <w:p>
      <w:pPr>
        <w:pStyle w:val="Footnoteheading"/>
        <w:rPr>
          <w:ins w:id="3591" w:author="Master Repository Process" w:date="2022-05-27T14:27:00Z"/>
        </w:rPr>
      </w:pPr>
      <w:ins w:id="3592" w:author="Master Repository Process" w:date="2022-05-27T14:27:00Z">
        <w:r>
          <w:tab/>
          <w:t>[Heading inserted: No. 12 of 2019 s. 90.]</w:t>
        </w:r>
      </w:ins>
    </w:p>
    <w:p>
      <w:pPr>
        <w:pStyle w:val="Heading5"/>
        <w:rPr>
          <w:ins w:id="3593" w:author="Master Repository Process" w:date="2022-05-27T14:27:00Z"/>
        </w:rPr>
      </w:pPr>
      <w:bookmarkStart w:id="3594" w:name="_Toc104291100"/>
      <w:ins w:id="3595" w:author="Master Repository Process" w:date="2022-05-27T14:27:00Z">
        <w:r>
          <w:rPr>
            <w:rStyle w:val="CharSectno"/>
          </w:rPr>
          <w:t>195B</w:t>
        </w:r>
        <w:r>
          <w:t>.</w:t>
        </w:r>
        <w:r>
          <w:tab/>
          <w:t>Assessment of duty where s. 149(1) or 154B applied at acquisition time</w:t>
        </w:r>
        <w:bookmarkEnd w:id="3594"/>
      </w:ins>
    </w:p>
    <w:p>
      <w:pPr>
        <w:pStyle w:val="Subsection"/>
        <w:rPr>
          <w:ins w:id="3596" w:author="Master Repository Process" w:date="2022-05-27T14:27:00Z"/>
        </w:rPr>
      </w:pPr>
      <w:ins w:id="3597" w:author="Master Repository Process" w:date="2022-05-27T14:27:00Z">
        <w:r>
          <w:tab/>
          <w:t>(1)</w:t>
        </w:r>
        <w:r>
          <w:tab/>
          <w:t xml:space="preserve">Subsection (2) applies if — </w:t>
        </w:r>
      </w:ins>
    </w:p>
    <w:p>
      <w:pPr>
        <w:pStyle w:val="Indenta"/>
        <w:rPr>
          <w:ins w:id="3598" w:author="Master Repository Process" w:date="2022-05-27T14:27:00Z"/>
        </w:rPr>
      </w:pPr>
      <w:ins w:id="3599" w:author="Master Repository Process" w:date="2022-05-27T14:27:00Z">
        <w:r>
          <w:tab/>
          <w:t>(a)</w:t>
        </w:r>
        <w:r>
          <w:tab/>
          <w:t xml:space="preserve">at the time an acquisition (the </w:t>
        </w:r>
        <w:r>
          <w:rPr>
            <w:rStyle w:val="CharDefText"/>
          </w:rPr>
          <w:t>main acquisition</w:t>
        </w:r>
        <w:r>
          <w:t xml:space="preserve">) of an interest in an entity (the </w:t>
        </w:r>
        <w:r>
          <w:rPr>
            <w:rStyle w:val="CharDefText"/>
          </w:rPr>
          <w:t>main entity</w:t>
        </w:r>
        <w:r>
          <w:t xml:space="preserve">) occurs — </w:t>
        </w:r>
      </w:ins>
    </w:p>
    <w:p>
      <w:pPr>
        <w:pStyle w:val="Indenti"/>
        <w:rPr>
          <w:ins w:id="3600" w:author="Master Repository Process" w:date="2022-05-27T14:27:00Z"/>
        </w:rPr>
      </w:pPr>
      <w:ins w:id="3601" w:author="Master Repository Process" w:date="2022-05-27T14:27:00Z">
        <w:r>
          <w:tab/>
          <w:t>(i)</w:t>
        </w:r>
        <w:r>
          <w:tab/>
          <w:t>there is an agreement to which section 149(1)(a) applies in determining the entitlement to land assets, chattels, or land assets and chattels, of the main entity or a linked entity in respect of the main entity; or</w:t>
        </w:r>
      </w:ins>
    </w:p>
    <w:p>
      <w:pPr>
        <w:pStyle w:val="Indenti"/>
        <w:rPr>
          <w:ins w:id="3602" w:author="Master Repository Process" w:date="2022-05-27T14:27:00Z"/>
        </w:rPr>
      </w:pPr>
      <w:ins w:id="3603" w:author="Master Repository Process" w:date="2022-05-27T14:27:00Z">
        <w:r>
          <w:tab/>
          <w:t>(ii)</w:t>
        </w:r>
        <w:r>
          <w:tab/>
          <w:t>there is an agreement to which section 154B(a) applies in determining the interest that the main entity, or a linked entity in respect of the main entity, has in another entity;</w:t>
        </w:r>
      </w:ins>
    </w:p>
    <w:p>
      <w:pPr>
        <w:pStyle w:val="Indenta"/>
        <w:rPr>
          <w:ins w:id="3604" w:author="Master Repository Process" w:date="2022-05-27T14:27:00Z"/>
        </w:rPr>
      </w:pPr>
      <w:ins w:id="3605" w:author="Master Repository Process" w:date="2022-05-27T14:27:00Z">
        <w:r>
          <w:tab/>
        </w:r>
        <w:r>
          <w:tab/>
          <w:t>and</w:t>
        </w:r>
      </w:ins>
    </w:p>
    <w:p>
      <w:pPr>
        <w:pStyle w:val="Indenta"/>
        <w:rPr>
          <w:ins w:id="3606" w:author="Master Repository Process" w:date="2022-05-27T14:27:00Z"/>
        </w:rPr>
      </w:pPr>
      <w:ins w:id="3607" w:author="Master Repository Process" w:date="2022-05-27T14:27:00Z">
        <w:r>
          <w:tab/>
          <w:t>(b)</w:t>
        </w:r>
        <w:r>
          <w:tab/>
          <w:t>after the main acquisition occurs but before an assessment is made in relation to the main acquisition, the agreement has been rescinded, annulled or otherwise terminated without being completed.</w:t>
        </w:r>
      </w:ins>
    </w:p>
    <w:p>
      <w:pPr>
        <w:pStyle w:val="Subsection"/>
        <w:rPr>
          <w:ins w:id="3608" w:author="Master Repository Process" w:date="2022-05-27T14:27:00Z"/>
        </w:rPr>
      </w:pPr>
      <w:ins w:id="3609" w:author="Master Repository Process" w:date="2022-05-27T14:27:00Z">
        <w:r>
          <w:tab/>
          <w:t>(2)</w:t>
        </w:r>
        <w:r>
          <w:tab/>
          <w:t>Section 149(1)(a) or 154B(a) (whichever is relevant) applies to the agreement for the purposes of making an assessment in relation to the main acquisition despite the rescission, annulment or other termination of the agreement, unless the Commissioner is satisfied that the rescission, annulment or other termination of the agreement was not part of a scheme or arrangement under which the object of the agreement has been or may be achieved in another way.</w:t>
        </w:r>
      </w:ins>
    </w:p>
    <w:p>
      <w:pPr>
        <w:pStyle w:val="Subsection"/>
        <w:rPr>
          <w:ins w:id="3610" w:author="Master Repository Process" w:date="2022-05-27T14:27:00Z"/>
        </w:rPr>
      </w:pPr>
      <w:ins w:id="3611" w:author="Master Repository Process" w:date="2022-05-27T14:27:00Z">
        <w:r>
          <w:tab/>
          <w:t>(3)</w:t>
        </w:r>
        <w:r>
          <w:tab/>
          <w:t xml:space="preserve">Subsection (4) applies if — </w:t>
        </w:r>
      </w:ins>
    </w:p>
    <w:p>
      <w:pPr>
        <w:pStyle w:val="Indenta"/>
        <w:rPr>
          <w:ins w:id="3612" w:author="Master Repository Process" w:date="2022-05-27T14:27:00Z"/>
        </w:rPr>
      </w:pPr>
      <w:ins w:id="3613" w:author="Master Repository Process" w:date="2022-05-27T14:27:00Z">
        <w:r>
          <w:tab/>
          <w:t>(a)</w:t>
        </w:r>
        <w:r>
          <w:tab/>
          <w:t xml:space="preserve">at the time an acquisition (the </w:t>
        </w:r>
        <w:r>
          <w:rPr>
            <w:rStyle w:val="CharDefText"/>
          </w:rPr>
          <w:t>main acquisition</w:t>
        </w:r>
        <w:r>
          <w:t xml:space="preserve">) of an interest in an entity (the </w:t>
        </w:r>
        <w:r>
          <w:rPr>
            <w:rStyle w:val="CharDefText"/>
          </w:rPr>
          <w:t>main entity</w:t>
        </w:r>
        <w:r>
          <w:t xml:space="preserve">) occurs — </w:t>
        </w:r>
      </w:ins>
    </w:p>
    <w:p>
      <w:pPr>
        <w:pStyle w:val="Indenti"/>
        <w:rPr>
          <w:ins w:id="3614" w:author="Master Repository Process" w:date="2022-05-27T14:27:00Z"/>
        </w:rPr>
      </w:pPr>
      <w:ins w:id="3615" w:author="Master Repository Process" w:date="2022-05-27T14:27:00Z">
        <w:r>
          <w:tab/>
          <w:t>(i)</w:t>
        </w:r>
        <w:r>
          <w:tab/>
          <w:t>there is an agreement to which section 149(1)(b) applies in determining the entitlement to land assets, chattels, or land assets and chattels, of the main entity or a linked entity in respect of the main entity; or</w:t>
        </w:r>
      </w:ins>
    </w:p>
    <w:p>
      <w:pPr>
        <w:pStyle w:val="Indenti"/>
        <w:rPr>
          <w:ins w:id="3616" w:author="Master Repository Process" w:date="2022-05-27T14:27:00Z"/>
        </w:rPr>
      </w:pPr>
      <w:ins w:id="3617" w:author="Master Repository Process" w:date="2022-05-27T14:27:00Z">
        <w:r>
          <w:tab/>
          <w:t>(ii)</w:t>
        </w:r>
        <w:r>
          <w:tab/>
          <w:t>there is an agreement to which section 154B(b) applies in determining the interest that the main entity, or a linked entity in respect of the main entity, has in another entity;</w:t>
        </w:r>
      </w:ins>
    </w:p>
    <w:p>
      <w:pPr>
        <w:pStyle w:val="Indenta"/>
        <w:rPr>
          <w:ins w:id="3618" w:author="Master Repository Process" w:date="2022-05-27T14:27:00Z"/>
        </w:rPr>
      </w:pPr>
      <w:ins w:id="3619" w:author="Master Repository Process" w:date="2022-05-27T14:27:00Z">
        <w:r>
          <w:tab/>
        </w:r>
        <w:r>
          <w:tab/>
          <w:t>and</w:t>
        </w:r>
      </w:ins>
    </w:p>
    <w:p>
      <w:pPr>
        <w:pStyle w:val="Indenta"/>
        <w:rPr>
          <w:ins w:id="3620" w:author="Master Repository Process" w:date="2022-05-27T14:27:00Z"/>
        </w:rPr>
      </w:pPr>
      <w:ins w:id="3621" w:author="Master Repository Process" w:date="2022-05-27T14:27:00Z">
        <w:r>
          <w:tab/>
          <w:t>(b)</w:t>
        </w:r>
        <w:r>
          <w:tab/>
          <w:t>after the main acquisition occurs but before an assessment is made in relation to the main acquisition, the agreement is completed.</w:t>
        </w:r>
      </w:ins>
    </w:p>
    <w:p>
      <w:pPr>
        <w:pStyle w:val="Subsection"/>
        <w:rPr>
          <w:ins w:id="3622" w:author="Master Repository Process" w:date="2022-05-27T14:27:00Z"/>
        </w:rPr>
      </w:pPr>
      <w:ins w:id="3623" w:author="Master Repository Process" w:date="2022-05-27T14:27:00Z">
        <w:r>
          <w:tab/>
          <w:t>(4)</w:t>
        </w:r>
        <w:r>
          <w:tab/>
          <w:t>Despite section 149(1)(b) or 154B(b) (whichever is relevant), the agreement is not to be disregarded for the purposes of making an assessment in relation to the main acquisition.</w:t>
        </w:r>
      </w:ins>
    </w:p>
    <w:p>
      <w:pPr>
        <w:pStyle w:val="Footnotesection"/>
        <w:ind w:left="890" w:hanging="890"/>
        <w:rPr>
          <w:ins w:id="3624" w:author="Master Repository Process" w:date="2022-05-27T14:27:00Z"/>
        </w:rPr>
      </w:pPr>
      <w:ins w:id="3625" w:author="Master Repository Process" w:date="2022-05-27T14:27:00Z">
        <w:r>
          <w:tab/>
          <w:t>[Section 195B inserted: No. 12 of 2019 s. 91.]</w:t>
        </w:r>
      </w:ins>
    </w:p>
    <w:p>
      <w:pPr>
        <w:pStyle w:val="Heading5"/>
        <w:rPr>
          <w:ins w:id="3626" w:author="Master Repository Process" w:date="2022-05-27T14:27:00Z"/>
        </w:rPr>
      </w:pPr>
      <w:bookmarkStart w:id="3627" w:name="_Toc104291101"/>
      <w:ins w:id="3628" w:author="Master Repository Process" w:date="2022-05-27T14:27:00Z">
        <w:r>
          <w:rPr>
            <w:rStyle w:val="CharSectno"/>
          </w:rPr>
          <w:t>195C</w:t>
        </w:r>
        <w:r>
          <w:t>.</w:t>
        </w:r>
        <w:r>
          <w:tab/>
          <w:t>Assessment of duty where s. 176(2) applied at acquisition time</w:t>
        </w:r>
        <w:bookmarkEnd w:id="3627"/>
      </w:ins>
    </w:p>
    <w:p>
      <w:pPr>
        <w:pStyle w:val="Subsection"/>
        <w:rPr>
          <w:ins w:id="3629" w:author="Master Repository Process" w:date="2022-05-27T14:27:00Z"/>
        </w:rPr>
      </w:pPr>
      <w:ins w:id="3630" w:author="Master Repository Process" w:date="2022-05-27T14:27:00Z">
        <w:r>
          <w:tab/>
          <w:t>(1)</w:t>
        </w:r>
        <w:r>
          <w:tab/>
          <w:t xml:space="preserve">This section applies if — </w:t>
        </w:r>
      </w:ins>
    </w:p>
    <w:p>
      <w:pPr>
        <w:pStyle w:val="Indenta"/>
        <w:rPr>
          <w:ins w:id="3631" w:author="Master Repository Process" w:date="2022-05-27T14:27:00Z"/>
        </w:rPr>
      </w:pPr>
      <w:ins w:id="3632" w:author="Master Repository Process" w:date="2022-05-27T14:27:00Z">
        <w:r>
          <w:tab/>
          <w:t>(a)</w:t>
        </w:r>
        <w:r>
          <w:tab/>
          <w:t>under section 176(2), an acquisition is taken to occur when the agreement for the acquisition is made; and</w:t>
        </w:r>
      </w:ins>
    </w:p>
    <w:p>
      <w:pPr>
        <w:pStyle w:val="Indenta"/>
        <w:rPr>
          <w:ins w:id="3633" w:author="Master Repository Process" w:date="2022-05-27T14:27:00Z"/>
        </w:rPr>
      </w:pPr>
      <w:ins w:id="3634" w:author="Master Repository Process" w:date="2022-05-27T14:27:00Z">
        <w:r>
          <w:tab/>
          <w:t>(b)</w:t>
        </w:r>
        <w:r>
          <w:tab/>
          <w:t>after the agreement is made but before an assessment is made in relation to the acquisition, the agreement has been rescinded, annulled or otherwise terminated without being completed.</w:t>
        </w:r>
      </w:ins>
    </w:p>
    <w:p>
      <w:pPr>
        <w:pStyle w:val="Subsection"/>
        <w:rPr>
          <w:ins w:id="3635" w:author="Master Repository Process" w:date="2022-05-27T14:27:00Z"/>
        </w:rPr>
      </w:pPr>
      <w:ins w:id="3636" w:author="Master Repository Process" w:date="2022-05-27T14:27:00Z">
        <w:r>
          <w:tab/>
          <w:t>(2)</w:t>
        </w:r>
        <w:r>
          <w:tab/>
          <w:t>Section 176(2) applies to the terminated agreement, despite the rescission, annulment or other termination of the agreement, unless the Commissioner is satisfied that the rescission, annulment or other termination of the agreement was not part of a scheme or arrangement under which the object of the agreement has been or may be achieved in another way.</w:t>
        </w:r>
      </w:ins>
    </w:p>
    <w:p>
      <w:pPr>
        <w:pStyle w:val="Subsection"/>
        <w:rPr>
          <w:ins w:id="3637" w:author="Master Repository Process" w:date="2022-05-27T14:27:00Z"/>
        </w:rPr>
      </w:pPr>
      <w:ins w:id="3638" w:author="Master Repository Process" w:date="2022-05-27T14:27:00Z">
        <w:r>
          <w:tab/>
          <w:t>(3)</w:t>
        </w:r>
        <w:r>
          <w:tab/>
          <w:t>If the Commissioner is satisfied as described in subsection (2), section 176(2) ceases to apply to the terminated agreement.</w:t>
        </w:r>
      </w:ins>
    </w:p>
    <w:p>
      <w:pPr>
        <w:pStyle w:val="Footnotesection"/>
        <w:ind w:left="890" w:hanging="890"/>
        <w:rPr>
          <w:ins w:id="3639" w:author="Master Repository Process" w:date="2022-05-27T14:27:00Z"/>
        </w:rPr>
      </w:pPr>
      <w:ins w:id="3640" w:author="Master Repository Process" w:date="2022-05-27T14:27:00Z">
        <w:r>
          <w:tab/>
          <w:t>[Section 195C inserted: No. 12 of 2019 s. 91.]</w:t>
        </w:r>
      </w:ins>
    </w:p>
    <w:p>
      <w:pPr>
        <w:pStyle w:val="Heading5"/>
        <w:spacing w:before="240"/>
      </w:pPr>
      <w:bookmarkStart w:id="3641" w:name="_Toc104291102"/>
      <w:bookmarkStart w:id="3642" w:name="_Toc531859443"/>
      <w:r>
        <w:rPr>
          <w:rStyle w:val="CharSectno"/>
        </w:rPr>
        <w:t>195</w:t>
      </w:r>
      <w:r>
        <w:t>.</w:t>
      </w:r>
      <w:r>
        <w:tab/>
        <w:t>Reassessment of duty where s. 149</w:t>
      </w:r>
      <w:ins w:id="3643" w:author="Master Repository Process" w:date="2022-05-27T14:27:00Z">
        <w:r>
          <w:t>(1)</w:t>
        </w:r>
      </w:ins>
      <w:r>
        <w:t xml:space="preserve"> or </w:t>
      </w:r>
      <w:del w:id="3644" w:author="Master Repository Process" w:date="2022-05-27T14:27:00Z">
        <w:r>
          <w:delText>156</w:delText>
        </w:r>
      </w:del>
      <w:ins w:id="3645" w:author="Master Repository Process" w:date="2022-05-27T14:27:00Z">
        <w:r>
          <w:t>154B</w:t>
        </w:r>
      </w:ins>
      <w:r>
        <w:t xml:space="preserve"> applied</w:t>
      </w:r>
      <w:bookmarkEnd w:id="3641"/>
      <w:bookmarkEnd w:id="3642"/>
    </w:p>
    <w:p>
      <w:pPr>
        <w:pStyle w:val="Subsection"/>
        <w:keepNext/>
        <w:spacing w:before="180"/>
      </w:pPr>
      <w:r>
        <w:tab/>
        <w:t>(1)</w:t>
      </w:r>
      <w:r>
        <w:tab/>
        <w:t xml:space="preserve">A reassessment of duty in respect of a relevant acquisition is required if — </w:t>
      </w:r>
    </w:p>
    <w:p>
      <w:pPr>
        <w:pStyle w:val="Indenta"/>
      </w:pPr>
      <w:r>
        <w:tab/>
        <w:t>(a)</w:t>
      </w:r>
      <w:r>
        <w:tab/>
        <w:t xml:space="preserve">for the purposes of an assessment — </w:t>
      </w:r>
    </w:p>
    <w:p>
      <w:pPr>
        <w:pStyle w:val="Indenti"/>
      </w:pPr>
      <w:r>
        <w:tab/>
        <w:t>(i)</w:t>
      </w:r>
      <w:r>
        <w:tab/>
        <w:t xml:space="preserve">an agreement to acquire an interest in land </w:t>
      </w:r>
      <w:ins w:id="3646" w:author="Master Repository Process" w:date="2022-05-27T14:27:00Z">
        <w:r>
          <w:t xml:space="preserve">assets, chattels, or land assets and chattels </w:t>
        </w:r>
      </w:ins>
      <w:r>
        <w:t>has, under section 149(1)(a), been regarded as having been completed; or</w:t>
      </w:r>
    </w:p>
    <w:p>
      <w:pPr>
        <w:pStyle w:val="Indenti"/>
      </w:pPr>
      <w:r>
        <w:tab/>
        <w:t>(ii)</w:t>
      </w:r>
      <w:r>
        <w:tab/>
        <w:t>an agreement to acquire an interest in an entity has, under section </w:t>
      </w:r>
      <w:del w:id="3647" w:author="Master Repository Process" w:date="2022-05-27T14:27:00Z">
        <w:r>
          <w:delText>156(8)(</w:delText>
        </w:r>
      </w:del>
      <w:ins w:id="3648" w:author="Master Repository Process" w:date="2022-05-27T14:27:00Z">
        <w:r>
          <w:t>154B(</w:t>
        </w:r>
      </w:ins>
      <w:r>
        <w:t>a), been regarded as having been completed;</w:t>
      </w:r>
    </w:p>
    <w:p>
      <w:pPr>
        <w:pStyle w:val="Indenta"/>
      </w:pPr>
      <w:r>
        <w:tab/>
      </w:r>
      <w:r>
        <w:tab/>
        <w:t>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spacing w:before="180"/>
      </w:pPr>
      <w:r>
        <w:tab/>
        <w:t>(2)</w:t>
      </w:r>
      <w:r>
        <w:tab/>
        <w:t xml:space="preserve">A reassessment of duty in respect of a relevant acquisition is also required if — </w:t>
      </w:r>
    </w:p>
    <w:p>
      <w:pPr>
        <w:pStyle w:val="Indenta"/>
      </w:pPr>
      <w:r>
        <w:tab/>
        <w:t>(a)</w:t>
      </w:r>
      <w:r>
        <w:tab/>
        <w:t xml:space="preserve">for the purposes of an assessment — </w:t>
      </w:r>
    </w:p>
    <w:p>
      <w:pPr>
        <w:pStyle w:val="Indenti"/>
      </w:pPr>
      <w:r>
        <w:tab/>
        <w:t>(i)</w:t>
      </w:r>
      <w:r>
        <w:tab/>
        <w:t xml:space="preserve">an agreement to dispose of an interest in land </w:t>
      </w:r>
      <w:ins w:id="3649" w:author="Master Repository Process" w:date="2022-05-27T14:27:00Z">
        <w:r>
          <w:t xml:space="preserve">assets, chattels, or land assets and chattels </w:t>
        </w:r>
      </w:ins>
      <w:r>
        <w:t>has, under section 149(1)(b), been disregarded; or</w:t>
      </w:r>
    </w:p>
    <w:p>
      <w:pPr>
        <w:pStyle w:val="Indenti"/>
      </w:pPr>
      <w:r>
        <w:tab/>
        <w:t>(ii)</w:t>
      </w:r>
      <w:r>
        <w:tab/>
        <w:t>an agreement to dispose of an interest in an entity has, under section </w:t>
      </w:r>
      <w:del w:id="3650" w:author="Master Repository Process" w:date="2022-05-27T14:27:00Z">
        <w:r>
          <w:delText>156(8)(</w:delText>
        </w:r>
      </w:del>
      <w:ins w:id="3651" w:author="Master Repository Process" w:date="2022-05-27T14:27:00Z">
        <w:r>
          <w:t>154B(</w:t>
        </w:r>
      </w:ins>
      <w:r>
        <w:t>b), been disregarded;</w:t>
      </w:r>
    </w:p>
    <w:p>
      <w:pPr>
        <w:pStyle w:val="Indenta"/>
      </w:pPr>
      <w:r>
        <w:tab/>
      </w:r>
      <w:r>
        <w:tab/>
        <w:t>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Footnotesection"/>
      </w:pPr>
      <w:r>
        <w:tab/>
        <w:t>[Section 195 amended: No. 1 of 2015 s. </w:t>
      </w:r>
      <w:del w:id="3652" w:author="Master Repository Process" w:date="2022-05-27T14:27:00Z">
        <w:r>
          <w:delText>27</w:delText>
        </w:r>
      </w:del>
      <w:ins w:id="3653" w:author="Master Repository Process" w:date="2022-05-27T14:27:00Z">
        <w:r>
          <w:t>27; No. 12 of 2019 s. 92</w:t>
        </w:r>
      </w:ins>
      <w:r>
        <w:t>.]</w:t>
      </w:r>
    </w:p>
    <w:p>
      <w:pPr>
        <w:pStyle w:val="Heading5"/>
      </w:pPr>
      <w:bookmarkStart w:id="3654" w:name="_Toc104291103"/>
      <w:bookmarkStart w:id="3655" w:name="_Toc531859444"/>
      <w:r>
        <w:rPr>
          <w:rStyle w:val="CharSectno"/>
        </w:rPr>
        <w:t>196</w:t>
      </w:r>
      <w:r>
        <w:t>.</w:t>
      </w:r>
      <w:r>
        <w:tab/>
        <w:t>Reassessment of duty where s. 176(2) applied</w:t>
      </w:r>
      <w:bookmarkEnd w:id="3654"/>
      <w:bookmarkEnd w:id="3655"/>
    </w:p>
    <w:p>
      <w:pPr>
        <w:pStyle w:val="Subsection"/>
      </w:pPr>
      <w:r>
        <w:tab/>
        <w:t>(1)</w:t>
      </w:r>
      <w:r>
        <w:tab/>
        <w:t xml:space="preserve">A reassessment of duty in respect of a relevant acquisition is required if — </w:t>
      </w:r>
    </w:p>
    <w:p>
      <w:pPr>
        <w:pStyle w:val="Indenta"/>
      </w:pPr>
      <w:r>
        <w:tab/>
        <w:t>(a)</w:t>
      </w:r>
      <w:r>
        <w:tab/>
      </w:r>
      <w:del w:id="3656" w:author="Master Repository Process" w:date="2022-05-27T14:27:00Z">
        <w:r>
          <w:delText xml:space="preserve">for the purposes of </w:delText>
        </w:r>
      </w:del>
      <w:r>
        <w:t>an assessment</w:t>
      </w:r>
      <w:del w:id="3657" w:author="Master Repository Process" w:date="2022-05-27T14:27:00Z">
        <w:r>
          <w:delText xml:space="preserve">, the acquisition was treated as having been </w:delText>
        </w:r>
      </w:del>
      <w:ins w:id="3658" w:author="Master Repository Process" w:date="2022-05-27T14:27:00Z">
        <w:r>
          <w:t xml:space="preserve"> of duty is </w:t>
        </w:r>
      </w:ins>
      <w:r>
        <w:t xml:space="preserve">made </w:t>
      </w:r>
      <w:ins w:id="3659" w:author="Master Repository Process" w:date="2022-05-27T14:27:00Z">
        <w:r>
          <w:t xml:space="preserve">on an acquisition that, </w:t>
        </w:r>
      </w:ins>
      <w:r>
        <w:t xml:space="preserve">under </w:t>
      </w:r>
      <w:del w:id="3660" w:author="Master Repository Process" w:date="2022-05-27T14:27:00Z">
        <w:r>
          <w:delText xml:space="preserve">an agreement of the kind referred to in </w:delText>
        </w:r>
      </w:del>
      <w:r>
        <w:t>section 176(2</w:t>
      </w:r>
      <w:del w:id="3661" w:author="Master Repository Process" w:date="2022-05-27T14:27:00Z">
        <w:r>
          <w:delText>);</w:delText>
        </w:r>
      </w:del>
      <w:ins w:id="3662" w:author="Master Repository Process" w:date="2022-05-27T14:27:00Z">
        <w:r>
          <w:t>), is taken to have occurred when the agreement for the acquisition was made;</w:t>
        </w:r>
      </w:ins>
      <w:r>
        <w:t xml:space="preserve"> and</w:t>
      </w:r>
    </w:p>
    <w:p>
      <w:pPr>
        <w:pStyle w:val="Indenta"/>
        <w:rPr>
          <w:del w:id="3663" w:author="Master Repository Process" w:date="2022-05-27T14:27:00Z"/>
        </w:rPr>
      </w:pPr>
      <w:r>
        <w:tab/>
        <w:t>(b)</w:t>
      </w:r>
      <w:r>
        <w:tab/>
        <w:t>since that assessment</w:t>
      </w:r>
      <w:del w:id="3664" w:author="Master Repository Process" w:date="2022-05-27T14:27:00Z">
        <w:r>
          <w:delText xml:space="preserve"> — </w:delText>
        </w:r>
      </w:del>
    </w:p>
    <w:p>
      <w:pPr>
        <w:pStyle w:val="Indenti"/>
        <w:rPr>
          <w:del w:id="3665" w:author="Master Repository Process" w:date="2022-05-27T14:27:00Z"/>
        </w:rPr>
      </w:pPr>
      <w:del w:id="3666" w:author="Master Repository Process" w:date="2022-05-27T14:27:00Z">
        <w:r>
          <w:tab/>
          <w:delText>(i)</w:delText>
        </w:r>
        <w:r>
          <w:tab/>
        </w:r>
      </w:del>
      <w:ins w:id="3667" w:author="Master Repository Process" w:date="2022-05-27T14:27:00Z">
        <w:r>
          <w:t xml:space="preserve">, </w:t>
        </w:r>
      </w:ins>
      <w:r>
        <w:t xml:space="preserve">the agreement has been rescinded, annulled or otherwise terminated without being completed; </w:t>
      </w:r>
      <w:del w:id="3668" w:author="Master Repository Process" w:date="2022-05-27T14:27:00Z">
        <w:r>
          <w:delText>or</w:delText>
        </w:r>
      </w:del>
    </w:p>
    <w:p>
      <w:pPr>
        <w:pStyle w:val="Indenti"/>
        <w:rPr>
          <w:del w:id="3669" w:author="Master Repository Process" w:date="2022-05-27T14:27:00Z"/>
        </w:rPr>
      </w:pPr>
      <w:del w:id="3670" w:author="Master Repository Process" w:date="2022-05-27T14:27:00Z">
        <w:r>
          <w:tab/>
          <w:delText>(ii)</w:delText>
        </w:r>
        <w:r>
          <w:tab/>
          <w:delText>subsection (2) has become applicable to the agreement;</w:delText>
        </w:r>
      </w:del>
    </w:p>
    <w:p>
      <w:pPr>
        <w:pStyle w:val="Indenta"/>
      </w:pPr>
      <w:del w:id="3671" w:author="Master Repository Process" w:date="2022-05-27T14:27:00Z">
        <w:r>
          <w:tab/>
        </w:r>
        <w:r>
          <w:tab/>
        </w:r>
      </w:del>
      <w:r>
        <w:t>and</w:t>
      </w:r>
    </w:p>
    <w:p>
      <w:pPr>
        <w:pStyle w:val="Indenta"/>
      </w:pPr>
      <w:r>
        <w:tab/>
        <w:t>(c)</w:t>
      </w:r>
      <w:r>
        <w:tab/>
        <w:t xml:space="preserve">had the acquisition not been </w:t>
      </w:r>
      <w:del w:id="3672" w:author="Master Repository Process" w:date="2022-05-27T14:27:00Z">
        <w:r>
          <w:delText>treated</w:delText>
        </w:r>
      </w:del>
      <w:ins w:id="3673" w:author="Master Repository Process" w:date="2022-05-27T14:27:00Z">
        <w:r>
          <w:t>taken to have occurred when the agreement for the acquisition was made</w:t>
        </w:r>
      </w:ins>
      <w:r>
        <w:t xml:space="preserve"> as mentioned in paragraph (a</w:t>
      </w:r>
      <w:del w:id="3674" w:author="Master Repository Process" w:date="2022-05-27T14:27:00Z">
        <w:r>
          <w:delText>)</w:delText>
        </w:r>
      </w:del>
      <w:ins w:id="3675" w:author="Master Repository Process" w:date="2022-05-27T14:27:00Z">
        <w:r>
          <w:t>),</w:t>
        </w:r>
      </w:ins>
      <w:r>
        <w:t xml:space="preserve"> the liability for duty in respect of the relevant acquisition would not have arisen.</w:t>
      </w:r>
    </w:p>
    <w:p>
      <w:pPr>
        <w:pStyle w:val="Subsection"/>
        <w:spacing w:before="180"/>
        <w:rPr>
          <w:del w:id="3676" w:author="Master Repository Process" w:date="2022-05-27T14:27:00Z"/>
        </w:rPr>
      </w:pPr>
      <w:del w:id="3677" w:author="Master Repository Process" w:date="2022-05-27T14:27:00Z">
        <w:r>
          <w:tab/>
          <w:delText>(2)</w:delText>
        </w:r>
        <w:r>
          <w:tab/>
          <w:delText xml:space="preserve">This subsection has become applicable to an agreement that is taken to exist under section 177(2) or (3) if — </w:delText>
        </w:r>
      </w:del>
    </w:p>
    <w:p>
      <w:pPr>
        <w:pStyle w:val="Indenta"/>
        <w:rPr>
          <w:del w:id="3678" w:author="Master Repository Process" w:date="2022-05-27T14:27:00Z"/>
        </w:rPr>
      </w:pPr>
      <w:del w:id="3679" w:author="Master Repository Process" w:date="2022-05-27T14:27:00Z">
        <w:r>
          <w:tab/>
          <w:delText>(a)</w:delText>
        </w:r>
        <w:r>
          <w:tab/>
          <w:delText xml:space="preserve">the call option and the put option of the simultaneous put and call option referred to in section 177(2) or (3) — </w:delText>
        </w:r>
      </w:del>
    </w:p>
    <w:p>
      <w:pPr>
        <w:pStyle w:val="Indenti"/>
        <w:rPr>
          <w:del w:id="3680" w:author="Master Repository Process" w:date="2022-05-27T14:27:00Z"/>
        </w:rPr>
      </w:pPr>
      <w:del w:id="3681" w:author="Master Repository Process" w:date="2022-05-27T14:27:00Z">
        <w:r>
          <w:tab/>
          <w:delText>(i)</w:delText>
        </w:r>
        <w:r>
          <w:tab/>
          <w:delText>both expire without being exercised; or</w:delText>
        </w:r>
      </w:del>
    </w:p>
    <w:p>
      <w:pPr>
        <w:pStyle w:val="Indenti"/>
        <w:keepNext/>
        <w:rPr>
          <w:del w:id="3682" w:author="Master Repository Process" w:date="2022-05-27T14:27:00Z"/>
        </w:rPr>
      </w:pPr>
      <w:del w:id="3683" w:author="Master Repository Process" w:date="2022-05-27T14:27:00Z">
        <w:r>
          <w:tab/>
          <w:delText>(ii)</w:delText>
        </w:r>
        <w:r>
          <w:tab/>
          <w:delText>are rescinded or cancelled by agreement, or either is rescinded or cancelled and the other expires without being exercised;</w:delText>
        </w:r>
      </w:del>
    </w:p>
    <w:p>
      <w:pPr>
        <w:pStyle w:val="Indenta"/>
        <w:rPr>
          <w:del w:id="3684" w:author="Master Repository Process" w:date="2022-05-27T14:27:00Z"/>
        </w:rPr>
      </w:pPr>
      <w:del w:id="3685" w:author="Master Repository Process" w:date="2022-05-27T14:27:00Z">
        <w:r>
          <w:tab/>
        </w:r>
        <w:r>
          <w:tab/>
          <w:delText>and</w:delText>
        </w:r>
      </w:del>
    </w:p>
    <w:p>
      <w:pPr>
        <w:pStyle w:val="Indenta"/>
        <w:rPr>
          <w:del w:id="3686" w:author="Master Repository Process" w:date="2022-05-27T14:27:00Z"/>
        </w:rPr>
      </w:pPr>
      <w:del w:id="3687" w:author="Master Repository Process" w:date="2022-05-27T14:27:00Z">
        <w:r>
          <w:tab/>
          <w:delText>(b)</w:delText>
        </w:r>
        <w:r>
          <w:tab/>
          <w:delText>the call option has not been assigned or further assigned as referred to in section 177(3).</w:delText>
        </w:r>
      </w:del>
    </w:p>
    <w:p>
      <w:pPr>
        <w:pStyle w:val="Subsection"/>
      </w:pPr>
      <w:del w:id="3688" w:author="Master Repository Process" w:date="2022-05-27T14:27:00Z">
        <w:r>
          <w:tab/>
          <w:delText>(3</w:delText>
        </w:r>
      </w:del>
      <w:ins w:id="3689" w:author="Master Repository Process" w:date="2022-05-27T14:27:00Z">
        <w:r>
          <w:tab/>
          <w:t>(2</w:t>
        </w:r>
      </w:ins>
      <w:r>
        <w:t>)</w:t>
      </w:r>
      <w:r>
        <w:tab/>
        <w:t xml:space="preserve">On application made by a person that has paid or is liable to pay the duty, if subsection (1) applies, the Commissioner is to make a reassessment of the duty disregarding </w:t>
      </w:r>
      <w:del w:id="3690" w:author="Master Repository Process" w:date="2022-05-27T14:27:00Z">
        <w:r>
          <w:delText>the</w:delText>
        </w:r>
      </w:del>
      <w:ins w:id="3691" w:author="Master Repository Process" w:date="2022-05-27T14:27:00Z">
        <w:r>
          <w:t>that terminated</w:t>
        </w:r>
      </w:ins>
      <w:r>
        <w:t xml:space="preserve"> agreement</w:t>
      </w:r>
      <w:del w:id="3692" w:author="Master Repository Process" w:date="2022-05-27T14:27:00Z">
        <w:r>
          <w:delText xml:space="preserve"> referred to in subsection (1)(a).</w:delText>
        </w:r>
      </w:del>
      <w:ins w:id="3693" w:author="Master Repository Process" w:date="2022-05-27T14:27:00Z">
        <w:r>
          <w:t>.</w:t>
        </w:r>
      </w:ins>
    </w:p>
    <w:p>
      <w:pPr>
        <w:pStyle w:val="Subsection"/>
        <w:rPr>
          <w:ins w:id="3694" w:author="Master Repository Process" w:date="2022-05-27T14:27:00Z"/>
        </w:rPr>
      </w:pPr>
      <w:ins w:id="3695" w:author="Master Repository Process" w:date="2022-05-27T14:27:00Z">
        <w:r>
          <w:tab/>
          <w:t>(3)</w:t>
        </w:r>
        <w:r>
          <w:tab/>
          <w:t>Section 176(2) does not apply to a terminated agreement for the purposes of a reassessment required under subsection (1).</w:t>
        </w:r>
      </w:ins>
    </w:p>
    <w:p>
      <w:pPr>
        <w:pStyle w:val="Footnotesection"/>
        <w:rPr>
          <w:ins w:id="3696" w:author="Master Repository Process" w:date="2022-05-27T14:27:00Z"/>
        </w:rPr>
      </w:pPr>
      <w:ins w:id="3697" w:author="Master Repository Process" w:date="2022-05-27T14:27:00Z">
        <w:r>
          <w:tab/>
          <w:t>[Section 196 inserted: No. 12 of 2019 s. 93.]</w:t>
        </w:r>
      </w:ins>
    </w:p>
    <w:p>
      <w:pPr>
        <w:pStyle w:val="Heading5"/>
        <w:spacing w:before="240"/>
        <w:rPr>
          <w:ins w:id="3698" w:author="Master Repository Process" w:date="2022-05-27T14:27:00Z"/>
        </w:rPr>
      </w:pPr>
      <w:bookmarkStart w:id="3699" w:name="_Toc104291104"/>
      <w:ins w:id="3700" w:author="Master Repository Process" w:date="2022-05-27T14:27:00Z">
        <w:r>
          <w:rPr>
            <w:rStyle w:val="CharSectno"/>
          </w:rPr>
          <w:t>197</w:t>
        </w:r>
        <w:r>
          <w:t>.</w:t>
        </w:r>
        <w:r>
          <w:tab/>
          <w:t>Condition precedent to reassessment under s. 195 or 196</w:t>
        </w:r>
        <w:bookmarkEnd w:id="3699"/>
      </w:ins>
    </w:p>
    <w:p>
      <w:pPr>
        <w:pStyle w:val="Subsection"/>
        <w:rPr>
          <w:ins w:id="3701" w:author="Master Repository Process" w:date="2022-05-27T14:27:00Z"/>
        </w:rPr>
      </w:pPr>
      <w:ins w:id="3702" w:author="Master Repository Process" w:date="2022-05-27T14:27:00Z">
        <w:r>
          <w:tab/>
        </w:r>
        <w:r>
          <w:tab/>
          <w:t>Despite section 195(3)(a) or 196(2),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ins>
    </w:p>
    <w:p>
      <w:pPr>
        <w:pStyle w:val="Footnotesection"/>
        <w:rPr>
          <w:ins w:id="3703" w:author="Master Repository Process" w:date="2022-05-27T14:27:00Z"/>
        </w:rPr>
      </w:pPr>
      <w:ins w:id="3704" w:author="Master Repository Process" w:date="2022-05-27T14:27:00Z">
        <w:r>
          <w:tab/>
          <w:t>[Section 197 amended: No. 12 of 2019 s. 94.]</w:t>
        </w:r>
      </w:ins>
    </w:p>
    <w:p>
      <w:pPr>
        <w:pStyle w:val="Heading5"/>
        <w:rPr>
          <w:ins w:id="3705" w:author="Master Repository Process" w:date="2022-05-27T14:27:00Z"/>
        </w:rPr>
      </w:pPr>
      <w:bookmarkStart w:id="3706" w:name="_Toc104291105"/>
      <w:ins w:id="3707" w:author="Master Repository Process" w:date="2022-05-27T14:27:00Z">
        <w:r>
          <w:rPr>
            <w:rStyle w:val="CharSectno"/>
          </w:rPr>
          <w:t>197A</w:t>
        </w:r>
        <w:r>
          <w:t>.</w:t>
        </w:r>
        <w:r>
          <w:tab/>
          <w:t>Expired put and call options taken to be terminated</w:t>
        </w:r>
        <w:bookmarkEnd w:id="3706"/>
      </w:ins>
    </w:p>
    <w:p>
      <w:pPr>
        <w:pStyle w:val="Subsection"/>
        <w:rPr>
          <w:ins w:id="3708" w:author="Master Repository Process" w:date="2022-05-27T14:27:00Z"/>
        </w:rPr>
      </w:pPr>
      <w:ins w:id="3709" w:author="Master Repository Process" w:date="2022-05-27T14:27:00Z">
        <w:r>
          <w:tab/>
          <w:t>(1)</w:t>
        </w:r>
        <w:r>
          <w:tab/>
          <w:t xml:space="preserve">In this section — </w:t>
        </w:r>
      </w:ins>
    </w:p>
    <w:p>
      <w:pPr>
        <w:pStyle w:val="Defstart"/>
        <w:rPr>
          <w:ins w:id="3710" w:author="Master Repository Process" w:date="2022-05-27T14:27:00Z"/>
        </w:rPr>
      </w:pPr>
      <w:ins w:id="3711" w:author="Master Repository Process" w:date="2022-05-27T14:27:00Z">
        <w:r>
          <w:tab/>
        </w:r>
        <w:r>
          <w:rPr>
            <w:rStyle w:val="CharDefText"/>
          </w:rPr>
          <w:t>call option</w:t>
        </w:r>
        <w:r>
          <w:t xml:space="preserve"> means the call option of a simultaneous put and call option referred to in section 177(2) or (3);</w:t>
        </w:r>
      </w:ins>
    </w:p>
    <w:p>
      <w:pPr>
        <w:pStyle w:val="Defstart"/>
        <w:rPr>
          <w:ins w:id="3712" w:author="Master Repository Process" w:date="2022-05-27T14:27:00Z"/>
        </w:rPr>
      </w:pPr>
      <w:ins w:id="3713" w:author="Master Repository Process" w:date="2022-05-27T14:27:00Z">
        <w:r>
          <w:tab/>
        </w:r>
        <w:r>
          <w:rPr>
            <w:rStyle w:val="CharDefText"/>
          </w:rPr>
          <w:t>put option</w:t>
        </w:r>
        <w:r>
          <w:t xml:space="preserve"> means the put option of a simultaneous put and call option referred to in section 177(2) or (3).</w:t>
        </w:r>
      </w:ins>
    </w:p>
    <w:p>
      <w:pPr>
        <w:pStyle w:val="Subsection"/>
        <w:rPr>
          <w:ins w:id="3714" w:author="Master Repository Process" w:date="2022-05-27T14:27:00Z"/>
        </w:rPr>
      </w:pPr>
      <w:ins w:id="3715" w:author="Master Repository Process" w:date="2022-05-27T14:27:00Z">
        <w:r>
          <w:tab/>
          <w:t>(2)</w:t>
        </w:r>
        <w:r>
          <w:tab/>
          <w:t xml:space="preserve">For the purposes of this Division and section 200, an agreement that is taken to exist under section 177(2) or (3) is taken to be terminated without being completed if — </w:t>
        </w:r>
      </w:ins>
    </w:p>
    <w:p>
      <w:pPr>
        <w:pStyle w:val="Indenta"/>
        <w:rPr>
          <w:ins w:id="3716" w:author="Master Repository Process" w:date="2022-05-27T14:27:00Z"/>
        </w:rPr>
      </w:pPr>
      <w:ins w:id="3717" w:author="Master Repository Process" w:date="2022-05-27T14:27:00Z">
        <w:r>
          <w:tab/>
          <w:t>(a)</w:t>
        </w:r>
        <w:r>
          <w:tab/>
          <w:t>the call option and the put option both expire without being exercised; or</w:t>
        </w:r>
      </w:ins>
    </w:p>
    <w:p>
      <w:pPr>
        <w:pStyle w:val="Indenta"/>
        <w:rPr>
          <w:ins w:id="3718" w:author="Master Repository Process" w:date="2022-05-27T14:27:00Z"/>
        </w:rPr>
      </w:pPr>
      <w:ins w:id="3719" w:author="Master Repository Process" w:date="2022-05-27T14:27:00Z">
        <w:r>
          <w:tab/>
          <w:t>(b)</w:t>
        </w:r>
        <w:r>
          <w:tab/>
          <w:t>the call option and the put option are both rescinded or cancelled by agreement; or</w:t>
        </w:r>
      </w:ins>
    </w:p>
    <w:p>
      <w:pPr>
        <w:pStyle w:val="Indenta"/>
        <w:rPr>
          <w:ins w:id="3720" w:author="Master Repository Process" w:date="2022-05-27T14:27:00Z"/>
        </w:rPr>
      </w:pPr>
      <w:ins w:id="3721" w:author="Master Repository Process" w:date="2022-05-27T14:27:00Z">
        <w:r>
          <w:tab/>
          <w:t>(c)</w:t>
        </w:r>
        <w:r>
          <w:tab/>
          <w:t>either the call option or the put option is rescinded or cancelled by agreement and the other expires without being exercised.</w:t>
        </w:r>
      </w:ins>
    </w:p>
    <w:p>
      <w:pPr>
        <w:pStyle w:val="Subsection"/>
        <w:rPr>
          <w:ins w:id="3722" w:author="Master Repository Process" w:date="2022-05-27T14:27:00Z"/>
        </w:rPr>
      </w:pPr>
      <w:ins w:id="3723" w:author="Master Repository Process" w:date="2022-05-27T14:27:00Z">
        <w:r>
          <w:tab/>
          <w:t>(3)</w:t>
        </w:r>
        <w:r>
          <w:tab/>
          <w:t>Subsection (2) does not apply if the call option has been assigned or further assigned as referred to in section 177(3).</w:t>
        </w:r>
      </w:ins>
    </w:p>
    <w:p>
      <w:pPr>
        <w:pStyle w:val="Subsection"/>
      </w:pPr>
      <w:r>
        <w:tab/>
        <w:t>(4)</w:t>
      </w:r>
      <w:r>
        <w:tab/>
        <w:t xml:space="preserve">If a reassessment is required under </w:t>
      </w:r>
      <w:del w:id="3724" w:author="Master Repository Process" w:date="2022-05-27T14:27:00Z">
        <w:r>
          <w:delText>subsection (1)(b)(ii),</w:delText>
        </w:r>
      </w:del>
      <w:ins w:id="3725" w:author="Master Repository Process" w:date="2022-05-27T14:27:00Z">
        <w:r>
          <w:t>section 195 or 196 as a result of an agreement that was taken to exist under section 177(2) or (3) being taken to be terminated under subsection (2) of this section,</w:t>
        </w:r>
      </w:ins>
      <w:r>
        <w:t xml:space="preserve"> the Taxation Administration Act section 17 applies as if the original assessment had been made as soon as subsection (2) </w:t>
      </w:r>
      <w:ins w:id="3726" w:author="Master Repository Process" w:date="2022-05-27T14:27:00Z">
        <w:r>
          <w:t xml:space="preserve">of this section </w:t>
        </w:r>
      </w:ins>
      <w:r>
        <w:t>became applicable</w:t>
      </w:r>
      <w:del w:id="3727" w:author="Master Repository Process" w:date="2022-05-27T14:27:00Z">
        <w:r>
          <w:delText xml:space="preserve"> to the agreement that was taken to exist under section 177(2) or (3).</w:delText>
        </w:r>
      </w:del>
      <w:ins w:id="3728" w:author="Master Repository Process" w:date="2022-05-27T14:27:00Z">
        <w:r>
          <w:t>.</w:t>
        </w:r>
      </w:ins>
    </w:p>
    <w:p>
      <w:pPr>
        <w:pStyle w:val="Heading5"/>
        <w:spacing w:before="240"/>
        <w:rPr>
          <w:del w:id="3729" w:author="Master Repository Process" w:date="2022-05-27T14:27:00Z"/>
        </w:rPr>
      </w:pPr>
      <w:bookmarkStart w:id="3730" w:name="_Toc531859445"/>
      <w:del w:id="3731" w:author="Master Repository Process" w:date="2022-05-27T14:27:00Z">
        <w:r>
          <w:rPr>
            <w:rStyle w:val="CharSectno"/>
          </w:rPr>
          <w:delText>197</w:delText>
        </w:r>
        <w:r>
          <w:delText>.</w:delText>
        </w:r>
        <w:r>
          <w:tab/>
          <w:delText>Condition precedent to reassessment under s. 195 or 196</w:delText>
        </w:r>
        <w:bookmarkEnd w:id="3730"/>
      </w:del>
    </w:p>
    <w:p>
      <w:pPr>
        <w:pStyle w:val="Subsection"/>
        <w:rPr>
          <w:del w:id="3732" w:author="Master Repository Process" w:date="2022-05-27T14:27:00Z"/>
        </w:rPr>
      </w:pPr>
      <w:del w:id="3733" w:author="Master Repository Process" w:date="2022-05-27T14:27:00Z">
        <w:r>
          <w:tab/>
        </w:r>
        <w:r>
          <w:tab/>
          <w:delTex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delText>
        </w:r>
      </w:del>
    </w:p>
    <w:p>
      <w:pPr>
        <w:pStyle w:val="Footnotesection"/>
        <w:rPr>
          <w:ins w:id="3734" w:author="Master Repository Process" w:date="2022-05-27T14:27:00Z"/>
        </w:rPr>
      </w:pPr>
      <w:ins w:id="3735" w:author="Master Repository Process" w:date="2022-05-27T14:27:00Z">
        <w:r>
          <w:tab/>
          <w:t>[Section 197A inserted: No. 12 of 2019 s. 95.]</w:t>
        </w:r>
      </w:ins>
    </w:p>
    <w:p>
      <w:pPr>
        <w:pStyle w:val="Heading5"/>
        <w:spacing w:before="180"/>
      </w:pPr>
      <w:bookmarkStart w:id="3736" w:name="_Toc104291106"/>
      <w:bookmarkStart w:id="3737" w:name="_Toc531859446"/>
      <w:r>
        <w:rPr>
          <w:rStyle w:val="CharSectno"/>
        </w:rPr>
        <w:t>198</w:t>
      </w:r>
      <w:r>
        <w:t>.</w:t>
      </w:r>
      <w:r>
        <w:tab/>
      </w:r>
      <w:r>
        <w:rPr>
          <w:iCs/>
        </w:rPr>
        <w:t>Taxation Administration Act</w:t>
      </w:r>
      <w:r>
        <w:t xml:space="preserve"> not affected</w:t>
      </w:r>
      <w:bookmarkEnd w:id="3736"/>
      <w:bookmarkEnd w:id="3737"/>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spacing w:before="200"/>
        <w:rPr>
          <w:sz w:val="26"/>
        </w:rPr>
      </w:pPr>
      <w:bookmarkStart w:id="3738" w:name="_Toc37946912"/>
      <w:bookmarkStart w:id="3739" w:name="_Toc37947512"/>
      <w:bookmarkStart w:id="3740" w:name="_Toc38031576"/>
      <w:bookmarkStart w:id="3741" w:name="_Toc93310085"/>
      <w:bookmarkStart w:id="3742" w:name="_Toc104291107"/>
      <w:bookmarkStart w:id="3743" w:name="_Toc530491832"/>
      <w:bookmarkStart w:id="3744" w:name="_Toc530492292"/>
      <w:bookmarkStart w:id="3745" w:name="_Toc530493302"/>
      <w:bookmarkStart w:id="3746" w:name="_Toc530556437"/>
      <w:bookmarkStart w:id="3747" w:name="_Toc531692275"/>
      <w:bookmarkStart w:id="3748" w:name="_Toc531856180"/>
      <w:bookmarkStart w:id="3749" w:name="_Toc531858908"/>
      <w:bookmarkStart w:id="3750" w:name="_Toc531859447"/>
      <w:r>
        <w:rPr>
          <w:sz w:val="26"/>
        </w:rPr>
        <w:t>Division 7 — Lodgment of statements</w:t>
      </w:r>
      <w:bookmarkEnd w:id="3738"/>
      <w:bookmarkEnd w:id="3739"/>
      <w:bookmarkEnd w:id="3740"/>
      <w:bookmarkEnd w:id="3741"/>
      <w:bookmarkEnd w:id="3742"/>
      <w:bookmarkEnd w:id="3743"/>
      <w:bookmarkEnd w:id="3744"/>
      <w:bookmarkEnd w:id="3745"/>
      <w:bookmarkEnd w:id="3746"/>
      <w:bookmarkEnd w:id="3747"/>
      <w:bookmarkEnd w:id="3748"/>
      <w:bookmarkEnd w:id="3749"/>
      <w:bookmarkEnd w:id="3750"/>
    </w:p>
    <w:p>
      <w:pPr>
        <w:pStyle w:val="Heading5"/>
        <w:spacing w:before="180"/>
      </w:pPr>
      <w:bookmarkStart w:id="3751" w:name="_Toc104291108"/>
      <w:bookmarkStart w:id="3752" w:name="_Toc531859448"/>
      <w:r>
        <w:rPr>
          <w:rStyle w:val="CharSectno"/>
        </w:rPr>
        <w:t>199</w:t>
      </w:r>
      <w:r>
        <w:t>.</w:t>
      </w:r>
      <w:r>
        <w:tab/>
        <w:t>Term used: acquisition statement</w:t>
      </w:r>
      <w:bookmarkEnd w:id="3751"/>
      <w:bookmarkEnd w:id="3752"/>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keepNext w:val="0"/>
        <w:keepLines w:val="0"/>
        <w:spacing w:before="180"/>
      </w:pPr>
      <w:bookmarkStart w:id="3753" w:name="_Toc104291109"/>
      <w:bookmarkStart w:id="3754" w:name="_Toc531859449"/>
      <w:r>
        <w:rPr>
          <w:rStyle w:val="CharSectno"/>
        </w:rPr>
        <w:t>200</w:t>
      </w:r>
      <w:r>
        <w:t>.</w:t>
      </w:r>
      <w:r>
        <w:tab/>
        <w:t xml:space="preserve">Acquisition statement </w:t>
      </w:r>
      <w:ins w:id="3755" w:author="Master Repository Process" w:date="2022-05-27T14:27:00Z">
        <w:r>
          <w:t xml:space="preserve">or agreement </w:t>
        </w:r>
      </w:ins>
      <w:r>
        <w:t>to be lodged</w:t>
      </w:r>
      <w:bookmarkEnd w:id="3753"/>
      <w:bookmarkEnd w:id="3754"/>
    </w:p>
    <w:p>
      <w:pPr>
        <w:pStyle w:val="Subsection"/>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del w:id="3756" w:author="Master Repository Process" w:date="2022-05-27T14:27:00Z">
        <w:r>
          <w:delText>.</w:delText>
        </w:r>
      </w:del>
      <w:ins w:id="3757" w:author="Master Repository Process" w:date="2022-05-27T14:27:00Z">
        <w:r>
          <w:t>; or</w:t>
        </w:r>
      </w:ins>
    </w:p>
    <w:p>
      <w:pPr>
        <w:pStyle w:val="Indenta"/>
        <w:rPr>
          <w:ins w:id="3758" w:author="Master Repository Process" w:date="2022-05-27T14:27:00Z"/>
        </w:rPr>
      </w:pPr>
      <w:ins w:id="3759" w:author="Master Repository Process" w:date="2022-05-27T14:27:00Z">
        <w:r>
          <w:tab/>
          <w:t>(c)</w:t>
        </w:r>
        <w:r>
          <w:tab/>
          <w:t>the agreement for the making of the acquisition has been lodged in accordance with subsection (2A).</w:t>
        </w:r>
      </w:ins>
    </w:p>
    <w:p>
      <w:pPr>
        <w:pStyle w:val="Subsection"/>
        <w:rPr>
          <w:ins w:id="3760" w:author="Master Repository Process" w:date="2022-05-27T14:27:00Z"/>
        </w:rPr>
      </w:pPr>
      <w:ins w:id="3761" w:author="Master Repository Process" w:date="2022-05-27T14:27:00Z">
        <w:r>
          <w:tab/>
          <w:t>(2A)</w:t>
        </w:r>
        <w:r>
          <w:tab/>
          <w:t>If there is an agreement for the making of the acquisition, the agreement may be lodged instead of an acquisition statement.</w:t>
        </w:r>
      </w:ins>
    </w:p>
    <w:p>
      <w:pPr>
        <w:pStyle w:val="Subsection"/>
      </w:pPr>
      <w:r>
        <w:tab/>
        <w:t>(3)</w:t>
      </w:r>
      <w:r>
        <w:tab/>
        <w:t>An acquisition statement under subsection (2</w:t>
      </w:r>
      <w:ins w:id="3762" w:author="Master Repository Process" w:date="2022-05-27T14:27:00Z">
        <w:r>
          <w:t>) or agreement under subsection (2A</w:t>
        </w:r>
      </w:ins>
      <w:r>
        <w:t>) must be lodged not later than 2 months after the day on which the relevant acquisition occurred or is taken to have occurred or within such further time as is allowed under subsection (4).</w:t>
      </w:r>
    </w:p>
    <w:p>
      <w:pPr>
        <w:pStyle w:val="Subsection"/>
      </w:pPr>
      <w:r>
        <w:tab/>
        <w:t>(4)</w:t>
      </w:r>
      <w:r>
        <w:tab/>
        <w:t xml:space="preserve">The Commissioner may from time to time, on application by a person or entity referred to in section 204, extend the time allowed for the lodgment of an acquisition statement </w:t>
      </w:r>
      <w:ins w:id="3763" w:author="Master Repository Process" w:date="2022-05-27T14:27:00Z">
        <w:r>
          <w:t xml:space="preserve">or agreement </w:t>
        </w:r>
      </w:ins>
      <w:r>
        <w:t>under this section, and may do so on such conditions as the Commissioner thinks fit.</w:t>
      </w:r>
    </w:p>
    <w:p>
      <w:pPr>
        <w:pStyle w:val="Subsection"/>
      </w:pPr>
      <w:r>
        <w:tab/>
        <w:t>(5)</w:t>
      </w:r>
      <w:r>
        <w:tab/>
        <w:t xml:space="preserve">An application under subsection (4) in respect of an acquisition statement </w:t>
      </w:r>
      <w:ins w:id="3764" w:author="Master Repository Process" w:date="2022-05-27T14:27:00Z">
        <w:r>
          <w:t xml:space="preserve">or agreement </w:t>
        </w:r>
      </w:ins>
      <w:r>
        <w:t xml:space="preserve">must be made — </w:t>
      </w:r>
    </w:p>
    <w:p>
      <w:pPr>
        <w:pStyle w:val="Indenta"/>
      </w:pPr>
      <w:r>
        <w:tab/>
        <w:t>(a)</w:t>
      </w:r>
      <w:r>
        <w:tab/>
        <w:t>before the expiry of the allowed time applicable to the statement</w:t>
      </w:r>
      <w:ins w:id="3765" w:author="Master Repository Process" w:date="2022-05-27T14:27:00Z">
        <w:r>
          <w:t xml:space="preserve"> or agreement</w:t>
        </w:r>
      </w:ins>
      <w:r>
        <w:t>; and</w:t>
      </w:r>
    </w:p>
    <w:p>
      <w:pPr>
        <w:pStyle w:val="Indenta"/>
      </w:pPr>
      <w:r>
        <w:tab/>
        <w:t>(b)</w:t>
      </w:r>
      <w:r>
        <w:tab/>
        <w:t>in the approved form.</w:t>
      </w:r>
    </w:p>
    <w:p>
      <w:pPr>
        <w:pStyle w:val="Subsection"/>
        <w:rPr>
          <w:ins w:id="3766" w:author="Master Repository Process" w:date="2022-05-27T14:27:00Z"/>
        </w:rPr>
      </w:pPr>
      <w:ins w:id="3767" w:author="Master Repository Process" w:date="2022-05-27T14:27:00Z">
        <w:r>
          <w:tab/>
          <w:t>(6)</w:t>
        </w:r>
        <w:r>
          <w:tab/>
          <w:t>The obligation to lodge an acquisition statement under subsection (2) or agreement under subsection (2A) applies in relation to an acquisition even if the agreement for the making of the acquisition has been rescinded, annulled or otherwise terminated without being completed, whether that rescission, annulment or termination occurs before or after the expiry of the allowed time applicable to the statement or agreement.</w:t>
        </w:r>
      </w:ins>
    </w:p>
    <w:p>
      <w:pPr>
        <w:pStyle w:val="Footnotesection"/>
        <w:rPr>
          <w:ins w:id="3768" w:author="Master Repository Process" w:date="2022-05-27T14:27:00Z"/>
        </w:rPr>
      </w:pPr>
      <w:ins w:id="3769" w:author="Master Repository Process" w:date="2022-05-27T14:27:00Z">
        <w:r>
          <w:tab/>
          <w:t>[Section 200 amended: No. 12 of 2019 s. 96.]</w:t>
        </w:r>
      </w:ins>
    </w:p>
    <w:p>
      <w:pPr>
        <w:pStyle w:val="Heading5"/>
      </w:pPr>
      <w:bookmarkStart w:id="3770" w:name="_Toc104291110"/>
      <w:bookmarkStart w:id="3771" w:name="_Toc531859450"/>
      <w:r>
        <w:rPr>
          <w:rStyle w:val="CharSectno"/>
        </w:rPr>
        <w:t>201</w:t>
      </w:r>
      <w:r>
        <w:t>.</w:t>
      </w:r>
      <w:r>
        <w:tab/>
        <w:t>Acquisition of further interests, lodgment of periodical statements may be approved</w:t>
      </w:r>
      <w:bookmarkEnd w:id="3770"/>
      <w:bookmarkEnd w:id="3771"/>
    </w:p>
    <w:p>
      <w:pPr>
        <w:pStyle w:val="Subsection"/>
        <w:keepNext/>
      </w:pPr>
      <w:r>
        <w:tab/>
        <w:t>(1)</w:t>
      </w:r>
      <w:r>
        <w:tab/>
        <w:t xml:space="preserve">This section applies where — </w:t>
      </w:r>
    </w:p>
    <w:p>
      <w:pPr>
        <w:pStyle w:val="Indenta"/>
      </w:pPr>
      <w:r>
        <w:tab/>
        <w:t>(a)</w:t>
      </w:r>
      <w:r>
        <w:tab/>
        <w:t>by a relevant acquisition referred to in section </w:t>
      </w:r>
      <w:del w:id="3772" w:author="Master Repository Process" w:date="2022-05-27T14:27:00Z">
        <w:r>
          <w:delText>164</w:delText>
        </w:r>
      </w:del>
      <w:ins w:id="3773" w:author="Master Repository Process" w:date="2022-05-27T14:27:00Z">
        <w:r>
          <w:t>163(1)(c) or (d)</w:t>
        </w:r>
      </w:ins>
      <w:r>
        <w:t xml:space="preserve">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Footnotesection"/>
        <w:rPr>
          <w:ins w:id="3774" w:author="Master Repository Process" w:date="2022-05-27T14:27:00Z"/>
        </w:rPr>
      </w:pPr>
      <w:ins w:id="3775" w:author="Master Repository Process" w:date="2022-05-27T14:27:00Z">
        <w:r>
          <w:tab/>
          <w:t>[Section 201 amended: No. 12 of 2019 s. 97.]</w:t>
        </w:r>
      </w:ins>
    </w:p>
    <w:p>
      <w:pPr>
        <w:pStyle w:val="Heading5"/>
        <w:spacing w:before="180"/>
      </w:pPr>
      <w:bookmarkStart w:id="3776" w:name="_Toc104291111"/>
      <w:bookmarkStart w:id="3777" w:name="_Toc531859451"/>
      <w:r>
        <w:rPr>
          <w:rStyle w:val="CharSectno"/>
        </w:rPr>
        <w:t>202</w:t>
      </w:r>
      <w:r>
        <w:t>.</w:t>
      </w:r>
      <w:r>
        <w:tab/>
        <w:t>Lodgment obligations if s. 201 application refused</w:t>
      </w:r>
      <w:bookmarkEnd w:id="3776"/>
      <w:bookmarkEnd w:id="3777"/>
    </w:p>
    <w:p>
      <w:pPr>
        <w:pStyle w:val="Subsection"/>
        <w:spacing w:before="12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spacing w:before="120"/>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spacing w:before="120"/>
      </w:pPr>
      <w:r>
        <w:tab/>
      </w:r>
      <w:r>
        <w:tab/>
        <w:t>and section 200 does not apply to those acquisitions.</w:t>
      </w:r>
    </w:p>
    <w:p>
      <w:pPr>
        <w:pStyle w:val="Heading5"/>
      </w:pPr>
      <w:bookmarkStart w:id="3778" w:name="_Toc104291112"/>
      <w:bookmarkStart w:id="3779" w:name="_Toc531859452"/>
      <w:r>
        <w:rPr>
          <w:rStyle w:val="CharSectno"/>
        </w:rPr>
        <w:t>203</w:t>
      </w:r>
      <w:r>
        <w:t>.</w:t>
      </w:r>
      <w:r>
        <w:tab/>
        <w:t xml:space="preserve">Form </w:t>
      </w:r>
      <w:del w:id="3780" w:author="Master Repository Process" w:date="2022-05-27T14:27:00Z">
        <w:r>
          <w:delText xml:space="preserve">and content </w:delText>
        </w:r>
      </w:del>
      <w:r>
        <w:t>of acquisition statements</w:t>
      </w:r>
      <w:bookmarkEnd w:id="3778"/>
      <w:bookmarkEnd w:id="3779"/>
    </w:p>
    <w:p>
      <w:pPr>
        <w:pStyle w:val="Subsection"/>
        <w:rPr>
          <w:del w:id="3781" w:author="Master Repository Process" w:date="2022-05-27T14:27:00Z"/>
        </w:rPr>
      </w:pPr>
      <w:r>
        <w:tab/>
        <w:t>(1)</w:t>
      </w:r>
      <w:r>
        <w:tab/>
        <w:t>An acquisition statement must</w:t>
      </w:r>
      <w:del w:id="3782" w:author="Master Repository Process" w:date="2022-05-27T14:27:00Z">
        <w:r>
          <w:delText xml:space="preserve"> — </w:delText>
        </w:r>
      </w:del>
    </w:p>
    <w:p>
      <w:pPr>
        <w:pStyle w:val="Subsection"/>
      </w:pPr>
      <w:del w:id="3783" w:author="Master Repository Process" w:date="2022-05-27T14:27:00Z">
        <w:r>
          <w:tab/>
          <w:delText>(a)</w:delText>
        </w:r>
        <w:r>
          <w:tab/>
        </w:r>
      </w:del>
      <w:ins w:id="3784" w:author="Master Repository Process" w:date="2022-05-27T14:27:00Z">
        <w:r>
          <w:t xml:space="preserve"> </w:t>
        </w:r>
      </w:ins>
      <w:r>
        <w:t>be in the approved form</w:t>
      </w:r>
      <w:del w:id="3785" w:author="Master Repository Process" w:date="2022-05-27T14:27:00Z">
        <w:r>
          <w:delText>; and</w:delText>
        </w:r>
      </w:del>
      <w:ins w:id="3786" w:author="Master Repository Process" w:date="2022-05-27T14:27:00Z">
        <w:r>
          <w:t>.</w:t>
        </w:r>
      </w:ins>
    </w:p>
    <w:p>
      <w:pPr>
        <w:pStyle w:val="Indenta"/>
        <w:rPr>
          <w:del w:id="3787" w:author="Master Repository Process" w:date="2022-05-27T14:27:00Z"/>
        </w:rPr>
      </w:pPr>
      <w:del w:id="3788" w:author="Master Repository Process" w:date="2022-05-27T14:27:00Z">
        <w:r>
          <w:tab/>
          <w:delText>(b)</w:delText>
        </w:r>
        <w:r>
          <w:tab/>
          <w:delText xml:space="preserve">contain such information and particulars as are prescribed. </w:delText>
        </w:r>
      </w:del>
    </w:p>
    <w:p>
      <w:pPr>
        <w:pStyle w:val="Subsection"/>
      </w:pPr>
      <w:r>
        <w:tab/>
        <w:t>(2)</w:t>
      </w:r>
      <w:r>
        <w:tab/>
        <w:t>The Commissioner may approve different forms of acquisition statements for different circumstances or for different provisions of this Chapter.</w:t>
      </w:r>
    </w:p>
    <w:p>
      <w:pPr>
        <w:pStyle w:val="Footnotesection"/>
        <w:rPr>
          <w:ins w:id="3789" w:author="Master Repository Process" w:date="2022-05-27T14:27:00Z"/>
        </w:rPr>
      </w:pPr>
      <w:ins w:id="3790" w:author="Master Repository Process" w:date="2022-05-27T14:27:00Z">
        <w:r>
          <w:tab/>
          <w:t>[Section 203 amended: No. 12 of 2019 s. 98.]</w:t>
        </w:r>
      </w:ins>
    </w:p>
    <w:p>
      <w:pPr>
        <w:pStyle w:val="Heading5"/>
      </w:pPr>
      <w:bookmarkStart w:id="3791" w:name="_Toc104291113"/>
      <w:bookmarkStart w:id="3792" w:name="_Toc531859453"/>
      <w:r>
        <w:rPr>
          <w:rStyle w:val="CharSectno"/>
        </w:rPr>
        <w:t>204</w:t>
      </w:r>
      <w:r>
        <w:t>.</w:t>
      </w:r>
      <w:r>
        <w:tab/>
        <w:t>Failure to lodge acquisition statement</w:t>
      </w:r>
      <w:bookmarkEnd w:id="3791"/>
      <w:bookmarkEnd w:id="3792"/>
    </w:p>
    <w:p>
      <w:pPr>
        <w:pStyle w:val="Subsection"/>
      </w:pPr>
      <w:r>
        <w:tab/>
      </w:r>
      <w:r>
        <w:tab/>
      </w:r>
      <w:del w:id="3793" w:author="Master Repository Process" w:date="2022-05-27T14:27:00Z">
        <w:r>
          <w:delText>If an acquisition statement is not lodged in accordance with section 200(2), 201(6) or 202(2), the</w:delText>
        </w:r>
      </w:del>
      <w:ins w:id="3794" w:author="Master Repository Process" w:date="2022-05-27T14:27:00Z">
        <w:r>
          <w:t>The</w:t>
        </w:r>
      </w:ins>
      <w:r>
        <w:t xml:space="preserve"> following persons commit an offence</w:t>
      </w:r>
      <w:del w:id="3795" w:author="Master Repository Process" w:date="2022-05-27T14:27:00Z">
        <w:r>
          <w:delText xml:space="preserve"> — </w:delText>
        </w:r>
      </w:del>
      <w:ins w:id="3796" w:author="Master Repository Process" w:date="2022-05-27T14:27:00Z">
        <w:r>
          <w:t xml:space="preserve"> if there is a contravention of section 200(2), 201(6) or 202(2) in relation to an acquisition —</w:t>
        </w:r>
      </w:ins>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 xml:space="preserve">any person </w:t>
      </w:r>
      <w:del w:id="3797" w:author="Master Repository Process" w:date="2022-05-27T14:27:00Z">
        <w:r>
          <w:delText>taken into account under section 163 or 164 as being</w:delText>
        </w:r>
      </w:del>
      <w:ins w:id="3798" w:author="Master Repository Process" w:date="2022-05-27T14:27:00Z">
        <w:r>
          <w:t>that is a</w:t>
        </w:r>
      </w:ins>
      <w:r>
        <w:t xml:space="preserve"> related </w:t>
      </w:r>
      <w:del w:id="3799" w:author="Master Repository Process" w:date="2022-05-27T14:27:00Z">
        <w:r>
          <w:delText>to</w:delText>
        </w:r>
      </w:del>
      <w:ins w:id="3800" w:author="Master Repository Process" w:date="2022-05-27T14:27:00Z">
        <w:r>
          <w:t>person in respect of</w:t>
        </w:r>
      </w:ins>
      <w:r>
        <w:t xml:space="preserve"> the acquirer </w:t>
      </w:r>
      <w:del w:id="3801" w:author="Master Repository Process" w:date="2022-05-27T14:27:00Z">
        <w:r>
          <w:delText>for the purposes of</w:delText>
        </w:r>
      </w:del>
      <w:ins w:id="3802" w:author="Master Repository Process" w:date="2022-05-27T14:27:00Z">
        <w:r>
          <w:t>and has an interest in the landholder concerned immediately after</w:t>
        </w:r>
      </w:ins>
      <w:r>
        <w:t xml:space="preserve"> the acquisition, other than a person whose interest in the landholder is, for the purpose of calculating the duty, an excluded interest under section 189.</w:t>
      </w:r>
    </w:p>
    <w:p>
      <w:pPr>
        <w:pStyle w:val="Penstart"/>
      </w:pPr>
      <w:r>
        <w:tab/>
        <w:t>Penalty: a fine of $20 000.</w:t>
      </w:r>
    </w:p>
    <w:p>
      <w:pPr>
        <w:pStyle w:val="Footnotesection"/>
      </w:pPr>
      <w:r>
        <w:tab/>
        <w:t>[Section 204 amended: No. 32 of 2012 s. </w:t>
      </w:r>
      <w:del w:id="3803" w:author="Master Repository Process" w:date="2022-05-27T14:27:00Z">
        <w:r>
          <w:delText>23</w:delText>
        </w:r>
      </w:del>
      <w:ins w:id="3804" w:author="Master Repository Process" w:date="2022-05-27T14:27:00Z">
        <w:r>
          <w:t>23; No. 12 of 2019 s. 99</w:t>
        </w:r>
      </w:ins>
      <w:r>
        <w:t>.]</w:t>
      </w:r>
    </w:p>
    <w:p>
      <w:pPr>
        <w:pStyle w:val="Ednotedivision"/>
      </w:pPr>
      <w:r>
        <w:t>[Division 8 (s. 205) omitted under the Reprints Act 1984 s. 7(4)(e).]</w:t>
      </w:r>
    </w:p>
    <w:p>
      <w:pPr>
        <w:pStyle w:val="Heading3"/>
        <w:keepLines/>
        <w:pageBreakBefore/>
        <w:rPr>
          <w:ins w:id="3805" w:author="Master Repository Process" w:date="2022-05-27T14:27:00Z"/>
          <w:sz w:val="28"/>
        </w:rPr>
      </w:pPr>
      <w:bookmarkStart w:id="3806" w:name="_Toc37946919"/>
      <w:bookmarkStart w:id="3807" w:name="_Toc37947519"/>
      <w:bookmarkStart w:id="3808" w:name="_Toc38031583"/>
      <w:bookmarkStart w:id="3809" w:name="_Toc93310092"/>
      <w:bookmarkStart w:id="3810" w:name="_Toc104291114"/>
      <w:ins w:id="3811" w:author="Master Repository Process" w:date="2022-05-27T14:27:00Z">
        <w:r>
          <w:rPr>
            <w:rStyle w:val="CharDivNo"/>
          </w:rPr>
          <w:t>Part 7</w:t>
        </w:r>
        <w:r>
          <w:t> — </w:t>
        </w:r>
        <w:r>
          <w:rPr>
            <w:rStyle w:val="CharDivText"/>
          </w:rPr>
          <w:t>Application of this Chapter to certain acquisitions</w:t>
        </w:r>
        <w:bookmarkEnd w:id="3806"/>
        <w:bookmarkEnd w:id="3807"/>
        <w:bookmarkEnd w:id="3808"/>
        <w:bookmarkEnd w:id="3809"/>
        <w:bookmarkEnd w:id="3810"/>
      </w:ins>
    </w:p>
    <w:p>
      <w:pPr>
        <w:pStyle w:val="Footnoteheading"/>
        <w:rPr>
          <w:ins w:id="3812" w:author="Master Repository Process" w:date="2022-05-27T14:27:00Z"/>
        </w:rPr>
      </w:pPr>
      <w:ins w:id="3813" w:author="Master Repository Process" w:date="2022-05-27T14:27:00Z">
        <w:r>
          <w:tab/>
          <w:t>[Heading inserted: No. 12 of 2019 s. 100.]</w:t>
        </w:r>
      </w:ins>
    </w:p>
    <w:p>
      <w:pPr>
        <w:pStyle w:val="Heading4"/>
        <w:rPr>
          <w:ins w:id="3814" w:author="Master Repository Process" w:date="2022-05-27T14:27:00Z"/>
        </w:rPr>
      </w:pPr>
      <w:bookmarkStart w:id="3815" w:name="_Toc37946920"/>
      <w:bookmarkStart w:id="3816" w:name="_Toc37947520"/>
      <w:bookmarkStart w:id="3817" w:name="_Toc38031584"/>
      <w:bookmarkStart w:id="3818" w:name="_Toc93310093"/>
      <w:bookmarkStart w:id="3819" w:name="_Toc104291115"/>
      <w:ins w:id="3820" w:author="Master Repository Process" w:date="2022-05-27T14:27:00Z">
        <w:r>
          <w:t>Division 1 — Rights relating to fixed infrastructure</w:t>
        </w:r>
        <w:bookmarkEnd w:id="3815"/>
        <w:bookmarkEnd w:id="3816"/>
        <w:bookmarkEnd w:id="3817"/>
        <w:bookmarkEnd w:id="3818"/>
        <w:bookmarkEnd w:id="3819"/>
      </w:ins>
    </w:p>
    <w:p>
      <w:pPr>
        <w:pStyle w:val="Footnoteheading"/>
        <w:rPr>
          <w:ins w:id="3821" w:author="Master Repository Process" w:date="2022-05-27T14:27:00Z"/>
        </w:rPr>
      </w:pPr>
      <w:ins w:id="3822" w:author="Master Repository Process" w:date="2022-05-27T14:27:00Z">
        <w:r>
          <w:tab/>
          <w:t>[Heading inserted: No. 12 of 2019 s. 100.]</w:t>
        </w:r>
      </w:ins>
    </w:p>
    <w:p>
      <w:pPr>
        <w:pStyle w:val="Heading5"/>
        <w:rPr>
          <w:ins w:id="3823" w:author="Master Repository Process" w:date="2022-05-27T14:27:00Z"/>
        </w:rPr>
      </w:pPr>
      <w:bookmarkStart w:id="3824" w:name="_Toc104291116"/>
      <w:ins w:id="3825" w:author="Master Repository Process" w:date="2022-05-27T14:27:00Z">
        <w:r>
          <w:rPr>
            <w:rStyle w:val="CharSectno"/>
          </w:rPr>
          <w:t>204A</w:t>
        </w:r>
        <w:r>
          <w:t>.</w:t>
        </w:r>
        <w:r>
          <w:tab/>
          <w:t>When fixed infrastructure access rights are taken into account in determining entitlement to land assets</w:t>
        </w:r>
        <w:bookmarkEnd w:id="3824"/>
      </w:ins>
    </w:p>
    <w:p>
      <w:pPr>
        <w:pStyle w:val="Subsection"/>
        <w:rPr>
          <w:ins w:id="3826" w:author="Master Repository Process" w:date="2022-05-27T14:27:00Z"/>
        </w:rPr>
      </w:pPr>
      <w:ins w:id="3827" w:author="Master Repository Process" w:date="2022-05-27T14:27:00Z">
        <w:r>
          <w:tab/>
          <w:t>(1)</w:t>
        </w:r>
        <w:r>
          <w:tab/>
          <w:t xml:space="preserve">In determining, in relation to an acquisition of an interest in an entity (the </w:t>
        </w:r>
        <w:r>
          <w:rPr>
            <w:rStyle w:val="CharDefText"/>
          </w:rPr>
          <w:t>main entity</w:t>
        </w:r>
        <w:r>
          <w:t>), the entitlement to land assets of the main entity, or a linked entity in respect of the main entity, the value of any fixed infrastructure access right to which the main entity or linked entity is entitled is not to be taken into account unless subsection (2) applies to the fixed infrastructure access right.</w:t>
        </w:r>
      </w:ins>
    </w:p>
    <w:p>
      <w:pPr>
        <w:pStyle w:val="Subsection"/>
        <w:rPr>
          <w:ins w:id="3828" w:author="Master Repository Process" w:date="2022-05-27T14:27:00Z"/>
        </w:rPr>
      </w:pPr>
      <w:ins w:id="3829" w:author="Master Repository Process" w:date="2022-05-27T14:27:00Z">
        <w:r>
          <w:tab/>
          <w:t>(2)</w:t>
        </w:r>
        <w:r>
          <w:tab/>
          <w:t xml:space="preserve">This subsection applies to the fixed infrastructure access right if the main entity, or an entity that is associated with the main entity under section 204D, is entitled to any of the following — </w:t>
        </w:r>
      </w:ins>
    </w:p>
    <w:p>
      <w:pPr>
        <w:pStyle w:val="Indenta"/>
        <w:rPr>
          <w:ins w:id="3830" w:author="Master Repository Process" w:date="2022-05-27T14:27:00Z"/>
        </w:rPr>
      </w:pPr>
      <w:ins w:id="3831" w:author="Master Repository Process" w:date="2022-05-27T14:27:00Z">
        <w:r>
          <w:tab/>
          <w:t>(a)</w:t>
        </w:r>
        <w:r>
          <w:tab/>
          <w:t>fixed infrastructure (</w:t>
        </w:r>
        <w:r>
          <w:rPr>
            <w:rStyle w:val="CharDefText"/>
          </w:rPr>
          <w:t>relevant fixed infrastructure</w:t>
        </w:r>
        <w:r>
          <w:t>) to which the fixed infrastructure access right relates;</w:t>
        </w:r>
      </w:ins>
    </w:p>
    <w:p>
      <w:pPr>
        <w:pStyle w:val="Indenta"/>
        <w:rPr>
          <w:ins w:id="3832" w:author="Master Repository Process" w:date="2022-05-27T14:27:00Z"/>
        </w:rPr>
      </w:pPr>
      <w:ins w:id="3833" w:author="Master Repository Process" w:date="2022-05-27T14:27:00Z">
        <w:r>
          <w:tab/>
          <w:t>(b)</w:t>
        </w:r>
        <w:r>
          <w:tab/>
          <w:t>an estate or interest in relevant fixed infrastructure;</w:t>
        </w:r>
      </w:ins>
    </w:p>
    <w:p>
      <w:pPr>
        <w:pStyle w:val="Indenta"/>
        <w:rPr>
          <w:ins w:id="3834" w:author="Master Repository Process" w:date="2022-05-27T14:27:00Z"/>
        </w:rPr>
      </w:pPr>
      <w:ins w:id="3835" w:author="Master Repository Process" w:date="2022-05-27T14:27:00Z">
        <w:r>
          <w:tab/>
          <w:t>(c)</w:t>
        </w:r>
        <w:r>
          <w:tab/>
          <w:t>a fixed infrastructure control right that relates to relevant fixed infrastructure.</w:t>
        </w:r>
      </w:ins>
    </w:p>
    <w:p>
      <w:pPr>
        <w:pStyle w:val="Subsection"/>
        <w:rPr>
          <w:ins w:id="3836" w:author="Master Repository Process" w:date="2022-05-27T14:27:00Z"/>
        </w:rPr>
      </w:pPr>
      <w:ins w:id="3837" w:author="Master Repository Process" w:date="2022-05-27T14:27:00Z">
        <w:r>
          <w:tab/>
          <w:t>(3)</w:t>
        </w:r>
        <w:r>
          <w:tab/>
          <w:t xml:space="preserve">The entitlement referred to in subsection (2) is to be determined — </w:t>
        </w:r>
      </w:ins>
    </w:p>
    <w:p>
      <w:pPr>
        <w:pStyle w:val="Indenta"/>
        <w:rPr>
          <w:ins w:id="3838" w:author="Master Repository Process" w:date="2022-05-27T14:27:00Z"/>
        </w:rPr>
      </w:pPr>
      <w:ins w:id="3839" w:author="Master Repository Process" w:date="2022-05-27T14:27:00Z">
        <w:r>
          <w:tab/>
          <w:t>(a)</w:t>
        </w:r>
        <w:r>
          <w:tab/>
          <w:t>for the main entity or an associated entity referred to in section 204D(2)(a), (b) or (c) — when the acquisition referred to in subsection (1) of this section occurs; or</w:t>
        </w:r>
      </w:ins>
    </w:p>
    <w:p>
      <w:pPr>
        <w:pStyle w:val="Indenta"/>
        <w:rPr>
          <w:ins w:id="3840" w:author="Master Repository Process" w:date="2022-05-27T14:27:00Z"/>
        </w:rPr>
      </w:pPr>
      <w:ins w:id="3841" w:author="Master Repository Process" w:date="2022-05-27T14:27:00Z">
        <w:r>
          <w:tab/>
          <w:t>(b)</w:t>
        </w:r>
        <w:r>
          <w:tab/>
          <w:t>for an associated entity referred to in section 204D(2)(d) or (e) — when the acquisition referred to in section 204D(2)(d)(i) occurs.</w:t>
        </w:r>
      </w:ins>
    </w:p>
    <w:p>
      <w:pPr>
        <w:pStyle w:val="Subsection"/>
        <w:rPr>
          <w:ins w:id="3842" w:author="Master Repository Process" w:date="2022-05-27T14:27:00Z"/>
        </w:rPr>
      </w:pPr>
      <w:ins w:id="3843" w:author="Master Repository Process" w:date="2022-05-27T14:27:00Z">
        <w:r>
          <w:tab/>
          <w:t>(4)</w:t>
        </w:r>
        <w:r>
          <w:tab/>
          <w:t>The value of a fixed infrastructure access right that is to be taken into account for the purposes of an acquisition because subsection (2) applies is to be taken into account in relation to that acquisition even if that subsection does not become applicable until after the acquisition occurs.</w:t>
        </w:r>
      </w:ins>
    </w:p>
    <w:p>
      <w:pPr>
        <w:pStyle w:val="Footnotesection"/>
        <w:rPr>
          <w:ins w:id="3844" w:author="Master Repository Process" w:date="2022-05-27T14:27:00Z"/>
        </w:rPr>
      </w:pPr>
      <w:ins w:id="3845" w:author="Master Repository Process" w:date="2022-05-27T14:27:00Z">
        <w:r>
          <w:tab/>
          <w:t>[Section 204A inserted: No. 12 of 2019 s. 100.]</w:t>
        </w:r>
      </w:ins>
    </w:p>
    <w:p>
      <w:pPr>
        <w:pStyle w:val="Heading5"/>
        <w:rPr>
          <w:ins w:id="3846" w:author="Master Repository Process" w:date="2022-05-27T14:27:00Z"/>
        </w:rPr>
      </w:pPr>
      <w:bookmarkStart w:id="3847" w:name="_Toc104291117"/>
      <w:ins w:id="3848" w:author="Master Repository Process" w:date="2022-05-27T14:27:00Z">
        <w:r>
          <w:rPr>
            <w:rStyle w:val="CharSectno"/>
          </w:rPr>
          <w:t>204B</w:t>
        </w:r>
        <w:r>
          <w:t>.</w:t>
        </w:r>
        <w:r>
          <w:tab/>
          <w:t>When fixed infrastructure statutory licences are treated as land assets in calculating duty</w:t>
        </w:r>
        <w:bookmarkEnd w:id="3847"/>
      </w:ins>
    </w:p>
    <w:p>
      <w:pPr>
        <w:pStyle w:val="Subsection"/>
        <w:rPr>
          <w:ins w:id="3849" w:author="Master Repository Process" w:date="2022-05-27T14:27:00Z"/>
        </w:rPr>
      </w:pPr>
      <w:ins w:id="3850" w:author="Master Repository Process" w:date="2022-05-27T14:27:00Z">
        <w:r>
          <w:tab/>
          <w:t>(1)</w:t>
        </w:r>
        <w:r>
          <w:tab/>
          <w:t xml:space="preserve">A fixed infrastructure statutory licence is to be treated as if it were a land asset for the purposes of calculating duty in respect of a relevant acquisition under section 186 if — </w:t>
        </w:r>
      </w:ins>
    </w:p>
    <w:p>
      <w:pPr>
        <w:pStyle w:val="Indenta"/>
        <w:rPr>
          <w:ins w:id="3851" w:author="Master Repository Process" w:date="2022-05-27T14:27:00Z"/>
        </w:rPr>
      </w:pPr>
      <w:ins w:id="3852" w:author="Master Repository Process" w:date="2022-05-27T14:27:00Z">
        <w:r>
          <w:tab/>
          <w:t>(a)</w:t>
        </w:r>
        <w:r>
          <w:tab/>
          <w:t>the landholder, or a linked entity in respect of the landholder, is entitled to the fixed infrastructure statutory licence; and</w:t>
        </w:r>
      </w:ins>
    </w:p>
    <w:p>
      <w:pPr>
        <w:pStyle w:val="Indenta"/>
        <w:rPr>
          <w:ins w:id="3853" w:author="Master Repository Process" w:date="2022-05-27T14:27:00Z"/>
        </w:rPr>
      </w:pPr>
      <w:ins w:id="3854" w:author="Master Repository Process" w:date="2022-05-27T14:27:00Z">
        <w:r>
          <w:tab/>
          <w:t>(b)</w:t>
        </w:r>
        <w:r>
          <w:tab/>
          <w:t xml:space="preserve">the landholder, or an entity that is associated with the landholder under section 204D, is entitled to any of the following — </w:t>
        </w:r>
      </w:ins>
    </w:p>
    <w:p>
      <w:pPr>
        <w:pStyle w:val="Indenti"/>
        <w:rPr>
          <w:ins w:id="3855" w:author="Master Repository Process" w:date="2022-05-27T14:27:00Z"/>
        </w:rPr>
      </w:pPr>
      <w:ins w:id="3856" w:author="Master Repository Process" w:date="2022-05-27T14:27:00Z">
        <w:r>
          <w:tab/>
          <w:t>(i)</w:t>
        </w:r>
        <w:r>
          <w:tab/>
          <w:t>fixed infrastructure (</w:t>
        </w:r>
        <w:r>
          <w:rPr>
            <w:rStyle w:val="CharDefText"/>
          </w:rPr>
          <w:t>relevant fixed infrastructure</w:t>
        </w:r>
        <w:r>
          <w:t>) to which the fixed infrastructure statutory licence relates;</w:t>
        </w:r>
      </w:ins>
    </w:p>
    <w:p>
      <w:pPr>
        <w:pStyle w:val="Indenti"/>
        <w:rPr>
          <w:ins w:id="3857" w:author="Master Repository Process" w:date="2022-05-27T14:27:00Z"/>
        </w:rPr>
      </w:pPr>
      <w:ins w:id="3858" w:author="Master Repository Process" w:date="2022-05-27T14:27:00Z">
        <w:r>
          <w:tab/>
          <w:t>(ii)</w:t>
        </w:r>
        <w:r>
          <w:tab/>
          <w:t>an estate or interest in relevant fixed infrastructure;</w:t>
        </w:r>
      </w:ins>
    </w:p>
    <w:p>
      <w:pPr>
        <w:pStyle w:val="Indenti"/>
        <w:rPr>
          <w:ins w:id="3859" w:author="Master Repository Process" w:date="2022-05-27T14:27:00Z"/>
        </w:rPr>
      </w:pPr>
      <w:ins w:id="3860" w:author="Master Repository Process" w:date="2022-05-27T14:27:00Z">
        <w:r>
          <w:tab/>
          <w:t>(iii)</w:t>
        </w:r>
        <w:r>
          <w:tab/>
          <w:t>a fixed infrastructure control right that relates to relevant fixed infrastructure.</w:t>
        </w:r>
      </w:ins>
    </w:p>
    <w:p>
      <w:pPr>
        <w:pStyle w:val="Subsection"/>
        <w:rPr>
          <w:ins w:id="3861" w:author="Master Repository Process" w:date="2022-05-27T14:27:00Z"/>
        </w:rPr>
      </w:pPr>
      <w:ins w:id="3862" w:author="Master Repository Process" w:date="2022-05-27T14:27:00Z">
        <w:r>
          <w:tab/>
          <w:t>(2)</w:t>
        </w:r>
        <w:r>
          <w:tab/>
          <w:t xml:space="preserve">For the purposes of subsection (1)(a), a landholder or linked entity is taken to be entitled to the fixed infrastructure statutory licence if — </w:t>
        </w:r>
      </w:ins>
    </w:p>
    <w:p>
      <w:pPr>
        <w:pStyle w:val="Indenta"/>
        <w:rPr>
          <w:ins w:id="3863" w:author="Master Repository Process" w:date="2022-05-27T14:27:00Z"/>
        </w:rPr>
      </w:pPr>
      <w:ins w:id="3864" w:author="Master Repository Process" w:date="2022-05-27T14:27:00Z">
        <w:r>
          <w:tab/>
          <w:t>(a)</w:t>
        </w:r>
        <w:r>
          <w:tab/>
          <w:t>the landholder or linked entity held the fixed infrastructure statutory licence immediately before the relevant acquisition; and</w:t>
        </w:r>
      </w:ins>
    </w:p>
    <w:p>
      <w:pPr>
        <w:pStyle w:val="Indenta"/>
        <w:rPr>
          <w:ins w:id="3865" w:author="Master Repository Process" w:date="2022-05-27T14:27:00Z"/>
        </w:rPr>
      </w:pPr>
      <w:ins w:id="3866" w:author="Master Repository Process" w:date="2022-05-27T14:27:00Z">
        <w:r>
          <w:tab/>
          <w:t>(b)</w:t>
        </w:r>
        <w:r>
          <w:tab/>
          <w:t>as a result of the relevant acquisition, the fixed infrastructure statutory licence is cancelled or surrendered by operation of law; and</w:t>
        </w:r>
      </w:ins>
    </w:p>
    <w:p>
      <w:pPr>
        <w:pStyle w:val="Indenta"/>
        <w:rPr>
          <w:ins w:id="3867" w:author="Master Repository Process" w:date="2022-05-27T14:27:00Z"/>
        </w:rPr>
      </w:pPr>
      <w:ins w:id="3868" w:author="Master Repository Process" w:date="2022-05-27T14:27:00Z">
        <w:r>
          <w:tab/>
          <w:t>(c)</w:t>
        </w:r>
        <w:r>
          <w:tab/>
          <w:t>there is an agreement, arrangement or understanding relating to the acquisition under which, after the acquisition, the fixed infrastructure statutory licence, or another fixed infrastructure statutory licence of that kind, will be issued, granted or given to the landholder or an entity that is associated with the landholder under section 204D.</w:t>
        </w:r>
      </w:ins>
    </w:p>
    <w:p>
      <w:pPr>
        <w:pStyle w:val="Subsection"/>
        <w:rPr>
          <w:ins w:id="3869" w:author="Master Repository Process" w:date="2022-05-27T14:27:00Z"/>
        </w:rPr>
      </w:pPr>
      <w:ins w:id="3870" w:author="Master Repository Process" w:date="2022-05-27T14:27:00Z">
        <w:r>
          <w:tab/>
          <w:t>(3)</w:t>
        </w:r>
        <w:r>
          <w:tab/>
          <w:t xml:space="preserve">The entitlement referred to in subsection (1)(b) is to be determined — </w:t>
        </w:r>
      </w:ins>
    </w:p>
    <w:p>
      <w:pPr>
        <w:pStyle w:val="Indenta"/>
        <w:rPr>
          <w:ins w:id="3871" w:author="Master Repository Process" w:date="2022-05-27T14:27:00Z"/>
        </w:rPr>
      </w:pPr>
      <w:ins w:id="3872" w:author="Master Repository Process" w:date="2022-05-27T14:27:00Z">
        <w:r>
          <w:tab/>
          <w:t>(a)</w:t>
        </w:r>
        <w:r>
          <w:tab/>
          <w:t>for the landholder or an associated entity referred to in section 204D(2)(a), (b) or (c) — when the relevant acquisition referred to in subsection (1) of this section occurs; or</w:t>
        </w:r>
      </w:ins>
    </w:p>
    <w:p>
      <w:pPr>
        <w:pStyle w:val="Indenta"/>
        <w:rPr>
          <w:ins w:id="3873" w:author="Master Repository Process" w:date="2022-05-27T14:27:00Z"/>
        </w:rPr>
      </w:pPr>
      <w:ins w:id="3874" w:author="Master Repository Process" w:date="2022-05-27T14:27:00Z">
        <w:r>
          <w:tab/>
          <w:t>(b)</w:t>
        </w:r>
        <w:r>
          <w:tab/>
          <w:t>for an associated entity referred to in section 204D(2)(d) or (e) — when the acquisition referred to in section 204D(2)(d)(i) occurs.</w:t>
        </w:r>
      </w:ins>
    </w:p>
    <w:p>
      <w:pPr>
        <w:pStyle w:val="Subsection"/>
        <w:rPr>
          <w:ins w:id="3875" w:author="Master Repository Process" w:date="2022-05-27T14:27:00Z"/>
        </w:rPr>
      </w:pPr>
      <w:ins w:id="3876" w:author="Master Repository Process" w:date="2022-05-27T14:27:00Z">
        <w:r>
          <w:tab/>
          <w:t>(4)</w:t>
        </w:r>
        <w:r>
          <w:tab/>
          <w:t>A fixed infrastructure statutory licence that under subsection (1) is to be treated as a land asset for the purposes of section 186 in relation to an acquisition is to be so treated even if subsection (1) does not become applicable until after the acquisition occurs.</w:t>
        </w:r>
      </w:ins>
    </w:p>
    <w:p>
      <w:pPr>
        <w:pStyle w:val="Subsection"/>
        <w:rPr>
          <w:ins w:id="3877" w:author="Master Repository Process" w:date="2022-05-27T14:27:00Z"/>
        </w:rPr>
      </w:pPr>
      <w:ins w:id="3878" w:author="Master Repository Process" w:date="2022-05-27T14:27:00Z">
        <w:r>
          <w:tab/>
          <w:t>(5)</w:t>
        </w:r>
        <w:r>
          <w:tab/>
          <w:t>A fixed infrastructure statutory licence to which subsection (1) applies is also to be treated as a land asset in relation to the relevant acquisition referred to in that subsection for the purposes of sections 167, 168, 195A(5), 266B and 266C.</w:t>
        </w:r>
      </w:ins>
    </w:p>
    <w:p>
      <w:pPr>
        <w:pStyle w:val="Footnotesection"/>
        <w:rPr>
          <w:ins w:id="3879" w:author="Master Repository Process" w:date="2022-05-27T14:27:00Z"/>
        </w:rPr>
      </w:pPr>
      <w:ins w:id="3880" w:author="Master Repository Process" w:date="2022-05-27T14:27:00Z">
        <w:r>
          <w:tab/>
          <w:t>[Section 204B inserted: No. 12 of 2019 s. 100.]</w:t>
        </w:r>
      </w:ins>
    </w:p>
    <w:p>
      <w:pPr>
        <w:pStyle w:val="Heading5"/>
        <w:rPr>
          <w:ins w:id="3881" w:author="Master Repository Process" w:date="2022-05-27T14:27:00Z"/>
        </w:rPr>
      </w:pPr>
      <w:bookmarkStart w:id="3882" w:name="_Toc104291118"/>
      <w:ins w:id="3883" w:author="Master Repository Process" w:date="2022-05-27T14:27:00Z">
        <w:r>
          <w:rPr>
            <w:rStyle w:val="CharSectno"/>
          </w:rPr>
          <w:t>204C</w:t>
        </w:r>
        <w:r>
          <w:t>.</w:t>
        </w:r>
        <w:r>
          <w:tab/>
          <w:t>Unencumbered value of fixed infrastructure statutory licences treated as land assets</w:t>
        </w:r>
        <w:bookmarkEnd w:id="3882"/>
      </w:ins>
    </w:p>
    <w:p>
      <w:pPr>
        <w:pStyle w:val="Subsection"/>
        <w:rPr>
          <w:ins w:id="3884" w:author="Master Repository Process" w:date="2022-05-27T14:27:00Z"/>
        </w:rPr>
      </w:pPr>
      <w:ins w:id="3885" w:author="Master Repository Process" w:date="2022-05-27T14:27:00Z">
        <w:r>
          <w:tab/>
          <w:t>(1)</w:t>
        </w:r>
        <w:r>
          <w:tab/>
          <w:t>Section 36 applies, with any appropriate modifications, where it is necessary to determine the unencumbered value of a fixed infrastructure statutory licence that under section 204B(1) is to be treated as if it were a land asset for the purposes of calculating duty in respect of a relevant acquisition under section 186.</w:t>
        </w:r>
      </w:ins>
    </w:p>
    <w:p>
      <w:pPr>
        <w:pStyle w:val="Subsection"/>
        <w:rPr>
          <w:ins w:id="3886" w:author="Master Repository Process" w:date="2022-05-27T14:27:00Z"/>
        </w:rPr>
      </w:pPr>
      <w:ins w:id="3887" w:author="Master Repository Process" w:date="2022-05-27T14:27:00Z">
        <w:r>
          <w:tab/>
          <w:t>(2)</w:t>
        </w:r>
        <w:r>
          <w:tab/>
          <w:t>The unencumbered value to be determined under section 36 (as applied by subsection (1)) for a fixed infrastructure statutory licence issued, granted or given under a law of the Commonwealth is the unencumbered value of that licence so far as it authorises the ownership, control, operation or use of fixed infrastructure.</w:t>
        </w:r>
      </w:ins>
    </w:p>
    <w:p>
      <w:pPr>
        <w:pStyle w:val="Footnotesection"/>
        <w:rPr>
          <w:ins w:id="3888" w:author="Master Repository Process" w:date="2022-05-27T14:27:00Z"/>
        </w:rPr>
      </w:pPr>
      <w:ins w:id="3889" w:author="Master Repository Process" w:date="2022-05-27T14:27:00Z">
        <w:r>
          <w:tab/>
          <w:t>[Section 204C inserted: No. 12 of 2019 s. 100.]</w:t>
        </w:r>
      </w:ins>
    </w:p>
    <w:p>
      <w:pPr>
        <w:pStyle w:val="Heading5"/>
        <w:rPr>
          <w:ins w:id="3890" w:author="Master Repository Process" w:date="2022-05-27T14:27:00Z"/>
        </w:rPr>
      </w:pPr>
      <w:bookmarkStart w:id="3891" w:name="_Toc104291119"/>
      <w:ins w:id="3892" w:author="Master Repository Process" w:date="2022-05-27T14:27:00Z">
        <w:r>
          <w:rPr>
            <w:rStyle w:val="CharSectno"/>
          </w:rPr>
          <w:t>204D</w:t>
        </w:r>
        <w:r>
          <w:t>.</w:t>
        </w:r>
        <w:r>
          <w:tab/>
          <w:t>Associated entities for s. 204A and 204B</w:t>
        </w:r>
        <w:bookmarkEnd w:id="3891"/>
      </w:ins>
    </w:p>
    <w:p>
      <w:pPr>
        <w:pStyle w:val="Subsection"/>
        <w:rPr>
          <w:ins w:id="3893" w:author="Master Repository Process" w:date="2022-05-27T14:27:00Z"/>
        </w:rPr>
      </w:pPr>
      <w:ins w:id="3894" w:author="Master Repository Process" w:date="2022-05-27T14:27:00Z">
        <w:r>
          <w:tab/>
          <w:t>(1)</w:t>
        </w:r>
        <w:r>
          <w:tab/>
          <w:t>This section applies where it is necessary to determine for the purposes of section 204A(2) or 204B(1) or (2), in relation to an acquisition, which entities are associated with the main entity referred to in section 204A(2), or the landholder referred to in section 204B(1) or (2), as the case requires.</w:t>
        </w:r>
      </w:ins>
    </w:p>
    <w:p>
      <w:pPr>
        <w:pStyle w:val="Subsection"/>
        <w:rPr>
          <w:ins w:id="3895" w:author="Master Repository Process" w:date="2022-05-27T14:27:00Z"/>
        </w:rPr>
      </w:pPr>
      <w:ins w:id="3896" w:author="Master Repository Process" w:date="2022-05-27T14:27:00Z">
        <w:r>
          <w:tab/>
          <w:t>(2)</w:t>
        </w:r>
        <w:r>
          <w:tab/>
          <w:t xml:space="preserve">The associated entities are as follows — </w:t>
        </w:r>
      </w:ins>
    </w:p>
    <w:p>
      <w:pPr>
        <w:pStyle w:val="Indenta"/>
        <w:rPr>
          <w:ins w:id="3897" w:author="Master Repository Process" w:date="2022-05-27T14:27:00Z"/>
        </w:rPr>
      </w:pPr>
      <w:ins w:id="3898" w:author="Master Repository Process" w:date="2022-05-27T14:27:00Z">
        <w:r>
          <w:tab/>
          <w:t>(a)</w:t>
        </w:r>
        <w:r>
          <w:tab/>
          <w:t>a linked entity in respect of the main entity or landholder;</w:t>
        </w:r>
      </w:ins>
    </w:p>
    <w:p>
      <w:pPr>
        <w:pStyle w:val="Indenta"/>
        <w:rPr>
          <w:ins w:id="3899" w:author="Master Repository Process" w:date="2022-05-27T14:27:00Z"/>
        </w:rPr>
      </w:pPr>
      <w:ins w:id="3900" w:author="Master Repository Process" w:date="2022-05-27T14:27:00Z">
        <w:r>
          <w:tab/>
          <w:t>(b)</w:t>
        </w:r>
        <w:r>
          <w:tab/>
          <w:t xml:space="preserve">an entity (a </w:t>
        </w:r>
        <w:r>
          <w:rPr>
            <w:rStyle w:val="CharDefText"/>
          </w:rPr>
          <w:t>higher entity</w:t>
        </w:r>
        <w:r>
          <w:t>) in respect of which the main entity or landholder is a linked entity;</w:t>
        </w:r>
      </w:ins>
    </w:p>
    <w:p>
      <w:pPr>
        <w:pStyle w:val="Indenta"/>
        <w:rPr>
          <w:ins w:id="3901" w:author="Master Repository Process" w:date="2022-05-27T14:27:00Z"/>
        </w:rPr>
      </w:pPr>
      <w:ins w:id="3902" w:author="Master Repository Process" w:date="2022-05-27T14:27:00Z">
        <w:r>
          <w:tab/>
          <w:t>(c)</w:t>
        </w:r>
        <w:r>
          <w:tab/>
          <w:t>another linked entity in respect of a higher entity to which paragraph (b) applies;</w:t>
        </w:r>
      </w:ins>
    </w:p>
    <w:p>
      <w:pPr>
        <w:pStyle w:val="Indenta"/>
        <w:rPr>
          <w:ins w:id="3903" w:author="Master Repository Process" w:date="2022-05-27T14:27:00Z"/>
        </w:rPr>
      </w:pPr>
      <w:ins w:id="3904" w:author="Master Repository Process" w:date="2022-05-27T14:27:00Z">
        <w:r>
          <w:tab/>
          <w:t>(d)</w:t>
        </w:r>
        <w:r>
          <w:tab/>
          <w:t xml:space="preserve">another entity if — </w:t>
        </w:r>
      </w:ins>
    </w:p>
    <w:p>
      <w:pPr>
        <w:pStyle w:val="Indenti"/>
        <w:rPr>
          <w:ins w:id="3905" w:author="Master Repository Process" w:date="2022-05-27T14:27:00Z"/>
        </w:rPr>
      </w:pPr>
      <w:ins w:id="3906" w:author="Master Repository Process" w:date="2022-05-27T14:27:00Z">
        <w:r>
          <w:tab/>
          <w:t>(i)</w:t>
        </w:r>
        <w:r>
          <w:tab/>
          <w:t>there is an acquisition of an interest in the entity, which may occur before or after the acquisition referred to in subsection (1); and</w:t>
        </w:r>
      </w:ins>
    </w:p>
    <w:p>
      <w:pPr>
        <w:pStyle w:val="Indenti"/>
        <w:rPr>
          <w:ins w:id="3907" w:author="Master Repository Process" w:date="2022-05-27T14:27:00Z"/>
        </w:rPr>
      </w:pPr>
      <w:ins w:id="3908" w:author="Master Repository Process" w:date="2022-05-27T14:27:00Z">
        <w:r>
          <w:tab/>
          <w:t>(ii)</w:t>
        </w:r>
        <w:r>
          <w:tab/>
          <w:t>the acquisition referred to in subsection (1) and the acquisition referred to in subparagraph (i) together form, evidence, give effect to, or arise from what is, substantially one arrangement;</w:t>
        </w:r>
      </w:ins>
    </w:p>
    <w:p>
      <w:pPr>
        <w:pStyle w:val="Indenta"/>
        <w:rPr>
          <w:ins w:id="3909" w:author="Master Repository Process" w:date="2022-05-27T14:27:00Z"/>
        </w:rPr>
      </w:pPr>
      <w:ins w:id="3910" w:author="Master Repository Process" w:date="2022-05-27T14:27:00Z">
        <w:r>
          <w:tab/>
          <w:t>(e)</w:t>
        </w:r>
        <w:r>
          <w:tab/>
          <w:t>an entity that is a linked entity in respect of an entity to which paragraph (d) applies in relation to the acquisition referred to in paragraph (d)(i).</w:t>
        </w:r>
      </w:ins>
    </w:p>
    <w:p>
      <w:pPr>
        <w:pStyle w:val="Subsection"/>
        <w:rPr>
          <w:ins w:id="3911" w:author="Master Repository Process" w:date="2022-05-27T14:27:00Z"/>
        </w:rPr>
      </w:pPr>
      <w:ins w:id="3912" w:author="Master Repository Process" w:date="2022-05-27T14:27:00Z">
        <w:r>
          <w:tab/>
          <w:t>(3)</w:t>
        </w:r>
        <w:r>
          <w:tab/>
          <w:t>A reference in subsection (2)(b) or (c) to a linked entity is a reference to an entity that would be a linked entity if, at the time of the acquisition referred to in subsection (1), the higher entity referred to in subsection (2)(b) or (c) were a main entity referred to in section 156(1).</w:t>
        </w:r>
      </w:ins>
    </w:p>
    <w:p>
      <w:pPr>
        <w:pStyle w:val="Footnotesection"/>
        <w:rPr>
          <w:ins w:id="3913" w:author="Master Repository Process" w:date="2022-05-27T14:27:00Z"/>
        </w:rPr>
      </w:pPr>
      <w:ins w:id="3914" w:author="Master Repository Process" w:date="2022-05-27T14:27:00Z">
        <w:r>
          <w:tab/>
          <w:t>[Section 204D inserted: No. 12 of 2019 s. 100.]</w:t>
        </w:r>
      </w:ins>
    </w:p>
    <w:p>
      <w:pPr>
        <w:pStyle w:val="Heading4"/>
        <w:rPr>
          <w:ins w:id="3915" w:author="Master Repository Process" w:date="2022-05-27T14:27:00Z"/>
        </w:rPr>
      </w:pPr>
      <w:bookmarkStart w:id="3916" w:name="_Toc37946925"/>
      <w:bookmarkStart w:id="3917" w:name="_Toc37947525"/>
      <w:bookmarkStart w:id="3918" w:name="_Toc38031589"/>
      <w:bookmarkStart w:id="3919" w:name="_Toc93310098"/>
      <w:bookmarkStart w:id="3920" w:name="_Toc104291120"/>
      <w:ins w:id="3921" w:author="Master Repository Process" w:date="2022-05-27T14:27:00Z">
        <w:r>
          <w:t>Division 2 — Derivative mining rights</w:t>
        </w:r>
        <w:bookmarkEnd w:id="3916"/>
        <w:bookmarkEnd w:id="3917"/>
        <w:bookmarkEnd w:id="3918"/>
        <w:bookmarkEnd w:id="3919"/>
        <w:bookmarkEnd w:id="3920"/>
      </w:ins>
    </w:p>
    <w:p>
      <w:pPr>
        <w:pStyle w:val="Footnoteheading"/>
        <w:rPr>
          <w:ins w:id="3922" w:author="Master Repository Process" w:date="2022-05-27T14:27:00Z"/>
        </w:rPr>
      </w:pPr>
      <w:ins w:id="3923" w:author="Master Repository Process" w:date="2022-05-27T14:27:00Z">
        <w:r>
          <w:tab/>
          <w:t>[Heading inserted: No. 12 of 2019 s. 100.]</w:t>
        </w:r>
      </w:ins>
    </w:p>
    <w:p>
      <w:pPr>
        <w:pStyle w:val="Heading5"/>
        <w:rPr>
          <w:ins w:id="3924" w:author="Master Repository Process" w:date="2022-05-27T14:27:00Z"/>
        </w:rPr>
      </w:pPr>
      <w:bookmarkStart w:id="3925" w:name="_Toc104291121"/>
      <w:ins w:id="3926" w:author="Master Repository Process" w:date="2022-05-27T14:27:00Z">
        <w:r>
          <w:rPr>
            <w:rStyle w:val="CharSectno"/>
          </w:rPr>
          <w:t>204E</w:t>
        </w:r>
        <w:r>
          <w:t>.</w:t>
        </w:r>
        <w:r>
          <w:tab/>
          <w:t>Unencumbered value of mining tenement subject to derivative mining right</w:t>
        </w:r>
        <w:bookmarkEnd w:id="3925"/>
      </w:ins>
    </w:p>
    <w:p>
      <w:pPr>
        <w:pStyle w:val="Subsection"/>
        <w:rPr>
          <w:ins w:id="3927" w:author="Master Repository Process" w:date="2022-05-27T14:27:00Z"/>
        </w:rPr>
      </w:pPr>
      <w:ins w:id="3928" w:author="Master Repository Process" w:date="2022-05-27T14:27:00Z">
        <w:r>
          <w:tab/>
          <w:t>(1)</w:t>
        </w:r>
        <w:r>
          <w:tab/>
          <w:t>This section applies where it is necessary to determine, in relation to an acquisition of an interest in an entity, the unencumbered value of a land asset that is a mining tenement in relation to which a derivative mining right is in force.</w:t>
        </w:r>
      </w:ins>
    </w:p>
    <w:p>
      <w:pPr>
        <w:pStyle w:val="Subsection"/>
        <w:rPr>
          <w:ins w:id="3929" w:author="Master Repository Process" w:date="2022-05-27T14:27:00Z"/>
        </w:rPr>
      </w:pPr>
      <w:ins w:id="3930" w:author="Master Repository Process" w:date="2022-05-27T14:27:00Z">
        <w:r>
          <w:tab/>
          <w:t>(2)</w:t>
        </w:r>
        <w:r>
          <w:tab/>
          <w:t>If the acquisition of the derivative mining right, on its grant, is duty endorsed, the unencumbered value of the mining tenement is to be determined, despite section 36(1) as applied by section 150, having regard to the effect of the derivative mining right on the value of the mining tenement.</w:t>
        </w:r>
      </w:ins>
    </w:p>
    <w:p>
      <w:pPr>
        <w:pStyle w:val="Subsection"/>
        <w:rPr>
          <w:ins w:id="3931" w:author="Master Repository Process" w:date="2022-05-27T14:27:00Z"/>
        </w:rPr>
      </w:pPr>
      <w:ins w:id="3932" w:author="Master Repository Process" w:date="2022-05-27T14:27:00Z">
        <w:r>
          <w:tab/>
          <w:t>(3)</w:t>
        </w:r>
        <w:r>
          <w:tab/>
          <w:t>Subsection (2) ceases to apply in relation to an acquisition of an interest in an entity if, within 12 months after the acquisition, the derivative mining right is surrendered for no consideration.</w:t>
        </w:r>
      </w:ins>
    </w:p>
    <w:p>
      <w:pPr>
        <w:pStyle w:val="Subsection"/>
        <w:rPr>
          <w:ins w:id="3933" w:author="Master Repository Process" w:date="2022-05-27T14:27:00Z"/>
        </w:rPr>
      </w:pPr>
      <w:ins w:id="3934" w:author="Master Repository Process" w:date="2022-05-27T14:27:00Z">
        <w:r>
          <w:tab/>
          <w:t>(4)</w:t>
        </w:r>
        <w:r>
          <w:tab/>
          <w:t xml:space="preserve">If a surrender referred to in subsection (3) occurs, each of the following persons must lodge a notice of the surrender in the approved form within 2 months after the day on which the surrender occurs — </w:t>
        </w:r>
      </w:ins>
    </w:p>
    <w:p>
      <w:pPr>
        <w:pStyle w:val="Indenta"/>
        <w:rPr>
          <w:ins w:id="3935" w:author="Master Repository Process" w:date="2022-05-27T14:27:00Z"/>
        </w:rPr>
      </w:pPr>
      <w:ins w:id="3936" w:author="Master Repository Process" w:date="2022-05-27T14:27:00Z">
        <w:r>
          <w:tab/>
          <w:t>(a)</w:t>
        </w:r>
        <w:r>
          <w:tab/>
          <w:t>the entity referred to in subsection (1);</w:t>
        </w:r>
      </w:ins>
    </w:p>
    <w:p>
      <w:pPr>
        <w:pStyle w:val="Indenta"/>
        <w:rPr>
          <w:ins w:id="3937" w:author="Master Repository Process" w:date="2022-05-27T14:27:00Z"/>
        </w:rPr>
      </w:pPr>
      <w:ins w:id="3938" w:author="Master Repository Process" w:date="2022-05-27T14:27:00Z">
        <w:r>
          <w:tab/>
          <w:t>(b)</w:t>
        </w:r>
        <w:r>
          <w:tab/>
          <w:t>the person that acquired the interest referred to in subsection (1).</w:t>
        </w:r>
      </w:ins>
    </w:p>
    <w:p>
      <w:pPr>
        <w:pStyle w:val="Penstart"/>
        <w:rPr>
          <w:ins w:id="3939" w:author="Master Repository Process" w:date="2022-05-27T14:27:00Z"/>
        </w:rPr>
      </w:pPr>
      <w:ins w:id="3940" w:author="Master Repository Process" w:date="2022-05-27T14:27:00Z">
        <w:r>
          <w:tab/>
          <w:t>Penalty for this subsection: a fine of $20 000.</w:t>
        </w:r>
      </w:ins>
    </w:p>
    <w:p>
      <w:pPr>
        <w:pStyle w:val="Subsection"/>
        <w:rPr>
          <w:ins w:id="3941" w:author="Master Repository Process" w:date="2022-05-27T14:27:00Z"/>
        </w:rPr>
      </w:pPr>
      <w:ins w:id="3942" w:author="Master Repository Process" w:date="2022-05-27T14:27:00Z">
        <w:r>
          <w:tab/>
          <w:t>(5)</w:t>
        </w:r>
        <w:r>
          <w:tab/>
          <w:t>Subject to the Taxation Administration Act section 17, the Commissioner must make any reassessment necessary as a result of the operation of subsection (3).</w:t>
        </w:r>
      </w:ins>
    </w:p>
    <w:p>
      <w:pPr>
        <w:pStyle w:val="Footnotesection"/>
        <w:rPr>
          <w:ins w:id="3943" w:author="Master Repository Process" w:date="2022-05-27T14:27:00Z"/>
        </w:rPr>
      </w:pPr>
      <w:ins w:id="3944" w:author="Master Repository Process" w:date="2022-05-27T14:27:00Z">
        <w:r>
          <w:tab/>
          <w:t>[Section 204E inserted: No. 12 of 2019 s. 100.]</w:t>
        </w:r>
      </w:ins>
    </w:p>
    <w:p>
      <w:pPr>
        <w:pStyle w:val="Heading4"/>
        <w:rPr>
          <w:ins w:id="3945" w:author="Master Repository Process" w:date="2022-05-27T14:27:00Z"/>
        </w:rPr>
      </w:pPr>
      <w:bookmarkStart w:id="3946" w:name="_Toc37946927"/>
      <w:bookmarkStart w:id="3947" w:name="_Toc37947527"/>
      <w:bookmarkStart w:id="3948" w:name="_Toc38031591"/>
      <w:bookmarkStart w:id="3949" w:name="_Toc93310100"/>
      <w:bookmarkStart w:id="3950" w:name="_Toc104291122"/>
      <w:ins w:id="3951" w:author="Master Repository Process" w:date="2022-05-27T14:27:00Z">
        <w:r>
          <w:t>Division 3 — Acquisitions forming one arrangement</w:t>
        </w:r>
        <w:bookmarkEnd w:id="3946"/>
        <w:bookmarkEnd w:id="3947"/>
        <w:bookmarkEnd w:id="3948"/>
        <w:bookmarkEnd w:id="3949"/>
        <w:bookmarkEnd w:id="3950"/>
      </w:ins>
    </w:p>
    <w:p>
      <w:pPr>
        <w:pStyle w:val="Footnoteheading"/>
        <w:rPr>
          <w:ins w:id="3952" w:author="Master Repository Process" w:date="2022-05-27T14:27:00Z"/>
        </w:rPr>
      </w:pPr>
      <w:ins w:id="3953" w:author="Master Repository Process" w:date="2022-05-27T14:27:00Z">
        <w:r>
          <w:tab/>
          <w:t>[Heading inserted: No. 12 of 2019 s. 100.]</w:t>
        </w:r>
      </w:ins>
    </w:p>
    <w:p>
      <w:pPr>
        <w:pStyle w:val="Heading5"/>
        <w:rPr>
          <w:ins w:id="3954" w:author="Master Repository Process" w:date="2022-05-27T14:27:00Z"/>
        </w:rPr>
      </w:pPr>
      <w:bookmarkStart w:id="3955" w:name="_Toc104291123"/>
      <w:ins w:id="3956" w:author="Master Repository Process" w:date="2022-05-27T14:27:00Z">
        <w:r>
          <w:rPr>
            <w:rStyle w:val="CharSectno"/>
          </w:rPr>
          <w:t>204F</w:t>
        </w:r>
        <w:r>
          <w:t>.</w:t>
        </w:r>
        <w:r>
          <w:tab/>
          <w:t>Acquisitions in 2 or more entities forming one arrangement</w:t>
        </w:r>
        <w:bookmarkEnd w:id="3955"/>
      </w:ins>
    </w:p>
    <w:p>
      <w:pPr>
        <w:pStyle w:val="Subsection"/>
        <w:rPr>
          <w:ins w:id="3957" w:author="Master Repository Process" w:date="2022-05-27T14:27:00Z"/>
        </w:rPr>
      </w:pPr>
      <w:ins w:id="3958" w:author="Master Repository Process" w:date="2022-05-27T14:27:00Z">
        <w:r>
          <w:tab/>
          <w:t>(1)</w:t>
        </w:r>
        <w:r>
          <w:tab/>
          <w:t xml:space="preserve">For the purposes of sections 155(4)(b), 156A(1)(a) and 204D(2)(d), unless the Commissioner is satisfied to the contrary, acquisitions of interests in 2 or more entities together form, evidence, give effect to or arise from what is, substantially one arrangement if — </w:t>
        </w:r>
      </w:ins>
    </w:p>
    <w:p>
      <w:pPr>
        <w:pStyle w:val="Indenta"/>
        <w:rPr>
          <w:ins w:id="3959" w:author="Master Repository Process" w:date="2022-05-27T14:27:00Z"/>
        </w:rPr>
      </w:pPr>
      <w:ins w:id="3960" w:author="Master Repository Process" w:date="2022-05-27T14:27:00Z">
        <w:r>
          <w:tab/>
          <w:t>(a)</w:t>
        </w:r>
        <w:r>
          <w:tab/>
          <w:t>the acquisitions have occurred within 12 months; and</w:t>
        </w:r>
      </w:ins>
    </w:p>
    <w:p>
      <w:pPr>
        <w:pStyle w:val="Indenta"/>
        <w:rPr>
          <w:ins w:id="3961" w:author="Master Repository Process" w:date="2022-05-27T14:27:00Z"/>
        </w:rPr>
      </w:pPr>
      <w:ins w:id="3962" w:author="Master Repository Process" w:date="2022-05-27T14:27:00Z">
        <w:r>
          <w:tab/>
          <w:t>(b)</w:t>
        </w:r>
        <w:r>
          <w:tab/>
          <w:t>in respect of each of the acquisitions, the person that acquires the interest is the same person (whether the person is the only person that acquires the interest or acquires the interest with the same or different persons).</w:t>
        </w:r>
      </w:ins>
    </w:p>
    <w:p>
      <w:pPr>
        <w:pStyle w:val="Subsection"/>
        <w:rPr>
          <w:ins w:id="3963" w:author="Master Repository Process" w:date="2022-05-27T14:27:00Z"/>
        </w:rPr>
      </w:pPr>
      <w:ins w:id="3964" w:author="Master Repository Process" w:date="2022-05-27T14:27:00Z">
        <w:r>
          <w:tab/>
          <w:t>(2)</w:t>
        </w:r>
        <w:r>
          <w:tab/>
          <w:t>Subsection (1) does not limit section 155(4)(b), 156A(1)(a) or 204D(2)(d).</w:t>
        </w:r>
      </w:ins>
    </w:p>
    <w:p>
      <w:pPr>
        <w:pStyle w:val="Footnotesection"/>
        <w:rPr>
          <w:ins w:id="3965" w:author="Master Repository Process" w:date="2022-05-27T14:27:00Z"/>
        </w:rPr>
      </w:pPr>
      <w:ins w:id="3966" w:author="Master Repository Process" w:date="2022-05-27T14:27:00Z">
        <w:r>
          <w:tab/>
          <w:t>[Section 204F inserted: No. 12 of 2019 s. 100.]</w:t>
        </w:r>
      </w:ins>
    </w:p>
    <w:p>
      <w:pPr>
        <w:pStyle w:val="Heading5"/>
        <w:rPr>
          <w:ins w:id="3967" w:author="Master Repository Process" w:date="2022-05-27T14:27:00Z"/>
        </w:rPr>
      </w:pPr>
      <w:bookmarkStart w:id="3968" w:name="_Toc104291124"/>
      <w:ins w:id="3969" w:author="Master Repository Process" w:date="2022-05-27T14:27:00Z">
        <w:r>
          <w:rPr>
            <w:rStyle w:val="CharSectno"/>
          </w:rPr>
          <w:t>204G</w:t>
        </w:r>
        <w:r>
          <w:t>.</w:t>
        </w:r>
        <w:r>
          <w:tab/>
          <w:t>Modified application of s. 176 if entity becomes landholder because of acquisitions forming one arrangement</w:t>
        </w:r>
        <w:bookmarkEnd w:id="3968"/>
      </w:ins>
    </w:p>
    <w:p>
      <w:pPr>
        <w:pStyle w:val="Subsection"/>
        <w:rPr>
          <w:ins w:id="3970" w:author="Master Repository Process" w:date="2022-05-27T14:27:00Z"/>
        </w:rPr>
      </w:pPr>
      <w:ins w:id="3971" w:author="Master Repository Process" w:date="2022-05-27T14:27:00Z">
        <w:r>
          <w:tab/>
          <w:t>(1)</w:t>
        </w:r>
        <w:r>
          <w:tab/>
          <w:t xml:space="preserve">This section modifies the application of section 176 in relation to an acquisition (the </w:t>
        </w:r>
        <w:r>
          <w:rPr>
            <w:rStyle w:val="CharDefText"/>
          </w:rPr>
          <w:t>main acquisition</w:t>
        </w:r>
        <w:r>
          <w:t xml:space="preserve">) of an interest in an entity (the </w:t>
        </w:r>
        <w:r>
          <w:rPr>
            <w:rStyle w:val="CharDefText"/>
          </w:rPr>
          <w:t>main entity</w:t>
        </w:r>
        <w:r>
          <w:t xml:space="preserve">) if — </w:t>
        </w:r>
      </w:ins>
    </w:p>
    <w:p>
      <w:pPr>
        <w:pStyle w:val="Indenta"/>
        <w:rPr>
          <w:ins w:id="3972" w:author="Master Repository Process" w:date="2022-05-27T14:27:00Z"/>
        </w:rPr>
      </w:pPr>
      <w:ins w:id="3973" w:author="Master Repository Process" w:date="2022-05-27T14:27:00Z">
        <w:r>
          <w:tab/>
          <w:t>(a)</w:t>
        </w:r>
        <w:r>
          <w:tab/>
          <w:t>at the time the agreement for the main acquisition is made, the main entity is not a landholder in relation to the main acquisition; and</w:t>
        </w:r>
      </w:ins>
    </w:p>
    <w:p>
      <w:pPr>
        <w:pStyle w:val="Indenta"/>
        <w:rPr>
          <w:ins w:id="3974" w:author="Master Repository Process" w:date="2022-05-27T14:27:00Z"/>
        </w:rPr>
      </w:pPr>
      <w:ins w:id="3975" w:author="Master Repository Process" w:date="2022-05-27T14:27:00Z">
        <w:r>
          <w:tab/>
          <w:t>(b)</w:t>
        </w:r>
        <w:r>
          <w:tab/>
          <w:t>after the agreement is made and either before or after it is completed, 1 or more other acquisitions of interests in entities occur; and</w:t>
        </w:r>
      </w:ins>
    </w:p>
    <w:p>
      <w:pPr>
        <w:pStyle w:val="Indenta"/>
        <w:rPr>
          <w:ins w:id="3976" w:author="Master Repository Process" w:date="2022-05-27T14:27:00Z"/>
        </w:rPr>
      </w:pPr>
      <w:ins w:id="3977" w:author="Master Repository Process" w:date="2022-05-27T14:27:00Z">
        <w:r>
          <w:tab/>
          <w:t>(c)</w:t>
        </w:r>
        <w:r>
          <w:tab/>
          <w:t xml:space="preserve">as a result of the occurrence of the acquisition or acquisitions referred to in paragraph (b), the main entity becomes a landholder in relation to the main acquisition because any of the following occurs — </w:t>
        </w:r>
      </w:ins>
    </w:p>
    <w:p>
      <w:pPr>
        <w:pStyle w:val="Indenti"/>
        <w:rPr>
          <w:ins w:id="3978" w:author="Master Repository Process" w:date="2022-05-27T14:27:00Z"/>
        </w:rPr>
      </w:pPr>
      <w:ins w:id="3979" w:author="Master Repository Process" w:date="2022-05-27T14:27:00Z">
        <w:r>
          <w:tab/>
          <w:t>(i)</w:t>
        </w:r>
        <w:r>
          <w:tab/>
          <w:t>section 155(3) becomes applicable to the main entity in relation to the main acquisition;</w:t>
        </w:r>
      </w:ins>
    </w:p>
    <w:p>
      <w:pPr>
        <w:pStyle w:val="Indenti"/>
        <w:rPr>
          <w:ins w:id="3980" w:author="Master Repository Process" w:date="2022-05-27T14:27:00Z"/>
        </w:rPr>
      </w:pPr>
      <w:ins w:id="3981" w:author="Master Repository Process" w:date="2022-05-27T14:27:00Z">
        <w:r>
          <w:tab/>
          <w:t>(ii)</w:t>
        </w:r>
        <w:r>
          <w:tab/>
          <w:t>an entity becomes a linked entity in respect of the main entity in relation to the main acquisition under section 156A(3);</w:t>
        </w:r>
      </w:ins>
    </w:p>
    <w:p>
      <w:pPr>
        <w:pStyle w:val="Indenti"/>
        <w:rPr>
          <w:ins w:id="3982" w:author="Master Repository Process" w:date="2022-05-27T14:27:00Z"/>
        </w:rPr>
      </w:pPr>
      <w:ins w:id="3983" w:author="Master Repository Process" w:date="2022-05-27T14:27:00Z">
        <w:r>
          <w:tab/>
          <w:t>(iii)</w:t>
        </w:r>
        <w:r>
          <w:tab/>
          <w:t>section 204A(2) becomes applicable, in relation to the main acquisition, to a fixed infrastructure access right to which the main entity or a linked entity in respect of the main entity is entitled.</w:t>
        </w:r>
      </w:ins>
    </w:p>
    <w:p>
      <w:pPr>
        <w:pStyle w:val="Subsection"/>
        <w:rPr>
          <w:ins w:id="3984" w:author="Master Repository Process" w:date="2022-05-27T14:27:00Z"/>
        </w:rPr>
      </w:pPr>
      <w:ins w:id="3985" w:author="Master Repository Process" w:date="2022-05-27T14:27:00Z">
        <w:r>
          <w:tab/>
          <w:t>(2)</w:t>
        </w:r>
        <w:r>
          <w:tab/>
          <w:t xml:space="preserve">From the time at which section 155(3), 156A(3) or 204A(2) (whichever is relevant) becomes applicable, the application of section 176 in relation to the main acquisition is modified as follows — </w:t>
        </w:r>
      </w:ins>
    </w:p>
    <w:p>
      <w:pPr>
        <w:pStyle w:val="Indenta"/>
        <w:rPr>
          <w:ins w:id="3986" w:author="Master Repository Process" w:date="2022-05-27T14:27:00Z"/>
        </w:rPr>
      </w:pPr>
      <w:ins w:id="3987" w:author="Master Repository Process" w:date="2022-05-27T14:27:00Z">
        <w:r>
          <w:tab/>
          <w:t>(a)</w:t>
        </w:r>
        <w:r>
          <w:tab/>
          <w:t>section 176(2) applies in relation to the acquisition subject to subsection (3) of this section;</w:t>
        </w:r>
      </w:ins>
    </w:p>
    <w:p>
      <w:pPr>
        <w:pStyle w:val="Indenta"/>
        <w:rPr>
          <w:ins w:id="3988" w:author="Master Repository Process" w:date="2022-05-27T14:27:00Z"/>
        </w:rPr>
      </w:pPr>
      <w:ins w:id="3989" w:author="Master Repository Process" w:date="2022-05-27T14:27:00Z">
        <w:r>
          <w:tab/>
          <w:t>(b)</w:t>
        </w:r>
        <w:r>
          <w:tab/>
          <w:t>section 176(3) does not apply in relation to the acquisition.</w:t>
        </w:r>
      </w:ins>
    </w:p>
    <w:p>
      <w:pPr>
        <w:pStyle w:val="Subsection"/>
        <w:rPr>
          <w:ins w:id="3990" w:author="Master Repository Process" w:date="2022-05-27T14:27:00Z"/>
        </w:rPr>
      </w:pPr>
      <w:ins w:id="3991" w:author="Master Repository Process" w:date="2022-05-27T14:27:00Z">
        <w:r>
          <w:tab/>
          <w:t>(3)</w:t>
        </w:r>
        <w:r>
          <w:tab/>
          <w:t xml:space="preserve">For the purposes of the following provisions, the main acquisition is taken to occur at the time at which section 155(3), 156A(3) or 204A(2) (whichever is relevant) becomes applicable — </w:t>
        </w:r>
      </w:ins>
    </w:p>
    <w:p>
      <w:pPr>
        <w:pStyle w:val="Indenta"/>
        <w:rPr>
          <w:ins w:id="3992" w:author="Master Repository Process" w:date="2022-05-27T14:27:00Z"/>
        </w:rPr>
      </w:pPr>
      <w:ins w:id="3993" w:author="Master Repository Process" w:date="2022-05-27T14:27:00Z">
        <w:r>
          <w:tab/>
          <w:t>(a)</w:t>
        </w:r>
        <w:r>
          <w:tab/>
          <w:t>section 180(1);</w:t>
        </w:r>
      </w:ins>
    </w:p>
    <w:p>
      <w:pPr>
        <w:pStyle w:val="Indenta"/>
        <w:rPr>
          <w:ins w:id="3994" w:author="Master Repository Process" w:date="2022-05-27T14:27:00Z"/>
        </w:rPr>
      </w:pPr>
      <w:ins w:id="3995" w:author="Master Repository Process" w:date="2022-05-27T14:27:00Z">
        <w:r>
          <w:tab/>
          <w:t>(b)</w:t>
        </w:r>
        <w:r>
          <w:tab/>
          <w:t>section 183;</w:t>
        </w:r>
      </w:ins>
    </w:p>
    <w:p>
      <w:pPr>
        <w:pStyle w:val="Indenta"/>
        <w:rPr>
          <w:ins w:id="3996" w:author="Master Repository Process" w:date="2022-05-27T14:27:00Z"/>
        </w:rPr>
      </w:pPr>
      <w:ins w:id="3997" w:author="Master Repository Process" w:date="2022-05-27T14:27:00Z">
        <w:r>
          <w:tab/>
          <w:t>(c)</w:t>
        </w:r>
        <w:r>
          <w:tab/>
          <w:t>section 200(3);</w:t>
        </w:r>
      </w:ins>
    </w:p>
    <w:p>
      <w:pPr>
        <w:pStyle w:val="Indenta"/>
        <w:rPr>
          <w:ins w:id="3998" w:author="Master Repository Process" w:date="2022-05-27T14:27:00Z"/>
        </w:rPr>
      </w:pPr>
      <w:ins w:id="3999" w:author="Master Repository Process" w:date="2022-05-27T14:27:00Z">
        <w:r>
          <w:tab/>
          <w:t>(d)</w:t>
        </w:r>
        <w:r>
          <w:tab/>
          <w:t>section 201(5).</w:t>
        </w:r>
      </w:ins>
    </w:p>
    <w:p>
      <w:pPr>
        <w:pStyle w:val="Footnotesection"/>
        <w:rPr>
          <w:ins w:id="4000" w:author="Master Repository Process" w:date="2022-05-27T14:27:00Z"/>
        </w:rPr>
      </w:pPr>
      <w:ins w:id="4001" w:author="Master Repository Process" w:date="2022-05-27T14:27:00Z">
        <w:r>
          <w:tab/>
          <w:t>[Section 204G inserted: No. 12 of 2019 s. 100.]</w:t>
        </w:r>
      </w:ins>
    </w:p>
    <w:p>
      <w:pPr>
        <w:pStyle w:val="Heading5"/>
        <w:rPr>
          <w:ins w:id="4002" w:author="Master Repository Process" w:date="2022-05-27T14:27:00Z"/>
        </w:rPr>
      </w:pPr>
      <w:bookmarkStart w:id="4003" w:name="_Toc104291125"/>
      <w:ins w:id="4004" w:author="Master Repository Process" w:date="2022-05-27T14:27:00Z">
        <w:r>
          <w:rPr>
            <w:rStyle w:val="CharSectno"/>
          </w:rPr>
          <w:t>204H</w:t>
        </w:r>
        <w:r>
          <w:t>.</w:t>
        </w:r>
        <w:r>
          <w:tab/>
          <w:t>Reassessment of landholder duty if amount of duty chargeable changes because of acquisitions forming one arrangement</w:t>
        </w:r>
        <w:bookmarkEnd w:id="4003"/>
      </w:ins>
    </w:p>
    <w:p>
      <w:pPr>
        <w:pStyle w:val="Subsection"/>
        <w:rPr>
          <w:ins w:id="4005" w:author="Master Repository Process" w:date="2022-05-27T14:27:00Z"/>
        </w:rPr>
      </w:pPr>
      <w:ins w:id="4006" w:author="Master Repository Process" w:date="2022-05-27T14:27:00Z">
        <w:r>
          <w:tab/>
          <w:t>(1)</w:t>
        </w:r>
        <w:r>
          <w:tab/>
          <w:t xml:space="preserve">This section applies if — </w:t>
        </w:r>
      </w:ins>
    </w:p>
    <w:p>
      <w:pPr>
        <w:pStyle w:val="Indenta"/>
        <w:rPr>
          <w:ins w:id="4007" w:author="Master Repository Process" w:date="2022-05-27T14:27:00Z"/>
        </w:rPr>
      </w:pPr>
      <w:ins w:id="4008" w:author="Master Repository Process" w:date="2022-05-27T14:27:00Z">
        <w:r>
          <w:tab/>
          <w:t>(a)</w:t>
        </w:r>
        <w:r>
          <w:tab/>
          <w:t xml:space="preserve">an assessment of duty is made in relation to a relevant acquisition (the </w:t>
        </w:r>
        <w:r>
          <w:rPr>
            <w:rStyle w:val="CharDefText"/>
          </w:rPr>
          <w:t>main acquisition</w:t>
        </w:r>
        <w:r>
          <w:t>) of an interest in a landholder; and</w:t>
        </w:r>
      </w:ins>
    </w:p>
    <w:p>
      <w:pPr>
        <w:pStyle w:val="Indenta"/>
        <w:rPr>
          <w:ins w:id="4009" w:author="Master Repository Process" w:date="2022-05-27T14:27:00Z"/>
        </w:rPr>
      </w:pPr>
      <w:ins w:id="4010" w:author="Master Repository Process" w:date="2022-05-27T14:27:00Z">
        <w:r>
          <w:tab/>
          <w:t>(b)</w:t>
        </w:r>
        <w:r>
          <w:tab/>
          <w:t>after the assessment is made, 1 or more other acquisitions of interests in entities occur; and</w:t>
        </w:r>
      </w:ins>
    </w:p>
    <w:p>
      <w:pPr>
        <w:pStyle w:val="Indenta"/>
        <w:rPr>
          <w:ins w:id="4011" w:author="Master Repository Process" w:date="2022-05-27T14:27:00Z"/>
        </w:rPr>
      </w:pPr>
      <w:ins w:id="4012" w:author="Master Repository Process" w:date="2022-05-27T14:27:00Z">
        <w:r>
          <w:tab/>
          <w:t>(c)</w:t>
        </w:r>
        <w:r>
          <w:tab/>
          <w:t xml:space="preserve">as a result of the occurrence of the acquisition or acquisitions referred to in paragraph (b), there is a change in the amount of duty chargeable in relation to the main acquisition because any of the following occurs — </w:t>
        </w:r>
      </w:ins>
    </w:p>
    <w:p>
      <w:pPr>
        <w:pStyle w:val="Indenti"/>
        <w:rPr>
          <w:ins w:id="4013" w:author="Master Repository Process" w:date="2022-05-27T14:27:00Z"/>
        </w:rPr>
      </w:pPr>
      <w:ins w:id="4014" w:author="Master Repository Process" w:date="2022-05-27T14:27:00Z">
        <w:r>
          <w:tab/>
          <w:t>(i)</w:t>
        </w:r>
        <w:r>
          <w:tab/>
          <w:t xml:space="preserve">an entity becomes a linked entity in respect of the landholder in relation to the main acquisition under section 156A(3); </w:t>
        </w:r>
      </w:ins>
    </w:p>
    <w:p>
      <w:pPr>
        <w:pStyle w:val="Indenti"/>
        <w:rPr>
          <w:ins w:id="4015" w:author="Master Repository Process" w:date="2022-05-27T14:27:00Z"/>
        </w:rPr>
      </w:pPr>
      <w:ins w:id="4016" w:author="Master Repository Process" w:date="2022-05-27T14:27:00Z">
        <w:r>
          <w:tab/>
          <w:t>(ii)</w:t>
        </w:r>
        <w:r>
          <w:tab/>
          <w:t>section 204A(2) becomes applicable, in relation to the main acquisition, to a fixed infrastructure access right to which the landholder or a linked entity in respect of the landholder is entitled;</w:t>
        </w:r>
      </w:ins>
    </w:p>
    <w:p>
      <w:pPr>
        <w:pStyle w:val="Indenti"/>
        <w:rPr>
          <w:ins w:id="4017" w:author="Master Repository Process" w:date="2022-05-27T14:27:00Z"/>
        </w:rPr>
      </w:pPr>
      <w:ins w:id="4018" w:author="Master Repository Process" w:date="2022-05-27T14:27:00Z">
        <w:r>
          <w:tab/>
          <w:t>(iii)</w:t>
        </w:r>
        <w:r>
          <w:tab/>
          <w:t>section 204B(1) becomes applicable, in relation to the main acquisition, to a fixed infrastructure statutory licence to which the landholder or a linked entity in respect of the landholder is entitled.</w:t>
        </w:r>
      </w:ins>
    </w:p>
    <w:p>
      <w:pPr>
        <w:pStyle w:val="Subsection"/>
        <w:keepNext/>
        <w:rPr>
          <w:ins w:id="4019" w:author="Master Repository Process" w:date="2022-05-27T14:27:00Z"/>
        </w:rPr>
      </w:pPr>
      <w:ins w:id="4020" w:author="Master Repository Process" w:date="2022-05-27T14:27:00Z">
        <w:r>
          <w:tab/>
          <w:t>(2)</w:t>
        </w:r>
        <w:r>
          <w:tab/>
          <w:t>Subject to the Taxation Administration Act section 17, the Commissioner must make any reassessment necessary as a result of the change in amount of duty chargeable referred to in subsection (1)(c).</w:t>
        </w:r>
      </w:ins>
    </w:p>
    <w:p>
      <w:pPr>
        <w:pStyle w:val="Footnotesection"/>
        <w:rPr>
          <w:ins w:id="4021" w:author="Master Repository Process" w:date="2022-05-27T14:27:00Z"/>
        </w:rPr>
      </w:pPr>
      <w:ins w:id="4022" w:author="Master Repository Process" w:date="2022-05-27T14:27:00Z">
        <w:r>
          <w:tab/>
          <w:t>[Section 204H inserted: No. 12 of 2019 s. 100.]</w:t>
        </w:r>
      </w:ins>
    </w:p>
    <w:p>
      <w:pPr>
        <w:pStyle w:val="Heading2"/>
      </w:pPr>
      <w:bookmarkStart w:id="4023" w:name="_Toc37946931"/>
      <w:bookmarkStart w:id="4024" w:name="_Toc37947531"/>
      <w:bookmarkStart w:id="4025" w:name="_Toc38031595"/>
      <w:bookmarkStart w:id="4026" w:name="_Toc93310104"/>
      <w:bookmarkStart w:id="4027" w:name="_Toc104291126"/>
      <w:bookmarkStart w:id="4028" w:name="_Toc513471985"/>
      <w:bookmarkStart w:id="4029" w:name="_Toc513472079"/>
      <w:bookmarkStart w:id="4030" w:name="_Toc515352229"/>
      <w:bookmarkStart w:id="4031" w:name="_Toc516044895"/>
      <w:bookmarkStart w:id="4032" w:name="_Toc516238640"/>
      <w:bookmarkStart w:id="4033" w:name="_Toc516239015"/>
      <w:bookmarkStart w:id="4034" w:name="_Toc516240202"/>
      <w:bookmarkStart w:id="4035" w:name="_Toc526928395"/>
      <w:bookmarkStart w:id="4036" w:name="_Toc527633739"/>
      <w:bookmarkStart w:id="4037" w:name="_Toc527637237"/>
      <w:bookmarkStart w:id="4038" w:name="_Toc531692282"/>
      <w:bookmarkStart w:id="4039" w:name="_Toc531856187"/>
      <w:bookmarkStart w:id="4040" w:name="_Toc531858915"/>
      <w:bookmarkStart w:id="4041" w:name="_Toc531859454"/>
      <w:bookmarkStart w:id="4042" w:name="_Toc530491839"/>
      <w:bookmarkStart w:id="4043" w:name="_Toc530492299"/>
      <w:bookmarkStart w:id="4044" w:name="_Toc530493309"/>
      <w:bookmarkStart w:id="4045" w:name="_Toc530556444"/>
      <w:r>
        <w:rPr>
          <w:rStyle w:val="CharPartNo"/>
        </w:rPr>
        <w:t>Chapter 3A</w:t>
      </w:r>
      <w:r>
        <w:rPr>
          <w:sz w:val="28"/>
        </w:rPr>
        <w:t> </w:t>
      </w:r>
      <w:r>
        <w:rPr>
          <w:sz w:val="32"/>
        </w:rPr>
        <w:t xml:space="preserve">— </w:t>
      </w:r>
      <w:r>
        <w:rPr>
          <w:rStyle w:val="CharPartText"/>
          <w:sz w:val="32"/>
        </w:rPr>
        <w:t>Additional duty for foreign persons</w:t>
      </w:r>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p>
    <w:p>
      <w:pPr>
        <w:pStyle w:val="Footnoteheading"/>
      </w:pPr>
      <w:r>
        <w:tab/>
        <w:t>[Heading inserted: No. 24 of 2018 s. 8.]</w:t>
      </w:r>
    </w:p>
    <w:p>
      <w:pPr>
        <w:pStyle w:val="Heading3"/>
        <w:rPr>
          <w:sz w:val="28"/>
          <w:szCs w:val="28"/>
        </w:rPr>
      </w:pPr>
      <w:bookmarkStart w:id="4046" w:name="_Toc37946932"/>
      <w:bookmarkStart w:id="4047" w:name="_Toc37947532"/>
      <w:bookmarkStart w:id="4048" w:name="_Toc38031596"/>
      <w:bookmarkStart w:id="4049" w:name="_Toc93310105"/>
      <w:bookmarkStart w:id="4050" w:name="_Toc104291127"/>
      <w:bookmarkStart w:id="4051" w:name="_Toc513471986"/>
      <w:bookmarkStart w:id="4052" w:name="_Toc513472080"/>
      <w:bookmarkStart w:id="4053" w:name="_Toc515352230"/>
      <w:bookmarkStart w:id="4054" w:name="_Toc516044896"/>
      <w:bookmarkStart w:id="4055" w:name="_Toc516238641"/>
      <w:bookmarkStart w:id="4056" w:name="_Toc516239016"/>
      <w:bookmarkStart w:id="4057" w:name="_Toc516240203"/>
      <w:bookmarkStart w:id="4058" w:name="_Toc526928396"/>
      <w:bookmarkStart w:id="4059" w:name="_Toc527633740"/>
      <w:bookmarkStart w:id="4060" w:name="_Toc527637238"/>
      <w:bookmarkStart w:id="4061" w:name="_Toc531692283"/>
      <w:bookmarkStart w:id="4062" w:name="_Toc531856188"/>
      <w:bookmarkStart w:id="4063" w:name="_Toc531858916"/>
      <w:bookmarkStart w:id="4064" w:name="_Toc531859455"/>
      <w:r>
        <w:rPr>
          <w:rStyle w:val="CharDivNo"/>
          <w:szCs w:val="28"/>
        </w:rPr>
        <w:t>Part 1</w:t>
      </w:r>
      <w:r>
        <w:rPr>
          <w:sz w:val="28"/>
          <w:szCs w:val="28"/>
        </w:rPr>
        <w:t> — </w:t>
      </w:r>
      <w:r>
        <w:rPr>
          <w:rStyle w:val="CharDivText"/>
          <w:szCs w:val="28"/>
        </w:rPr>
        <w:t>Preliminary</w:t>
      </w:r>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p>
    <w:p>
      <w:pPr>
        <w:pStyle w:val="Footnoteheading"/>
      </w:pPr>
      <w:r>
        <w:tab/>
        <w:t xml:space="preserve">[Heading inserted: No. 24 of 2018 s. 8.] </w:t>
      </w:r>
    </w:p>
    <w:p>
      <w:pPr>
        <w:pStyle w:val="Heading5"/>
      </w:pPr>
      <w:bookmarkStart w:id="4065" w:name="_Toc104291128"/>
      <w:bookmarkStart w:id="4066" w:name="_Toc527633741"/>
      <w:bookmarkStart w:id="4067" w:name="_Toc527637239"/>
      <w:bookmarkStart w:id="4068" w:name="_Toc531859456"/>
      <w:r>
        <w:rPr>
          <w:rStyle w:val="CharSectno"/>
        </w:rPr>
        <w:t>205A</w:t>
      </w:r>
      <w:r>
        <w:t>.</w:t>
      </w:r>
      <w:r>
        <w:tab/>
        <w:t>Terms used</w:t>
      </w:r>
      <w:bookmarkEnd w:id="4065"/>
      <w:bookmarkEnd w:id="4066"/>
      <w:bookmarkEnd w:id="4067"/>
      <w:bookmarkEnd w:id="4068"/>
    </w:p>
    <w:p>
      <w:pPr>
        <w:pStyle w:val="Subsection"/>
      </w:pPr>
      <w:r>
        <w:tab/>
        <w:t>(1)</w:t>
      </w:r>
      <w:r>
        <w:tab/>
        <w:t>In this Chapter, unless the contrary intention appears —</w:t>
      </w:r>
    </w:p>
    <w:p>
      <w:pPr>
        <w:pStyle w:val="Defstart"/>
      </w:pPr>
      <w:r>
        <w:tab/>
      </w:r>
      <w:r>
        <w:rPr>
          <w:rStyle w:val="CharDefText"/>
        </w:rPr>
        <w:t>associate</w:t>
      </w:r>
      <w:r>
        <w:t xml:space="preserve"> has the meaning given in section 205B;</w:t>
      </w:r>
    </w:p>
    <w:p>
      <w:pPr>
        <w:pStyle w:val="Defstart"/>
      </w:pPr>
      <w:r>
        <w:tab/>
      </w:r>
      <w:r>
        <w:rPr>
          <w:rStyle w:val="CharDefText"/>
        </w:rPr>
        <w:t>dwelling</w:t>
      </w:r>
      <w:r>
        <w:t xml:space="preserve"> means a building, or part of a building, that is or is intended to be used solely or dominantly as a place of residence;</w:t>
      </w:r>
    </w:p>
    <w:p>
      <w:pPr>
        <w:pStyle w:val="Defstart"/>
      </w:pPr>
      <w:r>
        <w:tab/>
      </w:r>
      <w:r>
        <w:rPr>
          <w:rStyle w:val="CharDefText"/>
        </w:rPr>
        <w:t>foreign corporation</w:t>
      </w:r>
      <w:r>
        <w:t xml:space="preserve"> has the meaning given in section 205C;</w:t>
      </w:r>
    </w:p>
    <w:p>
      <w:pPr>
        <w:pStyle w:val="Defstart"/>
      </w:pPr>
      <w:r>
        <w:tab/>
      </w:r>
      <w:r>
        <w:rPr>
          <w:rStyle w:val="CharDefText"/>
        </w:rPr>
        <w:t>foreign individual</w:t>
      </w:r>
      <w:r>
        <w:t xml:space="preserve"> means an individual who is not — </w:t>
      </w:r>
    </w:p>
    <w:p>
      <w:pPr>
        <w:pStyle w:val="Defpara"/>
      </w:pPr>
      <w:r>
        <w:tab/>
        <w:t>(a)</w:t>
      </w:r>
      <w:r>
        <w:tab/>
        <w:t xml:space="preserve">an Australian citizen as defined in the </w:t>
      </w:r>
      <w:r>
        <w:rPr>
          <w:i/>
        </w:rPr>
        <w:t>Australian Citizenship Act 2007</w:t>
      </w:r>
      <w:r>
        <w:t xml:space="preserve"> (Commonwealth) section 3; or</w:t>
      </w:r>
    </w:p>
    <w:p>
      <w:pPr>
        <w:pStyle w:val="Defpara"/>
      </w:pPr>
      <w:r>
        <w:tab/>
        <w:t>(b)</w:t>
      </w:r>
      <w:r>
        <w:tab/>
        <w:t xml:space="preserve">the holder of a permanent visa as defined in the </w:t>
      </w:r>
      <w:r>
        <w:rPr>
          <w:i/>
        </w:rPr>
        <w:t>Migration Act 1958</w:t>
      </w:r>
      <w:r>
        <w:t xml:space="preserve"> (Commonwealth) section 5(1); or</w:t>
      </w:r>
    </w:p>
    <w:p>
      <w:pPr>
        <w:pStyle w:val="Defpara"/>
      </w:pPr>
      <w:r>
        <w:tab/>
        <w:t>(c)</w:t>
      </w:r>
      <w:r>
        <w:tab/>
        <w:t xml:space="preserve">the holder of a special category visa as defined in the </w:t>
      </w:r>
      <w:r>
        <w:rPr>
          <w:i/>
        </w:rPr>
        <w:t>Migration Act 1958</w:t>
      </w:r>
      <w:r>
        <w:t xml:space="preserve"> (Commonwealth) section 5(1);</w:t>
      </w:r>
    </w:p>
    <w:p>
      <w:pPr>
        <w:pStyle w:val="Defstart"/>
      </w:pPr>
      <w:r>
        <w:tab/>
      </w:r>
      <w:r>
        <w:rPr>
          <w:rStyle w:val="CharDefText"/>
        </w:rPr>
        <w:t>foreign person</w:t>
      </w:r>
      <w:r>
        <w:t xml:space="preserve"> means — </w:t>
      </w:r>
    </w:p>
    <w:p>
      <w:pPr>
        <w:pStyle w:val="Defpara"/>
      </w:pPr>
      <w:r>
        <w:tab/>
        <w:t>(a)</w:t>
      </w:r>
      <w:r>
        <w:tab/>
        <w:t>a foreign corporation; or</w:t>
      </w:r>
    </w:p>
    <w:p>
      <w:pPr>
        <w:pStyle w:val="Defpara"/>
      </w:pPr>
      <w:r>
        <w:tab/>
        <w:t>(b)</w:t>
      </w:r>
      <w:r>
        <w:tab/>
        <w:t>a foreign individual; or</w:t>
      </w:r>
    </w:p>
    <w:p>
      <w:pPr>
        <w:pStyle w:val="Defpara"/>
      </w:pPr>
      <w:r>
        <w:tab/>
        <w:t>(c)</w:t>
      </w:r>
      <w:r>
        <w:tab/>
        <w:t>a foreign trustee;</w:t>
      </w:r>
    </w:p>
    <w:p>
      <w:pPr>
        <w:pStyle w:val="Defstart"/>
      </w:pPr>
      <w:r>
        <w:tab/>
      </w:r>
      <w:r>
        <w:rPr>
          <w:rStyle w:val="CharDefText"/>
        </w:rPr>
        <w:t>foreign trust</w:t>
      </w:r>
      <w:r>
        <w:t xml:space="preserve"> has the meaning given in section 205D(1);</w:t>
      </w:r>
    </w:p>
    <w:p>
      <w:pPr>
        <w:pStyle w:val="Defstart"/>
      </w:pPr>
      <w:r>
        <w:tab/>
      </w:r>
      <w:r>
        <w:rPr>
          <w:rStyle w:val="CharDefText"/>
        </w:rPr>
        <w:t>foreign trustee</w:t>
      </w:r>
      <w:r>
        <w:t xml:space="preserve"> means a person that is the trustee of a foreign trust;</w:t>
      </w:r>
    </w:p>
    <w:p>
      <w:pPr>
        <w:pStyle w:val="Defstart"/>
      </w:pPr>
      <w:r>
        <w:tab/>
      </w:r>
      <w:r>
        <w:rPr>
          <w:rStyle w:val="CharDefText"/>
        </w:rPr>
        <w:t>parcel of land</w:t>
      </w:r>
      <w:r>
        <w:t xml:space="preserve"> means — </w:t>
      </w:r>
    </w:p>
    <w:p>
      <w:pPr>
        <w:pStyle w:val="Defpara"/>
      </w:pPr>
      <w:r>
        <w:tab/>
        <w:t>(a)</w:t>
      </w:r>
      <w:r>
        <w:tab/>
        <w:t xml:space="preserve">a lot as defined in the </w:t>
      </w:r>
      <w:r>
        <w:rPr>
          <w:i/>
        </w:rPr>
        <w:t>Land Tax Assessment Act 2002</w:t>
      </w:r>
      <w:r>
        <w:t xml:space="preserve"> Glossary clause 2; or</w:t>
      </w:r>
    </w:p>
    <w:p>
      <w:pPr>
        <w:pStyle w:val="Defpara"/>
      </w:pPr>
      <w:r>
        <w:tab/>
        <w:t>(b)</w:t>
      </w:r>
      <w:r>
        <w:tab/>
        <w:t>2 or more such lots which have common boundaries and which in the opinion of the Commissioner should be treated as a single lot for the purpose of this Chapter.</w:t>
      </w:r>
    </w:p>
    <w:p>
      <w:pPr>
        <w:pStyle w:val="Subsection"/>
      </w:pPr>
      <w:r>
        <w:tab/>
        <w:t>(2)</w:t>
      </w:r>
      <w:r>
        <w:tab/>
        <w:t>If a term is given a meaning in section 9 it has the same meaning in this Chapter unless the contrary intention appears in this Chapter.</w:t>
      </w:r>
    </w:p>
    <w:p>
      <w:pPr>
        <w:pStyle w:val="Subsection"/>
      </w:pPr>
      <w:r>
        <w:tab/>
        <w:t>(3)</w:t>
      </w:r>
      <w:r>
        <w:tab/>
        <w:t>If a term is given a meaning in section 148</w:t>
      </w:r>
      <w:ins w:id="4069" w:author="Master Repository Process" w:date="2022-05-27T14:27:00Z">
        <w:r>
          <w:t>(1)</w:t>
        </w:r>
      </w:ins>
      <w:r>
        <w:t xml:space="preserve"> or 161 (as applied by section 205ZE(1)) it has the same meaning in this Chapter unless the contrary intention appears in this Chapter.</w:t>
      </w:r>
    </w:p>
    <w:p>
      <w:pPr>
        <w:pStyle w:val="Footnotesection"/>
      </w:pPr>
      <w:r>
        <w:tab/>
        <w:t>[Section 205A inserted: No. 24 of 2018 s. </w:t>
      </w:r>
      <w:del w:id="4070" w:author="Master Repository Process" w:date="2022-05-27T14:27:00Z">
        <w:r>
          <w:delText>8</w:delText>
        </w:r>
      </w:del>
      <w:ins w:id="4071" w:author="Master Repository Process" w:date="2022-05-27T14:27:00Z">
        <w:r>
          <w:t>8; amended: No. 12 of 2019 s. 101</w:t>
        </w:r>
      </w:ins>
      <w:r>
        <w:t>.]</w:t>
      </w:r>
    </w:p>
    <w:p>
      <w:pPr>
        <w:pStyle w:val="Heading5"/>
      </w:pPr>
      <w:bookmarkStart w:id="4072" w:name="_Toc104291129"/>
      <w:bookmarkStart w:id="4073" w:name="_Toc527633742"/>
      <w:bookmarkStart w:id="4074" w:name="_Toc527637240"/>
      <w:bookmarkStart w:id="4075" w:name="_Toc531859457"/>
      <w:r>
        <w:rPr>
          <w:rStyle w:val="CharSectno"/>
        </w:rPr>
        <w:t>205B</w:t>
      </w:r>
      <w:r>
        <w:t>.</w:t>
      </w:r>
      <w:r>
        <w:tab/>
        <w:t>Associate</w:t>
      </w:r>
      <w:bookmarkEnd w:id="4072"/>
      <w:bookmarkEnd w:id="4073"/>
      <w:bookmarkEnd w:id="4074"/>
      <w:bookmarkEnd w:id="4075"/>
    </w:p>
    <w:p>
      <w:pPr>
        <w:pStyle w:val="Subsection"/>
      </w:pPr>
      <w:r>
        <w:tab/>
        <w:t>(1)</w:t>
      </w:r>
      <w:r>
        <w:tab/>
        <w:t xml:space="preserve">A person is an </w:t>
      </w:r>
      <w:r>
        <w:rPr>
          <w:rStyle w:val="CharDefText"/>
        </w:rPr>
        <w:t>associate</w:t>
      </w:r>
      <w:r>
        <w:t xml:space="preserve"> of another person if — </w:t>
      </w:r>
    </w:p>
    <w:p>
      <w:pPr>
        <w:pStyle w:val="Indenta"/>
      </w:pPr>
      <w:r>
        <w:tab/>
        <w:t>(a)</w:t>
      </w:r>
      <w:r>
        <w:tab/>
        <w:t>the person is a family member (within the meaning given in section 100) of the other person; or</w:t>
      </w:r>
    </w:p>
    <w:p>
      <w:pPr>
        <w:pStyle w:val="Indenta"/>
      </w:pPr>
      <w:r>
        <w:tab/>
        <w:t>(b)</w:t>
      </w:r>
      <w:r>
        <w:tab/>
        <w:t>the person and the other person are related persons under section 162(1)(c) to (g); or</w:t>
      </w:r>
    </w:p>
    <w:p>
      <w:pPr>
        <w:pStyle w:val="Indenta"/>
      </w:pPr>
      <w:r>
        <w:tab/>
        <w:t>(c)</w:t>
      </w:r>
      <w:r>
        <w:tab/>
        <w:t>the person and the other person are partners in the same partnership.</w:t>
      </w:r>
    </w:p>
    <w:p>
      <w:pPr>
        <w:pStyle w:val="Subsection"/>
      </w:pPr>
      <w:r>
        <w:tab/>
        <w:t>(2)</w:t>
      </w:r>
      <w:r>
        <w:tab/>
        <w:t xml:space="preserve">If a beneficiary of a trust, other than a unit trust scheme or a discretionary trust, is an associate under subsection (1) of a person, a trustee of the trust is also an </w:t>
      </w:r>
      <w:r>
        <w:rPr>
          <w:rStyle w:val="CharDefText"/>
        </w:rPr>
        <w:t>associate</w:t>
      </w:r>
      <w:r>
        <w:t xml:space="preserve"> of that person.</w:t>
      </w:r>
    </w:p>
    <w:p>
      <w:pPr>
        <w:pStyle w:val="Footnotesection"/>
      </w:pPr>
      <w:bookmarkStart w:id="4076" w:name="_Toc527633743"/>
      <w:bookmarkStart w:id="4077" w:name="_Toc527637241"/>
      <w:r>
        <w:tab/>
        <w:t>[Section 205B inserted: No. 24 of 2018 s. 8.]</w:t>
      </w:r>
    </w:p>
    <w:p>
      <w:pPr>
        <w:pStyle w:val="Heading5"/>
      </w:pPr>
      <w:bookmarkStart w:id="4078" w:name="_Toc104291130"/>
      <w:bookmarkStart w:id="4079" w:name="_Toc531859458"/>
      <w:r>
        <w:rPr>
          <w:rStyle w:val="CharSectno"/>
        </w:rPr>
        <w:t>205C</w:t>
      </w:r>
      <w:r>
        <w:t>.</w:t>
      </w:r>
      <w:r>
        <w:tab/>
        <w:t>Foreign corporation</w:t>
      </w:r>
      <w:bookmarkEnd w:id="4078"/>
      <w:bookmarkEnd w:id="4076"/>
      <w:bookmarkEnd w:id="4077"/>
      <w:bookmarkEnd w:id="4079"/>
    </w:p>
    <w:p>
      <w:pPr>
        <w:pStyle w:val="Subsection"/>
      </w:pPr>
      <w:r>
        <w:tab/>
        <w:t>(1)</w:t>
      </w:r>
      <w:r>
        <w:tab/>
        <w:t xml:space="preserve">In this section — </w:t>
      </w:r>
    </w:p>
    <w:p>
      <w:pPr>
        <w:pStyle w:val="Defstart"/>
      </w:pPr>
      <w:r>
        <w:tab/>
      </w:r>
      <w:r>
        <w:rPr>
          <w:rStyle w:val="CharDefText"/>
        </w:rPr>
        <w:t>potential voting power</w:t>
      </w:r>
      <w:r>
        <w:t xml:space="preserve"> has the meaning given in the </w:t>
      </w:r>
      <w:r>
        <w:rPr>
          <w:i/>
        </w:rPr>
        <w:t>Foreign Acquisitions and Takeovers Act 1975</w:t>
      </w:r>
      <w:r>
        <w:t xml:space="preserve"> (Commonwealth) section 4;</w:t>
      </w:r>
    </w:p>
    <w:p>
      <w:pPr>
        <w:pStyle w:val="Defstart"/>
      </w:pPr>
      <w:r>
        <w:tab/>
      </w:r>
      <w:r>
        <w:rPr>
          <w:rStyle w:val="CharDefText"/>
        </w:rPr>
        <w:t>voting power</w:t>
      </w:r>
      <w:r>
        <w:t xml:space="preserve"> has the meaning given in the </w:t>
      </w:r>
      <w:r>
        <w:rPr>
          <w:i/>
        </w:rPr>
        <w:t>Foreign Acquisitions and Takeovers Act 1975</w:t>
      </w:r>
      <w:r>
        <w:t xml:space="preserve"> (Commonwealth) section 4.</w:t>
      </w:r>
    </w:p>
    <w:p>
      <w:pPr>
        <w:pStyle w:val="Subsection"/>
        <w:keepNext/>
      </w:pPr>
      <w:r>
        <w:tab/>
        <w:t>(2)</w:t>
      </w:r>
      <w:r>
        <w:tab/>
        <w:t xml:space="preserve">A corporation is a </w:t>
      </w:r>
      <w:r>
        <w:rPr>
          <w:rStyle w:val="CharDefText"/>
        </w:rPr>
        <w:t>foreign corporation</w:t>
      </w:r>
      <w:r>
        <w:t xml:space="preserve"> if — </w:t>
      </w:r>
    </w:p>
    <w:p>
      <w:pPr>
        <w:pStyle w:val="Indenta"/>
      </w:pPr>
      <w:r>
        <w:tab/>
        <w:t>(a)</w:t>
      </w:r>
      <w:r>
        <w:tab/>
        <w:t>the corporation is incorporated outside Australia; or</w:t>
      </w:r>
    </w:p>
    <w:p>
      <w:pPr>
        <w:pStyle w:val="Indenta"/>
      </w:pPr>
      <w:r>
        <w:tab/>
        <w:t>(b)</w:t>
      </w:r>
      <w:r>
        <w:tab/>
        <w:t>the corporation is a corporation in which foreign persons have a controlling interest.</w:t>
      </w:r>
    </w:p>
    <w:p>
      <w:pPr>
        <w:pStyle w:val="Subsection"/>
      </w:pPr>
      <w:r>
        <w:tab/>
        <w:t>(3)</w:t>
      </w:r>
      <w:r>
        <w:tab/>
        <w:t xml:space="preserve">For the purposes of subsection (2)(b), foreign persons have a controlling interest in a corporation if 1 or more foreign persons or their associates — </w:t>
      </w:r>
    </w:p>
    <w:p>
      <w:pPr>
        <w:pStyle w:val="Indenta"/>
      </w:pPr>
      <w:r>
        <w:tab/>
        <w:t>(a)</w:t>
      </w:r>
      <w:r>
        <w:tab/>
        <w:t xml:space="preserve">control at least 50% of the voting power in the corporation; or </w:t>
      </w:r>
    </w:p>
    <w:p>
      <w:pPr>
        <w:pStyle w:val="Indenta"/>
      </w:pPr>
      <w:r>
        <w:tab/>
        <w:t>(b)</w:t>
      </w:r>
      <w:r>
        <w:tab/>
        <w:t>control at least 50% of the potential voting power in the corporation; or</w:t>
      </w:r>
    </w:p>
    <w:p>
      <w:pPr>
        <w:pStyle w:val="Indenta"/>
      </w:pPr>
      <w:r>
        <w:tab/>
        <w:t>(c)</w:t>
      </w:r>
      <w:r>
        <w:tab/>
        <w:t>hold at least 50% of the issued shares in the corporation.</w:t>
      </w:r>
    </w:p>
    <w:p>
      <w:pPr>
        <w:pStyle w:val="Subsection"/>
      </w:pPr>
      <w:r>
        <w:tab/>
        <w:t>(4)</w:t>
      </w:r>
      <w:r>
        <w:tab/>
        <w:t>In subsection (3) references to control are to control that is direct or indirect, including control that is exercisable as a result or by means of arrangements or practices, whether or not having legal or equitable force, and whether or not based on legal or equitable rights.</w:t>
      </w:r>
    </w:p>
    <w:p>
      <w:pPr>
        <w:pStyle w:val="Footnotesection"/>
      </w:pPr>
      <w:bookmarkStart w:id="4080" w:name="_Toc527633744"/>
      <w:bookmarkStart w:id="4081" w:name="_Toc527637242"/>
      <w:r>
        <w:tab/>
        <w:t>[Section 205C inserted: No. 24 of 2018 s. 8.]</w:t>
      </w:r>
    </w:p>
    <w:p>
      <w:pPr>
        <w:pStyle w:val="Heading5"/>
      </w:pPr>
      <w:bookmarkStart w:id="4082" w:name="_Toc104291131"/>
      <w:bookmarkStart w:id="4083" w:name="_Toc531859459"/>
      <w:r>
        <w:rPr>
          <w:rStyle w:val="CharSectno"/>
        </w:rPr>
        <w:t>205D</w:t>
      </w:r>
      <w:r>
        <w:t>.</w:t>
      </w:r>
      <w:r>
        <w:tab/>
        <w:t>Foreign trust</w:t>
      </w:r>
      <w:bookmarkEnd w:id="4082"/>
      <w:bookmarkEnd w:id="4080"/>
      <w:bookmarkEnd w:id="4081"/>
      <w:bookmarkEnd w:id="4083"/>
    </w:p>
    <w:p>
      <w:pPr>
        <w:pStyle w:val="Subsection"/>
      </w:pPr>
      <w:r>
        <w:tab/>
        <w:t>(1)</w:t>
      </w:r>
      <w:r>
        <w:tab/>
        <w:t xml:space="preserve">A trust is a </w:t>
      </w:r>
      <w:r>
        <w:rPr>
          <w:rStyle w:val="CharDefText"/>
        </w:rPr>
        <w:t>foreign trust</w:t>
      </w:r>
      <w:r>
        <w:t xml:space="preserve"> if it is — </w:t>
      </w:r>
    </w:p>
    <w:p>
      <w:pPr>
        <w:pStyle w:val="Indenta"/>
      </w:pPr>
      <w:r>
        <w:tab/>
        <w:t>(a)</w:t>
      </w:r>
      <w:r>
        <w:tab/>
        <w:t>a discretionary trust controlled by a foreign person; or</w:t>
      </w:r>
    </w:p>
    <w:p>
      <w:pPr>
        <w:pStyle w:val="Indenta"/>
      </w:pPr>
      <w:r>
        <w:tab/>
        <w:t>(b)</w:t>
      </w:r>
      <w:r>
        <w:tab/>
        <w:t>a discretionary trust and 1 or more foreign persons that are takers in default, together with their associates, hold at least a 50% interest in the discretionary trust; or</w:t>
      </w:r>
    </w:p>
    <w:p>
      <w:pPr>
        <w:pStyle w:val="Indenta"/>
      </w:pPr>
      <w:r>
        <w:tab/>
        <w:t>(c)</w:t>
      </w:r>
      <w:r>
        <w:tab/>
        <w:t>a trust other than a discretionary trust and 1 or more foreign persons, together with their associates, hold beneficial interests in at least 50% of the income or property of the trust.</w:t>
      </w:r>
    </w:p>
    <w:p>
      <w:pPr>
        <w:pStyle w:val="Subsection"/>
      </w:pPr>
      <w:r>
        <w:tab/>
        <w:t>(2)</w:t>
      </w:r>
      <w:r>
        <w:tab/>
        <w:t>For the purposes of subsection (1)(a), a discretionary trust is controlled by a foreign person if the person is in a position to influence, either directly or indirectly, the vesting of the whole or any part of the capital of the trust property, or of the whole or any part of the income from the trust property.</w:t>
      </w:r>
    </w:p>
    <w:p>
      <w:pPr>
        <w:pStyle w:val="Footnotesection"/>
      </w:pPr>
      <w:bookmarkStart w:id="4084" w:name="_Toc527633745"/>
      <w:bookmarkStart w:id="4085" w:name="_Toc527637243"/>
      <w:r>
        <w:tab/>
        <w:t>[Section 205D inserted: No. 24 of 2018 s. 8.]</w:t>
      </w:r>
    </w:p>
    <w:p>
      <w:pPr>
        <w:pStyle w:val="Heading5"/>
      </w:pPr>
      <w:bookmarkStart w:id="4086" w:name="_Toc104291132"/>
      <w:bookmarkStart w:id="4087" w:name="_Toc531859460"/>
      <w:r>
        <w:rPr>
          <w:rStyle w:val="CharSectno"/>
        </w:rPr>
        <w:t>205E</w:t>
      </w:r>
      <w:r>
        <w:t>.</w:t>
      </w:r>
      <w:r>
        <w:tab/>
        <w:t>Residential property</w:t>
      </w:r>
      <w:bookmarkEnd w:id="4086"/>
      <w:bookmarkEnd w:id="4084"/>
      <w:bookmarkEnd w:id="4085"/>
      <w:bookmarkEnd w:id="4087"/>
    </w:p>
    <w:p>
      <w:pPr>
        <w:pStyle w:val="Subsection"/>
      </w:pPr>
      <w:r>
        <w:tab/>
        <w:t>(1)</w:t>
      </w:r>
      <w:r>
        <w:tab/>
        <w:t xml:space="preserve">Subject to subsection (3), any of the following is </w:t>
      </w:r>
      <w:r>
        <w:rPr>
          <w:rStyle w:val="CharDefText"/>
        </w:rPr>
        <w:t>residential property</w:t>
      </w:r>
      <w:r>
        <w:rPr>
          <w:b/>
          <w:i/>
        </w:rPr>
        <w:t> </w:t>
      </w:r>
      <w:r>
        <w:t xml:space="preserve">— </w:t>
      </w:r>
    </w:p>
    <w:p>
      <w:pPr>
        <w:pStyle w:val="Indenta"/>
      </w:pPr>
      <w:r>
        <w:tab/>
        <w:t>(a)</w:t>
      </w:r>
      <w:r>
        <w:tab/>
        <w:t>land in Western Australia that is, is capable of being, or is intended to be, used solely or dominantly for residential purposes;</w:t>
      </w:r>
    </w:p>
    <w:p>
      <w:pPr>
        <w:pStyle w:val="Indenta"/>
      </w:pPr>
      <w:r>
        <w:tab/>
        <w:t>(b)</w:t>
      </w:r>
      <w:r>
        <w:tab/>
        <w:t xml:space="preserve">land in Western Australia that is vacant or substantially vacant and zoned solely for residential purposes under a planning scheme as defined in the </w:t>
      </w:r>
      <w:r>
        <w:rPr>
          <w:i/>
        </w:rPr>
        <w:t>Planning and Development Act 2005</w:t>
      </w:r>
      <w:r>
        <w:t xml:space="preserve"> section 4(1);</w:t>
      </w:r>
    </w:p>
    <w:p>
      <w:pPr>
        <w:pStyle w:val="Indenta"/>
      </w:pPr>
      <w:r>
        <w:tab/>
        <w:t>(c)</w:t>
      </w:r>
      <w:r>
        <w:tab/>
        <w:t xml:space="preserve">in the case of land described in paragraph (a) or (b) — </w:t>
      </w:r>
    </w:p>
    <w:p>
      <w:pPr>
        <w:pStyle w:val="Indenti"/>
      </w:pPr>
      <w:r>
        <w:tab/>
        <w:t>(i)</w:t>
      </w:r>
      <w:r>
        <w:tab/>
        <w:t>any estate or interest in the land;</w:t>
      </w:r>
    </w:p>
    <w:p>
      <w:pPr>
        <w:pStyle w:val="Indenti"/>
      </w:pPr>
      <w:r>
        <w:tab/>
        <w:t>(ii)</w:t>
      </w:r>
      <w:r>
        <w:tab/>
        <w:t xml:space="preserve">anything </w:t>
      </w:r>
      <w:ins w:id="4088" w:author="Master Repository Process" w:date="2022-05-27T14:27:00Z">
        <w:r>
          <w:t xml:space="preserve">to which section 3A(1)(f) applies </w:t>
        </w:r>
      </w:ins>
      <w:r>
        <w:t xml:space="preserve">that is </w:t>
      </w:r>
      <w:del w:id="4089" w:author="Master Repository Process" w:date="2022-05-27T14:27:00Z">
        <w:r>
          <w:delText>part of</w:delText>
        </w:r>
      </w:del>
      <w:ins w:id="4090" w:author="Master Repository Process" w:date="2022-05-27T14:27:00Z">
        <w:r>
          <w:t>fixed to</w:t>
        </w:r>
      </w:ins>
      <w:r>
        <w:t xml:space="preserve"> the land </w:t>
      </w:r>
      <w:del w:id="4091" w:author="Master Repository Process" w:date="2022-05-27T14:27:00Z">
        <w:r>
          <w:delText>as</w:delText>
        </w:r>
      </w:del>
      <w:ins w:id="4092" w:author="Master Repository Process" w:date="2022-05-27T14:27:00Z">
        <w:r>
          <w:t>or an estate or interest in such</w:t>
        </w:r>
      </w:ins>
      <w:r>
        <w:t xml:space="preserve"> a </w:t>
      </w:r>
      <w:del w:id="4093" w:author="Master Repository Process" w:date="2022-05-27T14:27:00Z">
        <w:r>
          <w:delText>fixture</w:delText>
        </w:r>
      </w:del>
      <w:ins w:id="4094" w:author="Master Repository Process" w:date="2022-05-27T14:27:00Z">
        <w:r>
          <w:t>thing</w:t>
        </w:r>
      </w:ins>
      <w:r>
        <w:t>.</w:t>
      </w:r>
    </w:p>
    <w:p>
      <w:pPr>
        <w:pStyle w:val="Subsection"/>
      </w:pPr>
      <w:r>
        <w:tab/>
        <w:t>(2)</w:t>
      </w:r>
      <w:r>
        <w:tab/>
        <w:t xml:space="preserve">For the purposes of Part 2, other than sections 205S(2)(b) and (h) and 205X, </w:t>
      </w:r>
      <w:r>
        <w:rPr>
          <w:rStyle w:val="CharDefText"/>
        </w:rPr>
        <w:t>residential property</w:t>
      </w:r>
      <w:r>
        <w:t xml:space="preserve"> includes a chattel in Western Australia if — </w:t>
      </w:r>
    </w:p>
    <w:p>
      <w:pPr>
        <w:pStyle w:val="Indenta"/>
      </w:pPr>
      <w:r>
        <w:tab/>
        <w:t>(a)</w:t>
      </w:r>
      <w:r>
        <w:tab/>
        <w:t xml:space="preserve">the chattel is the subject of a dutiable transaction; and </w:t>
      </w:r>
    </w:p>
    <w:p>
      <w:pPr>
        <w:pStyle w:val="Indenta"/>
      </w:pPr>
      <w:r>
        <w:tab/>
        <w:t>(b)</w:t>
      </w:r>
      <w:r>
        <w:tab/>
        <w:t xml:space="preserve">under section 37, the dutiable transaction in respect of the chattel is aggregated with a dutiable transaction in respect of residential property as defined in subsections (1) and (3); and </w:t>
      </w:r>
    </w:p>
    <w:p>
      <w:pPr>
        <w:pStyle w:val="Indenta"/>
      </w:pPr>
      <w:r>
        <w:tab/>
        <w:t>(c)</w:t>
      </w:r>
      <w:r>
        <w:tab/>
        <w:t>the use of the chattel is directly linked to, or is incidental to, the use of residential property for residential purposes.</w:t>
      </w:r>
    </w:p>
    <w:p>
      <w:pPr>
        <w:pStyle w:val="Subsection"/>
        <w:keepNext/>
      </w:pPr>
      <w:r>
        <w:tab/>
        <w:t>(3)</w:t>
      </w:r>
      <w:r>
        <w:tab/>
        <w:t xml:space="preserve">The following are not </w:t>
      </w:r>
      <w:r>
        <w:rPr>
          <w:rStyle w:val="CharDefText"/>
        </w:rPr>
        <w:t>residential property</w:t>
      </w:r>
      <w:r>
        <w:t xml:space="preserve"> — </w:t>
      </w:r>
    </w:p>
    <w:p>
      <w:pPr>
        <w:pStyle w:val="Indenta"/>
      </w:pPr>
      <w:r>
        <w:tab/>
        <w:t>(a)</w:t>
      </w:r>
      <w:r>
        <w:tab/>
        <w:t xml:space="preserve">land that is intended to be used solely or dominantly for the purposes of an aged care facility as defined in the </w:t>
      </w:r>
      <w:r>
        <w:rPr>
          <w:i/>
        </w:rPr>
        <w:t xml:space="preserve">Land Tax Assessment Act 2002 </w:t>
      </w:r>
      <w:r>
        <w:t>section 38A(1);</w:t>
      </w:r>
    </w:p>
    <w:p>
      <w:pPr>
        <w:pStyle w:val="Indenta"/>
      </w:pPr>
      <w:r>
        <w:tab/>
        <w:t>(b)</w:t>
      </w:r>
      <w:r>
        <w:tab/>
        <w:t xml:space="preserve">land that is intended to be used solely or dominantly for the purposes of commercial residential premises as defined in the </w:t>
      </w:r>
      <w:r>
        <w:rPr>
          <w:i/>
        </w:rPr>
        <w:t xml:space="preserve">A New Tax System (Goods and Services Tax) Act 1999 </w:t>
      </w:r>
      <w:r>
        <w:t>(Commonwealth) section 195</w:t>
      </w:r>
      <w:r>
        <w:noBreakHyphen/>
        <w:t>1;</w:t>
      </w:r>
    </w:p>
    <w:p>
      <w:pPr>
        <w:pStyle w:val="Indenta"/>
      </w:pPr>
      <w:r>
        <w:tab/>
        <w:t>(c)</w:t>
      </w:r>
      <w:r>
        <w:tab/>
        <w:t xml:space="preserve">land that is intended to be used solely or dominantly for the purposes of a retirement village as defined in the </w:t>
      </w:r>
      <w:r>
        <w:rPr>
          <w:i/>
        </w:rPr>
        <w:t>Retirement Villages Act 1992</w:t>
      </w:r>
      <w:r>
        <w:t xml:space="preserve"> section 3(1);</w:t>
      </w:r>
    </w:p>
    <w:p>
      <w:pPr>
        <w:pStyle w:val="Indenta"/>
      </w:pPr>
      <w:r>
        <w:tab/>
        <w:t>(d)</w:t>
      </w:r>
      <w:r>
        <w:tab/>
        <w:t>an easement;</w:t>
      </w:r>
    </w:p>
    <w:p>
      <w:pPr>
        <w:pStyle w:val="Indenta"/>
      </w:pPr>
      <w:r>
        <w:tab/>
        <w:t>(e)</w:t>
      </w:r>
      <w:r>
        <w:tab/>
        <w:t>a security interest;</w:t>
      </w:r>
    </w:p>
    <w:p>
      <w:pPr>
        <w:pStyle w:val="Indenta"/>
      </w:pPr>
      <w:r>
        <w:tab/>
        <w:t>(f)</w:t>
      </w:r>
      <w:r>
        <w:tab/>
        <w:t xml:space="preserve">a carbon right or a carbon covenant registered under the </w:t>
      </w:r>
      <w:r>
        <w:rPr>
          <w:i/>
        </w:rPr>
        <w:t>Carbon Rights Act 2003</w:t>
      </w:r>
      <w:r>
        <w:t>;</w:t>
      </w:r>
    </w:p>
    <w:p>
      <w:pPr>
        <w:pStyle w:val="Indenta"/>
        <w:rPr>
          <w:ins w:id="4095" w:author="Master Repository Process" w:date="2022-05-27T14:27:00Z"/>
        </w:rPr>
      </w:pPr>
      <w:ins w:id="4096" w:author="Master Repository Process" w:date="2022-05-27T14:27:00Z">
        <w:r>
          <w:tab/>
          <w:t>(fa)</w:t>
        </w:r>
        <w:r>
          <w:tab/>
          <w:t>anything to which section 18A(1) applies;</w:t>
        </w:r>
      </w:ins>
    </w:p>
    <w:p>
      <w:pPr>
        <w:pStyle w:val="Indenta"/>
        <w:rPr>
          <w:ins w:id="4097" w:author="Master Repository Process" w:date="2022-05-27T14:27:00Z"/>
        </w:rPr>
      </w:pPr>
      <w:ins w:id="4098" w:author="Master Repository Process" w:date="2022-05-27T14:27:00Z">
        <w:r>
          <w:tab/>
          <w:t>(fb)</w:t>
        </w:r>
        <w:r>
          <w:tab/>
          <w:t>a mining tenement or an estate or interest in a mining tenement;</w:t>
        </w:r>
      </w:ins>
    </w:p>
    <w:p>
      <w:pPr>
        <w:pStyle w:val="Indenta"/>
        <w:rPr>
          <w:ins w:id="4099" w:author="Master Repository Process" w:date="2022-05-27T14:27:00Z"/>
        </w:rPr>
      </w:pPr>
      <w:ins w:id="4100" w:author="Master Repository Process" w:date="2022-05-27T14:27:00Z">
        <w:r>
          <w:tab/>
          <w:t>(fc)</w:t>
        </w:r>
        <w:r>
          <w:tab/>
          <w:t>a pastoral lease or an interest of a pastoral lessee under a pastoral lease;</w:t>
        </w:r>
      </w:ins>
    </w:p>
    <w:p>
      <w:pPr>
        <w:pStyle w:val="Indenta"/>
        <w:rPr>
          <w:ins w:id="4101" w:author="Master Repository Process" w:date="2022-05-27T14:27:00Z"/>
        </w:rPr>
      </w:pPr>
      <w:ins w:id="4102" w:author="Master Repository Process" w:date="2022-05-27T14:27:00Z">
        <w:r>
          <w:tab/>
          <w:t>(fd)</w:t>
        </w:r>
        <w:r>
          <w:tab/>
          <w:t>a derivative mining right;</w:t>
        </w:r>
      </w:ins>
    </w:p>
    <w:p>
      <w:pPr>
        <w:pStyle w:val="Indenta"/>
      </w:pPr>
      <w:r>
        <w:tab/>
        <w:t>(g)</w:t>
      </w:r>
      <w:r>
        <w:tab/>
        <w:t>land prescribed for the purposes of this subsection.</w:t>
      </w:r>
    </w:p>
    <w:p>
      <w:pPr>
        <w:pStyle w:val="Footnotesection"/>
      </w:pPr>
      <w:bookmarkStart w:id="4103" w:name="_Toc513471992"/>
      <w:bookmarkStart w:id="4104" w:name="_Toc513472086"/>
      <w:bookmarkStart w:id="4105" w:name="_Toc515352236"/>
      <w:bookmarkStart w:id="4106" w:name="_Toc516044902"/>
      <w:bookmarkStart w:id="4107" w:name="_Toc516238647"/>
      <w:bookmarkStart w:id="4108" w:name="_Toc516239022"/>
      <w:bookmarkStart w:id="4109" w:name="_Toc516240209"/>
      <w:bookmarkStart w:id="4110" w:name="_Toc526928402"/>
      <w:bookmarkStart w:id="4111" w:name="_Toc527633746"/>
      <w:bookmarkStart w:id="4112" w:name="_Toc527637244"/>
      <w:r>
        <w:tab/>
        <w:t>[Section 205E inserted: No. 24 of 2018 s. </w:t>
      </w:r>
      <w:del w:id="4113" w:author="Master Repository Process" w:date="2022-05-27T14:27:00Z">
        <w:r>
          <w:delText>8</w:delText>
        </w:r>
      </w:del>
      <w:ins w:id="4114" w:author="Master Repository Process" w:date="2022-05-27T14:27:00Z">
        <w:r>
          <w:t>8; amended: No. 12 of 2019 s. 102</w:t>
        </w:r>
      </w:ins>
      <w:r>
        <w:t>.]</w:t>
      </w:r>
    </w:p>
    <w:p>
      <w:pPr>
        <w:pStyle w:val="Heading3"/>
      </w:pPr>
      <w:bookmarkStart w:id="4115" w:name="_Toc37946938"/>
      <w:bookmarkStart w:id="4116" w:name="_Toc37947538"/>
      <w:bookmarkStart w:id="4117" w:name="_Toc38031602"/>
      <w:bookmarkStart w:id="4118" w:name="_Toc93310111"/>
      <w:bookmarkStart w:id="4119" w:name="_Toc104291133"/>
      <w:bookmarkStart w:id="4120" w:name="_Toc531692289"/>
      <w:bookmarkStart w:id="4121" w:name="_Toc531856194"/>
      <w:bookmarkStart w:id="4122" w:name="_Toc531858922"/>
      <w:bookmarkStart w:id="4123" w:name="_Toc531859461"/>
      <w:r>
        <w:rPr>
          <w:rStyle w:val="CharDivNo"/>
          <w:szCs w:val="28"/>
        </w:rPr>
        <w:t>Part 2</w:t>
      </w:r>
      <w:r>
        <w:rPr>
          <w:sz w:val="28"/>
          <w:szCs w:val="28"/>
        </w:rPr>
        <w:t> — </w:t>
      </w:r>
      <w:r>
        <w:rPr>
          <w:rStyle w:val="CharDivText"/>
          <w:szCs w:val="28"/>
        </w:rPr>
        <w:t>Foreign transfer duty</w:t>
      </w:r>
      <w:bookmarkEnd w:id="4115"/>
      <w:bookmarkEnd w:id="4116"/>
      <w:bookmarkEnd w:id="4117"/>
      <w:bookmarkEnd w:id="4118"/>
      <w:bookmarkEnd w:id="4119"/>
      <w:bookmarkEnd w:id="4103"/>
      <w:bookmarkEnd w:id="4104"/>
      <w:bookmarkEnd w:id="4105"/>
      <w:bookmarkEnd w:id="4106"/>
      <w:bookmarkEnd w:id="4107"/>
      <w:bookmarkEnd w:id="4108"/>
      <w:bookmarkEnd w:id="4109"/>
      <w:bookmarkEnd w:id="4110"/>
      <w:bookmarkEnd w:id="4111"/>
      <w:bookmarkEnd w:id="4112"/>
      <w:bookmarkEnd w:id="4120"/>
      <w:bookmarkEnd w:id="4121"/>
      <w:bookmarkEnd w:id="4122"/>
      <w:bookmarkEnd w:id="4123"/>
    </w:p>
    <w:p>
      <w:pPr>
        <w:pStyle w:val="Footnoteheading"/>
      </w:pPr>
      <w:r>
        <w:tab/>
        <w:t>[Heading inserted: No. 24 of 2018 s. 8.]</w:t>
      </w:r>
    </w:p>
    <w:p>
      <w:pPr>
        <w:pStyle w:val="Heading4"/>
        <w:rPr>
          <w:sz w:val="26"/>
          <w:szCs w:val="26"/>
        </w:rPr>
      </w:pPr>
      <w:bookmarkStart w:id="4124" w:name="_Toc37946939"/>
      <w:bookmarkStart w:id="4125" w:name="_Toc37947539"/>
      <w:bookmarkStart w:id="4126" w:name="_Toc38031603"/>
      <w:bookmarkStart w:id="4127" w:name="_Toc93310112"/>
      <w:bookmarkStart w:id="4128" w:name="_Toc104291134"/>
      <w:bookmarkStart w:id="4129" w:name="_Toc513471993"/>
      <w:bookmarkStart w:id="4130" w:name="_Toc513472087"/>
      <w:bookmarkStart w:id="4131" w:name="_Toc515352237"/>
      <w:bookmarkStart w:id="4132" w:name="_Toc516044903"/>
      <w:bookmarkStart w:id="4133" w:name="_Toc516238648"/>
      <w:bookmarkStart w:id="4134" w:name="_Toc516239023"/>
      <w:bookmarkStart w:id="4135" w:name="_Toc516240210"/>
      <w:bookmarkStart w:id="4136" w:name="_Toc526928403"/>
      <w:bookmarkStart w:id="4137" w:name="_Toc527633747"/>
      <w:bookmarkStart w:id="4138" w:name="_Toc527637245"/>
      <w:bookmarkStart w:id="4139" w:name="_Toc531692290"/>
      <w:bookmarkStart w:id="4140" w:name="_Toc531856195"/>
      <w:bookmarkStart w:id="4141" w:name="_Toc531858923"/>
      <w:bookmarkStart w:id="4142" w:name="_Toc531859462"/>
      <w:r>
        <w:rPr>
          <w:sz w:val="26"/>
          <w:szCs w:val="26"/>
        </w:rPr>
        <w:t>Division 1 — Preliminary</w:t>
      </w:r>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p>
    <w:p>
      <w:pPr>
        <w:pStyle w:val="Footnoteheading"/>
      </w:pPr>
      <w:r>
        <w:tab/>
        <w:t>[Heading inserted: No. 24 of 2018 s. 8.]</w:t>
      </w:r>
    </w:p>
    <w:p>
      <w:pPr>
        <w:pStyle w:val="Heading5"/>
      </w:pPr>
      <w:bookmarkStart w:id="4143" w:name="_Toc104291135"/>
      <w:bookmarkStart w:id="4144" w:name="_Toc527633748"/>
      <w:bookmarkStart w:id="4145" w:name="_Toc527637246"/>
      <w:bookmarkStart w:id="4146" w:name="_Toc531859463"/>
      <w:r>
        <w:rPr>
          <w:rStyle w:val="CharSectno"/>
        </w:rPr>
        <w:t>205F</w:t>
      </w:r>
      <w:r>
        <w:t>.</w:t>
      </w:r>
      <w:r>
        <w:tab/>
        <w:t>Terms used</w:t>
      </w:r>
      <w:bookmarkEnd w:id="4143"/>
      <w:bookmarkEnd w:id="4144"/>
      <w:bookmarkEnd w:id="4145"/>
      <w:bookmarkEnd w:id="4146"/>
    </w:p>
    <w:p>
      <w:pPr>
        <w:pStyle w:val="Subsection"/>
      </w:pPr>
      <w:r>
        <w:tab/>
        <w:t>(1)</w:t>
      </w:r>
      <w:r>
        <w:tab/>
        <w:t xml:space="preserve">In this Part, unless the contrary intention appears — </w:t>
      </w:r>
    </w:p>
    <w:p>
      <w:pPr>
        <w:pStyle w:val="Defstart"/>
      </w:pPr>
      <w:r>
        <w:tab/>
      </w:r>
      <w:r>
        <w:rPr>
          <w:rStyle w:val="CharDefText"/>
        </w:rPr>
        <w:t>dutiable value</w:t>
      </w:r>
      <w:r>
        <w:t xml:space="preserve"> has the meaning given in Chapter 2 Part 4 Division 5 as applied by section 205P(1);</w:t>
      </w:r>
    </w:p>
    <w:p>
      <w:pPr>
        <w:pStyle w:val="Defstart"/>
      </w:pPr>
      <w:r>
        <w:tab/>
      </w:r>
      <w:r>
        <w:rPr>
          <w:rStyle w:val="CharDefText"/>
        </w:rPr>
        <w:t>foreign transfer duty endorsed</w:t>
      </w:r>
      <w:r>
        <w:t xml:space="preserve"> has the meaning given in subsections (2) and (3); </w:t>
      </w:r>
    </w:p>
    <w:p>
      <w:pPr>
        <w:pStyle w:val="Defstart"/>
      </w:pPr>
      <w:r>
        <w:tab/>
      </w:r>
      <w:r>
        <w:rPr>
          <w:rStyle w:val="CharDefText"/>
        </w:rPr>
        <w:t>new residential property</w:t>
      </w:r>
      <w:r>
        <w:t xml:space="preserve"> has the meaning given in section 205I;</w:t>
      </w:r>
    </w:p>
    <w:p>
      <w:pPr>
        <w:pStyle w:val="Defstart"/>
      </w:pPr>
      <w:r>
        <w:tab/>
      </w:r>
      <w:r>
        <w:rPr>
          <w:rStyle w:val="CharDefText"/>
        </w:rPr>
        <w:t>residential partnership acquisition</w:t>
      </w:r>
      <w:r>
        <w:t xml:space="preserve"> has the meaning given in section 205X;</w:t>
      </w:r>
    </w:p>
    <w:p>
      <w:pPr>
        <w:pStyle w:val="Defstart"/>
      </w:pPr>
      <w:r>
        <w:tab/>
      </w:r>
      <w:r>
        <w:rPr>
          <w:rStyle w:val="CharDefText"/>
        </w:rPr>
        <w:t>residential trust acquisition</w:t>
      </w:r>
      <w:r>
        <w:t xml:space="preserve"> has the meaning given in section 205T;</w:t>
      </w:r>
    </w:p>
    <w:p>
      <w:pPr>
        <w:pStyle w:val="Defstart"/>
      </w:pPr>
      <w:r>
        <w:tab/>
      </w:r>
      <w:r>
        <w:rPr>
          <w:rStyle w:val="CharDefText"/>
        </w:rPr>
        <w:t>residential trust surrender</w:t>
      </w:r>
      <w:r>
        <w:t xml:space="preserve"> has the meaning given in section 205U;</w:t>
      </w:r>
    </w:p>
    <w:p>
      <w:pPr>
        <w:pStyle w:val="Defstart"/>
      </w:pPr>
      <w:r>
        <w:tab/>
      </w:r>
      <w:r>
        <w:rPr>
          <w:rStyle w:val="CharDefText"/>
        </w:rPr>
        <w:t>special residential property</w:t>
      </w:r>
      <w:r>
        <w:t xml:space="preserve"> means any of the following —</w:t>
      </w:r>
    </w:p>
    <w:p>
      <w:pPr>
        <w:pStyle w:val="Defpara"/>
      </w:pPr>
      <w:r>
        <w:tab/>
        <w:t>(a)</w:t>
      </w:r>
      <w:r>
        <w:tab/>
        <w:t>a life interest in residential property;</w:t>
      </w:r>
    </w:p>
    <w:p>
      <w:pPr>
        <w:pStyle w:val="Defpara"/>
      </w:pPr>
      <w:r>
        <w:tab/>
        <w:t>(b)</w:t>
      </w:r>
      <w:r>
        <w:tab/>
        <w:t>a remainder interest in residential property;</w:t>
      </w:r>
    </w:p>
    <w:p>
      <w:pPr>
        <w:pStyle w:val="Defpara"/>
      </w:pPr>
      <w:r>
        <w:tab/>
        <w:t>(c)</w:t>
      </w:r>
      <w:r>
        <w:tab/>
        <w:t>a lease of residential property, if consideration is paid, or agreed to be paid, by the lessor for the surrender of the lease.</w:t>
      </w:r>
    </w:p>
    <w:p>
      <w:pPr>
        <w:pStyle w:val="Subsection"/>
      </w:pPr>
      <w:r>
        <w:tab/>
        <w:t>(2)</w:t>
      </w:r>
      <w:r>
        <w:tab/>
        <w:t xml:space="preserve">A foreign dutiable transaction is </w:t>
      </w:r>
      <w:r>
        <w:rPr>
          <w:rStyle w:val="CharDefText"/>
        </w:rPr>
        <w:t>foreign transfer duty endorsed</w:t>
      </w:r>
      <w:r>
        <w:t xml:space="preserve"> if a transaction record for it is foreign transfer duty endorsed.</w:t>
      </w:r>
    </w:p>
    <w:p>
      <w:pPr>
        <w:pStyle w:val="Subsection"/>
      </w:pPr>
      <w:r>
        <w:tab/>
        <w:t>(3)</w:t>
      </w:r>
      <w:r>
        <w:tab/>
        <w:t xml:space="preserve">A transaction record, or a duplicate of a transaction record, for a foreign dutiable transaction is </w:t>
      </w:r>
      <w:r>
        <w:rPr>
          <w:rStyle w:val="CharDefText"/>
        </w:rPr>
        <w:t>foreign transfer duty endorsed</w:t>
      </w:r>
      <w:r>
        <w:t xml:space="preserve"> if it is duty endorsed and the duty endorsement indicates — </w:t>
      </w:r>
    </w:p>
    <w:p>
      <w:pPr>
        <w:pStyle w:val="Indenta"/>
      </w:pPr>
      <w:r>
        <w:tab/>
        <w:t>(a)</w:t>
      </w:r>
      <w:r>
        <w:tab/>
        <w:t xml:space="preserve">the amount of foreign transfer duty paid on the transaction; or </w:t>
      </w:r>
    </w:p>
    <w:p>
      <w:pPr>
        <w:pStyle w:val="Indenta"/>
      </w:pPr>
      <w:r>
        <w:tab/>
        <w:t>(b)</w:t>
      </w:r>
      <w:r>
        <w:tab/>
        <w:t>that foreign transfer duty is not chargeable on the transaction.</w:t>
      </w:r>
    </w:p>
    <w:p>
      <w:pPr>
        <w:pStyle w:val="Footnotesection"/>
      </w:pPr>
      <w:bookmarkStart w:id="4147" w:name="_Toc513471995"/>
      <w:bookmarkStart w:id="4148" w:name="_Toc513472089"/>
      <w:bookmarkStart w:id="4149" w:name="_Toc515352239"/>
      <w:bookmarkStart w:id="4150" w:name="_Toc516044905"/>
      <w:bookmarkStart w:id="4151" w:name="_Toc516238650"/>
      <w:bookmarkStart w:id="4152" w:name="_Toc516239025"/>
      <w:bookmarkStart w:id="4153" w:name="_Toc516240212"/>
      <w:bookmarkStart w:id="4154" w:name="_Toc526928405"/>
      <w:bookmarkStart w:id="4155" w:name="_Toc527633749"/>
      <w:bookmarkStart w:id="4156" w:name="_Toc527637247"/>
      <w:r>
        <w:tab/>
        <w:t>[Section 205F inserted: No. 24 of 2018 s. 8.]</w:t>
      </w:r>
    </w:p>
    <w:p>
      <w:pPr>
        <w:pStyle w:val="Heading4"/>
        <w:rPr>
          <w:sz w:val="26"/>
          <w:szCs w:val="26"/>
        </w:rPr>
      </w:pPr>
      <w:bookmarkStart w:id="4157" w:name="_Toc37946941"/>
      <w:bookmarkStart w:id="4158" w:name="_Toc37947541"/>
      <w:bookmarkStart w:id="4159" w:name="_Toc38031605"/>
      <w:bookmarkStart w:id="4160" w:name="_Toc93310114"/>
      <w:bookmarkStart w:id="4161" w:name="_Toc104291136"/>
      <w:bookmarkStart w:id="4162" w:name="_Toc531692292"/>
      <w:bookmarkStart w:id="4163" w:name="_Toc531856197"/>
      <w:bookmarkStart w:id="4164" w:name="_Toc531858925"/>
      <w:bookmarkStart w:id="4165" w:name="_Toc531859464"/>
      <w:r>
        <w:rPr>
          <w:sz w:val="26"/>
          <w:szCs w:val="26"/>
        </w:rPr>
        <w:t>Division 2 — Imposition of foreign transfer duty</w:t>
      </w:r>
      <w:bookmarkEnd w:id="4157"/>
      <w:bookmarkEnd w:id="4158"/>
      <w:bookmarkEnd w:id="4159"/>
      <w:bookmarkEnd w:id="4160"/>
      <w:bookmarkEnd w:id="4161"/>
      <w:bookmarkEnd w:id="4147"/>
      <w:bookmarkEnd w:id="4148"/>
      <w:bookmarkEnd w:id="4149"/>
      <w:bookmarkEnd w:id="4150"/>
      <w:bookmarkEnd w:id="4151"/>
      <w:bookmarkEnd w:id="4152"/>
      <w:bookmarkEnd w:id="4153"/>
      <w:bookmarkEnd w:id="4154"/>
      <w:bookmarkEnd w:id="4155"/>
      <w:bookmarkEnd w:id="4156"/>
      <w:bookmarkEnd w:id="4162"/>
      <w:bookmarkEnd w:id="4163"/>
      <w:bookmarkEnd w:id="4164"/>
      <w:bookmarkEnd w:id="4165"/>
    </w:p>
    <w:p>
      <w:pPr>
        <w:pStyle w:val="Footnoteheading"/>
      </w:pPr>
      <w:r>
        <w:tab/>
        <w:t>[Heading inserted: No. 24 of 2018 s. 8.]</w:t>
      </w:r>
    </w:p>
    <w:p>
      <w:pPr>
        <w:pStyle w:val="Heading5"/>
      </w:pPr>
      <w:bookmarkStart w:id="4166" w:name="_Toc104291137"/>
      <w:bookmarkStart w:id="4167" w:name="_Toc527633750"/>
      <w:bookmarkStart w:id="4168" w:name="_Toc527637248"/>
      <w:bookmarkStart w:id="4169" w:name="_Toc531859465"/>
      <w:r>
        <w:rPr>
          <w:rStyle w:val="CharSectno"/>
        </w:rPr>
        <w:t>205G</w:t>
      </w:r>
      <w:r>
        <w:t>.</w:t>
      </w:r>
      <w:r>
        <w:tab/>
        <w:t>Foreign transfer duty imposed</w:t>
      </w:r>
      <w:bookmarkEnd w:id="4166"/>
      <w:bookmarkEnd w:id="4167"/>
      <w:bookmarkEnd w:id="4168"/>
      <w:bookmarkEnd w:id="4169"/>
    </w:p>
    <w:p>
      <w:pPr>
        <w:pStyle w:val="Subsection"/>
      </w:pPr>
      <w:r>
        <w:tab/>
      </w:r>
      <w:r>
        <w:tab/>
        <w:t>Foreign transfer duty is imposed on foreign dutiable transactions.</w:t>
      </w:r>
    </w:p>
    <w:p>
      <w:pPr>
        <w:pStyle w:val="Footnotesection"/>
      </w:pPr>
      <w:r>
        <w:tab/>
        <w:t>[Section 205G inserted: No. 24 of 2018 s. 8.]</w:t>
      </w:r>
    </w:p>
    <w:p>
      <w:pPr>
        <w:pStyle w:val="Heading4"/>
        <w:rPr>
          <w:sz w:val="26"/>
          <w:szCs w:val="26"/>
        </w:rPr>
      </w:pPr>
      <w:bookmarkStart w:id="4170" w:name="_Toc37946943"/>
      <w:bookmarkStart w:id="4171" w:name="_Toc37947543"/>
      <w:bookmarkStart w:id="4172" w:name="_Toc38031607"/>
      <w:bookmarkStart w:id="4173" w:name="_Toc93310116"/>
      <w:bookmarkStart w:id="4174" w:name="_Toc104291138"/>
      <w:bookmarkStart w:id="4175" w:name="_Toc513471997"/>
      <w:bookmarkStart w:id="4176" w:name="_Toc513472091"/>
      <w:bookmarkStart w:id="4177" w:name="_Toc515352241"/>
      <w:bookmarkStart w:id="4178" w:name="_Toc516044907"/>
      <w:bookmarkStart w:id="4179" w:name="_Toc516238652"/>
      <w:bookmarkStart w:id="4180" w:name="_Toc516239027"/>
      <w:bookmarkStart w:id="4181" w:name="_Toc516240214"/>
      <w:bookmarkStart w:id="4182" w:name="_Toc526928407"/>
      <w:bookmarkStart w:id="4183" w:name="_Toc527633751"/>
      <w:bookmarkStart w:id="4184" w:name="_Toc527637249"/>
      <w:bookmarkStart w:id="4185" w:name="_Toc531692294"/>
      <w:bookmarkStart w:id="4186" w:name="_Toc531856199"/>
      <w:bookmarkStart w:id="4187" w:name="_Toc531858927"/>
      <w:bookmarkStart w:id="4188" w:name="_Toc531859466"/>
      <w:r>
        <w:rPr>
          <w:sz w:val="26"/>
          <w:szCs w:val="26"/>
        </w:rPr>
        <w:t>Division 3 — Foreign dutiable transactions</w:t>
      </w:r>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p>
    <w:p>
      <w:pPr>
        <w:pStyle w:val="Footnoteheading"/>
        <w:keepNext/>
      </w:pPr>
      <w:r>
        <w:tab/>
        <w:t>[Heading inserted: No. 24 of 2018 s. 8.]</w:t>
      </w:r>
    </w:p>
    <w:p>
      <w:pPr>
        <w:pStyle w:val="Heading5"/>
      </w:pPr>
      <w:bookmarkStart w:id="4189" w:name="_Toc104291139"/>
      <w:bookmarkStart w:id="4190" w:name="_Toc527633752"/>
      <w:bookmarkStart w:id="4191" w:name="_Toc527637250"/>
      <w:bookmarkStart w:id="4192" w:name="_Toc531859467"/>
      <w:r>
        <w:rPr>
          <w:rStyle w:val="CharSectno"/>
        </w:rPr>
        <w:t>205H</w:t>
      </w:r>
      <w:r>
        <w:t>.</w:t>
      </w:r>
      <w:r>
        <w:tab/>
        <w:t>Foreign dutiable transaction</w:t>
      </w:r>
      <w:bookmarkEnd w:id="4189"/>
      <w:bookmarkEnd w:id="4190"/>
      <w:bookmarkEnd w:id="4191"/>
      <w:bookmarkEnd w:id="4192"/>
    </w:p>
    <w:p>
      <w:pPr>
        <w:pStyle w:val="Subsection"/>
      </w:pPr>
      <w:r>
        <w:tab/>
        <w:t>(1)</w:t>
      </w:r>
      <w:r>
        <w:tab/>
        <w:t xml:space="preserve">Subject to subsection (2), any of the following is a </w:t>
      </w:r>
      <w:r>
        <w:rPr>
          <w:rStyle w:val="CharDefText"/>
        </w:rPr>
        <w:t>foreign dutiable transaction</w:t>
      </w:r>
      <w:r>
        <w:t xml:space="preserve"> — </w:t>
      </w:r>
    </w:p>
    <w:p>
      <w:pPr>
        <w:pStyle w:val="Indenta"/>
      </w:pPr>
      <w:r>
        <w:tab/>
        <w:t>(a)</w:t>
      </w:r>
      <w:r>
        <w:tab/>
        <w:t>a transfer of residential property to a foreign person;</w:t>
      </w:r>
    </w:p>
    <w:p>
      <w:pPr>
        <w:pStyle w:val="Indenta"/>
      </w:pPr>
      <w:r>
        <w:tab/>
        <w:t>(b)</w:t>
      </w:r>
      <w:r>
        <w:tab/>
        <w:t>an agreement, whether conditional or not, for the transfer of residential property to a foreign person;</w:t>
      </w:r>
    </w:p>
    <w:p>
      <w:pPr>
        <w:pStyle w:val="Indenta"/>
      </w:pPr>
      <w:r>
        <w:tab/>
        <w:t>(c)</w:t>
      </w:r>
      <w:r>
        <w:tab/>
        <w:t>a declaration of trust over residential property if the trust is a foreign trust;</w:t>
      </w:r>
    </w:p>
    <w:p>
      <w:pPr>
        <w:pStyle w:val="Indenta"/>
      </w:pPr>
      <w:r>
        <w:tab/>
        <w:t>(d)</w:t>
      </w:r>
      <w:r>
        <w:tab/>
        <w:t xml:space="preserve">a vesting of residential property in a foreign person — </w:t>
      </w:r>
    </w:p>
    <w:p>
      <w:pPr>
        <w:pStyle w:val="Indenti"/>
      </w:pPr>
      <w:r>
        <w:tab/>
        <w:t>(i)</w:t>
      </w:r>
      <w:r>
        <w:tab/>
        <w:t>by, or expressly authorised by, statute law of this or another jurisdiction, whether inside or outside Australia; or</w:t>
      </w:r>
    </w:p>
    <w:p>
      <w:pPr>
        <w:pStyle w:val="Indenti"/>
      </w:pPr>
      <w:r>
        <w:tab/>
        <w:t>(ii)</w:t>
      </w:r>
      <w:r>
        <w:tab/>
        <w:t>by, or as a consequence of, a court order of this or another jurisdiction, whether inside or outside Australia;</w:t>
      </w:r>
    </w:p>
    <w:p>
      <w:pPr>
        <w:pStyle w:val="Indenta"/>
      </w:pPr>
      <w:r>
        <w:tab/>
        <w:t>(e)</w:t>
      </w:r>
      <w:r>
        <w:tab/>
        <w:t>a foreclosure of a mortgage over residential property by a mortgagee that is a foreign person;</w:t>
      </w:r>
    </w:p>
    <w:p>
      <w:pPr>
        <w:pStyle w:val="Indenta"/>
      </w:pPr>
      <w:r>
        <w:tab/>
        <w:t>(f)</w:t>
      </w:r>
      <w:r>
        <w:tab/>
        <w:t>an acquisition by a foreign person of new residential property, on its creation, grant or issue;</w:t>
      </w:r>
    </w:p>
    <w:p>
      <w:pPr>
        <w:pStyle w:val="Indenta"/>
      </w:pPr>
      <w:r>
        <w:tab/>
        <w:t>(g)</w:t>
      </w:r>
      <w:r>
        <w:tab/>
        <w:t>a surrender of special residential property to a foreign person;</w:t>
      </w:r>
    </w:p>
    <w:p>
      <w:pPr>
        <w:pStyle w:val="Indenta"/>
      </w:pPr>
      <w:r>
        <w:tab/>
        <w:t>(h)</w:t>
      </w:r>
      <w:r>
        <w:tab/>
        <w:t>a residential trust acquisition or residential trust surrender;</w:t>
      </w:r>
    </w:p>
    <w:p>
      <w:pPr>
        <w:pStyle w:val="Indenta"/>
      </w:pPr>
      <w:r>
        <w:tab/>
        <w:t>(i)</w:t>
      </w:r>
      <w:r>
        <w:tab/>
        <w:t>a residential partnership acquisition.</w:t>
      </w:r>
    </w:p>
    <w:p>
      <w:pPr>
        <w:pStyle w:val="Subsection"/>
      </w:pPr>
      <w:r>
        <w:tab/>
        <w:t>(2)</w:t>
      </w:r>
      <w:r>
        <w:tab/>
        <w:t xml:space="preserve">The following transactions are not </w:t>
      </w:r>
      <w:r>
        <w:rPr>
          <w:rStyle w:val="CharDefText"/>
        </w:rPr>
        <w:t>foreign 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transaction prescribed as an excluded transaction for the purposes of this section.</w:t>
      </w:r>
    </w:p>
    <w:p>
      <w:pPr>
        <w:pStyle w:val="Subsection"/>
      </w:pPr>
      <w:r>
        <w:tab/>
        <w:t>(3)</w:t>
      </w:r>
      <w:r>
        <w:tab/>
        <w:t>Without limiting subsection (1)(d)(i), section 12 applies for the purposes of determining when residential property is vested under statute law.</w:t>
      </w:r>
    </w:p>
    <w:p>
      <w:pPr>
        <w:pStyle w:val="Footnotesection"/>
      </w:pPr>
      <w:bookmarkStart w:id="4193" w:name="_Toc527633753"/>
      <w:bookmarkStart w:id="4194" w:name="_Toc527637251"/>
      <w:r>
        <w:tab/>
        <w:t>[Section 205H inserted: No. 24 of 2018 s. 8.]</w:t>
      </w:r>
    </w:p>
    <w:p>
      <w:pPr>
        <w:pStyle w:val="Heading5"/>
      </w:pPr>
      <w:bookmarkStart w:id="4195" w:name="_Toc104291140"/>
      <w:bookmarkStart w:id="4196" w:name="_Toc531859468"/>
      <w:r>
        <w:rPr>
          <w:rStyle w:val="CharSectno"/>
        </w:rPr>
        <w:t>205I</w:t>
      </w:r>
      <w:r>
        <w:t>.</w:t>
      </w:r>
      <w:r>
        <w:tab/>
        <w:t>New residential property</w:t>
      </w:r>
      <w:bookmarkEnd w:id="4195"/>
      <w:bookmarkEnd w:id="4193"/>
      <w:bookmarkEnd w:id="4194"/>
      <w:bookmarkEnd w:id="4196"/>
    </w:p>
    <w:p>
      <w:pPr>
        <w:pStyle w:val="Subsection"/>
      </w:pPr>
      <w:r>
        <w:tab/>
        <w:t>(1)</w:t>
      </w:r>
      <w:r>
        <w:tab/>
        <w:t xml:space="preserve">Subject to subsection (2), any of the following is </w:t>
      </w:r>
      <w:r>
        <w:rPr>
          <w:rStyle w:val="CharDefText"/>
        </w:rPr>
        <w:t>new residential property</w:t>
      </w:r>
      <w:r>
        <w:t xml:space="preserve"> — </w:t>
      </w:r>
    </w:p>
    <w:p>
      <w:pPr>
        <w:pStyle w:val="Indenta"/>
      </w:pPr>
      <w:r>
        <w:tab/>
        <w:t>(a)</w:t>
      </w:r>
      <w:r>
        <w:tab/>
        <w:t xml:space="preserve">residential property; </w:t>
      </w:r>
    </w:p>
    <w:p>
      <w:pPr>
        <w:pStyle w:val="Indenta"/>
      </w:pPr>
      <w:r>
        <w:tab/>
        <w:t>(b)</w:t>
      </w:r>
      <w:r>
        <w:tab/>
        <w:t xml:space="preserve">the following rights — </w:t>
      </w:r>
    </w:p>
    <w:p>
      <w:pPr>
        <w:pStyle w:val="Indenti"/>
      </w:pPr>
      <w:r>
        <w:tab/>
        <w:t>(i)</w:t>
      </w:r>
      <w:r>
        <w:tab/>
        <w:t>an option to acquire residential property, unless the option is part of a simultaneous put and call option over residential property;</w:t>
      </w:r>
    </w:p>
    <w:p>
      <w:pPr>
        <w:pStyle w:val="Indenti"/>
      </w:pPr>
      <w:r>
        <w:tab/>
        <w:t>(ii)</w:t>
      </w:r>
      <w:r>
        <w:tab/>
        <w:t>a right to acquire residential property;</w:t>
      </w:r>
    </w:p>
    <w:p>
      <w:pPr>
        <w:pStyle w:val="Indenti"/>
      </w:pPr>
      <w:r>
        <w:tab/>
        <w:t>(iii)</w:t>
      </w:r>
      <w:r>
        <w:tab/>
        <w:t>any other right prescribed for the purposes of this subsection.</w:t>
      </w:r>
    </w:p>
    <w:p>
      <w:pPr>
        <w:pStyle w:val="Subsection"/>
      </w:pPr>
      <w:r>
        <w:tab/>
        <w:t>(2)</w:t>
      </w:r>
      <w:r>
        <w:tab/>
        <w:t xml:space="preserve">The following are not </w:t>
      </w:r>
      <w:r>
        <w:rPr>
          <w:rStyle w:val="CharDefText"/>
        </w:rPr>
        <w:t>new residential property</w:t>
      </w:r>
      <w:r>
        <w:t xml:space="preserve"> — </w:t>
      </w:r>
    </w:p>
    <w:p>
      <w:pPr>
        <w:pStyle w:val="Indenta"/>
      </w:pPr>
      <w:r>
        <w:tab/>
        <w:t>(a)</w:t>
      </w:r>
      <w:r>
        <w:tab/>
        <w:t>a lease if no consideration is paid, or agreed to be paid, for the grant of the lease;</w:t>
      </w:r>
    </w:p>
    <w:p>
      <w:pPr>
        <w:pStyle w:val="Indenta"/>
      </w:pPr>
      <w:r>
        <w:tab/>
        <w:t>(b)</w:t>
      </w:r>
      <w:r>
        <w:tab/>
        <w:t>any other residential property prescribed as excluded property for the purposes of this section.</w:t>
      </w:r>
    </w:p>
    <w:p>
      <w:pPr>
        <w:pStyle w:val="Footnotesection"/>
      </w:pPr>
      <w:bookmarkStart w:id="4197" w:name="_Toc513472000"/>
      <w:bookmarkStart w:id="4198" w:name="_Toc513472094"/>
      <w:bookmarkStart w:id="4199" w:name="_Toc515352244"/>
      <w:bookmarkStart w:id="4200" w:name="_Toc516044910"/>
      <w:bookmarkStart w:id="4201" w:name="_Toc516238655"/>
      <w:bookmarkStart w:id="4202" w:name="_Toc516239030"/>
      <w:bookmarkStart w:id="4203" w:name="_Toc516240217"/>
      <w:bookmarkStart w:id="4204" w:name="_Toc526928410"/>
      <w:bookmarkStart w:id="4205" w:name="_Toc527633754"/>
      <w:bookmarkStart w:id="4206" w:name="_Toc527637252"/>
      <w:r>
        <w:tab/>
        <w:t>[Section 205I inserted: No. 24 of 2018 s. 8.]</w:t>
      </w:r>
    </w:p>
    <w:p>
      <w:pPr>
        <w:pStyle w:val="Heading4"/>
        <w:rPr>
          <w:sz w:val="26"/>
          <w:szCs w:val="26"/>
        </w:rPr>
      </w:pPr>
      <w:bookmarkStart w:id="4207" w:name="_Toc37946946"/>
      <w:bookmarkStart w:id="4208" w:name="_Toc37947546"/>
      <w:bookmarkStart w:id="4209" w:name="_Toc38031610"/>
      <w:bookmarkStart w:id="4210" w:name="_Toc93310119"/>
      <w:bookmarkStart w:id="4211" w:name="_Toc104291141"/>
      <w:bookmarkStart w:id="4212" w:name="_Toc531692297"/>
      <w:bookmarkStart w:id="4213" w:name="_Toc531856202"/>
      <w:bookmarkStart w:id="4214" w:name="_Toc531858930"/>
      <w:bookmarkStart w:id="4215" w:name="_Toc531859469"/>
      <w:r>
        <w:rPr>
          <w:sz w:val="26"/>
          <w:szCs w:val="26"/>
        </w:rPr>
        <w:t>Division 4 — Collection of foreign transfer duty</w:t>
      </w:r>
      <w:bookmarkEnd w:id="4207"/>
      <w:bookmarkEnd w:id="4208"/>
      <w:bookmarkEnd w:id="4209"/>
      <w:bookmarkEnd w:id="4210"/>
      <w:bookmarkEnd w:id="4211"/>
      <w:bookmarkEnd w:id="4197"/>
      <w:bookmarkEnd w:id="4198"/>
      <w:bookmarkEnd w:id="4199"/>
      <w:bookmarkEnd w:id="4200"/>
      <w:bookmarkEnd w:id="4201"/>
      <w:bookmarkEnd w:id="4202"/>
      <w:bookmarkEnd w:id="4203"/>
      <w:bookmarkEnd w:id="4204"/>
      <w:bookmarkEnd w:id="4205"/>
      <w:bookmarkEnd w:id="4206"/>
      <w:bookmarkEnd w:id="4212"/>
      <w:bookmarkEnd w:id="4213"/>
      <w:bookmarkEnd w:id="4214"/>
      <w:bookmarkEnd w:id="4215"/>
    </w:p>
    <w:p>
      <w:pPr>
        <w:pStyle w:val="Footnoteheading"/>
        <w:keepNext/>
      </w:pPr>
      <w:r>
        <w:tab/>
        <w:t>[Heading inserted: No. 24 of 2018 s. 8.]</w:t>
      </w:r>
    </w:p>
    <w:p>
      <w:pPr>
        <w:pStyle w:val="Heading5"/>
      </w:pPr>
      <w:bookmarkStart w:id="4216" w:name="_Toc104291142"/>
      <w:bookmarkStart w:id="4217" w:name="_Toc527633755"/>
      <w:bookmarkStart w:id="4218" w:name="_Toc527637253"/>
      <w:bookmarkStart w:id="4219" w:name="_Toc531859470"/>
      <w:r>
        <w:rPr>
          <w:rStyle w:val="CharSectno"/>
        </w:rPr>
        <w:t>205J</w:t>
      </w:r>
      <w:r>
        <w:t>.</w:t>
      </w:r>
      <w:r>
        <w:tab/>
        <w:t>When liability for duty arises</w:t>
      </w:r>
      <w:bookmarkEnd w:id="4216"/>
      <w:bookmarkEnd w:id="4217"/>
      <w:bookmarkEnd w:id="4218"/>
      <w:bookmarkEnd w:id="4219"/>
    </w:p>
    <w:p>
      <w:pPr>
        <w:pStyle w:val="Subsection"/>
      </w:pPr>
      <w:r>
        <w:tab/>
      </w:r>
      <w:r>
        <w:tab/>
        <w:t>Liability for foreign transfer duty chargeable on a foreign dutiable transaction arises when the liability for transfer duty chargeable on the transaction arises under section 19.</w:t>
      </w:r>
    </w:p>
    <w:p>
      <w:pPr>
        <w:pStyle w:val="Footnotesection"/>
      </w:pPr>
      <w:bookmarkStart w:id="4220" w:name="_Toc527633756"/>
      <w:bookmarkStart w:id="4221" w:name="_Toc527637254"/>
      <w:r>
        <w:tab/>
        <w:t>[Section 205J inserted: No. 24 of 2018 s. 8.]</w:t>
      </w:r>
    </w:p>
    <w:p>
      <w:pPr>
        <w:pStyle w:val="Heading5"/>
      </w:pPr>
      <w:bookmarkStart w:id="4222" w:name="_Toc104291143"/>
      <w:bookmarkStart w:id="4223" w:name="_Toc531859471"/>
      <w:r>
        <w:rPr>
          <w:rStyle w:val="CharSectno"/>
        </w:rPr>
        <w:t>205K</w:t>
      </w:r>
      <w:r>
        <w:t>.</w:t>
      </w:r>
      <w:r>
        <w:tab/>
        <w:t>Who is liable to pay duty</w:t>
      </w:r>
      <w:bookmarkEnd w:id="4222"/>
      <w:bookmarkEnd w:id="4220"/>
      <w:bookmarkEnd w:id="4221"/>
      <w:bookmarkEnd w:id="4223"/>
    </w:p>
    <w:p>
      <w:pPr>
        <w:pStyle w:val="Subsection"/>
      </w:pPr>
      <w:r>
        <w:tab/>
        <w:t>(1)</w:t>
      </w:r>
      <w:r>
        <w:tab/>
        <w:t xml:space="preserve">A person is liable to pay foreign transfer duty on a foreign dutiable transaction if the person is — </w:t>
      </w:r>
    </w:p>
    <w:p>
      <w:pPr>
        <w:pStyle w:val="Indenta"/>
      </w:pPr>
      <w:r>
        <w:tab/>
        <w:t>(a)</w:t>
      </w:r>
      <w:r>
        <w:tab/>
        <w:t xml:space="preserve">liable to pay transfer duty on the transaction; and </w:t>
      </w:r>
    </w:p>
    <w:p>
      <w:pPr>
        <w:pStyle w:val="Indenta"/>
      </w:pPr>
      <w:r>
        <w:tab/>
        <w:t>(b)</w:t>
      </w:r>
      <w:r>
        <w:tab/>
        <w:t>a foreign person.</w:t>
      </w:r>
    </w:p>
    <w:p>
      <w:pPr>
        <w:pStyle w:val="Subsection"/>
      </w:pPr>
      <w:r>
        <w:tab/>
        <w:t>(2)</w:t>
      </w:r>
      <w:r>
        <w:tab/>
        <w:t xml:space="preserve">A person is liable to pay foreign transfer duty, regardless of whether the person is a foreign person, if — </w:t>
      </w:r>
    </w:p>
    <w:p>
      <w:pPr>
        <w:pStyle w:val="Indenta"/>
      </w:pPr>
      <w:r>
        <w:tab/>
        <w:t>(a)</w:t>
      </w:r>
      <w:r>
        <w:tab/>
        <w:t>the person is liable to pay transfer duty on a foreign dutiable transaction referred to in section 205H(1)(h); or</w:t>
      </w:r>
    </w:p>
    <w:p>
      <w:pPr>
        <w:pStyle w:val="Indenta"/>
      </w:pPr>
      <w:r>
        <w:tab/>
        <w:t>(b)</w:t>
      </w:r>
      <w:r>
        <w:tab/>
        <w:t>the person is, under section 69 as applied by section 205S(1), the person liable to pay foreign transfer duty.</w:t>
      </w:r>
    </w:p>
    <w:p>
      <w:pPr>
        <w:pStyle w:val="Subsection"/>
      </w:pPr>
      <w:r>
        <w:tab/>
        <w:t>(3)</w:t>
      </w:r>
      <w:r>
        <w:tab/>
        <w:t xml:space="preserve">A foreign individual or foreign corporation is not liable to pay foreign transfer duty on a foreign dutiable transaction if — </w:t>
      </w:r>
    </w:p>
    <w:p>
      <w:pPr>
        <w:pStyle w:val="Indenta"/>
      </w:pPr>
      <w:r>
        <w:tab/>
        <w:t>(a)</w:t>
      </w:r>
      <w:r>
        <w:tab/>
        <w:t>the individual or corporation is acting in their capacity as trustee; and</w:t>
      </w:r>
    </w:p>
    <w:p>
      <w:pPr>
        <w:pStyle w:val="Indenta"/>
      </w:pPr>
      <w:r>
        <w:tab/>
        <w:t>(b)</w:t>
      </w:r>
      <w:r>
        <w:tab/>
        <w:t>the individual or corporation is not a foreign trustee.</w:t>
      </w:r>
    </w:p>
    <w:p>
      <w:pPr>
        <w:pStyle w:val="Footnotesection"/>
      </w:pPr>
      <w:bookmarkStart w:id="4224" w:name="_Toc527633757"/>
      <w:bookmarkStart w:id="4225" w:name="_Toc527637255"/>
      <w:r>
        <w:tab/>
        <w:t>[Section 205K inserted: No. 24 of 2018 s. 8.]</w:t>
      </w:r>
    </w:p>
    <w:p>
      <w:pPr>
        <w:pStyle w:val="Heading5"/>
      </w:pPr>
      <w:bookmarkStart w:id="4226" w:name="_Toc104291144"/>
      <w:bookmarkStart w:id="4227" w:name="_Toc531859472"/>
      <w:r>
        <w:rPr>
          <w:rStyle w:val="CharSectno"/>
        </w:rPr>
        <w:t>205L</w:t>
      </w:r>
      <w:r>
        <w:t>.</w:t>
      </w:r>
      <w:r>
        <w:tab/>
        <w:t>Joint tenants to be treated as tenants in common in equal shares</w:t>
      </w:r>
      <w:bookmarkEnd w:id="4226"/>
      <w:bookmarkEnd w:id="4224"/>
      <w:bookmarkEnd w:id="4225"/>
      <w:bookmarkEnd w:id="4227"/>
    </w:p>
    <w:p>
      <w:pPr>
        <w:pStyle w:val="Subsection"/>
      </w:pPr>
      <w:r>
        <w:tab/>
      </w:r>
      <w:r>
        <w:tab/>
        <w:t>For the purpose of charging foreign transfer duty, joint tenants of residential property are taken to hold the property as tenants in common in equal shares.</w:t>
      </w:r>
    </w:p>
    <w:p>
      <w:pPr>
        <w:pStyle w:val="Footnotesection"/>
      </w:pPr>
      <w:bookmarkStart w:id="4228" w:name="_Toc527633758"/>
      <w:bookmarkStart w:id="4229" w:name="_Toc527637256"/>
      <w:r>
        <w:tab/>
        <w:t>[Section 205L inserted: No. 24 of 2018 s. 8.]</w:t>
      </w:r>
    </w:p>
    <w:p>
      <w:pPr>
        <w:pStyle w:val="Heading5"/>
      </w:pPr>
      <w:bookmarkStart w:id="4230" w:name="_Toc104291145"/>
      <w:bookmarkStart w:id="4231" w:name="_Toc531859473"/>
      <w:r>
        <w:rPr>
          <w:rStyle w:val="CharSectno"/>
        </w:rPr>
        <w:t>205M</w:t>
      </w:r>
      <w:r>
        <w:t>.</w:t>
      </w:r>
      <w:r>
        <w:tab/>
        <w:t>Foreign transfer duty declaration to be lodged</w:t>
      </w:r>
      <w:bookmarkEnd w:id="4230"/>
      <w:bookmarkEnd w:id="4228"/>
      <w:bookmarkEnd w:id="4229"/>
      <w:bookmarkEnd w:id="4231"/>
    </w:p>
    <w:p>
      <w:pPr>
        <w:pStyle w:val="Subsection"/>
      </w:pPr>
      <w:r>
        <w:tab/>
        <w:t>(1)</w:t>
      </w:r>
      <w:r>
        <w:tab/>
        <w:t>Subject to subsection (2), the person liable to pay foreign transfer duty on a foreign dutiable transaction must lodge a foreign transfer duty declaration in the approved form within 2 months after the day on which liability for foreign transfer duty on the transaction arises.</w:t>
      </w:r>
    </w:p>
    <w:p>
      <w:pPr>
        <w:pStyle w:val="Penstart"/>
      </w:pPr>
      <w:r>
        <w:tab/>
        <w:t>Penalty for this subsection: a fine of $5 000.</w:t>
      </w:r>
    </w:p>
    <w:p>
      <w:pPr>
        <w:pStyle w:val="Subsection"/>
      </w:pPr>
      <w:r>
        <w:tab/>
        <w:t>(2)</w:t>
      </w:r>
      <w:r>
        <w:tab/>
        <w:t>A person is not required to lodge a foreign transfer duty declaration in respect of a general conditional agreement in respect of which liability for transfer duty does not arise under section 19(2).</w:t>
      </w:r>
    </w:p>
    <w:p>
      <w:pPr>
        <w:pStyle w:val="Footnotesection"/>
      </w:pPr>
      <w:bookmarkStart w:id="4232" w:name="_Toc527633759"/>
      <w:bookmarkStart w:id="4233" w:name="_Toc527637257"/>
      <w:r>
        <w:tab/>
        <w:t>[Section 205M inserted: No. 24 of 2018 s. 8.]</w:t>
      </w:r>
    </w:p>
    <w:p>
      <w:pPr>
        <w:pStyle w:val="Heading5"/>
      </w:pPr>
      <w:bookmarkStart w:id="4234" w:name="_Toc104291146"/>
      <w:bookmarkStart w:id="4235" w:name="_Toc531859474"/>
      <w:r>
        <w:rPr>
          <w:rStyle w:val="CharSectno"/>
        </w:rPr>
        <w:t>205N</w:t>
      </w:r>
      <w:r>
        <w:t>.</w:t>
      </w:r>
      <w:r>
        <w:tab/>
        <w:t>When duty must be paid</w:t>
      </w:r>
      <w:bookmarkEnd w:id="4234"/>
      <w:bookmarkEnd w:id="4232"/>
      <w:bookmarkEnd w:id="4233"/>
      <w:bookmarkEnd w:id="4235"/>
    </w:p>
    <w:p>
      <w:pPr>
        <w:pStyle w:val="Subsection"/>
      </w:pPr>
      <w:r>
        <w:tab/>
        <w:t>(1)</w:t>
      </w:r>
      <w:r>
        <w:tab/>
        <w:t>A person liable to pay foreign transfer duty on a foreign dutiable transaction must pay the duty within 1 month after the date of the assessment notice issued in relation to an assessment of the duty, unless a later time is provided under subsection (2) or (3) in respect of the transaction.</w:t>
      </w:r>
    </w:p>
    <w:p>
      <w:pPr>
        <w:pStyle w:val="Subsection"/>
      </w:pPr>
      <w:r>
        <w:tab/>
        <w:t>(2)</w:t>
      </w:r>
      <w:r>
        <w:tab/>
        <w:t xml:space="preserve">Unless subsection (3) applies, foreign transfer duty must be paid within 12 months after the day on which liability for foreign transfer duty on the transaction arises if the transaction is — </w:t>
      </w:r>
    </w:p>
    <w:p>
      <w:pPr>
        <w:pStyle w:val="Indenta"/>
      </w:pPr>
      <w:r>
        <w:tab/>
        <w:t>(a)</w:t>
      </w:r>
      <w:r>
        <w:tab/>
        <w:t>a conditional agreement; or</w:t>
      </w:r>
    </w:p>
    <w:p>
      <w:pPr>
        <w:pStyle w:val="Indenta"/>
        <w:keepNext/>
      </w:pPr>
      <w:r>
        <w:tab/>
        <w:t>(b)</w:t>
      </w:r>
      <w:r>
        <w:tab/>
        <w:t xml:space="preserve">a foreign dutiable transaction referred to in section 205H(1)(a), (b), (c) or (d) if a document relating to the transaction must be registered under — </w:t>
      </w:r>
    </w:p>
    <w:p>
      <w:pPr>
        <w:pStyle w:val="Indenti"/>
      </w:pPr>
      <w:r>
        <w:tab/>
        <w:t>(i)</w:t>
      </w:r>
      <w:r>
        <w:tab/>
        <w:t xml:space="preserve">the </w:t>
      </w:r>
      <w:r>
        <w:rPr>
          <w:i/>
        </w:rPr>
        <w:t>Registration of Deeds Act 1856</w:t>
      </w:r>
      <w:r>
        <w:t>; or</w:t>
      </w:r>
    </w:p>
    <w:p>
      <w:pPr>
        <w:pStyle w:val="Indenti"/>
      </w:pPr>
      <w:r>
        <w:tab/>
        <w:t>(ii)</w:t>
      </w:r>
      <w:r>
        <w:tab/>
        <w:t xml:space="preserve">the </w:t>
      </w:r>
      <w:r>
        <w:rPr>
          <w:i/>
        </w:rPr>
        <w:t>Transfer of Land Act 1893</w:t>
      </w:r>
      <w:r>
        <w:t>.</w:t>
      </w:r>
    </w:p>
    <w:p>
      <w:pPr>
        <w:pStyle w:val="Subsection"/>
      </w:pPr>
      <w:r>
        <w:tab/>
        <w:t>(3)</w:t>
      </w:r>
      <w:r>
        <w:tab/>
        <w:t xml:space="preserve">Foreign transfer duty must be paid within 3 years after the day on which liability for foreign transfer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bookmarkStart w:id="4236" w:name="_Toc527633760"/>
      <w:bookmarkStart w:id="4237" w:name="_Toc527637258"/>
      <w:r>
        <w:tab/>
        <w:t>[Section 205N inserted: No. 24 of 2018 s. 8.]</w:t>
      </w:r>
    </w:p>
    <w:p>
      <w:pPr>
        <w:pStyle w:val="Heading5"/>
      </w:pPr>
      <w:bookmarkStart w:id="4238" w:name="_Toc104291147"/>
      <w:bookmarkStart w:id="4239" w:name="_Toc531859475"/>
      <w:r>
        <w:rPr>
          <w:rStyle w:val="CharSectno"/>
        </w:rPr>
        <w:t>205O</w:t>
      </w:r>
      <w:r>
        <w:t>.</w:t>
      </w:r>
      <w:r>
        <w:tab/>
        <w:t>Rate of foreign transfer duty</w:t>
      </w:r>
      <w:bookmarkEnd w:id="4238"/>
      <w:bookmarkEnd w:id="4236"/>
      <w:bookmarkEnd w:id="4237"/>
      <w:bookmarkEnd w:id="4239"/>
    </w:p>
    <w:p>
      <w:pPr>
        <w:pStyle w:val="Subsection"/>
      </w:pPr>
      <w:r>
        <w:tab/>
      </w:r>
      <w:r>
        <w:tab/>
        <w:t>Foreign transfer duty is chargeable at the rate of 7% of the dutiable value of the foreign dutiable transaction.</w:t>
      </w:r>
    </w:p>
    <w:p>
      <w:pPr>
        <w:pStyle w:val="Footnotesection"/>
      </w:pPr>
      <w:bookmarkStart w:id="4240" w:name="_Toc527633761"/>
      <w:bookmarkStart w:id="4241" w:name="_Toc527637259"/>
      <w:r>
        <w:tab/>
        <w:t>[Section 205O inserted: No. 24 of 2018 s. 8.]</w:t>
      </w:r>
    </w:p>
    <w:p>
      <w:pPr>
        <w:pStyle w:val="Heading5"/>
      </w:pPr>
      <w:bookmarkStart w:id="4242" w:name="_Toc104291148"/>
      <w:bookmarkStart w:id="4243" w:name="_Toc531859476"/>
      <w:r>
        <w:rPr>
          <w:rStyle w:val="CharSectno"/>
        </w:rPr>
        <w:t>205P</w:t>
      </w:r>
      <w:r>
        <w:t>.</w:t>
      </w:r>
      <w:r>
        <w:tab/>
        <w:t>Dutiable value</w:t>
      </w:r>
      <w:bookmarkEnd w:id="4242"/>
      <w:bookmarkEnd w:id="4240"/>
      <w:bookmarkEnd w:id="4241"/>
      <w:bookmarkEnd w:id="4243"/>
    </w:p>
    <w:p>
      <w:pPr>
        <w:pStyle w:val="Subsection"/>
      </w:pPr>
      <w:r>
        <w:tab/>
        <w:t>(1)</w:t>
      </w:r>
      <w:r>
        <w:tab/>
        <w:t>The provisions of Chapter 2 Part 4 Division 5 other than sections </w:t>
      </w:r>
      <w:ins w:id="4244" w:author="Master Repository Process" w:date="2022-05-27T14:27:00Z">
        <w:r>
          <w:t xml:space="preserve">28(4A), </w:t>
        </w:r>
      </w:ins>
      <w:r>
        <w:t>31</w:t>
      </w:r>
      <w:ins w:id="4245" w:author="Master Repository Process" w:date="2022-05-27T14:27:00Z">
        <w:r>
          <w:t xml:space="preserve">(5), 36A(1), (4) and </w:t>
        </w:r>
      </w:ins>
      <w:r>
        <w:t>(5), 37, 39(3) and 40 apply, with all appropriate modifications, in respect of foreign transfer duty in the same way as they apply in respect of transfer duty.</w:t>
      </w:r>
    </w:p>
    <w:p>
      <w:pPr>
        <w:pStyle w:val="Subsection"/>
      </w:pPr>
      <w:r>
        <w:tab/>
        <w:t>(2)</w:t>
      </w:r>
      <w:r>
        <w:tab/>
        <w:t xml:space="preserve">Without limiting subsection (1), the provisions applied by that subsection apply as if — </w:t>
      </w:r>
    </w:p>
    <w:p>
      <w:pPr>
        <w:pStyle w:val="Indenta"/>
      </w:pPr>
      <w:r>
        <w:tab/>
        <w:t>(a)</w:t>
      </w:r>
      <w:r>
        <w:tab/>
        <w:t>a reference to dutiable property were a reference to residential property; and</w:t>
      </w:r>
    </w:p>
    <w:p>
      <w:pPr>
        <w:pStyle w:val="Indenta"/>
      </w:pPr>
      <w:r>
        <w:tab/>
        <w:t>(b)</w:t>
      </w:r>
      <w:r>
        <w:tab/>
        <w:t>a reference to a dutiable transaction were a reference to a foreign dutiable transaction; and</w:t>
      </w:r>
    </w:p>
    <w:p>
      <w:pPr>
        <w:pStyle w:val="Indenta"/>
      </w:pPr>
      <w:r>
        <w:tab/>
        <w:t>(c)</w:t>
      </w:r>
      <w:r>
        <w:tab/>
        <w:t>other than in sections 28(6) and 29(4), a reference to duty were a reference to foreign transfer duty; and</w:t>
      </w:r>
    </w:p>
    <w:p>
      <w:pPr>
        <w:pStyle w:val="Indenta"/>
      </w:pPr>
      <w:r>
        <w:tab/>
        <w:t>(d)</w:t>
      </w:r>
      <w:r>
        <w:tab/>
        <w:t>a reference to duty endorsed were a reference to foreign transfer duty endorsed; and</w:t>
      </w:r>
    </w:p>
    <w:p>
      <w:pPr>
        <w:pStyle w:val="Indenta"/>
      </w:pPr>
      <w:r>
        <w:tab/>
        <w:t>(e)</w:t>
      </w:r>
      <w:r>
        <w:tab/>
        <w:t>the reference in section 28(1) to section 11(1)(d)(ii) or (e) were a reference to section 205H(1)(d)(ii) or (e); and</w:t>
      </w:r>
    </w:p>
    <w:p>
      <w:pPr>
        <w:pStyle w:val="Indenta"/>
      </w:pPr>
      <w:r>
        <w:tab/>
        <w:t>(f)</w:t>
      </w:r>
      <w:r>
        <w:tab/>
        <w:t>the reference in section 29(4) to nominal duty were a reference to no foreign transfer duty.</w:t>
      </w:r>
    </w:p>
    <w:p>
      <w:pPr>
        <w:pStyle w:val="Subsection"/>
      </w:pPr>
      <w:r>
        <w:tab/>
        <w:t>(3)</w:t>
      </w:r>
      <w:r>
        <w:tab/>
        <w:t>If a foreign dutiable transaction is aggregated with another dutiable transaction under section 37, then the foreign dutiable transaction is treated as having taken place at the time that the last of the aggregated transactions took place.</w:t>
      </w:r>
    </w:p>
    <w:p>
      <w:pPr>
        <w:pStyle w:val="Subsection"/>
      </w:pPr>
      <w:r>
        <w:tab/>
        <w:t>(4)</w:t>
      </w:r>
      <w:r>
        <w:tab/>
        <w:t>Foreign transfer duty is chargeable on any foreign dutiable transaction effecting an exchange of residential property to a foreign person for dutiable property as if the exchange involved the transfer of the residential property for consideration equal to the unencumbered value of the residential property.</w:t>
      </w:r>
    </w:p>
    <w:p>
      <w:pPr>
        <w:pStyle w:val="Footnotesection"/>
      </w:pPr>
      <w:bookmarkStart w:id="4246" w:name="_Toc527633762"/>
      <w:bookmarkStart w:id="4247" w:name="_Toc527637260"/>
      <w:r>
        <w:tab/>
        <w:t>[Section 205P inserted: No. 24 of 2018 s. </w:t>
      </w:r>
      <w:del w:id="4248" w:author="Master Repository Process" w:date="2022-05-27T14:27:00Z">
        <w:r>
          <w:delText>8</w:delText>
        </w:r>
      </w:del>
      <w:ins w:id="4249" w:author="Master Repository Process" w:date="2022-05-27T14:27:00Z">
        <w:r>
          <w:t>8; amended: No. 12 of 2019 s. 103</w:t>
        </w:r>
      </w:ins>
      <w:r>
        <w:t>.]</w:t>
      </w:r>
    </w:p>
    <w:p>
      <w:pPr>
        <w:pStyle w:val="Heading5"/>
      </w:pPr>
      <w:bookmarkStart w:id="4250" w:name="_Toc104291149"/>
      <w:bookmarkStart w:id="4251" w:name="_Toc531859477"/>
      <w:r>
        <w:rPr>
          <w:rStyle w:val="CharSectno"/>
        </w:rPr>
        <w:t>205Q</w:t>
      </w:r>
      <w:r>
        <w:t>.</w:t>
      </w:r>
      <w:r>
        <w:tab/>
        <w:t>No double foreign transfer duty</w:t>
      </w:r>
      <w:bookmarkEnd w:id="4250"/>
      <w:bookmarkEnd w:id="4246"/>
      <w:bookmarkEnd w:id="4247"/>
      <w:bookmarkEnd w:id="4251"/>
    </w:p>
    <w:p>
      <w:pPr>
        <w:pStyle w:val="Subsection"/>
      </w:pPr>
      <w:r>
        <w:tab/>
        <w:t>(1)</w:t>
      </w:r>
      <w:r>
        <w:tab/>
        <w:t>The provisions of Chapter 2 Part 4 Division 6 other than section 42(15) apply, with all appropriate modifications, in respect of foreign transfer duty in the same way as they apply in respect of transfer duty.</w:t>
      </w:r>
    </w:p>
    <w:p>
      <w:pPr>
        <w:pStyle w:val="Subsection"/>
      </w:pPr>
      <w:r>
        <w:tab/>
        <w:t>(2)</w:t>
      </w:r>
      <w:r>
        <w:tab/>
        <w:t xml:space="preserve">Without limiting subsection (1), the provisions applied by that subsection apply as if — </w:t>
      </w:r>
    </w:p>
    <w:p>
      <w:pPr>
        <w:pStyle w:val="Indenta"/>
      </w:pPr>
      <w:r>
        <w:tab/>
        <w:t>(a)</w:t>
      </w:r>
      <w:r>
        <w:tab/>
        <w:t>a reference to dutiable property were a reference to residential property; and</w:t>
      </w:r>
    </w:p>
    <w:p>
      <w:pPr>
        <w:pStyle w:val="Indenta"/>
      </w:pPr>
      <w:r>
        <w:tab/>
        <w:t>(b)</w:t>
      </w:r>
      <w:r>
        <w:tab/>
        <w:t>a reference to a dutiable transaction were a reference to a foreign dutiable transaction; and</w:t>
      </w:r>
    </w:p>
    <w:p>
      <w:pPr>
        <w:pStyle w:val="Indenta"/>
      </w:pPr>
      <w:r>
        <w:tab/>
        <w:t>(c)</w:t>
      </w:r>
      <w:r>
        <w:tab/>
        <w:t>a reference to duty were a reference to foreign transfer duty; and</w:t>
      </w:r>
    </w:p>
    <w:p>
      <w:pPr>
        <w:pStyle w:val="Indenta"/>
      </w:pPr>
      <w:r>
        <w:tab/>
        <w:t>(d)</w:t>
      </w:r>
      <w:r>
        <w:tab/>
        <w:t>a reference to duty endorsed were a reference to foreign transfer duty endorsed; and</w:t>
      </w:r>
    </w:p>
    <w:p>
      <w:pPr>
        <w:pStyle w:val="Indenta"/>
      </w:pPr>
      <w:r>
        <w:tab/>
        <w:t>(e)</w:t>
      </w:r>
      <w:r>
        <w:tab/>
        <w:t xml:space="preserve">a reference to the general or a concessional rate were a reference to the rate of foreign transfer duty; and </w:t>
      </w:r>
    </w:p>
    <w:p>
      <w:pPr>
        <w:pStyle w:val="Indenta"/>
      </w:pPr>
      <w:r>
        <w:tab/>
        <w:t>(f)</w:t>
      </w:r>
      <w:r>
        <w:tab/>
        <w:t>the reference in section 42(12) to section 11(1)(d) were a reference to section 205H(1)(d).</w:t>
      </w:r>
    </w:p>
    <w:p>
      <w:pPr>
        <w:pStyle w:val="Footnotesection"/>
      </w:pPr>
      <w:bookmarkStart w:id="4252" w:name="_Toc527633763"/>
      <w:bookmarkStart w:id="4253" w:name="_Toc527637261"/>
      <w:r>
        <w:tab/>
        <w:t>[Section 205Q inserted: No. 24 of 2018 s. 8.]</w:t>
      </w:r>
    </w:p>
    <w:p>
      <w:pPr>
        <w:pStyle w:val="Heading5"/>
      </w:pPr>
      <w:bookmarkStart w:id="4254" w:name="_Toc104291150"/>
      <w:bookmarkStart w:id="4255" w:name="_Toc531859478"/>
      <w:r>
        <w:rPr>
          <w:rStyle w:val="CharSectno"/>
        </w:rPr>
        <w:t>205R</w:t>
      </w:r>
      <w:r>
        <w:t>.</w:t>
      </w:r>
      <w:r>
        <w:tab/>
        <w:t>Interim assessment of foreign transfer duty</w:t>
      </w:r>
      <w:bookmarkEnd w:id="4254"/>
      <w:bookmarkEnd w:id="4252"/>
      <w:bookmarkEnd w:id="4253"/>
      <w:bookmarkEnd w:id="4255"/>
    </w:p>
    <w:p>
      <w:pPr>
        <w:pStyle w:val="Subsection"/>
      </w:pPr>
      <w:r>
        <w:tab/>
        <w:t>(1)</w:t>
      </w:r>
      <w:r>
        <w:tab/>
        <w:t xml:space="preserve">The Commissioner may make an assessment (an </w:t>
      </w:r>
      <w:r>
        <w:rPr>
          <w:rStyle w:val="CharDefText"/>
        </w:rPr>
        <w:t>interim assessment</w:t>
      </w:r>
      <w:r>
        <w:t>) of a portion of the foreign transfer duty payable on a foreign dutiable transaction if, under section 44A(1), the Commissioner makes an assessment of a portion of the transfer duty payable on the transaction.</w:t>
      </w:r>
    </w:p>
    <w:p>
      <w:pPr>
        <w:pStyle w:val="Subsection"/>
      </w:pPr>
      <w:r>
        <w:tab/>
        <w:t>(2)</w:t>
      </w:r>
      <w:r>
        <w:tab/>
        <w:t>For the purposes of making an interim assessment, the foreign transfer duty payable is to be determined as if the portion of the dutiable value of the foreign dutiable transaction were the full dutiable value of the transaction.</w:t>
      </w:r>
    </w:p>
    <w:p>
      <w:pPr>
        <w:pStyle w:val="Footnotesection"/>
      </w:pPr>
      <w:bookmarkStart w:id="4256" w:name="_Toc513472010"/>
      <w:bookmarkStart w:id="4257" w:name="_Toc513472104"/>
      <w:bookmarkStart w:id="4258" w:name="_Toc515352254"/>
      <w:bookmarkStart w:id="4259" w:name="_Toc516044920"/>
      <w:bookmarkStart w:id="4260" w:name="_Toc516238665"/>
      <w:bookmarkStart w:id="4261" w:name="_Toc516239040"/>
      <w:bookmarkStart w:id="4262" w:name="_Toc516240227"/>
      <w:bookmarkStart w:id="4263" w:name="_Toc526928420"/>
      <w:bookmarkStart w:id="4264" w:name="_Toc527633764"/>
      <w:bookmarkStart w:id="4265" w:name="_Toc527637262"/>
      <w:r>
        <w:tab/>
        <w:t>[Section 205R inserted: No. 24 of 2018 s. 8.]</w:t>
      </w:r>
    </w:p>
    <w:p>
      <w:pPr>
        <w:pStyle w:val="Heading5"/>
        <w:rPr>
          <w:ins w:id="4266" w:author="Master Repository Process" w:date="2022-05-27T14:27:00Z"/>
        </w:rPr>
      </w:pPr>
      <w:bookmarkStart w:id="4267" w:name="_Toc104291151"/>
      <w:ins w:id="4268" w:author="Master Repository Process" w:date="2022-05-27T14:27:00Z">
        <w:r>
          <w:rPr>
            <w:rStyle w:val="CharSectno"/>
          </w:rPr>
          <w:t>205RA</w:t>
        </w:r>
        <w:r>
          <w:t>.</w:t>
        </w:r>
        <w:r>
          <w:tab/>
          <w:t>Foreign transfer duty on deemed transaction under s. 120B(2)</w:t>
        </w:r>
        <w:bookmarkEnd w:id="4267"/>
      </w:ins>
    </w:p>
    <w:p>
      <w:pPr>
        <w:pStyle w:val="Subsection"/>
        <w:rPr>
          <w:ins w:id="4269" w:author="Master Repository Process" w:date="2022-05-27T14:27:00Z"/>
        </w:rPr>
      </w:pPr>
      <w:ins w:id="4270" w:author="Master Repository Process" w:date="2022-05-27T14:27:00Z">
        <w:r>
          <w:tab/>
        </w:r>
        <w:r>
          <w:tab/>
          <w:t>Foreign transfer duty is chargeable on a transaction that is taken to occur under section 120B(2) if the transaction is a foreign dutiable transaction.</w:t>
        </w:r>
      </w:ins>
    </w:p>
    <w:p>
      <w:pPr>
        <w:pStyle w:val="Footnotesection"/>
        <w:rPr>
          <w:ins w:id="4271" w:author="Master Repository Process" w:date="2022-05-27T14:27:00Z"/>
        </w:rPr>
      </w:pPr>
      <w:ins w:id="4272" w:author="Master Repository Process" w:date="2022-05-27T14:27:00Z">
        <w:r>
          <w:tab/>
          <w:t>[Section 205RA inserted: No. 12 of 2019 s. 104.]</w:t>
        </w:r>
      </w:ins>
    </w:p>
    <w:p>
      <w:pPr>
        <w:pStyle w:val="Heading4"/>
        <w:rPr>
          <w:sz w:val="26"/>
          <w:szCs w:val="26"/>
        </w:rPr>
      </w:pPr>
      <w:bookmarkStart w:id="4273" w:name="_Toc37946957"/>
      <w:bookmarkStart w:id="4274" w:name="_Toc37947557"/>
      <w:bookmarkStart w:id="4275" w:name="_Toc38031621"/>
      <w:bookmarkStart w:id="4276" w:name="_Toc93310130"/>
      <w:bookmarkStart w:id="4277" w:name="_Toc104291152"/>
      <w:bookmarkStart w:id="4278" w:name="_Toc531692307"/>
      <w:bookmarkStart w:id="4279" w:name="_Toc531856212"/>
      <w:bookmarkStart w:id="4280" w:name="_Toc531858940"/>
      <w:bookmarkStart w:id="4281" w:name="_Toc531859479"/>
      <w:r>
        <w:rPr>
          <w:sz w:val="26"/>
          <w:szCs w:val="26"/>
        </w:rPr>
        <w:t>Division 5 — Application of Chapter 2 Part 5 to certain transactions</w:t>
      </w:r>
      <w:bookmarkEnd w:id="4273"/>
      <w:bookmarkEnd w:id="4274"/>
      <w:bookmarkEnd w:id="4275"/>
      <w:bookmarkEnd w:id="4276"/>
      <w:bookmarkEnd w:id="4277"/>
      <w:bookmarkEnd w:id="4256"/>
      <w:bookmarkEnd w:id="4257"/>
      <w:bookmarkEnd w:id="4258"/>
      <w:bookmarkEnd w:id="4259"/>
      <w:bookmarkEnd w:id="4260"/>
      <w:bookmarkEnd w:id="4261"/>
      <w:bookmarkEnd w:id="4262"/>
      <w:bookmarkEnd w:id="4263"/>
      <w:bookmarkEnd w:id="4264"/>
      <w:bookmarkEnd w:id="4265"/>
      <w:bookmarkEnd w:id="4278"/>
      <w:bookmarkEnd w:id="4279"/>
      <w:bookmarkEnd w:id="4280"/>
      <w:bookmarkEnd w:id="4281"/>
    </w:p>
    <w:p>
      <w:pPr>
        <w:pStyle w:val="Footnoteheading"/>
      </w:pPr>
      <w:r>
        <w:tab/>
        <w:t>[Heading inserted: No. 24 of 2018 s. 8.]</w:t>
      </w:r>
    </w:p>
    <w:p>
      <w:pPr>
        <w:pStyle w:val="Heading5"/>
      </w:pPr>
      <w:bookmarkStart w:id="4282" w:name="_Toc104291153"/>
      <w:bookmarkStart w:id="4283" w:name="_Toc527633765"/>
      <w:bookmarkStart w:id="4284" w:name="_Toc527637263"/>
      <w:bookmarkStart w:id="4285" w:name="_Toc531859480"/>
      <w:r>
        <w:rPr>
          <w:rStyle w:val="CharSectno"/>
        </w:rPr>
        <w:t>205S</w:t>
      </w:r>
      <w:r>
        <w:t>.</w:t>
      </w:r>
      <w:r>
        <w:tab/>
        <w:t>Application of Chapter 2 Part 5 to foreign dutiable transactions</w:t>
      </w:r>
      <w:bookmarkEnd w:id="4282"/>
      <w:bookmarkEnd w:id="4283"/>
      <w:bookmarkEnd w:id="4284"/>
      <w:bookmarkEnd w:id="4285"/>
    </w:p>
    <w:p>
      <w:pPr>
        <w:pStyle w:val="Subsection"/>
      </w:pPr>
      <w:r>
        <w:tab/>
        <w:t>(1)</w:t>
      </w:r>
      <w:r>
        <w:tab/>
        <w:t xml:space="preserve">The provisions of Chapter 2 Part 5 other than section 70 and Divisions 5 </w:t>
      </w:r>
      <w:del w:id="4286" w:author="Master Repository Process" w:date="2022-05-27T14:27:00Z">
        <w:r>
          <w:delText>and 6 apply</w:delText>
        </w:r>
      </w:del>
      <w:ins w:id="4287" w:author="Master Repository Process" w:date="2022-05-27T14:27:00Z">
        <w:r>
          <w:t>to 8apply</w:t>
        </w:r>
      </w:ins>
      <w:r>
        <w:t>, with all appropriate modifications, in respect of foreign transfer duty in the same way as they apply in respect of transfer duty.</w:t>
      </w:r>
    </w:p>
    <w:p>
      <w:pPr>
        <w:pStyle w:val="Subsection"/>
      </w:pPr>
      <w:r>
        <w:tab/>
        <w:t>(2)</w:t>
      </w:r>
      <w:r>
        <w:tab/>
        <w:t xml:space="preserve">Without limiting subsection (1), the provisions applied by that subsection apply as if — </w:t>
      </w:r>
    </w:p>
    <w:p>
      <w:pPr>
        <w:pStyle w:val="Indenta"/>
      </w:pPr>
      <w:r>
        <w:tab/>
        <w:t>(a)</w:t>
      </w:r>
      <w:r>
        <w:tab/>
        <w:t>a reference to dutiable property (other than in Chapter 2 Part 5 Division 4) were a reference to residential property; and</w:t>
      </w:r>
    </w:p>
    <w:p>
      <w:pPr>
        <w:pStyle w:val="Indenta"/>
        <w:keepNext/>
      </w:pPr>
      <w:r>
        <w:tab/>
        <w:t>(b)</w:t>
      </w:r>
      <w:r>
        <w:tab/>
        <w:t xml:space="preserve">a reference to dutiable property in Chapter 2 Part 5 Division 4 were a reference to each of the following — </w:t>
      </w:r>
    </w:p>
    <w:p>
      <w:pPr>
        <w:pStyle w:val="Indenti"/>
      </w:pPr>
      <w:r>
        <w:tab/>
        <w:t>(i)</w:t>
      </w:r>
      <w:r>
        <w:tab/>
        <w:t>residential property;</w:t>
      </w:r>
    </w:p>
    <w:p>
      <w:pPr>
        <w:pStyle w:val="Indenti"/>
      </w:pPr>
      <w:r>
        <w:tab/>
        <w:t>(ii)</w:t>
      </w:r>
      <w:r>
        <w:tab/>
        <w:t>a chattel in Western Australia, the use of which is directly linked to, or is incidental to, the use of residential property for residential purposes;</w:t>
      </w:r>
    </w:p>
    <w:p>
      <w:pPr>
        <w:pStyle w:val="Indenta"/>
      </w:pPr>
      <w:r>
        <w:tab/>
      </w:r>
      <w:r>
        <w:tab/>
        <w:t>and</w:t>
      </w:r>
    </w:p>
    <w:p>
      <w:pPr>
        <w:pStyle w:val="Indenta"/>
      </w:pPr>
      <w:r>
        <w:tab/>
        <w:t>(c)</w:t>
      </w:r>
      <w:r>
        <w:tab/>
        <w:t>a reference to a dutiable transaction were a reference to a foreign dutiable transaction; and</w:t>
      </w:r>
    </w:p>
    <w:p>
      <w:pPr>
        <w:pStyle w:val="Indenta"/>
      </w:pPr>
      <w:r>
        <w:tab/>
        <w:t>(d)</w:t>
      </w:r>
      <w:r>
        <w:tab/>
        <w:t>a reference to duty were a reference to foreign transfer duty; and</w:t>
      </w:r>
    </w:p>
    <w:p>
      <w:pPr>
        <w:pStyle w:val="Indenta"/>
      </w:pPr>
      <w:r>
        <w:tab/>
        <w:t>(e)</w:t>
      </w:r>
      <w:r>
        <w:tab/>
        <w:t xml:space="preserve">a reference to duty endorsed were a reference to foreign transfer duty endorsed; and </w:t>
      </w:r>
    </w:p>
    <w:p>
      <w:pPr>
        <w:pStyle w:val="Indenta"/>
      </w:pPr>
      <w:r>
        <w:tab/>
        <w:t>(f)</w:t>
      </w:r>
      <w:r>
        <w:tab/>
        <w:t>a reference to a trust acquisition were a reference to a residential trust acquisition; and</w:t>
      </w:r>
    </w:p>
    <w:p>
      <w:pPr>
        <w:pStyle w:val="Indenta"/>
      </w:pPr>
      <w:r>
        <w:tab/>
        <w:t>(g)</w:t>
      </w:r>
      <w:r>
        <w:tab/>
        <w:t>a reference to a trust surrender were a reference to a residential trust surrender; and</w:t>
      </w:r>
    </w:p>
    <w:p>
      <w:pPr>
        <w:pStyle w:val="Indenta"/>
      </w:pPr>
      <w:r>
        <w:tab/>
        <w:t>(h)</w:t>
      </w:r>
      <w:r>
        <w:tab/>
      </w:r>
      <w:del w:id="4288" w:author="Master Repository Process" w:date="2022-05-27T14:27:00Z">
        <w:r>
          <w:delText>a</w:delText>
        </w:r>
      </w:del>
      <w:ins w:id="4289" w:author="Master Repository Process" w:date="2022-05-27T14:27:00Z">
        <w:r>
          <w:t>the</w:t>
        </w:r>
      </w:ins>
      <w:r>
        <w:t xml:space="preserve"> reference in section 73 to </w:t>
      </w:r>
      <w:del w:id="4290" w:author="Master Repository Process" w:date="2022-05-27T14:27:00Z">
        <w:r>
          <w:delText>land in Western Australia</w:delText>
        </w:r>
      </w:del>
      <w:ins w:id="4291" w:author="Master Repository Process" w:date="2022-05-27T14:27:00Z">
        <w:r>
          <w:t>property of a kind referred to in section 72(a), (b), (c) or (d)</w:t>
        </w:r>
      </w:ins>
      <w:r>
        <w:t xml:space="preserve"> were a reference to residential property; and</w:t>
      </w:r>
    </w:p>
    <w:p>
      <w:pPr>
        <w:pStyle w:val="Indenta"/>
      </w:pPr>
      <w:r>
        <w:tab/>
        <w:t>(i)</w:t>
      </w:r>
      <w:r>
        <w:tab/>
        <w:t>a reference in section 76 or 77 to a partnership acquisition were a reference to a residential partnership acquisition; and</w:t>
      </w:r>
    </w:p>
    <w:p>
      <w:pPr>
        <w:pStyle w:val="Indenta"/>
        <w:rPr>
          <w:ins w:id="4292" w:author="Master Repository Process" w:date="2022-05-27T14:27:00Z"/>
        </w:rPr>
      </w:pPr>
      <w:ins w:id="4293" w:author="Master Repository Process" w:date="2022-05-27T14:27:00Z">
        <w:r>
          <w:tab/>
          <w:t>(ia)</w:t>
        </w:r>
        <w:r>
          <w:tab/>
          <w:t>a reference in section 78(1)(a) or 78A(1)(a) to a person ceasing to be a partner in a partnership were a reference to a foreign person ceasing to be a partner in a partnership; and</w:t>
        </w:r>
      </w:ins>
    </w:p>
    <w:p>
      <w:pPr>
        <w:pStyle w:val="Indenta"/>
      </w:pPr>
      <w:r>
        <w:tab/>
        <w:t>(j)</w:t>
      </w:r>
      <w:r>
        <w:tab/>
        <w:t>each provision specified in Column 1 of the Table were replaced by the provision specified opposite it in Column 2 of the Table.</w:t>
      </w:r>
    </w:p>
    <w:p>
      <w:pPr>
        <w:pStyle w:val="THeadingNAm"/>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rPr>
          <w:tblHeader/>
        </w:trPr>
        <w:tc>
          <w:tcPr>
            <w:tcW w:w="2835" w:type="dxa"/>
          </w:tcPr>
          <w:p>
            <w:pPr>
              <w:pStyle w:val="TableNAm"/>
            </w:pPr>
            <w:r>
              <w:rPr>
                <w:b/>
              </w:rPr>
              <w:t>Column 1</w:t>
            </w:r>
          </w:p>
        </w:tc>
        <w:tc>
          <w:tcPr>
            <w:tcW w:w="2835" w:type="dxa"/>
          </w:tcPr>
          <w:p>
            <w:pPr>
              <w:pStyle w:val="TableNAm"/>
            </w:pPr>
            <w:r>
              <w:rPr>
                <w:b/>
              </w:rPr>
              <w:t>Column 2</w:t>
            </w:r>
          </w:p>
        </w:tc>
      </w:tr>
      <w:tr>
        <w:tc>
          <w:tcPr>
            <w:tcW w:w="2835" w:type="dxa"/>
          </w:tcPr>
          <w:p>
            <w:pPr>
              <w:pStyle w:val="TableNAm"/>
            </w:pPr>
            <w:r>
              <w:t>s. 55</w:t>
            </w:r>
          </w:p>
        </w:tc>
        <w:tc>
          <w:tcPr>
            <w:tcW w:w="2835" w:type="dxa"/>
          </w:tcPr>
          <w:p>
            <w:pPr>
              <w:pStyle w:val="TableNAm"/>
            </w:pPr>
            <w:r>
              <w:t>s. 205T</w:t>
            </w:r>
          </w:p>
        </w:tc>
      </w:tr>
      <w:tr>
        <w:tc>
          <w:tcPr>
            <w:tcW w:w="2835" w:type="dxa"/>
          </w:tcPr>
          <w:p>
            <w:pPr>
              <w:pStyle w:val="TableNAm"/>
            </w:pPr>
            <w:r>
              <w:t>s. 56</w:t>
            </w:r>
          </w:p>
        </w:tc>
        <w:tc>
          <w:tcPr>
            <w:tcW w:w="2835" w:type="dxa"/>
          </w:tcPr>
          <w:p>
            <w:pPr>
              <w:pStyle w:val="TableNAm"/>
            </w:pPr>
            <w:r>
              <w:t>s. 205U</w:t>
            </w:r>
          </w:p>
        </w:tc>
      </w:tr>
      <w:tr>
        <w:tc>
          <w:tcPr>
            <w:tcW w:w="2835" w:type="dxa"/>
          </w:tcPr>
          <w:p>
            <w:pPr>
              <w:pStyle w:val="TableNAm"/>
            </w:pPr>
            <w:r>
              <w:t>s. 59</w:t>
            </w:r>
          </w:p>
        </w:tc>
        <w:tc>
          <w:tcPr>
            <w:tcW w:w="2835" w:type="dxa"/>
          </w:tcPr>
          <w:p>
            <w:pPr>
              <w:pStyle w:val="TableNAm"/>
            </w:pPr>
            <w:r>
              <w:t>s. 205V</w:t>
            </w:r>
          </w:p>
        </w:tc>
      </w:tr>
      <w:tr>
        <w:tc>
          <w:tcPr>
            <w:tcW w:w="2835" w:type="dxa"/>
          </w:tcPr>
          <w:p>
            <w:pPr>
              <w:pStyle w:val="TableNAm"/>
            </w:pPr>
            <w:r>
              <w:t>s. 67</w:t>
            </w:r>
          </w:p>
        </w:tc>
        <w:tc>
          <w:tcPr>
            <w:tcW w:w="2835" w:type="dxa"/>
          </w:tcPr>
          <w:p>
            <w:pPr>
              <w:pStyle w:val="TableNAm"/>
            </w:pPr>
            <w:r>
              <w:t>s. 205W</w:t>
            </w:r>
          </w:p>
        </w:tc>
      </w:tr>
      <w:tr>
        <w:tc>
          <w:tcPr>
            <w:tcW w:w="2835" w:type="dxa"/>
          </w:tcPr>
          <w:p>
            <w:pPr>
              <w:pStyle w:val="TableNAm"/>
            </w:pPr>
            <w:r>
              <w:t>s. 72</w:t>
            </w:r>
          </w:p>
        </w:tc>
        <w:tc>
          <w:tcPr>
            <w:tcW w:w="2835" w:type="dxa"/>
          </w:tcPr>
          <w:p>
            <w:pPr>
              <w:pStyle w:val="TableNAm"/>
            </w:pPr>
            <w:r>
              <w:t>s. 205X</w:t>
            </w:r>
          </w:p>
        </w:tc>
      </w:tr>
    </w:tbl>
    <w:p>
      <w:pPr>
        <w:pStyle w:val="Footnotesection"/>
      </w:pPr>
      <w:bookmarkStart w:id="4294" w:name="_Toc527633766"/>
      <w:bookmarkStart w:id="4295" w:name="_Toc527637264"/>
      <w:r>
        <w:tab/>
        <w:t>[Section 205S inserted: No. 24 of 2018 s. </w:t>
      </w:r>
      <w:del w:id="4296" w:author="Master Repository Process" w:date="2022-05-27T14:27:00Z">
        <w:r>
          <w:delText>8</w:delText>
        </w:r>
      </w:del>
      <w:ins w:id="4297" w:author="Master Repository Process" w:date="2022-05-27T14:27:00Z">
        <w:r>
          <w:t>8; amended: No. 12 of 2019 s. 105</w:t>
        </w:r>
      </w:ins>
      <w:r>
        <w:t>.]</w:t>
      </w:r>
    </w:p>
    <w:p>
      <w:pPr>
        <w:pStyle w:val="Heading5"/>
      </w:pPr>
      <w:bookmarkStart w:id="4298" w:name="_Toc104291154"/>
      <w:bookmarkStart w:id="4299" w:name="_Toc531859481"/>
      <w:r>
        <w:rPr>
          <w:rStyle w:val="CharSectno"/>
        </w:rPr>
        <w:t>205T</w:t>
      </w:r>
      <w:r>
        <w:t>.</w:t>
      </w:r>
      <w:r>
        <w:tab/>
        <w:t>References to residential trust acquisition</w:t>
      </w:r>
      <w:bookmarkEnd w:id="4298"/>
      <w:bookmarkEnd w:id="4294"/>
      <w:bookmarkEnd w:id="4295"/>
      <w:bookmarkEnd w:id="4299"/>
    </w:p>
    <w:p>
      <w:pPr>
        <w:pStyle w:val="Subsection"/>
      </w:pPr>
      <w:r>
        <w:tab/>
      </w:r>
      <w:r>
        <w:tab/>
        <w:t xml:space="preserve">A reference to a residential trust acquisition is to the acquisition by a taker in default that is a foreign person of an interest in a discretionary trust that holds — </w:t>
      </w:r>
    </w:p>
    <w:p>
      <w:pPr>
        <w:pStyle w:val="Indenta"/>
      </w:pPr>
      <w:r>
        <w:tab/>
        <w:t>(a)</w:t>
      </w:r>
      <w:r>
        <w:tab/>
        <w:t>residential property; or</w:t>
      </w:r>
    </w:p>
    <w:p>
      <w:pPr>
        <w:pStyle w:val="Indenta"/>
      </w:pPr>
      <w:r>
        <w:tab/>
        <w:t>(b)</w:t>
      </w:r>
      <w:r>
        <w:tab/>
        <w:t>an indirect interest in residential property.</w:t>
      </w:r>
    </w:p>
    <w:p>
      <w:pPr>
        <w:pStyle w:val="Footnotesection"/>
      </w:pPr>
      <w:bookmarkStart w:id="4300" w:name="_Toc527633767"/>
      <w:bookmarkStart w:id="4301" w:name="_Toc527637265"/>
      <w:r>
        <w:tab/>
        <w:t>[Section 205T inserted: No. 24 of 2018 s. 8.]</w:t>
      </w:r>
    </w:p>
    <w:p>
      <w:pPr>
        <w:pStyle w:val="Heading5"/>
      </w:pPr>
      <w:bookmarkStart w:id="4302" w:name="_Toc104291155"/>
      <w:bookmarkStart w:id="4303" w:name="_Toc531859482"/>
      <w:r>
        <w:rPr>
          <w:rStyle w:val="CharSectno"/>
        </w:rPr>
        <w:t>205U</w:t>
      </w:r>
      <w:r>
        <w:t>.</w:t>
      </w:r>
      <w:r>
        <w:tab/>
        <w:t>References to residential trust surrender</w:t>
      </w:r>
      <w:bookmarkEnd w:id="4302"/>
      <w:bookmarkEnd w:id="4300"/>
      <w:bookmarkEnd w:id="4301"/>
      <w:bookmarkEnd w:id="4303"/>
    </w:p>
    <w:p>
      <w:pPr>
        <w:pStyle w:val="Subsection"/>
      </w:pPr>
      <w:r>
        <w:tab/>
      </w:r>
      <w:r>
        <w:tab/>
        <w:t>A reference to a residential trust surrender is to the surrender by a taker in default of an interest in a discretionary trust that holds residential property or an indirect interest in residential property, if the surrender results in a foreign person acquiring an interest in the discretionary trust.</w:t>
      </w:r>
    </w:p>
    <w:p>
      <w:pPr>
        <w:pStyle w:val="Footnotesection"/>
      </w:pPr>
      <w:bookmarkStart w:id="4304" w:name="_Toc527633768"/>
      <w:bookmarkStart w:id="4305" w:name="_Toc527637266"/>
      <w:r>
        <w:tab/>
        <w:t>[Section 205U inserted: No. 24 of 2018 s. 8.]</w:t>
      </w:r>
    </w:p>
    <w:p>
      <w:pPr>
        <w:pStyle w:val="Heading5"/>
      </w:pPr>
      <w:bookmarkStart w:id="4306" w:name="_Toc104291156"/>
      <w:bookmarkStart w:id="4307" w:name="_Toc531859483"/>
      <w:r>
        <w:rPr>
          <w:rStyle w:val="CharSectno"/>
        </w:rPr>
        <w:t>205V</w:t>
      </w:r>
      <w:r>
        <w:t>.</w:t>
      </w:r>
      <w:r>
        <w:tab/>
        <w:t>Dutiable value of residential trust acquisition or residential trust surrender</w:t>
      </w:r>
      <w:bookmarkEnd w:id="4306"/>
      <w:bookmarkEnd w:id="4304"/>
      <w:bookmarkEnd w:id="4305"/>
      <w:bookmarkEnd w:id="4307"/>
    </w:p>
    <w:p>
      <w:pPr>
        <w:pStyle w:val="Subsection"/>
      </w:pPr>
      <w:r>
        <w:tab/>
        <w:t>(1)</w:t>
      </w:r>
      <w:r>
        <w:tab/>
        <w:t xml:space="preserve">The dutiable value of a residential trust acquisition is — </w:t>
      </w:r>
    </w:p>
    <w:p>
      <w:pPr>
        <w:pStyle w:val="Indenta"/>
      </w:pPr>
      <w:r>
        <w:tab/>
        <w:t>(a)</w:t>
      </w:r>
      <w:r>
        <w:tab/>
        <w:t xml:space="preserve">the consideration for the acquisition so far as the consideration relates to residential property — </w:t>
      </w:r>
    </w:p>
    <w:p>
      <w:pPr>
        <w:pStyle w:val="Indenti"/>
      </w:pPr>
      <w:r>
        <w:tab/>
        <w:t>(i)</w:t>
      </w:r>
      <w:r>
        <w:tab/>
        <w:t xml:space="preserve">held by the discretionary trust; or </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foreign transfer duty on the acquisition arises if — </w:t>
      </w:r>
    </w:p>
    <w:p>
      <w:pPr>
        <w:pStyle w:val="Indenti"/>
      </w:pPr>
      <w:r>
        <w:tab/>
        <w:t>(i)</w:t>
      </w:r>
      <w:r>
        <w:tab/>
        <w:t>there is no consideration for the acquisition; or</w:t>
      </w:r>
    </w:p>
    <w:p>
      <w:pPr>
        <w:pStyle w:val="Indenti"/>
      </w:pPr>
      <w:r>
        <w:tab/>
        <w:t>(ii)</w:t>
      </w:r>
      <w:r>
        <w:tab/>
        <w:t>the consideration cannot be ascertained when liability for foreign transfer duty on the acquisition arises; or</w:t>
      </w:r>
    </w:p>
    <w:p>
      <w:pPr>
        <w:pStyle w:val="Indenti"/>
      </w:pPr>
      <w:r>
        <w:tab/>
        <w:t>(iii)</w:t>
      </w:r>
      <w:r>
        <w:tab/>
        <w:t>the value of the taker in default’s interest is greater than the consideration for the acquisition.</w:t>
      </w:r>
    </w:p>
    <w:p>
      <w:pPr>
        <w:pStyle w:val="Subsection"/>
      </w:pPr>
      <w:r>
        <w:tab/>
        <w:t>(2)</w:t>
      </w:r>
      <w:r>
        <w:tab/>
        <w:t xml:space="preserve">The dutiable value of a residential trust surrender is — </w:t>
      </w:r>
    </w:p>
    <w:p>
      <w:pPr>
        <w:pStyle w:val="Indenta"/>
      </w:pPr>
      <w:r>
        <w:tab/>
        <w:t>(a)</w:t>
      </w:r>
      <w:r>
        <w:tab/>
        <w:t xml:space="preserve">the consideration for the surrender so far as the consideration relates to — </w:t>
      </w:r>
    </w:p>
    <w:p>
      <w:pPr>
        <w:pStyle w:val="Indenti"/>
      </w:pPr>
      <w:r>
        <w:tab/>
        <w:t>(i)</w:t>
      </w:r>
      <w:r>
        <w:tab/>
        <w:t>residential property held by the discretionary trust or to which an entity linked to the trustee of the discretionary trust is entitled; and</w:t>
      </w:r>
    </w:p>
    <w:p>
      <w:pPr>
        <w:pStyle w:val="Indenti"/>
      </w:pPr>
      <w:r>
        <w:tab/>
        <w:t>(ii)</w:t>
      </w:r>
      <w:r>
        <w:tab/>
        <w:t>the interests in the discretionary trust acquired by a foreign person as a result of the surrender;</w:t>
      </w:r>
    </w:p>
    <w:p>
      <w:pPr>
        <w:pStyle w:val="Indenta"/>
      </w:pPr>
      <w:r>
        <w:tab/>
      </w:r>
      <w:r>
        <w:tab/>
        <w:t>or</w:t>
      </w:r>
    </w:p>
    <w:p>
      <w:pPr>
        <w:pStyle w:val="Indenta"/>
      </w:pPr>
      <w:r>
        <w:tab/>
        <w:t>(b)</w:t>
      </w:r>
      <w:r>
        <w:tab/>
        <w:t xml:space="preserve">the value of a foreign person’s interest in the discretionary trust at the time immediately after liability for foreign transfer duty on the surrender arises less the value of the foreign person’s interest in the discretionary trust immediately before liability for foreign transfer duty on the surrender arises if — </w:t>
      </w:r>
    </w:p>
    <w:p>
      <w:pPr>
        <w:pStyle w:val="Indenti"/>
      </w:pPr>
      <w:r>
        <w:tab/>
        <w:t>(i)</w:t>
      </w:r>
      <w:r>
        <w:tab/>
        <w:t>there is no consideration for the surrender; or</w:t>
      </w:r>
    </w:p>
    <w:p>
      <w:pPr>
        <w:pStyle w:val="Indenti"/>
      </w:pPr>
      <w:r>
        <w:tab/>
        <w:t>(ii)</w:t>
      </w:r>
      <w:r>
        <w:tab/>
        <w:t>the consideration cannot be ascertained when liability for foreign transfer duty on the surrender arises; or</w:t>
      </w:r>
    </w:p>
    <w:p>
      <w:pPr>
        <w:pStyle w:val="Indenti"/>
      </w:pPr>
      <w:r>
        <w:tab/>
        <w:t>(iii)</w:t>
      </w:r>
      <w:r>
        <w:tab/>
        <w:t>the value of the taker in default’s interest is greater than the consideration for the surrender.</w:t>
      </w:r>
    </w:p>
    <w:p>
      <w:pPr>
        <w:pStyle w:val="Footnotesection"/>
      </w:pPr>
      <w:bookmarkStart w:id="4308" w:name="_Toc527633769"/>
      <w:bookmarkStart w:id="4309" w:name="_Toc527637267"/>
      <w:r>
        <w:tab/>
        <w:t>[Section 205V inserted: No. 24 of 2018 s. 8.]</w:t>
      </w:r>
    </w:p>
    <w:p>
      <w:pPr>
        <w:pStyle w:val="Heading5"/>
      </w:pPr>
      <w:bookmarkStart w:id="4310" w:name="_Toc104291157"/>
      <w:bookmarkStart w:id="4311" w:name="_Toc531859484"/>
      <w:r>
        <w:rPr>
          <w:rStyle w:val="CharSectno"/>
        </w:rPr>
        <w:t>205W</w:t>
      </w:r>
      <w:r>
        <w:t>.</w:t>
      </w:r>
      <w:r>
        <w:tab/>
        <w:t>Share disposition taken to be agreement for transfer of trust property</w:t>
      </w:r>
      <w:bookmarkEnd w:id="4310"/>
      <w:bookmarkEnd w:id="4308"/>
      <w:bookmarkEnd w:id="4309"/>
      <w:bookmarkEnd w:id="4311"/>
    </w:p>
    <w:p>
      <w:pPr>
        <w:pStyle w:val="Subsection"/>
      </w:pPr>
      <w:r>
        <w:tab/>
        <w:t>(1)</w:t>
      </w:r>
      <w:r>
        <w:tab/>
        <w:t xml:space="preserve">A disposition of a share in a corporate trustee is taken to be an agreement for the transfer of residential property and is liable to foreign transfer duty accordingly if — </w:t>
      </w:r>
    </w:p>
    <w:p>
      <w:pPr>
        <w:pStyle w:val="Indenta"/>
      </w:pPr>
      <w:r>
        <w:tab/>
        <w:t>(a)</w:t>
      </w:r>
      <w:r>
        <w:tab/>
        <w:t>it is a transaction, or part of a transaction, that is a scheme or arrangement, or part of a scheme or arrangement; and</w:t>
      </w:r>
    </w:p>
    <w:p>
      <w:pPr>
        <w:pStyle w:val="Indenta"/>
      </w:pPr>
      <w:r>
        <w:tab/>
        <w:t>(b)</w:t>
      </w:r>
      <w:r>
        <w:tab/>
        <w:t>the transaction results</w:t>
      </w:r>
      <w:ins w:id="4312" w:author="Master Repository Process" w:date="2022-05-27T14:27:00Z">
        <w:r>
          <w:t>, or will or may result,</w:t>
        </w:r>
      </w:ins>
      <w:r>
        <w:t xml:space="preserve"> in — </w:t>
      </w:r>
    </w:p>
    <w:p>
      <w:pPr>
        <w:pStyle w:val="Indenti"/>
      </w:pPr>
      <w:r>
        <w:tab/>
        <w:t>(i)</w:t>
      </w:r>
      <w:r>
        <w:tab/>
        <w:t>a foreign person increasing its beneficial interest</w:t>
      </w:r>
      <w:ins w:id="4313" w:author="Master Repository Process" w:date="2022-05-27T14:27:00Z">
        <w:r>
          <w:t>, whether vested or contingent,</w:t>
        </w:r>
      </w:ins>
      <w:r>
        <w:t xml:space="preserve"> in residential property held directly or indirectly by the corporate trustee of a discretionary trust; or </w:t>
      </w:r>
    </w:p>
    <w:p>
      <w:pPr>
        <w:pStyle w:val="Indenti"/>
      </w:pPr>
      <w:r>
        <w:tab/>
        <w:t>(ii)</w:t>
      </w:r>
      <w:r>
        <w:tab/>
        <w:t>a foreign person acquiring a beneficial interest</w:t>
      </w:r>
      <w:ins w:id="4314" w:author="Master Repository Process" w:date="2022-05-27T14:27:00Z">
        <w:r>
          <w:t>, whether vested or contingent,</w:t>
        </w:r>
      </w:ins>
      <w:r>
        <w:t xml:space="preserve"> in residential property held directly or indirectly by the corporate trustee of a discretionary trust.</w:t>
      </w:r>
    </w:p>
    <w:p>
      <w:pPr>
        <w:pStyle w:val="Subsection"/>
      </w:pPr>
      <w:r>
        <w:tab/>
        <w:t>(2)</w:t>
      </w:r>
      <w:r>
        <w:tab/>
        <w:t>Subsection (1) does not apply to the disposition of a share by which the personal representative of a deceased person disposes of a share to a beneficiary in the administration of the estate of the deceased person.</w:t>
      </w:r>
    </w:p>
    <w:p>
      <w:pPr>
        <w:pStyle w:val="Footnotesection"/>
      </w:pPr>
      <w:bookmarkStart w:id="4315" w:name="_Toc527633770"/>
      <w:bookmarkStart w:id="4316" w:name="_Toc527637268"/>
      <w:r>
        <w:tab/>
        <w:t>[Section 205W inserted: No. 24 of 2018 s. </w:t>
      </w:r>
      <w:del w:id="4317" w:author="Master Repository Process" w:date="2022-05-27T14:27:00Z">
        <w:r>
          <w:delText>8</w:delText>
        </w:r>
      </w:del>
      <w:ins w:id="4318" w:author="Master Repository Process" w:date="2022-05-27T14:27:00Z">
        <w:r>
          <w:t>8; amended: No. 12 of 2019 s. 106</w:t>
        </w:r>
      </w:ins>
      <w:r>
        <w:t>.]</w:t>
      </w:r>
    </w:p>
    <w:p>
      <w:pPr>
        <w:pStyle w:val="Heading5"/>
      </w:pPr>
      <w:bookmarkStart w:id="4319" w:name="_Toc104291158"/>
      <w:bookmarkStart w:id="4320" w:name="_Toc531859485"/>
      <w:r>
        <w:rPr>
          <w:rStyle w:val="CharSectno"/>
        </w:rPr>
        <w:t>205X</w:t>
      </w:r>
      <w:r>
        <w:t>.</w:t>
      </w:r>
      <w:r>
        <w:tab/>
        <w:t>References to residential partnership acquisition</w:t>
      </w:r>
      <w:bookmarkEnd w:id="4319"/>
      <w:bookmarkEnd w:id="4315"/>
      <w:bookmarkEnd w:id="4316"/>
      <w:bookmarkEnd w:id="4320"/>
    </w:p>
    <w:p>
      <w:pPr>
        <w:pStyle w:val="Subsection"/>
      </w:pPr>
      <w:r>
        <w:tab/>
      </w:r>
      <w:r>
        <w:tab/>
        <w:t xml:space="preserve">A reference to a residential partnership acquisition is to a foreign person acquiring a partnership interest in a partnership that holds — </w:t>
      </w:r>
    </w:p>
    <w:p>
      <w:pPr>
        <w:pStyle w:val="Indenta"/>
      </w:pPr>
      <w:r>
        <w:tab/>
        <w:t>(a)</w:t>
      </w:r>
      <w:r>
        <w:tab/>
        <w:t>residential property; or</w:t>
      </w:r>
    </w:p>
    <w:p>
      <w:pPr>
        <w:pStyle w:val="Indenta"/>
      </w:pPr>
      <w:r>
        <w:tab/>
        <w:t>(b)</w:t>
      </w:r>
      <w:r>
        <w:tab/>
        <w:t>an indirect interest in residential property.</w:t>
      </w:r>
    </w:p>
    <w:p>
      <w:pPr>
        <w:pStyle w:val="Footnotesection"/>
      </w:pPr>
      <w:bookmarkStart w:id="4321" w:name="_Toc513472017"/>
      <w:bookmarkStart w:id="4322" w:name="_Toc513472111"/>
      <w:bookmarkStart w:id="4323" w:name="_Toc515352261"/>
      <w:bookmarkStart w:id="4324" w:name="_Toc516044927"/>
      <w:bookmarkStart w:id="4325" w:name="_Toc516238672"/>
      <w:bookmarkStart w:id="4326" w:name="_Toc516239047"/>
      <w:bookmarkStart w:id="4327" w:name="_Toc516240234"/>
      <w:bookmarkStart w:id="4328" w:name="_Toc526928427"/>
      <w:bookmarkStart w:id="4329" w:name="_Toc527633771"/>
      <w:bookmarkStart w:id="4330" w:name="_Toc527637269"/>
      <w:r>
        <w:tab/>
        <w:t>[Section 205X inserted: No. 24 of 2018 s. 8.]</w:t>
      </w:r>
    </w:p>
    <w:p>
      <w:pPr>
        <w:pStyle w:val="Heading4"/>
        <w:rPr>
          <w:sz w:val="26"/>
          <w:szCs w:val="26"/>
        </w:rPr>
      </w:pPr>
      <w:bookmarkStart w:id="4331" w:name="_Toc37946964"/>
      <w:bookmarkStart w:id="4332" w:name="_Toc37947564"/>
      <w:bookmarkStart w:id="4333" w:name="_Toc38031628"/>
      <w:bookmarkStart w:id="4334" w:name="_Toc93310137"/>
      <w:bookmarkStart w:id="4335" w:name="_Toc104291159"/>
      <w:bookmarkStart w:id="4336" w:name="_Toc531692314"/>
      <w:bookmarkStart w:id="4337" w:name="_Toc531856219"/>
      <w:bookmarkStart w:id="4338" w:name="_Toc531858947"/>
      <w:bookmarkStart w:id="4339" w:name="_Toc531859486"/>
      <w:r>
        <w:rPr>
          <w:sz w:val="26"/>
          <w:szCs w:val="26"/>
        </w:rPr>
        <w:t>Division 6 — Exemptions and reassessment</w:t>
      </w:r>
      <w:bookmarkEnd w:id="4331"/>
      <w:bookmarkEnd w:id="4332"/>
      <w:bookmarkEnd w:id="4333"/>
      <w:bookmarkEnd w:id="4334"/>
      <w:bookmarkEnd w:id="4335"/>
      <w:bookmarkEnd w:id="4321"/>
      <w:bookmarkEnd w:id="4322"/>
      <w:bookmarkEnd w:id="4323"/>
      <w:bookmarkEnd w:id="4324"/>
      <w:bookmarkEnd w:id="4325"/>
      <w:bookmarkEnd w:id="4326"/>
      <w:bookmarkEnd w:id="4327"/>
      <w:bookmarkEnd w:id="4328"/>
      <w:bookmarkEnd w:id="4329"/>
      <w:bookmarkEnd w:id="4330"/>
      <w:bookmarkEnd w:id="4336"/>
      <w:bookmarkEnd w:id="4337"/>
      <w:bookmarkEnd w:id="4338"/>
      <w:bookmarkEnd w:id="4339"/>
    </w:p>
    <w:p>
      <w:pPr>
        <w:pStyle w:val="Footnoteheading"/>
        <w:keepNext/>
      </w:pPr>
      <w:r>
        <w:tab/>
        <w:t>[Heading inserted: No. 24 of 2018 s. 8.]</w:t>
      </w:r>
    </w:p>
    <w:p>
      <w:pPr>
        <w:pStyle w:val="Heading4"/>
      </w:pPr>
      <w:bookmarkStart w:id="4340" w:name="_Toc37946965"/>
      <w:bookmarkStart w:id="4341" w:name="_Toc37947565"/>
      <w:bookmarkStart w:id="4342" w:name="_Toc38031629"/>
      <w:bookmarkStart w:id="4343" w:name="_Toc93310138"/>
      <w:bookmarkStart w:id="4344" w:name="_Toc104291160"/>
      <w:bookmarkStart w:id="4345" w:name="_Toc513472018"/>
      <w:bookmarkStart w:id="4346" w:name="_Toc513472112"/>
      <w:bookmarkStart w:id="4347" w:name="_Toc515352262"/>
      <w:bookmarkStart w:id="4348" w:name="_Toc516044928"/>
      <w:bookmarkStart w:id="4349" w:name="_Toc516238673"/>
      <w:bookmarkStart w:id="4350" w:name="_Toc516239048"/>
      <w:bookmarkStart w:id="4351" w:name="_Toc516240235"/>
      <w:bookmarkStart w:id="4352" w:name="_Toc526928428"/>
      <w:bookmarkStart w:id="4353" w:name="_Toc527633772"/>
      <w:bookmarkStart w:id="4354" w:name="_Toc527637270"/>
      <w:bookmarkStart w:id="4355" w:name="_Toc531692315"/>
      <w:bookmarkStart w:id="4356" w:name="_Toc531856220"/>
      <w:bookmarkStart w:id="4357" w:name="_Toc531858948"/>
      <w:bookmarkStart w:id="4358" w:name="_Toc531859487"/>
      <w:r>
        <w:t>Subdivision 1 — Exempt transactions</w:t>
      </w:r>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p>
    <w:p>
      <w:pPr>
        <w:pStyle w:val="Footnoteheading"/>
      </w:pPr>
      <w:r>
        <w:tab/>
        <w:t>[Heading inserted: No. 24 of 2018 s. 8.]</w:t>
      </w:r>
    </w:p>
    <w:p>
      <w:pPr>
        <w:pStyle w:val="Heading5"/>
      </w:pPr>
      <w:bookmarkStart w:id="4359" w:name="_Toc104291161"/>
      <w:bookmarkStart w:id="4360" w:name="_Toc527633773"/>
      <w:bookmarkStart w:id="4361" w:name="_Toc527637271"/>
      <w:bookmarkStart w:id="4362" w:name="_Toc531859488"/>
      <w:r>
        <w:rPr>
          <w:rStyle w:val="CharSectno"/>
        </w:rPr>
        <w:t>205Y</w:t>
      </w:r>
      <w:r>
        <w:t>.</w:t>
      </w:r>
      <w:r>
        <w:tab/>
        <w:t>Transactions on which minimum, nominal or no transfer duty payable</w:t>
      </w:r>
      <w:bookmarkEnd w:id="4359"/>
      <w:bookmarkEnd w:id="4360"/>
      <w:bookmarkEnd w:id="4361"/>
      <w:bookmarkEnd w:id="4362"/>
    </w:p>
    <w:p>
      <w:pPr>
        <w:pStyle w:val="Subsection"/>
      </w:pPr>
      <w:r>
        <w:tab/>
        <w:t>(1)</w:t>
      </w:r>
      <w:r>
        <w:tab/>
        <w:t>Foreign transfer duty is not chargeable on a transaction to which section 39 applies if the minimum amount of transfer duty referred to in section 39(3) is payable on the transaction.</w:t>
      </w:r>
    </w:p>
    <w:p>
      <w:pPr>
        <w:pStyle w:val="Subsection"/>
      </w:pPr>
      <w:r>
        <w:tab/>
        <w:t>(2)</w:t>
      </w:r>
      <w:r>
        <w:tab/>
        <w:t xml:space="preserve">Except as provided in subsection (3), foreign transfer duty is not chargeable on a foreign dutiable transaction to the extent that — </w:t>
      </w:r>
    </w:p>
    <w:p>
      <w:pPr>
        <w:pStyle w:val="Indenta"/>
      </w:pPr>
      <w:r>
        <w:tab/>
        <w:t>(a)</w:t>
      </w:r>
      <w:r>
        <w:tab/>
        <w:t>transfer duty is not chargeable on the transaction under Chapter 2 Part 5 Division 6; or</w:t>
      </w:r>
    </w:p>
    <w:p>
      <w:pPr>
        <w:pStyle w:val="Indenta"/>
      </w:pPr>
      <w:r>
        <w:tab/>
        <w:t>(b)</w:t>
      </w:r>
      <w:r>
        <w:tab/>
        <w:t xml:space="preserve">transfer duty is not chargeable on the transaction under Chapter 2 Part 6 Division 1; or </w:t>
      </w:r>
    </w:p>
    <w:p>
      <w:pPr>
        <w:pStyle w:val="Indenta"/>
      </w:pPr>
      <w:r>
        <w:tab/>
        <w:t>(c)</w:t>
      </w:r>
      <w:r>
        <w:tab/>
        <w:t>nominal duty is chargeable on the transaction under Chapter 2 Part 6 Division 2.</w:t>
      </w:r>
    </w:p>
    <w:p>
      <w:pPr>
        <w:pStyle w:val="Subsection"/>
      </w:pPr>
      <w:r>
        <w:tab/>
        <w:t>(3)</w:t>
      </w:r>
      <w:r>
        <w:tab/>
        <w:t xml:space="preserve">Foreign transfer duty is chargeable on a foreign dutiable transaction if — </w:t>
      </w:r>
    </w:p>
    <w:p>
      <w:pPr>
        <w:pStyle w:val="Indenta"/>
      </w:pPr>
      <w:r>
        <w:tab/>
        <w:t>(a)</w:t>
      </w:r>
      <w:r>
        <w:tab/>
        <w:t>section 97 applies to the transaction, the person to whom the property is transferred or agreed to be transferred is a foreign person, and foreign transfer duty was not chargeable on the acquisition of the property by the person from whom the property is transferred or agreed to be transferred; or</w:t>
      </w:r>
    </w:p>
    <w:p>
      <w:pPr>
        <w:pStyle w:val="Indenta"/>
      </w:pPr>
      <w:r>
        <w:tab/>
        <w:t>(b)</w:t>
      </w:r>
      <w:r>
        <w:tab/>
        <w:t>section 114 applies to the transaction, the taker in default is a foreign person, and foreign transfer duty was not chargeable on the acquisition of the property by the trustee of the trust or on any acquisition by which the taker in default acquired its interest in the trust; or</w:t>
      </w:r>
    </w:p>
    <w:p>
      <w:pPr>
        <w:pStyle w:val="Indenta"/>
      </w:pPr>
      <w:r>
        <w:tab/>
        <w:t>(c)</w:t>
      </w:r>
      <w:r>
        <w:tab/>
        <w:t>section 115 applies to the transaction, the beneficiary is a foreign person, and foreign transfer duty was not chargeable on the acquisition of the property by the trustee of the trust; or</w:t>
      </w:r>
    </w:p>
    <w:p>
      <w:pPr>
        <w:pStyle w:val="Indenta"/>
      </w:pPr>
      <w:r>
        <w:tab/>
        <w:t>(d)</w:t>
      </w:r>
      <w:r>
        <w:tab/>
        <w:t>section 116 applies to the transaction, the beneficiary is a foreign person, and the declaration of trust has not been foreign transfer duty endorsed; or</w:t>
      </w:r>
    </w:p>
    <w:p>
      <w:pPr>
        <w:pStyle w:val="Indenta"/>
      </w:pPr>
      <w:r>
        <w:tab/>
        <w:t>(e)</w:t>
      </w:r>
      <w:r>
        <w:tab/>
        <w:t>section 117(1)(a) or (b) applies to the transaction, the real purchaser is a foreign person, and foreign transfer duty was not chargeable on the acquisition of the property by the apparent purchaser.</w:t>
      </w:r>
    </w:p>
    <w:p>
      <w:pPr>
        <w:pStyle w:val="Footnotesection"/>
      </w:pPr>
      <w:bookmarkStart w:id="4363" w:name="_Toc527633774"/>
      <w:bookmarkStart w:id="4364" w:name="_Toc527637272"/>
      <w:r>
        <w:tab/>
        <w:t>[Section 205Y inserted: No. 24 of 2018 s. 8.]</w:t>
      </w:r>
    </w:p>
    <w:p>
      <w:pPr>
        <w:pStyle w:val="Heading5"/>
      </w:pPr>
      <w:bookmarkStart w:id="4365" w:name="_Toc104291162"/>
      <w:bookmarkStart w:id="4366" w:name="_Toc531859489"/>
      <w:r>
        <w:rPr>
          <w:rStyle w:val="CharSectno"/>
        </w:rPr>
        <w:t>205Z</w:t>
      </w:r>
      <w:r>
        <w:t>.</w:t>
      </w:r>
      <w:r>
        <w:tab/>
        <w:t>Transactions relating to agreements for transfer of residential property</w:t>
      </w:r>
      <w:bookmarkEnd w:id="4365"/>
      <w:bookmarkEnd w:id="4363"/>
      <w:bookmarkEnd w:id="4364"/>
      <w:bookmarkEnd w:id="4366"/>
    </w:p>
    <w:p>
      <w:pPr>
        <w:pStyle w:val="Subsection"/>
      </w:pPr>
      <w:r>
        <w:tab/>
        <w:t>(1)</w:t>
      </w:r>
      <w:r>
        <w:tab/>
        <w:t xml:space="preserve">Foreign transfer duty is not chargeable on an agreement for the transfer of residential property if — </w:t>
      </w:r>
    </w:p>
    <w:p>
      <w:pPr>
        <w:pStyle w:val="Indenta"/>
      </w:pPr>
      <w:r>
        <w:tab/>
        <w:t>(a)</w:t>
      </w:r>
      <w:r>
        <w:tab/>
        <w:t>the agreement is an agreement referred to in section 42(2) or (4), the purchaser is a foreign person, and the transferee is not a foreign person; or</w:t>
      </w:r>
    </w:p>
    <w:p>
      <w:pPr>
        <w:pStyle w:val="Indenta"/>
      </w:pPr>
      <w:r>
        <w:tab/>
        <w:t>(b)</w:t>
      </w:r>
      <w:r>
        <w:tab/>
        <w:t>the agreement is an agreement referred to in section 42(4B), the purchaser is a foreign person, and the trust is not a foreign trust; or</w:t>
      </w:r>
    </w:p>
    <w:p>
      <w:pPr>
        <w:pStyle w:val="Indenta"/>
      </w:pPr>
      <w:r>
        <w:tab/>
        <w:t>(c)</w:t>
      </w:r>
      <w:r>
        <w:tab/>
        <w:t>the agreement is an agreement referred to in section 42(5), the person named in the agreement as the purchaser is a foreign person, and the corporation is not a foreign corporation.</w:t>
      </w:r>
    </w:p>
    <w:p>
      <w:pPr>
        <w:pStyle w:val="Subsection"/>
      </w:pPr>
      <w:r>
        <w:tab/>
        <w:t>(2)</w:t>
      </w:r>
      <w:r>
        <w:tab/>
        <w:t>Foreign transfer duty is not chargeable on an agreement for the transfer of residential property to a transferee if the property is transferred in conformity with the agreement and the transferee is not a foreign person when the property is transferred.</w:t>
      </w:r>
    </w:p>
    <w:p>
      <w:pPr>
        <w:pStyle w:val="Footnotesection"/>
      </w:pPr>
      <w:bookmarkStart w:id="4367" w:name="_Toc513472021"/>
      <w:bookmarkStart w:id="4368" w:name="_Toc513472115"/>
      <w:bookmarkStart w:id="4369" w:name="_Toc515352265"/>
      <w:bookmarkStart w:id="4370" w:name="_Toc516044931"/>
      <w:bookmarkStart w:id="4371" w:name="_Toc516238676"/>
      <w:bookmarkStart w:id="4372" w:name="_Toc516239051"/>
      <w:bookmarkStart w:id="4373" w:name="_Toc516240238"/>
      <w:bookmarkStart w:id="4374" w:name="_Toc526928431"/>
      <w:bookmarkStart w:id="4375" w:name="_Toc527633775"/>
      <w:bookmarkStart w:id="4376" w:name="_Toc527637273"/>
      <w:r>
        <w:tab/>
        <w:t>[Section 205Z inserted: No. 24 of 2018 s. 8.]</w:t>
      </w:r>
    </w:p>
    <w:p>
      <w:pPr>
        <w:pStyle w:val="Heading4"/>
      </w:pPr>
      <w:bookmarkStart w:id="4377" w:name="_Toc37946968"/>
      <w:bookmarkStart w:id="4378" w:name="_Toc37947568"/>
      <w:bookmarkStart w:id="4379" w:name="_Toc38031632"/>
      <w:bookmarkStart w:id="4380" w:name="_Toc93310141"/>
      <w:bookmarkStart w:id="4381" w:name="_Toc104291163"/>
      <w:bookmarkStart w:id="4382" w:name="_Toc531692318"/>
      <w:bookmarkStart w:id="4383" w:name="_Toc531856223"/>
      <w:bookmarkStart w:id="4384" w:name="_Toc531858951"/>
      <w:bookmarkStart w:id="4385" w:name="_Toc531859490"/>
      <w:r>
        <w:t>Subdivision 2 — Exemptions relating to construction, refurbishment and subdivision</w:t>
      </w:r>
      <w:bookmarkEnd w:id="4377"/>
      <w:bookmarkEnd w:id="4378"/>
      <w:bookmarkEnd w:id="4379"/>
      <w:bookmarkEnd w:id="4380"/>
      <w:bookmarkEnd w:id="4381"/>
      <w:bookmarkEnd w:id="4367"/>
      <w:bookmarkEnd w:id="4368"/>
      <w:bookmarkEnd w:id="4369"/>
      <w:bookmarkEnd w:id="4370"/>
      <w:bookmarkEnd w:id="4371"/>
      <w:bookmarkEnd w:id="4372"/>
      <w:bookmarkEnd w:id="4373"/>
      <w:bookmarkEnd w:id="4374"/>
      <w:bookmarkEnd w:id="4375"/>
      <w:bookmarkEnd w:id="4376"/>
      <w:bookmarkEnd w:id="4382"/>
      <w:bookmarkEnd w:id="4383"/>
      <w:bookmarkEnd w:id="4384"/>
      <w:bookmarkEnd w:id="4385"/>
    </w:p>
    <w:p>
      <w:pPr>
        <w:pStyle w:val="Footnoteheading"/>
      </w:pPr>
      <w:r>
        <w:tab/>
        <w:t>[Heading inserted: No. 24 of 2018 s. 8.]</w:t>
      </w:r>
    </w:p>
    <w:p>
      <w:pPr>
        <w:pStyle w:val="Heading5"/>
      </w:pPr>
      <w:bookmarkStart w:id="4386" w:name="_Toc104291164"/>
      <w:bookmarkStart w:id="4387" w:name="_Toc527633776"/>
      <w:bookmarkStart w:id="4388" w:name="_Toc527637274"/>
      <w:bookmarkStart w:id="4389" w:name="_Toc531859491"/>
      <w:r>
        <w:rPr>
          <w:rStyle w:val="CharSectno"/>
        </w:rPr>
        <w:t>205ZA</w:t>
      </w:r>
      <w:r>
        <w:t>.</w:t>
      </w:r>
      <w:r>
        <w:tab/>
        <w:t>Exemption relating to construction or refurbishment of 10 or more dwellings</w:t>
      </w:r>
      <w:bookmarkEnd w:id="4386"/>
      <w:bookmarkEnd w:id="4387"/>
      <w:bookmarkEnd w:id="4388"/>
      <w:bookmarkEnd w:id="4389"/>
    </w:p>
    <w:p>
      <w:pPr>
        <w:pStyle w:val="Subsection"/>
      </w:pPr>
      <w:r>
        <w:tab/>
        <w:t>(1)</w:t>
      </w:r>
      <w:r>
        <w:tab/>
        <w:t>Foreign transfer duty is not chargeable on a foreign dutiable transaction to the extent that the transaction relates to a parcel of land to which this section applies.</w:t>
      </w:r>
    </w:p>
    <w:p>
      <w:pPr>
        <w:pStyle w:val="Subsection"/>
      </w:pPr>
      <w:r>
        <w:tab/>
        <w:t>(2)</w:t>
      </w:r>
      <w:r>
        <w:tab/>
        <w:t xml:space="preserve">This section applies to a parcel of land if — </w:t>
      </w:r>
    </w:p>
    <w:p>
      <w:pPr>
        <w:pStyle w:val="Indenta"/>
      </w:pPr>
      <w:r>
        <w:tab/>
        <w:t>(a)</w:t>
      </w:r>
      <w:r>
        <w:tab/>
        <w:t>at the time when liability for foreign transfer duty on the transaction arises, there is no building, or part of a building, on the parcel of land capable of being used solely or dominantly as a place of residence; and</w:t>
      </w:r>
    </w:p>
    <w:p>
      <w:pPr>
        <w:pStyle w:val="Indenta"/>
      </w:pPr>
      <w:r>
        <w:tab/>
        <w:t>(b)</w:t>
      </w:r>
      <w:r>
        <w:tab/>
        <w:t>the person liable to pay foreign transfer duty on the transaction or an associate of the person intends to construct, refurbish or complete the construction or refurbishment of 10 or more dwellings on the parcel of land; and</w:t>
      </w:r>
    </w:p>
    <w:p>
      <w:pPr>
        <w:pStyle w:val="Indenta"/>
      </w:pPr>
      <w:r>
        <w:tab/>
        <w:t>(c)</w:t>
      </w:r>
      <w:r>
        <w:tab/>
        <w:t>within the period of 5 years beginning on the day on which the transaction is completed, the person or associate complies with subsection (3) in relation to 10 or more dwellings on the parcel of land; and</w:t>
      </w:r>
    </w:p>
    <w:p>
      <w:pPr>
        <w:pStyle w:val="Indenta"/>
      </w:pPr>
      <w:r>
        <w:tab/>
        <w:t>(d)</w:t>
      </w:r>
      <w:r>
        <w:tab/>
        <w:t>the parcel of land is, in the Commissioner’s opinion, suitable for 10 or more dwellings.</w:t>
      </w:r>
    </w:p>
    <w:p>
      <w:pPr>
        <w:pStyle w:val="Subsection"/>
      </w:pPr>
      <w:r>
        <w:tab/>
        <w:t>(3)</w:t>
      </w:r>
      <w:r>
        <w:tab/>
        <w:t xml:space="preserve">A person or an associate of a person complies with this subsection in relation to — </w:t>
      </w:r>
    </w:p>
    <w:p>
      <w:pPr>
        <w:pStyle w:val="Indenta"/>
      </w:pPr>
      <w:r>
        <w:tab/>
        <w:t>(a)</w:t>
      </w:r>
      <w:r>
        <w:tab/>
        <w:t>a dwelling the person or associate intends to construct, if the person or associate begins construction of that dwelling or another dwelling on the parcel of land; or</w:t>
      </w:r>
    </w:p>
    <w:p>
      <w:pPr>
        <w:pStyle w:val="Indenta"/>
      </w:pPr>
      <w:r>
        <w:tab/>
        <w:t>(b)</w:t>
      </w:r>
      <w:r>
        <w:tab/>
        <w:t>a dwelling the person or associate intends to refurbish, if all licences, approvals, registrations, exemptions and other kinds of authorisation necessary to refurbish that dwelling or another dwelling on the parcel of land are issued, granted or obtained; or</w:t>
      </w:r>
    </w:p>
    <w:p>
      <w:pPr>
        <w:pStyle w:val="Indenta"/>
      </w:pPr>
      <w:r>
        <w:tab/>
        <w:t>(c)</w:t>
      </w:r>
      <w:r>
        <w:tab/>
        <w:t>a dwelling the person or associate intends to complete the construction or refurbishment of, if that dwelling or another dwelling on the parcel of land, construction or refurbishment of which is completed by the person or associate, is ready for occupation as a place of residence.</w:t>
      </w:r>
    </w:p>
    <w:p>
      <w:pPr>
        <w:pStyle w:val="Subsection"/>
      </w:pPr>
      <w:r>
        <w:tab/>
        <w:t>(4)</w:t>
      </w:r>
      <w:r>
        <w:tab/>
        <w:t xml:space="preserve">For the purposes of subsection (3)(a), construction of a dwelling begins on — </w:t>
      </w:r>
    </w:p>
    <w:p>
      <w:pPr>
        <w:pStyle w:val="Indenta"/>
      </w:pPr>
      <w:r>
        <w:tab/>
        <w:t>(a)</w:t>
      </w:r>
      <w:r>
        <w:tab/>
        <w:t>the day on which laying the foundations for the dwelling begins; or</w:t>
      </w:r>
    </w:p>
    <w:p>
      <w:pPr>
        <w:pStyle w:val="Indenta"/>
      </w:pPr>
      <w:r>
        <w:tab/>
        <w:t>(b)</w:t>
      </w:r>
      <w:r>
        <w:tab/>
        <w:t>another day the Commissioner considers appropriate in the circumstances of the case.</w:t>
      </w:r>
    </w:p>
    <w:p>
      <w:pPr>
        <w:pStyle w:val="Subsection"/>
      </w:pPr>
      <w:r>
        <w:tab/>
        <w:t>(5)</w:t>
      </w:r>
      <w:r>
        <w:tab/>
        <w:t xml:space="preserve">An application for reassessment under section 205ZC(2) because of this section must be made on or before the later of the following — </w:t>
      </w:r>
    </w:p>
    <w:p>
      <w:pPr>
        <w:pStyle w:val="Indenta"/>
      </w:pPr>
      <w:r>
        <w:tab/>
        <w:t>(a)</w:t>
      </w:r>
      <w:r>
        <w:tab/>
        <w:t>the last day of the period of 1 year beginning on the day on which the person or associate complies with subsection (3) in relation to 10 or more dwellings;</w:t>
      </w:r>
    </w:p>
    <w:p>
      <w:pPr>
        <w:pStyle w:val="Indenta"/>
      </w:pPr>
      <w:r>
        <w:tab/>
        <w:t>(b)</w:t>
      </w:r>
      <w:r>
        <w:tab/>
        <w:t>the last day of the period of 5 years beginning on the day on which the transaction is completed.</w:t>
      </w:r>
    </w:p>
    <w:p>
      <w:pPr>
        <w:pStyle w:val="Footnotesection"/>
      </w:pPr>
      <w:bookmarkStart w:id="4390" w:name="_Toc527633777"/>
      <w:bookmarkStart w:id="4391" w:name="_Toc527637275"/>
      <w:r>
        <w:tab/>
        <w:t>[Section 205ZA inserted: No. 24 of 2018 s. 8.]</w:t>
      </w:r>
    </w:p>
    <w:p>
      <w:pPr>
        <w:pStyle w:val="Heading5"/>
      </w:pPr>
      <w:bookmarkStart w:id="4392" w:name="_Toc104291165"/>
      <w:bookmarkStart w:id="4393" w:name="_Toc531859492"/>
      <w:r>
        <w:rPr>
          <w:rStyle w:val="CharSectno"/>
        </w:rPr>
        <w:t>205ZB</w:t>
      </w:r>
      <w:r>
        <w:t>.</w:t>
      </w:r>
      <w:r>
        <w:tab/>
        <w:t>Exemption relating to subdivision for purpose of constructing 10 or more dwellings</w:t>
      </w:r>
      <w:bookmarkEnd w:id="4392"/>
      <w:bookmarkEnd w:id="4390"/>
      <w:bookmarkEnd w:id="4391"/>
      <w:bookmarkEnd w:id="4393"/>
    </w:p>
    <w:p>
      <w:pPr>
        <w:pStyle w:val="Subsection"/>
      </w:pPr>
      <w:r>
        <w:tab/>
        <w:t>(1)</w:t>
      </w:r>
      <w:r>
        <w:tab/>
        <w:t>Foreign transfer duty is not chargeable on a foreign dutiable transaction to the extent that the transaction relates to a parcel of land to which this section applies.</w:t>
      </w:r>
    </w:p>
    <w:p>
      <w:pPr>
        <w:pStyle w:val="Subsection"/>
      </w:pPr>
      <w:r>
        <w:tab/>
        <w:t>(2)</w:t>
      </w:r>
      <w:r>
        <w:tab/>
        <w:t xml:space="preserve">This section applies to a parcel of land if — </w:t>
      </w:r>
    </w:p>
    <w:p>
      <w:pPr>
        <w:pStyle w:val="Indenta"/>
      </w:pPr>
      <w:r>
        <w:tab/>
        <w:t>(a)</w:t>
      </w:r>
      <w:r>
        <w:tab/>
        <w:t xml:space="preserve">at the time when liability for foreign transfer duty on the transaction arises, the parcel of land is vacant or substantially vacant; and </w:t>
      </w:r>
    </w:p>
    <w:p>
      <w:pPr>
        <w:pStyle w:val="Indenta"/>
      </w:pPr>
      <w:r>
        <w:tab/>
        <w:t>(b)</w:t>
      </w:r>
      <w:r>
        <w:tab/>
        <w:t xml:space="preserve">the person liable to pay foreign transfer duty on the transaction or an associate of the person intends to subdivide or complete subdividing the parcel of land for the purpose of a person constructing 10 or more dwellings on the </w:t>
      </w:r>
      <w:del w:id="4394" w:author="Master Repository Process" w:date="2022-05-27T14:27:00Z">
        <w:r>
          <w:delText xml:space="preserve">parcel of </w:delText>
        </w:r>
      </w:del>
      <w:r>
        <w:t>land; and</w:t>
      </w:r>
    </w:p>
    <w:p>
      <w:pPr>
        <w:pStyle w:val="Indenta"/>
      </w:pPr>
      <w:r>
        <w:tab/>
        <w:t>(c)</w:t>
      </w:r>
      <w:r>
        <w:tab/>
        <w:t xml:space="preserve">within the period of 5 years beginning on the day on which the transaction is completed, the person or associate — </w:t>
      </w:r>
    </w:p>
    <w:p>
      <w:pPr>
        <w:pStyle w:val="Indenti"/>
      </w:pPr>
      <w:r>
        <w:tab/>
        <w:t>(i)</w:t>
      </w:r>
      <w:r>
        <w:tab/>
        <w:t xml:space="preserve">begins subdividing the parcel of land; or </w:t>
      </w:r>
    </w:p>
    <w:p>
      <w:pPr>
        <w:pStyle w:val="Indenti"/>
      </w:pPr>
      <w:r>
        <w:tab/>
        <w:t>(ii)</w:t>
      </w:r>
      <w:r>
        <w:tab/>
        <w:t>if subdividing the parcel of land has begun when the transaction is completed, completes subdividing the parcel of land;</w:t>
      </w:r>
    </w:p>
    <w:p>
      <w:pPr>
        <w:pStyle w:val="Indenta"/>
      </w:pPr>
      <w:r>
        <w:tab/>
      </w:r>
      <w:r>
        <w:tab/>
        <w:t>and</w:t>
      </w:r>
    </w:p>
    <w:p>
      <w:pPr>
        <w:pStyle w:val="Indenta"/>
      </w:pPr>
      <w:r>
        <w:tab/>
        <w:t>(d)</w:t>
      </w:r>
      <w:r>
        <w:tab/>
        <w:t>the parcel of land is, in the Commissioner’s opinion, suitable for 10 or more dwellings.</w:t>
      </w:r>
    </w:p>
    <w:p>
      <w:pPr>
        <w:pStyle w:val="Subsection"/>
      </w:pPr>
      <w:r>
        <w:tab/>
        <w:t>(3)</w:t>
      </w:r>
      <w:r>
        <w:tab/>
        <w:t xml:space="preserve">An application for reassessment under section 205ZC(2) because of this section must be made on or before the later of the following — </w:t>
      </w:r>
    </w:p>
    <w:p>
      <w:pPr>
        <w:pStyle w:val="Indenta"/>
      </w:pPr>
      <w:r>
        <w:tab/>
        <w:t>(a)</w:t>
      </w:r>
      <w:r>
        <w:tab/>
        <w:t xml:space="preserve">the last day of the period of 1 year beginning on the day on which the person or associate — </w:t>
      </w:r>
    </w:p>
    <w:p>
      <w:pPr>
        <w:pStyle w:val="Indenti"/>
      </w:pPr>
      <w:r>
        <w:tab/>
        <w:t>(i)</w:t>
      </w:r>
      <w:r>
        <w:tab/>
        <w:t xml:space="preserve">begins subdividing the parcel of land; or </w:t>
      </w:r>
    </w:p>
    <w:p>
      <w:pPr>
        <w:pStyle w:val="Indenti"/>
      </w:pPr>
      <w:r>
        <w:tab/>
        <w:t>(ii)</w:t>
      </w:r>
      <w:r>
        <w:tab/>
        <w:t>if subdividing the parcel of land has begun when the transaction is completed, completes subdividing the parcel of land;</w:t>
      </w:r>
    </w:p>
    <w:p>
      <w:pPr>
        <w:pStyle w:val="Indenta"/>
      </w:pPr>
      <w:r>
        <w:tab/>
        <w:t>(b)</w:t>
      </w:r>
      <w:r>
        <w:tab/>
        <w:t>the last day of the period of 5 years beginning on the day on which the transaction is completed.</w:t>
      </w:r>
    </w:p>
    <w:p>
      <w:pPr>
        <w:pStyle w:val="Subsection"/>
      </w:pPr>
      <w:r>
        <w:tab/>
        <w:t>(4)</w:t>
      </w:r>
      <w:r>
        <w:tab/>
        <w:t xml:space="preserve">For the purposes of subsections (2)(c) and (3)(a) — </w:t>
      </w:r>
    </w:p>
    <w:p>
      <w:pPr>
        <w:pStyle w:val="Indenta"/>
      </w:pPr>
      <w:r>
        <w:tab/>
        <w:t>(a)</w:t>
      </w:r>
      <w:r>
        <w:tab/>
        <w:t xml:space="preserve">a person begins subdividing land on the day on which the land is subdivided under the </w:t>
      </w:r>
      <w:r>
        <w:rPr>
          <w:i/>
        </w:rPr>
        <w:t>Land Tax Assessment Act 2002</w:t>
      </w:r>
      <w:r>
        <w:t xml:space="preserve"> Glossary clause 3; and</w:t>
      </w:r>
    </w:p>
    <w:p>
      <w:pPr>
        <w:pStyle w:val="Indenta"/>
        <w:keepNext/>
      </w:pPr>
      <w:r>
        <w:tab/>
        <w:t>(b)</w:t>
      </w:r>
      <w:r>
        <w:tab/>
        <w:t>a person completes subdividing land on the day on which the new certificate of title is created and registered for the subdivided land.</w:t>
      </w:r>
    </w:p>
    <w:p>
      <w:pPr>
        <w:pStyle w:val="Footnotesection"/>
      </w:pPr>
      <w:bookmarkStart w:id="4395" w:name="_Toc513472024"/>
      <w:bookmarkStart w:id="4396" w:name="_Toc513472118"/>
      <w:bookmarkStart w:id="4397" w:name="_Toc515352268"/>
      <w:bookmarkStart w:id="4398" w:name="_Toc516044934"/>
      <w:bookmarkStart w:id="4399" w:name="_Toc516238679"/>
      <w:bookmarkStart w:id="4400" w:name="_Toc516239054"/>
      <w:bookmarkStart w:id="4401" w:name="_Toc516240241"/>
      <w:bookmarkStart w:id="4402" w:name="_Toc526928434"/>
      <w:bookmarkStart w:id="4403" w:name="_Toc527633778"/>
      <w:bookmarkStart w:id="4404" w:name="_Toc527637276"/>
      <w:r>
        <w:tab/>
        <w:t>[Section 205ZB inserted: No. 24 of 2018 s. </w:t>
      </w:r>
      <w:del w:id="4405" w:author="Master Repository Process" w:date="2022-05-27T14:27:00Z">
        <w:r>
          <w:delText>8</w:delText>
        </w:r>
      </w:del>
      <w:ins w:id="4406" w:author="Master Repository Process" w:date="2022-05-27T14:27:00Z">
        <w:r>
          <w:t>8; amended: No. 12 of 2019 s. 107</w:t>
        </w:r>
      </w:ins>
      <w:r>
        <w:t>.]</w:t>
      </w:r>
    </w:p>
    <w:p>
      <w:pPr>
        <w:pStyle w:val="Heading4"/>
      </w:pPr>
      <w:bookmarkStart w:id="4407" w:name="_Toc37946971"/>
      <w:bookmarkStart w:id="4408" w:name="_Toc37947571"/>
      <w:bookmarkStart w:id="4409" w:name="_Toc38031635"/>
      <w:bookmarkStart w:id="4410" w:name="_Toc93310144"/>
      <w:bookmarkStart w:id="4411" w:name="_Toc104291166"/>
      <w:bookmarkStart w:id="4412" w:name="_Toc531692321"/>
      <w:bookmarkStart w:id="4413" w:name="_Toc531856226"/>
      <w:bookmarkStart w:id="4414" w:name="_Toc531858954"/>
      <w:bookmarkStart w:id="4415" w:name="_Toc531859493"/>
      <w:r>
        <w:t>Subdivision 3 — Reassessment</w:t>
      </w:r>
      <w:bookmarkEnd w:id="4407"/>
      <w:bookmarkEnd w:id="4408"/>
      <w:bookmarkEnd w:id="4409"/>
      <w:bookmarkEnd w:id="4410"/>
      <w:bookmarkEnd w:id="4411"/>
      <w:bookmarkEnd w:id="4395"/>
      <w:bookmarkEnd w:id="4396"/>
      <w:bookmarkEnd w:id="4397"/>
      <w:bookmarkEnd w:id="4398"/>
      <w:bookmarkEnd w:id="4399"/>
      <w:bookmarkEnd w:id="4400"/>
      <w:bookmarkEnd w:id="4401"/>
      <w:bookmarkEnd w:id="4402"/>
      <w:bookmarkEnd w:id="4403"/>
      <w:bookmarkEnd w:id="4404"/>
      <w:bookmarkEnd w:id="4412"/>
      <w:bookmarkEnd w:id="4413"/>
      <w:bookmarkEnd w:id="4414"/>
      <w:bookmarkEnd w:id="4415"/>
    </w:p>
    <w:p>
      <w:pPr>
        <w:pStyle w:val="Footnoteheading"/>
      </w:pPr>
      <w:r>
        <w:tab/>
        <w:t>[Heading inserted: No. 24 of 2018 s. 8.]</w:t>
      </w:r>
    </w:p>
    <w:p>
      <w:pPr>
        <w:pStyle w:val="Heading5"/>
      </w:pPr>
      <w:bookmarkStart w:id="4416" w:name="_Toc104291167"/>
      <w:bookmarkStart w:id="4417" w:name="_Toc527633779"/>
      <w:bookmarkStart w:id="4418" w:name="_Toc527637277"/>
      <w:bookmarkStart w:id="4419" w:name="_Toc531859494"/>
      <w:r>
        <w:rPr>
          <w:rStyle w:val="CharSectno"/>
        </w:rPr>
        <w:t>205ZC</w:t>
      </w:r>
      <w:r>
        <w:t>.</w:t>
      </w:r>
      <w:r>
        <w:tab/>
        <w:t>Reassessment</w:t>
      </w:r>
      <w:bookmarkEnd w:id="4416"/>
      <w:bookmarkEnd w:id="4417"/>
      <w:bookmarkEnd w:id="4418"/>
      <w:bookmarkEnd w:id="4419"/>
    </w:p>
    <w:p>
      <w:pPr>
        <w:pStyle w:val="Subsection"/>
      </w:pPr>
      <w:r>
        <w:tab/>
        <w:t>(1)</w:t>
      </w:r>
      <w:r>
        <w:tab/>
        <w:t xml:space="preserve">If the Commissioner is required to reassess the liability to transfer duty of a foreign dutiable transaction that is not liable to foreign transfer duty because of section 205Y — </w:t>
      </w:r>
    </w:p>
    <w:p>
      <w:pPr>
        <w:pStyle w:val="Indenta"/>
      </w:pPr>
      <w:r>
        <w:tab/>
        <w:t>(a)</w:t>
      </w:r>
      <w:r>
        <w:tab/>
        <w:t>the Commissioner, on the application of a taxpayer, must reassess the liability to foreign transfer duty of the transaction; and</w:t>
      </w:r>
    </w:p>
    <w:p>
      <w:pPr>
        <w:pStyle w:val="Indenta"/>
      </w:pPr>
      <w:r>
        <w:tab/>
        <w:t>(b)</w:t>
      </w:r>
      <w:r>
        <w:tab/>
        <w:t xml:space="preserve">the limitation as to time (if any) that applies in respect of the reassessment of transfer duty applies in respect of the reassessment of foreign transfer duty; and </w:t>
      </w:r>
    </w:p>
    <w:p>
      <w:pPr>
        <w:pStyle w:val="Indenta"/>
      </w:pPr>
      <w:r>
        <w:tab/>
        <w:t>(c)</w:t>
      </w:r>
      <w:r>
        <w:tab/>
        <w:t>if the reassessment of transfer duty is under section 107 — the application for reassessment under this subsection must be made in the approved form.</w:t>
      </w:r>
    </w:p>
    <w:p>
      <w:pPr>
        <w:pStyle w:val="Subsection"/>
      </w:pPr>
      <w:r>
        <w:tab/>
        <w:t>(2)</w:t>
      </w:r>
      <w:r>
        <w:tab/>
        <w:t>The Commissioner, on the application of a taxpayer, must reassess the liability to foreign transfer duty of a foreign dutiable transaction if the liability is affected by section 205Z, 205ZA or 205ZB.</w:t>
      </w:r>
    </w:p>
    <w:p>
      <w:pPr>
        <w:pStyle w:val="Subsection"/>
      </w:pPr>
      <w:r>
        <w:tab/>
        <w:t>(3)</w:t>
      </w:r>
      <w:r>
        <w:tab/>
        <w:t>The limitations as to time in the Taxation Administration Act section 17 do not apply in respect of a reassessment because of section 205ZA or 205ZB.</w:t>
      </w:r>
    </w:p>
    <w:p>
      <w:pPr>
        <w:pStyle w:val="Subsection"/>
      </w:pPr>
      <w:r>
        <w:tab/>
        <w:t>(4)</w:t>
      </w:r>
      <w:r>
        <w:tab/>
        <w:t>An application for reassessment under subsection (2) must be made in the approved form.</w:t>
      </w:r>
    </w:p>
    <w:p>
      <w:pPr>
        <w:pStyle w:val="Footnotesection"/>
      </w:pPr>
      <w:bookmarkStart w:id="4420" w:name="_Toc513472026"/>
      <w:bookmarkStart w:id="4421" w:name="_Toc513472120"/>
      <w:bookmarkStart w:id="4422" w:name="_Toc515352270"/>
      <w:bookmarkStart w:id="4423" w:name="_Toc516044936"/>
      <w:bookmarkStart w:id="4424" w:name="_Toc516238681"/>
      <w:bookmarkStart w:id="4425" w:name="_Toc516239056"/>
      <w:bookmarkStart w:id="4426" w:name="_Toc516240243"/>
      <w:bookmarkStart w:id="4427" w:name="_Toc526928436"/>
      <w:bookmarkStart w:id="4428" w:name="_Toc527633780"/>
      <w:bookmarkStart w:id="4429" w:name="_Toc527637278"/>
      <w:r>
        <w:tab/>
        <w:t>[Section 205ZC inserted: No. 24 of 2018 s. 8.]</w:t>
      </w:r>
    </w:p>
    <w:p>
      <w:pPr>
        <w:pStyle w:val="Heading3"/>
      </w:pPr>
      <w:bookmarkStart w:id="4430" w:name="_Toc37946973"/>
      <w:bookmarkStart w:id="4431" w:name="_Toc37947573"/>
      <w:bookmarkStart w:id="4432" w:name="_Toc38031637"/>
      <w:bookmarkStart w:id="4433" w:name="_Toc93310146"/>
      <w:bookmarkStart w:id="4434" w:name="_Toc104291168"/>
      <w:bookmarkStart w:id="4435" w:name="_Toc531692323"/>
      <w:bookmarkStart w:id="4436" w:name="_Toc531856228"/>
      <w:bookmarkStart w:id="4437" w:name="_Toc531858956"/>
      <w:bookmarkStart w:id="4438" w:name="_Toc531859495"/>
      <w:r>
        <w:rPr>
          <w:rStyle w:val="CharDivNo"/>
          <w:szCs w:val="28"/>
        </w:rPr>
        <w:t>Part 3</w:t>
      </w:r>
      <w:r>
        <w:rPr>
          <w:sz w:val="28"/>
        </w:rPr>
        <w:t> — </w:t>
      </w:r>
      <w:r>
        <w:rPr>
          <w:rStyle w:val="CharDivText"/>
          <w:sz w:val="28"/>
        </w:rPr>
        <w:t>Foreign landholder duty</w:t>
      </w:r>
      <w:bookmarkEnd w:id="4430"/>
      <w:bookmarkEnd w:id="4431"/>
      <w:bookmarkEnd w:id="4432"/>
      <w:bookmarkEnd w:id="4433"/>
      <w:bookmarkEnd w:id="4434"/>
      <w:bookmarkEnd w:id="4420"/>
      <w:bookmarkEnd w:id="4421"/>
      <w:bookmarkEnd w:id="4422"/>
      <w:bookmarkEnd w:id="4423"/>
      <w:bookmarkEnd w:id="4424"/>
      <w:bookmarkEnd w:id="4425"/>
      <w:bookmarkEnd w:id="4426"/>
      <w:bookmarkEnd w:id="4427"/>
      <w:bookmarkEnd w:id="4428"/>
      <w:bookmarkEnd w:id="4429"/>
      <w:bookmarkEnd w:id="4435"/>
      <w:bookmarkEnd w:id="4436"/>
      <w:bookmarkEnd w:id="4437"/>
      <w:bookmarkEnd w:id="4438"/>
    </w:p>
    <w:p>
      <w:pPr>
        <w:pStyle w:val="Footnoteheading"/>
      </w:pPr>
      <w:bookmarkStart w:id="4439" w:name="_Toc513472027"/>
      <w:bookmarkStart w:id="4440" w:name="_Toc513472121"/>
      <w:bookmarkStart w:id="4441" w:name="_Toc515352271"/>
      <w:bookmarkStart w:id="4442" w:name="_Toc516044937"/>
      <w:bookmarkStart w:id="4443" w:name="_Toc516238682"/>
      <w:bookmarkStart w:id="4444" w:name="_Toc516239057"/>
      <w:bookmarkStart w:id="4445" w:name="_Toc516240244"/>
      <w:bookmarkStart w:id="4446" w:name="_Toc526928437"/>
      <w:bookmarkStart w:id="4447" w:name="_Toc527633781"/>
      <w:bookmarkStart w:id="4448" w:name="_Toc527637279"/>
      <w:r>
        <w:tab/>
        <w:t>[Heading inserted: No. 24 of 2018 s. 8.]</w:t>
      </w:r>
    </w:p>
    <w:p>
      <w:pPr>
        <w:pStyle w:val="Heading4"/>
        <w:rPr>
          <w:sz w:val="26"/>
          <w:szCs w:val="26"/>
        </w:rPr>
      </w:pPr>
      <w:bookmarkStart w:id="4449" w:name="_Toc37946974"/>
      <w:bookmarkStart w:id="4450" w:name="_Toc37947574"/>
      <w:bookmarkStart w:id="4451" w:name="_Toc38031638"/>
      <w:bookmarkStart w:id="4452" w:name="_Toc93310147"/>
      <w:bookmarkStart w:id="4453" w:name="_Toc104291169"/>
      <w:bookmarkStart w:id="4454" w:name="_Toc531692324"/>
      <w:bookmarkStart w:id="4455" w:name="_Toc531856229"/>
      <w:bookmarkStart w:id="4456" w:name="_Toc531858957"/>
      <w:bookmarkStart w:id="4457" w:name="_Toc531859496"/>
      <w:r>
        <w:rPr>
          <w:sz w:val="26"/>
          <w:szCs w:val="26"/>
        </w:rPr>
        <w:t>Division 1 — Preliminary</w:t>
      </w:r>
      <w:bookmarkEnd w:id="4449"/>
      <w:bookmarkEnd w:id="4450"/>
      <w:bookmarkEnd w:id="4451"/>
      <w:bookmarkEnd w:id="4452"/>
      <w:bookmarkEnd w:id="4453"/>
      <w:bookmarkEnd w:id="4439"/>
      <w:bookmarkEnd w:id="4440"/>
      <w:bookmarkEnd w:id="4441"/>
      <w:bookmarkEnd w:id="4442"/>
      <w:bookmarkEnd w:id="4443"/>
      <w:bookmarkEnd w:id="4444"/>
      <w:bookmarkEnd w:id="4445"/>
      <w:bookmarkEnd w:id="4446"/>
      <w:bookmarkEnd w:id="4447"/>
      <w:bookmarkEnd w:id="4448"/>
      <w:bookmarkEnd w:id="4454"/>
      <w:bookmarkEnd w:id="4455"/>
      <w:bookmarkEnd w:id="4456"/>
      <w:bookmarkEnd w:id="4457"/>
    </w:p>
    <w:p>
      <w:pPr>
        <w:pStyle w:val="Footnoteheading"/>
      </w:pPr>
      <w:bookmarkStart w:id="4458" w:name="_Toc527633782"/>
      <w:bookmarkStart w:id="4459" w:name="_Toc527637280"/>
      <w:r>
        <w:tab/>
        <w:t>[Heading inserted: No. 24 of 2018 s. 8.]</w:t>
      </w:r>
    </w:p>
    <w:p>
      <w:pPr>
        <w:pStyle w:val="Heading5"/>
      </w:pPr>
      <w:bookmarkStart w:id="4460" w:name="_Toc104291170"/>
      <w:bookmarkStart w:id="4461" w:name="_Toc531859497"/>
      <w:r>
        <w:rPr>
          <w:rStyle w:val="CharSectno"/>
        </w:rPr>
        <w:t>205ZD</w:t>
      </w:r>
      <w:r>
        <w:t>.</w:t>
      </w:r>
      <w:r>
        <w:tab/>
        <w:t>Terms used</w:t>
      </w:r>
      <w:bookmarkEnd w:id="4460"/>
      <w:bookmarkEnd w:id="4458"/>
      <w:bookmarkEnd w:id="4459"/>
      <w:bookmarkEnd w:id="4461"/>
    </w:p>
    <w:p>
      <w:pPr>
        <w:pStyle w:val="Subsection"/>
      </w:pPr>
      <w:r>
        <w:tab/>
        <w:t>(1)</w:t>
      </w:r>
      <w:r>
        <w:tab/>
        <w:t xml:space="preserve">In this Part, unless the contrary intention appears — </w:t>
      </w:r>
    </w:p>
    <w:p>
      <w:pPr>
        <w:pStyle w:val="Defstart"/>
      </w:pPr>
      <w:r>
        <w:rPr>
          <w:b/>
        </w:rPr>
        <w:tab/>
      </w:r>
      <w:r>
        <w:rPr>
          <w:rStyle w:val="CharDefText"/>
        </w:rPr>
        <w:t>foreign acquirer</w:t>
      </w:r>
      <w:r>
        <w:t xml:space="preserve"> means — </w:t>
      </w:r>
    </w:p>
    <w:p>
      <w:pPr>
        <w:pStyle w:val="Defpara"/>
        <w:rPr>
          <w:ins w:id="4462" w:author="Master Repository Process" w:date="2022-05-27T14:27:00Z"/>
        </w:rPr>
      </w:pPr>
      <w:del w:id="4463" w:author="Master Repository Process" w:date="2022-05-27T14:27:00Z">
        <w:r>
          <w:tab/>
          <w:delText>(a</w:delText>
        </w:r>
      </w:del>
      <w:ins w:id="4464" w:author="Master Repository Process" w:date="2022-05-27T14:27:00Z">
        <w:r>
          <w:tab/>
          <w:t>(a)</w:t>
        </w:r>
        <w:r>
          <w:tab/>
          <w:t xml:space="preserve">in relation to a foreign landholder acquisition to which section 205ZH(1)(a)(i) applies — </w:t>
        </w:r>
      </w:ins>
    </w:p>
    <w:p>
      <w:pPr>
        <w:pStyle w:val="Defsubpara"/>
        <w:rPr>
          <w:ins w:id="4465" w:author="Master Repository Process" w:date="2022-05-27T14:27:00Z"/>
        </w:rPr>
      </w:pPr>
      <w:ins w:id="4466" w:author="Master Repository Process" w:date="2022-05-27T14:27:00Z">
        <w:r>
          <w:tab/>
          <w:t>(i</w:t>
        </w:r>
      </w:ins>
      <w:r>
        <w:t>)</w:t>
      </w:r>
      <w:r>
        <w:tab/>
        <w:t xml:space="preserve">a foreign person that acquires an interest in a residential landholder by </w:t>
      </w:r>
      <w:del w:id="4467" w:author="Master Repository Process" w:date="2022-05-27T14:27:00Z">
        <w:r>
          <w:delText>a foreign landholder</w:delText>
        </w:r>
      </w:del>
      <w:ins w:id="4468" w:author="Master Repository Process" w:date="2022-05-27T14:27:00Z">
        <w:r>
          <w:t>the</w:t>
        </w:r>
      </w:ins>
      <w:r>
        <w:t xml:space="preserve"> acquisition; </w:t>
      </w:r>
      <w:ins w:id="4469" w:author="Master Repository Process" w:date="2022-05-27T14:27:00Z">
        <w:r>
          <w:t>and</w:t>
        </w:r>
      </w:ins>
    </w:p>
    <w:p>
      <w:pPr>
        <w:pStyle w:val="Defsubpara"/>
        <w:rPr>
          <w:ins w:id="4470" w:author="Master Repository Process" w:date="2022-05-27T14:27:00Z"/>
        </w:rPr>
      </w:pPr>
      <w:ins w:id="4471" w:author="Master Repository Process" w:date="2022-05-27T14:27:00Z">
        <w:r>
          <w:tab/>
          <w:t>(ii)</w:t>
        </w:r>
        <w:r>
          <w:tab/>
          <w:t>if there is more than 1 person referred to in subparagraph (i), each of them;</w:t>
        </w:r>
      </w:ins>
    </w:p>
    <w:p>
      <w:pPr>
        <w:pStyle w:val="Defpara"/>
      </w:pPr>
      <w:ins w:id="4472" w:author="Master Repository Process" w:date="2022-05-27T14:27:00Z">
        <w:r>
          <w:tab/>
        </w:r>
        <w:r>
          <w:tab/>
        </w:r>
      </w:ins>
      <w:r>
        <w:t>or</w:t>
      </w:r>
    </w:p>
    <w:p>
      <w:pPr>
        <w:pStyle w:val="Defpara"/>
        <w:rPr>
          <w:ins w:id="4473" w:author="Master Repository Process" w:date="2022-05-27T14:27:00Z"/>
        </w:rPr>
      </w:pPr>
      <w:r>
        <w:tab/>
        <w:t>(b)</w:t>
      </w:r>
      <w:r>
        <w:tab/>
      </w:r>
      <w:ins w:id="4474" w:author="Master Repository Process" w:date="2022-05-27T14:27:00Z">
        <w:r>
          <w:t>in relation to a foreign landholder acquisition to which section 205ZH(1)(a)(ii) applies —</w:t>
        </w:r>
      </w:ins>
    </w:p>
    <w:p>
      <w:pPr>
        <w:pStyle w:val="Defsubpara"/>
      </w:pPr>
      <w:ins w:id="4475" w:author="Master Repository Process" w:date="2022-05-27T14:27:00Z">
        <w:r>
          <w:tab/>
          <w:t>(i)</w:t>
        </w:r>
        <w:r>
          <w:tab/>
        </w:r>
      </w:ins>
      <w:r>
        <w:t xml:space="preserve">a foreign person that is a related person </w:t>
      </w:r>
      <w:del w:id="4476" w:author="Master Repository Process" w:date="2022-05-27T14:27:00Z">
        <w:r>
          <w:delText>to a person that acquires an</w:delText>
        </w:r>
      </w:del>
      <w:ins w:id="4477" w:author="Master Repository Process" w:date="2022-05-27T14:27:00Z">
        <w:r>
          <w:t>in respect of the acquirer of the</w:t>
        </w:r>
      </w:ins>
      <w:r>
        <w:t xml:space="preserve"> interest in </w:t>
      </w:r>
      <w:del w:id="4478" w:author="Master Repository Process" w:date="2022-05-27T14:27:00Z">
        <w:r>
          <w:delText>a</w:delText>
        </w:r>
      </w:del>
      <w:ins w:id="4479" w:author="Master Repository Process" w:date="2022-05-27T14:27:00Z">
        <w:r>
          <w:t>the</w:t>
        </w:r>
      </w:ins>
      <w:r>
        <w:t xml:space="preserve"> residential landholder </w:t>
      </w:r>
      <w:del w:id="4480" w:author="Master Repository Process" w:date="2022-05-27T14:27:00Z">
        <w:r>
          <w:delText>by a foreign</w:delText>
        </w:r>
      </w:del>
      <w:ins w:id="4481" w:author="Master Repository Process" w:date="2022-05-27T14:27:00Z">
        <w:r>
          <w:t>and has an interest in the residential</w:t>
        </w:r>
      </w:ins>
      <w:r>
        <w:t xml:space="preserve"> landholder </w:t>
      </w:r>
      <w:ins w:id="4482" w:author="Master Repository Process" w:date="2022-05-27T14:27:00Z">
        <w:r>
          <w:t xml:space="preserve">immediately after the </w:t>
        </w:r>
      </w:ins>
      <w:r>
        <w:t xml:space="preserve">acquisition; </w:t>
      </w:r>
      <w:del w:id="4483" w:author="Master Repository Process" w:date="2022-05-27T14:27:00Z">
        <w:r>
          <w:delText>or</w:delText>
        </w:r>
      </w:del>
      <w:ins w:id="4484" w:author="Master Repository Process" w:date="2022-05-27T14:27:00Z">
        <w:r>
          <w:t>and</w:t>
        </w:r>
      </w:ins>
    </w:p>
    <w:p>
      <w:pPr>
        <w:pStyle w:val="Defsubpara"/>
      </w:pPr>
      <w:r>
        <w:tab/>
        <w:t>(</w:t>
      </w:r>
      <w:del w:id="4485" w:author="Master Repository Process" w:date="2022-05-27T14:27:00Z">
        <w:r>
          <w:delText>c</w:delText>
        </w:r>
      </w:del>
      <w:ins w:id="4486" w:author="Master Repository Process" w:date="2022-05-27T14:27:00Z">
        <w:r>
          <w:t>ii</w:t>
        </w:r>
      </w:ins>
      <w:r>
        <w:t>)</w:t>
      </w:r>
      <w:r>
        <w:tab/>
        <w:t>if there is more than 1</w:t>
      </w:r>
      <w:del w:id="4487" w:author="Master Repository Process" w:date="2022-05-27T14:27:00Z">
        <w:r>
          <w:delText xml:space="preserve"> </w:delText>
        </w:r>
      </w:del>
      <w:ins w:id="4488" w:author="Master Repository Process" w:date="2022-05-27T14:27:00Z">
        <w:r>
          <w:t> </w:t>
        </w:r>
      </w:ins>
      <w:r>
        <w:t xml:space="preserve">person referred to in </w:t>
      </w:r>
      <w:del w:id="4489" w:author="Master Repository Process" w:date="2022-05-27T14:27:00Z">
        <w:r>
          <w:delText>paragraph (a) or (b</w:delText>
        </w:r>
      </w:del>
      <w:ins w:id="4490" w:author="Master Repository Process" w:date="2022-05-27T14:27:00Z">
        <w:r>
          <w:t>subparagraph (i</w:t>
        </w:r>
      </w:ins>
      <w:r>
        <w:t>), each of them</w:t>
      </w:r>
      <w:del w:id="4491" w:author="Master Repository Process" w:date="2022-05-27T14:27:00Z">
        <w:r>
          <w:delText>;</w:delText>
        </w:r>
      </w:del>
      <w:ins w:id="4492" w:author="Master Repository Process" w:date="2022-05-27T14:27:00Z">
        <w:r>
          <w:t>.</w:t>
        </w:r>
      </w:ins>
    </w:p>
    <w:p>
      <w:pPr>
        <w:pStyle w:val="Defstart"/>
      </w:pPr>
      <w:r>
        <w:tab/>
      </w:r>
      <w:r>
        <w:rPr>
          <w:rStyle w:val="CharDefText"/>
        </w:rPr>
        <w:t>foreign landholder acquisition</w:t>
      </w:r>
      <w:r>
        <w:t xml:space="preserve"> has the meaning given in </w:t>
      </w:r>
      <w:del w:id="4493" w:author="Master Repository Process" w:date="2022-05-27T14:27:00Z">
        <w:r>
          <w:delText>sections</w:delText>
        </w:r>
      </w:del>
      <w:ins w:id="4494" w:author="Master Repository Process" w:date="2022-05-27T14:27:00Z">
        <w:r>
          <w:t>section</w:t>
        </w:r>
      </w:ins>
      <w:r>
        <w:t> 205ZH</w:t>
      </w:r>
      <w:del w:id="4495" w:author="Master Repository Process" w:date="2022-05-27T14:27:00Z">
        <w:r>
          <w:delText xml:space="preserve"> and 205ZI</w:delText>
        </w:r>
      </w:del>
      <w:r>
        <w:t>;</w:t>
      </w:r>
    </w:p>
    <w:p>
      <w:pPr>
        <w:pStyle w:val="Defstart"/>
      </w:pPr>
      <w:r>
        <w:tab/>
      </w:r>
      <w:r>
        <w:rPr>
          <w:rStyle w:val="CharDefText"/>
        </w:rPr>
        <w:t>residential landholder</w:t>
      </w:r>
      <w:r>
        <w:t xml:space="preserve"> means an entity that is a residential landholder under section 205ZG.</w:t>
      </w:r>
    </w:p>
    <w:p>
      <w:pPr>
        <w:pStyle w:val="Subsection"/>
      </w:pPr>
      <w:del w:id="4496" w:author="Master Repository Process" w:date="2022-05-27T14:27:00Z">
        <w:r>
          <w:tab/>
          <w:delText>(2)</w:delText>
        </w:r>
        <w:r>
          <w:tab/>
          <w:delText>A</w:delText>
        </w:r>
      </w:del>
      <w:ins w:id="4497" w:author="Master Repository Process" w:date="2022-05-27T14:27:00Z">
        <w:r>
          <w:tab/>
          <w:t>(2)</w:t>
        </w:r>
        <w:r>
          <w:tab/>
          <w:t>Unless the contrary intention appears, a</w:t>
        </w:r>
      </w:ins>
      <w:r>
        <w:t xml:space="preserve"> reference in this Part to a provision of Chapter 3 that is applied by section 205ZE(1) is a reference to that provision as so applied.</w:t>
      </w:r>
    </w:p>
    <w:p>
      <w:pPr>
        <w:pStyle w:val="Footnotesection"/>
      </w:pPr>
      <w:bookmarkStart w:id="4498" w:name="_Toc513472029"/>
      <w:bookmarkStart w:id="4499" w:name="_Toc513472123"/>
      <w:bookmarkStart w:id="4500" w:name="_Toc515352273"/>
      <w:bookmarkStart w:id="4501" w:name="_Toc516044939"/>
      <w:bookmarkStart w:id="4502" w:name="_Toc516238684"/>
      <w:bookmarkStart w:id="4503" w:name="_Toc516239059"/>
      <w:bookmarkStart w:id="4504" w:name="_Toc516240246"/>
      <w:bookmarkStart w:id="4505" w:name="_Toc526928439"/>
      <w:bookmarkStart w:id="4506" w:name="_Toc527633783"/>
      <w:bookmarkStart w:id="4507" w:name="_Toc527637281"/>
      <w:r>
        <w:tab/>
        <w:t>[Section 205ZD inserted: No. 24 of 2018 s. </w:t>
      </w:r>
      <w:del w:id="4508" w:author="Master Repository Process" w:date="2022-05-27T14:27:00Z">
        <w:r>
          <w:delText>8</w:delText>
        </w:r>
      </w:del>
      <w:ins w:id="4509" w:author="Master Repository Process" w:date="2022-05-27T14:27:00Z">
        <w:r>
          <w:t>8; amended: No. 12 of 2019 s. 108</w:t>
        </w:r>
      </w:ins>
      <w:r>
        <w:t>.]</w:t>
      </w:r>
    </w:p>
    <w:p>
      <w:pPr>
        <w:pStyle w:val="Heading4"/>
        <w:rPr>
          <w:sz w:val="26"/>
          <w:szCs w:val="26"/>
        </w:rPr>
      </w:pPr>
      <w:bookmarkStart w:id="4510" w:name="_Toc37946976"/>
      <w:bookmarkStart w:id="4511" w:name="_Toc37947576"/>
      <w:bookmarkStart w:id="4512" w:name="_Toc38031640"/>
      <w:bookmarkStart w:id="4513" w:name="_Toc93310149"/>
      <w:bookmarkStart w:id="4514" w:name="_Toc104291171"/>
      <w:bookmarkStart w:id="4515" w:name="_Toc531692326"/>
      <w:bookmarkStart w:id="4516" w:name="_Toc531856231"/>
      <w:bookmarkStart w:id="4517" w:name="_Toc531858959"/>
      <w:bookmarkStart w:id="4518" w:name="_Toc531859498"/>
      <w:r>
        <w:rPr>
          <w:sz w:val="26"/>
          <w:szCs w:val="26"/>
        </w:rPr>
        <w:t>Division 2 — Application of Chapter 3</w:t>
      </w:r>
      <w:bookmarkEnd w:id="4510"/>
      <w:bookmarkEnd w:id="4511"/>
      <w:bookmarkEnd w:id="4512"/>
      <w:bookmarkEnd w:id="4513"/>
      <w:bookmarkEnd w:id="4514"/>
      <w:bookmarkEnd w:id="4498"/>
      <w:bookmarkEnd w:id="4499"/>
      <w:bookmarkEnd w:id="4500"/>
      <w:bookmarkEnd w:id="4501"/>
      <w:bookmarkEnd w:id="4502"/>
      <w:bookmarkEnd w:id="4503"/>
      <w:bookmarkEnd w:id="4504"/>
      <w:bookmarkEnd w:id="4505"/>
      <w:bookmarkEnd w:id="4506"/>
      <w:bookmarkEnd w:id="4507"/>
      <w:bookmarkEnd w:id="4515"/>
      <w:bookmarkEnd w:id="4516"/>
      <w:bookmarkEnd w:id="4517"/>
      <w:bookmarkEnd w:id="4518"/>
    </w:p>
    <w:p>
      <w:pPr>
        <w:pStyle w:val="Footnoteheading"/>
      </w:pPr>
      <w:r>
        <w:tab/>
        <w:t>[Heading inserted: No. 24 of 2018 s. 8.]</w:t>
      </w:r>
    </w:p>
    <w:p>
      <w:pPr>
        <w:pStyle w:val="Heading5"/>
      </w:pPr>
      <w:bookmarkStart w:id="4519" w:name="_Toc104291172"/>
      <w:bookmarkStart w:id="4520" w:name="_Toc527633784"/>
      <w:bookmarkStart w:id="4521" w:name="_Toc527637282"/>
      <w:bookmarkStart w:id="4522" w:name="_Toc531859499"/>
      <w:r>
        <w:rPr>
          <w:rStyle w:val="CharSectno"/>
        </w:rPr>
        <w:t>205ZE</w:t>
      </w:r>
      <w:r>
        <w:t>.</w:t>
      </w:r>
      <w:r>
        <w:tab/>
        <w:t>Application of Chapter 3</w:t>
      </w:r>
      <w:bookmarkEnd w:id="4519"/>
      <w:bookmarkEnd w:id="4520"/>
      <w:bookmarkEnd w:id="4521"/>
      <w:bookmarkEnd w:id="4522"/>
    </w:p>
    <w:p>
      <w:pPr>
        <w:pStyle w:val="Subsection"/>
      </w:pPr>
      <w:r>
        <w:tab/>
        <w:t>(1)</w:t>
      </w:r>
      <w:r>
        <w:tab/>
        <w:t>The provisions of Chapter 3 other than the provisions set out in the Table apply, with all appropriate modifications, in respect of foreign landholder duty in the same way as they apply in respect of landholder duty.</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35"/>
        <w:gridCol w:w="2835"/>
      </w:tblGrid>
      <w:tr>
        <w:tc>
          <w:tcPr>
            <w:tcW w:w="2835" w:type="dxa"/>
          </w:tcPr>
          <w:p>
            <w:pPr>
              <w:pStyle w:val="TableNAm"/>
            </w:pPr>
            <w:r>
              <w:t>s. </w:t>
            </w:r>
            <w:del w:id="4523" w:author="Master Repository Process" w:date="2022-05-27T14:27:00Z">
              <w:r>
                <w:delText xml:space="preserve">149(2A) and (4) </w:delText>
              </w:r>
            </w:del>
            <w:ins w:id="4524" w:author="Master Repository Process" w:date="2022-05-27T14:27:00Z">
              <w:r>
                <w:t>148(2)</w:t>
              </w:r>
            </w:ins>
          </w:p>
        </w:tc>
        <w:tc>
          <w:tcPr>
            <w:tcW w:w="2835" w:type="dxa"/>
          </w:tcPr>
          <w:p>
            <w:pPr>
              <w:pStyle w:val="TableNAm"/>
            </w:pPr>
            <w:del w:id="4525" w:author="Master Repository Process" w:date="2022-05-27T14:27:00Z">
              <w:r>
                <w:delText>Part 2</w:delText>
              </w:r>
            </w:del>
            <w:ins w:id="4526" w:author="Master Repository Process" w:date="2022-05-27T14:27:00Z">
              <w:r>
                <w:t>s. 149A(1) and (3)</w:t>
              </w:r>
            </w:ins>
          </w:p>
        </w:tc>
      </w:tr>
      <w:tr>
        <w:trPr>
          <w:ins w:id="4527" w:author="Master Repository Process" w:date="2022-05-27T14:27:00Z"/>
        </w:trPr>
        <w:tc>
          <w:tcPr>
            <w:tcW w:w="2835" w:type="dxa"/>
          </w:tcPr>
          <w:p>
            <w:pPr>
              <w:pStyle w:val="TableNAm"/>
              <w:rPr>
                <w:ins w:id="4528" w:author="Master Repository Process" w:date="2022-05-27T14:27:00Z"/>
              </w:rPr>
            </w:pPr>
            <w:ins w:id="4529" w:author="Master Repository Process" w:date="2022-05-27T14:27:00Z">
              <w:r>
                <w:t>Part 2</w:t>
              </w:r>
            </w:ins>
          </w:p>
        </w:tc>
        <w:tc>
          <w:tcPr>
            <w:tcW w:w="2835" w:type="dxa"/>
          </w:tcPr>
          <w:p>
            <w:pPr>
              <w:pStyle w:val="TableNAm"/>
              <w:rPr>
                <w:ins w:id="4530" w:author="Master Repository Process" w:date="2022-05-27T14:27:00Z"/>
              </w:rPr>
            </w:pPr>
            <w:ins w:id="4531" w:author="Master Repository Process" w:date="2022-05-27T14:27:00Z">
              <w:r>
                <w:t>s. 155</w:t>
              </w:r>
            </w:ins>
          </w:p>
        </w:tc>
      </w:tr>
      <w:tr>
        <w:tc>
          <w:tcPr>
            <w:tcW w:w="2835" w:type="dxa"/>
          </w:tcPr>
          <w:p>
            <w:pPr>
              <w:pStyle w:val="TableNAm"/>
            </w:pPr>
            <w:r>
              <w:t>s. </w:t>
            </w:r>
            <w:del w:id="4532" w:author="Master Repository Process" w:date="2022-05-27T14:27:00Z">
              <w:r>
                <w:delText>155</w:delText>
              </w:r>
            </w:del>
            <w:ins w:id="4533" w:author="Master Repository Process" w:date="2022-05-27T14:27:00Z">
              <w:r>
                <w:t>157</w:t>
              </w:r>
            </w:ins>
          </w:p>
        </w:tc>
        <w:tc>
          <w:tcPr>
            <w:tcW w:w="2835" w:type="dxa"/>
          </w:tcPr>
          <w:p>
            <w:pPr>
              <w:pStyle w:val="TableNAm"/>
            </w:pPr>
            <w:r>
              <w:t>Part 5 Division 2 Subdivision 2</w:t>
            </w:r>
          </w:p>
        </w:tc>
      </w:tr>
      <w:tr>
        <w:tc>
          <w:tcPr>
            <w:tcW w:w="2835" w:type="dxa"/>
          </w:tcPr>
          <w:p>
            <w:pPr>
              <w:pStyle w:val="TableNAm"/>
            </w:pPr>
            <w:r>
              <w:t>s. 167</w:t>
            </w:r>
          </w:p>
        </w:tc>
        <w:tc>
          <w:tcPr>
            <w:tcW w:w="2835" w:type="dxa"/>
          </w:tcPr>
          <w:p>
            <w:pPr>
              <w:pStyle w:val="TableNAm"/>
            </w:pPr>
            <w:r>
              <w:t>s. 168</w:t>
            </w:r>
          </w:p>
        </w:tc>
      </w:tr>
      <w:tr>
        <w:tc>
          <w:tcPr>
            <w:tcW w:w="2835" w:type="dxa"/>
          </w:tcPr>
          <w:p>
            <w:pPr>
              <w:pStyle w:val="TableNAm"/>
            </w:pPr>
            <w:r>
              <w:t>s. 171</w:t>
            </w:r>
          </w:p>
        </w:tc>
        <w:tc>
          <w:tcPr>
            <w:tcW w:w="2835" w:type="dxa"/>
          </w:tcPr>
          <w:p>
            <w:pPr>
              <w:pStyle w:val="TableNAm"/>
            </w:pPr>
            <w:r>
              <w:t>Part 5 Division 2 Subdivision 4</w:t>
            </w:r>
          </w:p>
        </w:tc>
      </w:tr>
      <w:tr>
        <w:tc>
          <w:tcPr>
            <w:tcW w:w="2835" w:type="dxa"/>
          </w:tcPr>
          <w:p>
            <w:pPr>
              <w:pStyle w:val="TableNAm"/>
            </w:pPr>
            <w:r>
              <w:t>s. 175</w:t>
            </w:r>
          </w:p>
        </w:tc>
        <w:tc>
          <w:tcPr>
            <w:tcW w:w="2835" w:type="dxa"/>
          </w:tcPr>
          <w:p>
            <w:pPr>
              <w:pStyle w:val="TableNAm"/>
            </w:pPr>
            <w:r>
              <w:t>Part 6 Division 4</w:t>
            </w:r>
          </w:p>
        </w:tc>
      </w:tr>
      <w:tr>
        <w:tc>
          <w:tcPr>
            <w:tcW w:w="2835" w:type="dxa"/>
          </w:tcPr>
          <w:p>
            <w:pPr>
              <w:pStyle w:val="TableNAm"/>
            </w:pPr>
            <w:r>
              <w:t>s. 193</w:t>
            </w:r>
          </w:p>
        </w:tc>
        <w:tc>
          <w:tcPr>
            <w:tcW w:w="2835" w:type="dxa"/>
          </w:tcPr>
          <w:p>
            <w:pPr>
              <w:pStyle w:val="TableNAm"/>
            </w:pPr>
            <w:r>
              <w:t>Part 6 Division 6A</w:t>
            </w:r>
          </w:p>
        </w:tc>
      </w:tr>
      <w:tr>
        <w:tc>
          <w:tcPr>
            <w:tcW w:w="2835" w:type="dxa"/>
          </w:tcPr>
          <w:p>
            <w:pPr>
              <w:pStyle w:val="TableNAm"/>
            </w:pPr>
            <w:r>
              <w:t>Part 6 Division 7</w:t>
            </w:r>
          </w:p>
        </w:tc>
        <w:tc>
          <w:tcPr>
            <w:tcW w:w="2835" w:type="dxa"/>
          </w:tcPr>
          <w:p>
            <w:pPr>
              <w:pStyle w:val="TableNAm"/>
            </w:pPr>
            <w:ins w:id="4534" w:author="Master Repository Process" w:date="2022-05-27T14:27:00Z">
              <w:r>
                <w:t>Part 7 Divisions 1 and 2</w:t>
              </w:r>
            </w:ins>
          </w:p>
        </w:tc>
      </w:tr>
      <w:tr>
        <w:trPr>
          <w:ins w:id="4535" w:author="Master Repository Process" w:date="2022-05-27T14:27:00Z"/>
        </w:trPr>
        <w:tc>
          <w:tcPr>
            <w:tcW w:w="2835" w:type="dxa"/>
          </w:tcPr>
          <w:p>
            <w:pPr>
              <w:pStyle w:val="TableNAm"/>
              <w:rPr>
                <w:ins w:id="4536" w:author="Master Repository Process" w:date="2022-05-27T14:27:00Z"/>
              </w:rPr>
            </w:pPr>
            <w:ins w:id="4537" w:author="Master Repository Process" w:date="2022-05-27T14:27:00Z">
              <w:r>
                <w:t>s. 204G</w:t>
              </w:r>
            </w:ins>
          </w:p>
        </w:tc>
        <w:tc>
          <w:tcPr>
            <w:tcW w:w="2835" w:type="dxa"/>
          </w:tcPr>
          <w:p>
            <w:pPr>
              <w:pStyle w:val="TableNAm"/>
              <w:rPr>
                <w:ins w:id="4538" w:author="Master Repository Process" w:date="2022-05-27T14:27:00Z"/>
              </w:rPr>
            </w:pPr>
          </w:p>
        </w:tc>
      </w:tr>
    </w:tbl>
    <w:p>
      <w:pPr>
        <w:pStyle w:val="Subsection"/>
      </w:pPr>
      <w:r>
        <w:tab/>
        <w:t>(2)</w:t>
      </w:r>
      <w:r>
        <w:tab/>
        <w:t xml:space="preserve">Without limiting subsection (1), the provisions applied by that subsection apply as if — </w:t>
      </w:r>
    </w:p>
    <w:p>
      <w:pPr>
        <w:pStyle w:val="Indenta"/>
      </w:pPr>
      <w:r>
        <w:tab/>
        <w:t>(a)</w:t>
      </w:r>
      <w:r>
        <w:tab/>
        <w:t>a reference to duty or landholder duty were a reference to foreign landholder duty; and</w:t>
      </w:r>
    </w:p>
    <w:p>
      <w:pPr>
        <w:pStyle w:val="Indenta"/>
      </w:pPr>
      <w:r>
        <w:tab/>
        <w:t>(b)</w:t>
      </w:r>
      <w:r>
        <w:tab/>
        <w:t xml:space="preserve">a reference to an acquirer </w:t>
      </w:r>
      <w:ins w:id="4539" w:author="Master Repository Process" w:date="2022-05-27T14:27:00Z">
        <w:r>
          <w:t xml:space="preserve">(other than in section 179) </w:t>
        </w:r>
      </w:ins>
      <w:r>
        <w:t>were a reference to a foreign acquirer; and</w:t>
      </w:r>
    </w:p>
    <w:p>
      <w:pPr>
        <w:pStyle w:val="Indenta"/>
      </w:pPr>
      <w:r>
        <w:tab/>
        <w:t>(c)</w:t>
      </w:r>
      <w:r>
        <w:tab/>
        <w:t>a reference to a landholder were a reference to a residential landholder; and</w:t>
      </w:r>
    </w:p>
    <w:p>
      <w:pPr>
        <w:pStyle w:val="Indenta"/>
      </w:pPr>
      <w:r>
        <w:tab/>
        <w:t>(d)</w:t>
      </w:r>
      <w:r>
        <w:tab/>
        <w:t>a reference to a relevant acquisition were a reference to a foreign landholder acquisition; and</w:t>
      </w:r>
    </w:p>
    <w:p>
      <w:pPr>
        <w:pStyle w:val="Indenta"/>
      </w:pPr>
      <w:r>
        <w:tab/>
        <w:t>(e)</w:t>
      </w:r>
      <w:r>
        <w:tab/>
        <w:t>a reference to land</w:t>
      </w:r>
      <w:ins w:id="4540" w:author="Master Repository Process" w:date="2022-05-27T14:27:00Z">
        <w:r>
          <w:t xml:space="preserve"> assets</w:t>
        </w:r>
      </w:ins>
      <w:r>
        <w:t>, land</w:t>
      </w:r>
      <w:ins w:id="4541" w:author="Master Repository Process" w:date="2022-05-27T14:27:00Z">
        <w:r>
          <w:t xml:space="preserve"> assets</w:t>
        </w:r>
      </w:ins>
      <w:r>
        <w:t xml:space="preserve"> in Western Australia or dutiable property were a reference to residential property; and</w:t>
      </w:r>
    </w:p>
    <w:p>
      <w:pPr>
        <w:pStyle w:val="Indenta"/>
      </w:pPr>
      <w:r>
        <w:tab/>
        <w:t>(f)</w:t>
      </w:r>
      <w:r>
        <w:tab/>
        <w:t>a reference to a chattel were a reference to a chattel, the use of which is directly linked to, or is incidental to, the use of residential property for residential purposes; and</w:t>
      </w:r>
    </w:p>
    <w:p>
      <w:pPr>
        <w:pStyle w:val="Indenta"/>
      </w:pPr>
      <w:r>
        <w:tab/>
        <w:t>(g)</w:t>
      </w:r>
      <w:r>
        <w:tab/>
        <w:t xml:space="preserve">the </w:t>
      </w:r>
      <w:del w:id="4542" w:author="Master Repository Process" w:date="2022-05-27T14:27:00Z">
        <w:r>
          <w:delText>reference</w:delText>
        </w:r>
      </w:del>
      <w:ins w:id="4543" w:author="Master Repository Process" w:date="2022-05-27T14:27:00Z">
        <w:r>
          <w:t xml:space="preserve">definition of </w:t>
        </w:r>
        <w:r>
          <w:rPr>
            <w:rStyle w:val="CharDefText"/>
          </w:rPr>
          <w:t>land asset</w:t>
        </w:r>
      </w:ins>
      <w:r>
        <w:t xml:space="preserve"> in section </w:t>
      </w:r>
      <w:del w:id="4544" w:author="Master Repository Process" w:date="2022-05-27T14:27:00Z">
        <w:r>
          <w:delText>157</w:delText>
        </w:r>
      </w:del>
      <w:ins w:id="4545" w:author="Master Repository Process" w:date="2022-05-27T14:27:00Z">
        <w:r>
          <w:t>148</w:t>
        </w:r>
      </w:ins>
      <w:r>
        <w:t xml:space="preserve">(1) </w:t>
      </w:r>
      <w:del w:id="4546" w:author="Master Repository Process" w:date="2022-05-27T14:27:00Z">
        <w:r>
          <w:delText xml:space="preserve">to section 155 </w:delText>
        </w:r>
      </w:del>
      <w:r>
        <w:t xml:space="preserve">were </w:t>
      </w:r>
      <w:del w:id="4547" w:author="Master Repository Process" w:date="2022-05-27T14:27:00Z">
        <w:r>
          <w:delText>a reference to section 186; and</w:delText>
        </w:r>
      </w:del>
      <w:ins w:id="4548" w:author="Master Repository Process" w:date="2022-05-27T14:27:00Z">
        <w:r>
          <w:t>deleted;</w:t>
        </w:r>
      </w:ins>
    </w:p>
    <w:p>
      <w:pPr>
        <w:pStyle w:val="Indenta"/>
      </w:pPr>
      <w:r>
        <w:tab/>
        <w:t>(h)</w:t>
      </w:r>
      <w:r>
        <w:tab/>
        <w:t>the provisions of Division 8 Subdivisions 1 and 2 of this Chapter were provisions of Chapter 3 Part 5 Division 2 Subdivision 3; and</w:t>
      </w:r>
    </w:p>
    <w:p>
      <w:pPr>
        <w:pStyle w:val="Indenta"/>
      </w:pPr>
      <w:r>
        <w:tab/>
        <w:t>(i)</w:t>
      </w:r>
      <w:r>
        <w:tab/>
        <w:t xml:space="preserve">the reference in the definition of </w:t>
      </w:r>
      <w:r>
        <w:rPr>
          <w:b/>
          <w:i/>
        </w:rPr>
        <w:t>call option</w:t>
      </w:r>
      <w:r>
        <w:t xml:space="preserve">, </w:t>
      </w:r>
      <w:r>
        <w:rPr>
          <w:b/>
          <w:i/>
        </w:rPr>
        <w:t>put option</w:t>
      </w:r>
      <w:r>
        <w:t xml:space="preserve"> and </w:t>
      </w:r>
      <w:r>
        <w:rPr>
          <w:b/>
          <w:i/>
        </w:rPr>
        <w:t>simultaneous put and call option</w:t>
      </w:r>
      <w:r>
        <w:t xml:space="preserve"> in section 177(1) to section 44 were a reference to section 44 as applied by section 205S(1); and </w:t>
      </w:r>
    </w:p>
    <w:p>
      <w:pPr>
        <w:pStyle w:val="Indenta"/>
        <w:rPr>
          <w:ins w:id="4549" w:author="Master Repository Process" w:date="2022-05-27T14:27:00Z"/>
        </w:rPr>
      </w:pPr>
      <w:r>
        <w:tab/>
        <w:t>(j)</w:t>
      </w:r>
      <w:r>
        <w:tab/>
      </w:r>
      <w:del w:id="4550" w:author="Master Repository Process" w:date="2022-05-27T14:27:00Z">
        <w:r>
          <w:delText>a</w:delText>
        </w:r>
      </w:del>
      <w:ins w:id="4551" w:author="Master Repository Process" w:date="2022-05-27T14:27:00Z">
        <w:r>
          <w:t>the</w:t>
        </w:r>
      </w:ins>
      <w:r>
        <w:t xml:space="preserve"> reference in section </w:t>
      </w:r>
      <w:del w:id="4552" w:author="Master Repository Process" w:date="2022-05-27T14:27:00Z">
        <w:r>
          <w:delText>185 or 189</w:delText>
        </w:r>
      </w:del>
      <w:ins w:id="4553" w:author="Master Repository Process" w:date="2022-05-27T14:27:00Z">
        <w:r>
          <w:t>179(2)(a)</w:t>
        </w:r>
      </w:ins>
      <w:r>
        <w:t xml:space="preserve"> to </w:t>
      </w:r>
      <w:del w:id="4554" w:author="Master Repository Process" w:date="2022-05-27T14:27:00Z">
        <w:r>
          <w:delText xml:space="preserve">a related person </w:delText>
        </w:r>
      </w:del>
      <w:ins w:id="4555" w:author="Master Repository Process" w:date="2022-05-27T14:27:00Z">
        <w:r>
          <w:t xml:space="preserve">the acquirer </w:t>
        </w:r>
      </w:ins>
      <w:r>
        <w:t xml:space="preserve">were a reference to a </w:t>
      </w:r>
      <w:ins w:id="4556" w:author="Master Repository Process" w:date="2022-05-27T14:27:00Z">
        <w:r>
          <w:t>foreign acquirer, other than a person whose interest in the residential landholder is, for the purpose of calculating the duty, an excluded interest under section 189; and</w:t>
        </w:r>
      </w:ins>
    </w:p>
    <w:p>
      <w:pPr>
        <w:pStyle w:val="Indenta"/>
      </w:pPr>
      <w:ins w:id="4557" w:author="Master Repository Process" w:date="2022-05-27T14:27:00Z">
        <w:r>
          <w:tab/>
          <w:t>(ja)</w:t>
        </w:r>
        <w:r>
          <w:tab/>
          <w:t xml:space="preserve">the reference in section 179(2)(d) or 185(b) to a </w:t>
        </w:r>
      </w:ins>
      <w:r>
        <w:t xml:space="preserve">related person </w:t>
      </w:r>
      <w:del w:id="4558" w:author="Master Repository Process" w:date="2022-05-27T14:27:00Z">
        <w:r>
          <w:delText xml:space="preserve">that is a </w:delText>
        </w:r>
      </w:del>
      <w:ins w:id="4559" w:author="Master Repository Process" w:date="2022-05-27T14:27:00Z">
        <w:r>
          <w:t xml:space="preserve">in respect of the acquirer were a reference to a </w:t>
        </w:r>
      </w:ins>
      <w:r>
        <w:t>foreign person</w:t>
      </w:r>
      <w:del w:id="4560" w:author="Master Repository Process" w:date="2022-05-27T14:27:00Z">
        <w:r>
          <w:delText>;</w:delText>
        </w:r>
      </w:del>
      <w:ins w:id="4561" w:author="Master Repository Process" w:date="2022-05-27T14:27:00Z">
        <w:r>
          <w:t xml:space="preserve"> that is a related person in respect of a foreign acquirer (as defined in paragraph (a) of the definition of </w:t>
        </w:r>
        <w:r>
          <w:rPr>
            <w:rStyle w:val="CharDefText"/>
          </w:rPr>
          <w:t>foreign acquirer</w:t>
        </w:r>
        <w:r>
          <w:t xml:space="preserve"> in section 205ZD(1));</w:t>
        </w:r>
      </w:ins>
      <w:r>
        <w:t xml:space="preserve"> and</w:t>
      </w:r>
    </w:p>
    <w:p>
      <w:pPr>
        <w:pStyle w:val="Indenta"/>
        <w:rPr>
          <w:ins w:id="4562" w:author="Master Repository Process" w:date="2022-05-27T14:27:00Z"/>
        </w:rPr>
      </w:pPr>
      <w:ins w:id="4563" w:author="Master Repository Process" w:date="2022-05-27T14:27:00Z">
        <w:r>
          <w:tab/>
          <w:t>(jb)</w:t>
        </w:r>
        <w:r>
          <w:tab/>
          <w:t xml:space="preserve">a reference in section 189(2)(a) or (6) — </w:t>
        </w:r>
      </w:ins>
    </w:p>
    <w:p>
      <w:pPr>
        <w:pStyle w:val="Indenti"/>
        <w:rPr>
          <w:ins w:id="4564" w:author="Master Repository Process" w:date="2022-05-27T14:27:00Z"/>
        </w:rPr>
      </w:pPr>
      <w:ins w:id="4565" w:author="Master Repository Process" w:date="2022-05-27T14:27:00Z">
        <w:r>
          <w:tab/>
          <w:t>(i)</w:t>
        </w:r>
        <w:r>
          <w:tab/>
          <w:t>to the person were a reference to the foreign acquirer; and</w:t>
        </w:r>
      </w:ins>
    </w:p>
    <w:p>
      <w:pPr>
        <w:pStyle w:val="Indenti"/>
        <w:rPr>
          <w:ins w:id="4566" w:author="Master Repository Process" w:date="2022-05-27T14:27:00Z"/>
        </w:rPr>
      </w:pPr>
      <w:ins w:id="4567" w:author="Master Repository Process" w:date="2022-05-27T14:27:00Z">
        <w:r>
          <w:tab/>
          <w:t>(ii)</w:t>
        </w:r>
        <w:r>
          <w:tab/>
          <w:t xml:space="preserve">to a related person were a reference to a foreign person that is a related person in respect of a foreign acquirer (as defined in paragraph (a) of the definition of </w:t>
        </w:r>
        <w:r>
          <w:rPr>
            <w:rStyle w:val="CharDefText"/>
          </w:rPr>
          <w:t>foreign acquirer</w:t>
        </w:r>
        <w:r>
          <w:t xml:space="preserve"> in section 205ZD(1));</w:t>
        </w:r>
      </w:ins>
    </w:p>
    <w:p>
      <w:pPr>
        <w:pStyle w:val="Indenta"/>
        <w:rPr>
          <w:ins w:id="4568" w:author="Master Repository Process" w:date="2022-05-27T14:27:00Z"/>
        </w:rPr>
      </w:pPr>
      <w:ins w:id="4569" w:author="Master Repository Process" w:date="2022-05-27T14:27:00Z">
        <w:r>
          <w:tab/>
        </w:r>
        <w:r>
          <w:tab/>
          <w:t>and</w:t>
        </w:r>
      </w:ins>
    </w:p>
    <w:p>
      <w:pPr>
        <w:pStyle w:val="Indenta"/>
        <w:rPr>
          <w:b/>
        </w:rPr>
      </w:pPr>
      <w:r>
        <w:tab/>
        <w:t>(k)</w:t>
      </w:r>
      <w:r>
        <w:tab/>
        <w:t>a reference in section 188(1) or 189(1) to applying the appropriate rate of duty under section 184(1) to the value were a reference to working out 7% of the value; and</w:t>
      </w:r>
    </w:p>
    <w:p>
      <w:pPr>
        <w:pStyle w:val="Indenta"/>
      </w:pPr>
      <w:r>
        <w:tab/>
        <w:t>(l)</w:t>
      </w:r>
      <w:r>
        <w:tab/>
        <w:t>the reference in section 189(6) to 1 July 2008 were a reference to 1 January 2019; and</w:t>
      </w:r>
    </w:p>
    <w:p>
      <w:pPr>
        <w:pStyle w:val="Indenta"/>
      </w:pPr>
      <w:r>
        <w:tab/>
        <w:t>(m)</w:t>
      </w:r>
      <w:r>
        <w:tab/>
        <w:t xml:space="preserve">a reference to a provision specified in Column 1 of the Table were a reference to the provision specified opposite it in Column 2 of the Table. </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3"/>
        <w:gridCol w:w="2722"/>
        <w:gridCol w:w="113"/>
        <w:gridCol w:w="2722"/>
        <w:gridCol w:w="113"/>
      </w:tblGrid>
      <w:tr>
        <w:trPr>
          <w:gridBefore w:val="1"/>
          <w:tblHeader/>
        </w:trPr>
        <w:tc>
          <w:tcPr>
            <w:tcW w:w="2835" w:type="dxa"/>
            <w:gridSpan w:val="2"/>
          </w:tcPr>
          <w:p>
            <w:pPr>
              <w:pStyle w:val="TableNAm"/>
            </w:pPr>
            <w:r>
              <w:rPr>
                <w:b/>
              </w:rPr>
              <w:t>Column 1</w:t>
            </w:r>
          </w:p>
        </w:tc>
        <w:tc>
          <w:tcPr>
            <w:tcW w:w="2835" w:type="dxa"/>
            <w:gridSpan w:val="2"/>
          </w:tcPr>
          <w:p>
            <w:pPr>
              <w:pStyle w:val="TableNAm"/>
            </w:pPr>
            <w:r>
              <w:rPr>
                <w:b/>
              </w:rPr>
              <w:t>Column 2</w:t>
            </w:r>
          </w:p>
        </w:tc>
      </w:tr>
      <w:tr>
        <w:trPr>
          <w:gridBefore w:val="1"/>
        </w:trPr>
        <w:tc>
          <w:tcPr>
            <w:tcW w:w="2835" w:type="dxa"/>
            <w:gridSpan w:val="2"/>
          </w:tcPr>
          <w:p>
            <w:pPr>
              <w:pStyle w:val="TableNAm"/>
            </w:pPr>
            <w:r>
              <w:t>s. 67</w:t>
            </w:r>
          </w:p>
        </w:tc>
        <w:tc>
          <w:tcPr>
            <w:tcW w:w="2835" w:type="dxa"/>
            <w:gridSpan w:val="2"/>
          </w:tcPr>
          <w:p>
            <w:pPr>
              <w:pStyle w:val="TableNAm"/>
            </w:pPr>
            <w:r>
              <w:t>s. 205W</w:t>
            </w:r>
          </w:p>
        </w:tc>
      </w:tr>
      <w:tr>
        <w:trPr>
          <w:gridBefore w:val="1"/>
        </w:trPr>
        <w:tc>
          <w:tcPr>
            <w:tcW w:w="2835" w:type="dxa"/>
            <w:gridSpan w:val="2"/>
          </w:tcPr>
          <w:p>
            <w:pPr>
              <w:pStyle w:val="TableNAm"/>
            </w:pPr>
            <w:r>
              <w:t>s. 151</w:t>
            </w:r>
          </w:p>
        </w:tc>
        <w:tc>
          <w:tcPr>
            <w:tcW w:w="2835" w:type="dxa"/>
            <w:gridSpan w:val="2"/>
          </w:tcPr>
          <w:p>
            <w:pPr>
              <w:pStyle w:val="TableNAm"/>
            </w:pPr>
            <w:r>
              <w:t>s. 205ZF</w:t>
            </w:r>
          </w:p>
        </w:tc>
      </w:tr>
      <w:tr>
        <w:trPr>
          <w:gridBefore w:val="1"/>
        </w:trPr>
        <w:tc>
          <w:tcPr>
            <w:tcW w:w="2835" w:type="dxa"/>
            <w:gridSpan w:val="2"/>
          </w:tcPr>
          <w:p>
            <w:pPr>
              <w:pStyle w:val="TableNAm"/>
            </w:pPr>
            <w:r>
              <w:t>s. 155</w:t>
            </w:r>
          </w:p>
        </w:tc>
        <w:tc>
          <w:tcPr>
            <w:tcW w:w="2835" w:type="dxa"/>
            <w:gridSpan w:val="2"/>
          </w:tcPr>
          <w:p>
            <w:pPr>
              <w:pStyle w:val="TableNAm"/>
            </w:pPr>
            <w:r>
              <w:t>s. 205ZG</w:t>
            </w:r>
          </w:p>
        </w:tc>
      </w:tr>
      <w:tr>
        <w:trPr>
          <w:gridBefore w:val="1"/>
        </w:trPr>
        <w:tc>
          <w:tcPr>
            <w:tcW w:w="2835" w:type="dxa"/>
            <w:gridSpan w:val="2"/>
          </w:tcPr>
          <w:p>
            <w:pPr>
              <w:pStyle w:val="TableNAm"/>
            </w:pPr>
            <w:r>
              <w:t>s. 163</w:t>
            </w:r>
          </w:p>
        </w:tc>
        <w:tc>
          <w:tcPr>
            <w:tcW w:w="2835" w:type="dxa"/>
            <w:gridSpan w:val="2"/>
          </w:tcPr>
          <w:p>
            <w:pPr>
              <w:pStyle w:val="TableNAm"/>
            </w:pPr>
            <w:r>
              <w:t>s. 205ZH</w:t>
            </w:r>
          </w:p>
        </w:tc>
      </w:tr>
      <w:tr>
        <w:trPr>
          <w:gridAfter w:val="1"/>
          <w:wAfter w:w="113" w:type="dxa"/>
          <w:del w:id="4570" w:author="Master Repository Process" w:date="2022-05-27T14:27:00Z"/>
        </w:trPr>
        <w:tc>
          <w:tcPr>
            <w:tcW w:w="2835" w:type="dxa"/>
            <w:gridSpan w:val="2"/>
          </w:tcPr>
          <w:p>
            <w:pPr>
              <w:pStyle w:val="TableNAm"/>
              <w:rPr>
                <w:del w:id="4571" w:author="Master Repository Process" w:date="2022-05-27T14:27:00Z"/>
              </w:rPr>
            </w:pPr>
            <w:del w:id="4572" w:author="Master Repository Process" w:date="2022-05-27T14:27:00Z">
              <w:r>
                <w:delText>s. 164</w:delText>
              </w:r>
            </w:del>
          </w:p>
        </w:tc>
        <w:tc>
          <w:tcPr>
            <w:tcW w:w="2835" w:type="dxa"/>
            <w:gridSpan w:val="2"/>
          </w:tcPr>
          <w:p>
            <w:pPr>
              <w:pStyle w:val="TableNAm"/>
              <w:rPr>
                <w:del w:id="4573" w:author="Master Repository Process" w:date="2022-05-27T14:27:00Z"/>
              </w:rPr>
            </w:pPr>
            <w:del w:id="4574" w:author="Master Repository Process" w:date="2022-05-27T14:27:00Z">
              <w:r>
                <w:delText>s. 205ZI</w:delText>
              </w:r>
            </w:del>
          </w:p>
        </w:tc>
      </w:tr>
      <w:tr>
        <w:trPr>
          <w:gridBefore w:val="1"/>
        </w:trPr>
        <w:tc>
          <w:tcPr>
            <w:tcW w:w="2835" w:type="dxa"/>
            <w:gridSpan w:val="2"/>
          </w:tcPr>
          <w:p>
            <w:pPr>
              <w:pStyle w:val="TableNAm"/>
            </w:pPr>
            <w:r>
              <w:t>s. 167</w:t>
            </w:r>
          </w:p>
        </w:tc>
        <w:tc>
          <w:tcPr>
            <w:tcW w:w="2835" w:type="dxa"/>
            <w:gridSpan w:val="2"/>
          </w:tcPr>
          <w:p>
            <w:pPr>
              <w:pStyle w:val="TableNAm"/>
            </w:pPr>
            <w:r>
              <w:t>s. 205ZM</w:t>
            </w:r>
          </w:p>
        </w:tc>
      </w:tr>
      <w:tr>
        <w:trPr>
          <w:gridBefore w:val="1"/>
        </w:trPr>
        <w:tc>
          <w:tcPr>
            <w:tcW w:w="2835" w:type="dxa"/>
            <w:gridSpan w:val="2"/>
          </w:tcPr>
          <w:p>
            <w:pPr>
              <w:pStyle w:val="TableNAm"/>
            </w:pPr>
            <w:r>
              <w:t>s. 200</w:t>
            </w:r>
          </w:p>
        </w:tc>
        <w:tc>
          <w:tcPr>
            <w:tcW w:w="2835" w:type="dxa"/>
            <w:gridSpan w:val="2"/>
          </w:tcPr>
          <w:p>
            <w:pPr>
              <w:pStyle w:val="TableNAm"/>
            </w:pPr>
            <w:r>
              <w:t>s. 205ZS</w:t>
            </w:r>
          </w:p>
        </w:tc>
      </w:tr>
      <w:tr>
        <w:trPr>
          <w:gridBefore w:val="1"/>
          <w:ins w:id="4575" w:author="Master Repository Process" w:date="2022-05-27T14:27:00Z"/>
        </w:trPr>
        <w:tc>
          <w:tcPr>
            <w:tcW w:w="2835" w:type="dxa"/>
            <w:gridSpan w:val="2"/>
          </w:tcPr>
          <w:p>
            <w:pPr>
              <w:pStyle w:val="TableNAm"/>
              <w:rPr>
                <w:ins w:id="4576" w:author="Master Repository Process" w:date="2022-05-27T14:27:00Z"/>
              </w:rPr>
            </w:pPr>
            <w:ins w:id="4577" w:author="Master Repository Process" w:date="2022-05-27T14:27:00Z">
              <w:r>
                <w:t>s. 204G</w:t>
              </w:r>
            </w:ins>
          </w:p>
        </w:tc>
        <w:tc>
          <w:tcPr>
            <w:tcW w:w="2835" w:type="dxa"/>
            <w:gridSpan w:val="2"/>
          </w:tcPr>
          <w:p>
            <w:pPr>
              <w:pStyle w:val="TableNAm"/>
              <w:rPr>
                <w:ins w:id="4578" w:author="Master Repository Process" w:date="2022-05-27T14:27:00Z"/>
              </w:rPr>
            </w:pPr>
            <w:ins w:id="4579" w:author="Master Repository Process" w:date="2022-05-27T14:27:00Z">
              <w:r>
                <w:t>s. 205ZKA</w:t>
              </w:r>
            </w:ins>
          </w:p>
        </w:tc>
      </w:tr>
    </w:tbl>
    <w:p>
      <w:pPr>
        <w:pStyle w:val="Footnotesection"/>
      </w:pPr>
      <w:bookmarkStart w:id="4580" w:name="_Toc513472031"/>
      <w:bookmarkStart w:id="4581" w:name="_Toc513472125"/>
      <w:bookmarkStart w:id="4582" w:name="_Toc515352275"/>
      <w:bookmarkStart w:id="4583" w:name="_Toc516044941"/>
      <w:bookmarkStart w:id="4584" w:name="_Toc516238686"/>
      <w:bookmarkStart w:id="4585" w:name="_Toc516239061"/>
      <w:bookmarkStart w:id="4586" w:name="_Toc516240248"/>
      <w:bookmarkStart w:id="4587" w:name="_Toc526928441"/>
      <w:bookmarkStart w:id="4588" w:name="_Toc527633785"/>
      <w:bookmarkStart w:id="4589" w:name="_Toc527637283"/>
      <w:r>
        <w:tab/>
        <w:t>[Section 205ZE inserted: No. 24 of 2018 s. </w:t>
      </w:r>
      <w:del w:id="4590" w:author="Master Repository Process" w:date="2022-05-27T14:27:00Z">
        <w:r>
          <w:delText>8</w:delText>
        </w:r>
      </w:del>
      <w:ins w:id="4591" w:author="Master Repository Process" w:date="2022-05-27T14:27:00Z">
        <w:r>
          <w:t>8; amended: No. 12 of 2019 s. 109</w:t>
        </w:r>
      </w:ins>
      <w:r>
        <w:t>.]</w:t>
      </w:r>
    </w:p>
    <w:p>
      <w:pPr>
        <w:pStyle w:val="Heading4"/>
        <w:rPr>
          <w:sz w:val="26"/>
          <w:szCs w:val="26"/>
        </w:rPr>
      </w:pPr>
      <w:bookmarkStart w:id="4592" w:name="_Toc37946978"/>
      <w:bookmarkStart w:id="4593" w:name="_Toc37947578"/>
      <w:bookmarkStart w:id="4594" w:name="_Toc38031642"/>
      <w:bookmarkStart w:id="4595" w:name="_Toc93310151"/>
      <w:bookmarkStart w:id="4596" w:name="_Toc104291173"/>
      <w:bookmarkStart w:id="4597" w:name="_Toc531692328"/>
      <w:bookmarkStart w:id="4598" w:name="_Toc531856233"/>
      <w:bookmarkStart w:id="4599" w:name="_Toc531858961"/>
      <w:bookmarkStart w:id="4600" w:name="_Toc531859500"/>
      <w:r>
        <w:rPr>
          <w:sz w:val="26"/>
          <w:szCs w:val="26"/>
        </w:rPr>
        <w:t>Division 3 — Imposition of foreign landholder duty</w:t>
      </w:r>
      <w:bookmarkEnd w:id="4592"/>
      <w:bookmarkEnd w:id="4593"/>
      <w:bookmarkEnd w:id="4594"/>
      <w:bookmarkEnd w:id="4595"/>
      <w:bookmarkEnd w:id="4596"/>
      <w:bookmarkEnd w:id="4580"/>
      <w:bookmarkEnd w:id="4581"/>
      <w:bookmarkEnd w:id="4582"/>
      <w:bookmarkEnd w:id="4583"/>
      <w:bookmarkEnd w:id="4584"/>
      <w:bookmarkEnd w:id="4585"/>
      <w:bookmarkEnd w:id="4586"/>
      <w:bookmarkEnd w:id="4587"/>
      <w:bookmarkEnd w:id="4588"/>
      <w:bookmarkEnd w:id="4589"/>
      <w:bookmarkEnd w:id="4597"/>
      <w:bookmarkEnd w:id="4598"/>
      <w:bookmarkEnd w:id="4599"/>
      <w:bookmarkEnd w:id="4600"/>
    </w:p>
    <w:p>
      <w:pPr>
        <w:pStyle w:val="Footnoteheading"/>
      </w:pPr>
      <w:r>
        <w:tab/>
        <w:t>[Heading inserted: No. 24 of 2018 s. 8.]</w:t>
      </w:r>
    </w:p>
    <w:p>
      <w:pPr>
        <w:pStyle w:val="Heading5"/>
      </w:pPr>
      <w:bookmarkStart w:id="4601" w:name="_Toc104291174"/>
      <w:bookmarkStart w:id="4602" w:name="_Toc527633786"/>
      <w:bookmarkStart w:id="4603" w:name="_Toc527637284"/>
      <w:bookmarkStart w:id="4604" w:name="_Toc531859501"/>
      <w:r>
        <w:rPr>
          <w:rStyle w:val="CharSectno"/>
        </w:rPr>
        <w:t>205ZF</w:t>
      </w:r>
      <w:r>
        <w:t>.</w:t>
      </w:r>
      <w:r>
        <w:tab/>
        <w:t>Foreign landholder duty imposed</w:t>
      </w:r>
      <w:bookmarkEnd w:id="4601"/>
      <w:bookmarkEnd w:id="4602"/>
      <w:bookmarkEnd w:id="4603"/>
      <w:bookmarkEnd w:id="4604"/>
    </w:p>
    <w:p>
      <w:pPr>
        <w:pStyle w:val="Subsection"/>
      </w:pPr>
      <w:r>
        <w:tab/>
      </w:r>
      <w:r>
        <w:tab/>
        <w:t>Foreign landholder duty is imposed in respect of any foreign landholder acquisition of an interest in a residential landholder.</w:t>
      </w:r>
    </w:p>
    <w:p>
      <w:pPr>
        <w:pStyle w:val="Footnotesection"/>
      </w:pPr>
      <w:bookmarkStart w:id="4605" w:name="_Toc513472033"/>
      <w:bookmarkStart w:id="4606" w:name="_Toc513472127"/>
      <w:bookmarkStart w:id="4607" w:name="_Toc515352277"/>
      <w:bookmarkStart w:id="4608" w:name="_Toc516044943"/>
      <w:bookmarkStart w:id="4609" w:name="_Toc516238688"/>
      <w:bookmarkStart w:id="4610" w:name="_Toc516239063"/>
      <w:bookmarkStart w:id="4611" w:name="_Toc516240250"/>
      <w:bookmarkStart w:id="4612" w:name="_Toc526928443"/>
      <w:bookmarkStart w:id="4613" w:name="_Toc527633787"/>
      <w:bookmarkStart w:id="4614" w:name="_Toc527637285"/>
      <w:r>
        <w:tab/>
        <w:t>[Section 205ZF inserted: No. 24 of 2018 s. 8.]</w:t>
      </w:r>
    </w:p>
    <w:p>
      <w:pPr>
        <w:pStyle w:val="Heading4"/>
        <w:rPr>
          <w:sz w:val="26"/>
          <w:szCs w:val="26"/>
        </w:rPr>
      </w:pPr>
      <w:bookmarkStart w:id="4615" w:name="_Toc37946980"/>
      <w:bookmarkStart w:id="4616" w:name="_Toc37947580"/>
      <w:bookmarkStart w:id="4617" w:name="_Toc38031644"/>
      <w:bookmarkStart w:id="4618" w:name="_Toc93310153"/>
      <w:bookmarkStart w:id="4619" w:name="_Toc104291175"/>
      <w:bookmarkStart w:id="4620" w:name="_Toc531692330"/>
      <w:bookmarkStart w:id="4621" w:name="_Toc531856235"/>
      <w:bookmarkStart w:id="4622" w:name="_Toc531858963"/>
      <w:bookmarkStart w:id="4623" w:name="_Toc531859502"/>
      <w:r>
        <w:rPr>
          <w:sz w:val="26"/>
          <w:szCs w:val="26"/>
        </w:rPr>
        <w:t>Division 4 — Residential landholders to which this Part applies</w:t>
      </w:r>
      <w:bookmarkEnd w:id="4615"/>
      <w:bookmarkEnd w:id="4616"/>
      <w:bookmarkEnd w:id="4617"/>
      <w:bookmarkEnd w:id="4618"/>
      <w:bookmarkEnd w:id="4619"/>
      <w:bookmarkEnd w:id="4605"/>
      <w:bookmarkEnd w:id="4606"/>
      <w:bookmarkEnd w:id="4607"/>
      <w:bookmarkEnd w:id="4608"/>
      <w:bookmarkEnd w:id="4609"/>
      <w:bookmarkEnd w:id="4610"/>
      <w:bookmarkEnd w:id="4611"/>
      <w:bookmarkEnd w:id="4612"/>
      <w:bookmarkEnd w:id="4613"/>
      <w:bookmarkEnd w:id="4614"/>
      <w:bookmarkEnd w:id="4620"/>
      <w:bookmarkEnd w:id="4621"/>
      <w:bookmarkEnd w:id="4622"/>
      <w:bookmarkEnd w:id="4623"/>
    </w:p>
    <w:p>
      <w:pPr>
        <w:pStyle w:val="Footnoteheading"/>
      </w:pPr>
      <w:r>
        <w:tab/>
        <w:t>[Heading inserted: No. 24 of 2018 s. 8.]</w:t>
      </w:r>
    </w:p>
    <w:p>
      <w:pPr>
        <w:pStyle w:val="Heading5"/>
      </w:pPr>
      <w:bookmarkStart w:id="4624" w:name="_Toc104291176"/>
      <w:bookmarkStart w:id="4625" w:name="_Toc527633788"/>
      <w:bookmarkStart w:id="4626" w:name="_Toc527637286"/>
      <w:bookmarkStart w:id="4627" w:name="_Toc531859503"/>
      <w:r>
        <w:rPr>
          <w:rStyle w:val="CharSectno"/>
        </w:rPr>
        <w:t>205ZG</w:t>
      </w:r>
      <w:r>
        <w:t>.</w:t>
      </w:r>
      <w:r>
        <w:tab/>
        <w:t>Which entities are residential landholders</w:t>
      </w:r>
      <w:bookmarkEnd w:id="4624"/>
      <w:bookmarkEnd w:id="4625"/>
      <w:bookmarkEnd w:id="4626"/>
      <w:bookmarkEnd w:id="4627"/>
    </w:p>
    <w:p>
      <w:pPr>
        <w:pStyle w:val="Subsection"/>
      </w:pPr>
      <w:r>
        <w:tab/>
        <w:t>(1)</w:t>
      </w:r>
      <w:r>
        <w:tab/>
        <w:t xml:space="preserve">This section applies where it is necessary to determine in relation to an acquisition of an interest in an entity whether the entity is a residential landholder for the purposes </w:t>
      </w:r>
      <w:del w:id="4628" w:author="Master Repository Process" w:date="2022-05-27T14:27:00Z">
        <w:r>
          <w:delText xml:space="preserve">of </w:delText>
        </w:r>
      </w:del>
      <w:r>
        <w:t>section 205ZH</w:t>
      </w:r>
      <w:del w:id="4629" w:author="Master Repository Process" w:date="2022-05-27T14:27:00Z">
        <w:r>
          <w:delText xml:space="preserve"> or 205ZI</w:delText>
        </w:r>
      </w:del>
      <w:r>
        <w:t>.</w:t>
      </w:r>
    </w:p>
    <w:p>
      <w:pPr>
        <w:pStyle w:val="Subsection"/>
        <w:rPr>
          <w:ins w:id="4630" w:author="Master Repository Process" w:date="2022-05-27T14:27:00Z"/>
        </w:rPr>
      </w:pPr>
      <w:r>
        <w:tab/>
        <w:t>(2)</w:t>
      </w:r>
      <w:r>
        <w:tab/>
      </w:r>
      <w:del w:id="4631" w:author="Master Repository Process" w:date="2022-05-27T14:27:00Z">
        <w:r>
          <w:delText xml:space="preserve">A corporation </w:delText>
        </w:r>
      </w:del>
      <w:ins w:id="4632" w:author="Master Repository Process" w:date="2022-05-27T14:27:00Z">
        <w:r>
          <w:t xml:space="preserve">An entity </w:t>
        </w:r>
      </w:ins>
      <w:r>
        <w:t>is a residential landholder if</w:t>
      </w:r>
      <w:del w:id="4633" w:author="Master Repository Process" w:date="2022-05-27T14:27:00Z">
        <w:r>
          <w:delText xml:space="preserve"> </w:delText>
        </w:r>
      </w:del>
      <w:ins w:id="4634" w:author="Master Repository Process" w:date="2022-05-27T14:27:00Z">
        <w:r>
          <w:t xml:space="preserve"> — </w:t>
        </w:r>
      </w:ins>
    </w:p>
    <w:p>
      <w:pPr>
        <w:pStyle w:val="Subsection"/>
        <w:rPr>
          <w:del w:id="4635" w:author="Master Repository Process" w:date="2022-05-27T14:27:00Z"/>
        </w:rPr>
      </w:pPr>
      <w:ins w:id="4636" w:author="Master Repository Process" w:date="2022-05-27T14:27:00Z">
        <w:r>
          <w:tab/>
          <w:t>(a)</w:t>
        </w:r>
        <w:r>
          <w:tab/>
        </w:r>
      </w:ins>
      <w:r>
        <w:t>immediately before the acquisition</w:t>
      </w:r>
      <w:del w:id="4637" w:author="Master Repository Process" w:date="2022-05-27T14:27:00Z">
        <w:r>
          <w:delText xml:space="preserve"> — </w:delText>
        </w:r>
      </w:del>
    </w:p>
    <w:p>
      <w:pPr>
        <w:pStyle w:val="Indenta"/>
      </w:pPr>
      <w:del w:id="4638" w:author="Master Repository Process" w:date="2022-05-27T14:27:00Z">
        <w:r>
          <w:tab/>
          <w:delText>(a)</w:delText>
        </w:r>
        <w:r>
          <w:tab/>
        </w:r>
      </w:del>
      <w:ins w:id="4639" w:author="Master Repository Process" w:date="2022-05-27T14:27:00Z">
        <w:r>
          <w:t xml:space="preserve">, </w:t>
        </w:r>
      </w:ins>
      <w:r>
        <w:t xml:space="preserve">it is entitled to residential property or an entity linked to the </w:t>
      </w:r>
      <w:del w:id="4640" w:author="Master Repository Process" w:date="2022-05-27T14:27:00Z">
        <w:r>
          <w:delText>corporation</w:delText>
        </w:r>
      </w:del>
      <w:ins w:id="4641" w:author="Master Repository Process" w:date="2022-05-27T14:27:00Z">
        <w:r>
          <w:t>entity</w:t>
        </w:r>
      </w:ins>
      <w:r>
        <w:t xml:space="preserve"> is so entitled; and</w:t>
      </w:r>
    </w:p>
    <w:p>
      <w:pPr>
        <w:pStyle w:val="Indenta"/>
        <w:rPr>
          <w:del w:id="4642" w:author="Master Repository Process" w:date="2022-05-27T14:27:00Z"/>
        </w:rPr>
      </w:pPr>
      <w:r>
        <w:tab/>
        <w:t>(b)</w:t>
      </w:r>
      <w:r>
        <w:tab/>
        <w:t>it is a landholder</w:t>
      </w:r>
      <w:del w:id="4643" w:author="Master Repository Process" w:date="2022-05-27T14:27:00Z">
        <w:r>
          <w:delText>.</w:delText>
        </w:r>
      </w:del>
    </w:p>
    <w:p>
      <w:pPr>
        <w:pStyle w:val="Indenta"/>
      </w:pPr>
      <w:del w:id="4644" w:author="Master Repository Process" w:date="2022-05-27T14:27:00Z">
        <w:r>
          <w:tab/>
          <w:delText>(3)</w:delText>
        </w:r>
        <w:r>
          <w:tab/>
          <w:delText xml:space="preserve">A unit trust scheme is a residential landholder if immediately before </w:delText>
        </w:r>
      </w:del>
      <w:ins w:id="4645" w:author="Master Repository Process" w:date="2022-05-27T14:27:00Z">
        <w:r>
          <w:t xml:space="preserve"> in relation to </w:t>
        </w:r>
      </w:ins>
      <w:r>
        <w:t>the acquisition</w:t>
      </w:r>
      <w:del w:id="4646" w:author="Master Repository Process" w:date="2022-05-27T14:27:00Z">
        <w:r>
          <w:delText xml:space="preserve"> — </w:delText>
        </w:r>
      </w:del>
      <w:ins w:id="4647" w:author="Master Repository Process" w:date="2022-05-27T14:27:00Z">
        <w:r>
          <w:t>.</w:t>
        </w:r>
      </w:ins>
    </w:p>
    <w:p>
      <w:pPr>
        <w:pStyle w:val="Indenta"/>
        <w:rPr>
          <w:del w:id="4648" w:author="Master Repository Process" w:date="2022-05-27T14:27:00Z"/>
        </w:rPr>
      </w:pPr>
      <w:del w:id="4649" w:author="Master Repository Process" w:date="2022-05-27T14:27:00Z">
        <w:r>
          <w:tab/>
          <w:delText>(a)</w:delText>
        </w:r>
        <w:r>
          <w:tab/>
          <w:delText xml:space="preserve">the trustee of the scheme is entitled to residential property or an entity linked to the unit trust scheme is so entitled; and </w:delText>
        </w:r>
      </w:del>
    </w:p>
    <w:p>
      <w:pPr>
        <w:pStyle w:val="Indenta"/>
        <w:rPr>
          <w:del w:id="4650" w:author="Master Repository Process" w:date="2022-05-27T14:27:00Z"/>
        </w:rPr>
      </w:pPr>
      <w:del w:id="4651" w:author="Master Repository Process" w:date="2022-05-27T14:27:00Z">
        <w:r>
          <w:tab/>
          <w:delText>(b)</w:delText>
        </w:r>
        <w:r>
          <w:tab/>
          <w:delText xml:space="preserve">the scheme is a landholder. </w:delText>
        </w:r>
      </w:del>
    </w:p>
    <w:p>
      <w:pPr>
        <w:pStyle w:val="Subsection"/>
        <w:rPr>
          <w:del w:id="4652" w:author="Master Repository Process" w:date="2022-05-27T14:27:00Z"/>
        </w:rPr>
      </w:pPr>
      <w:del w:id="4653" w:author="Master Repository Process" w:date="2022-05-27T14:27:00Z">
        <w:r>
          <w:tab/>
          <w:delText>(4)</w:delText>
        </w:r>
        <w:r>
          <w:tab/>
          <w:delText xml:space="preserve">For the purposes of subsections (2)(a) and (3)(a) — </w:delText>
        </w:r>
      </w:del>
    </w:p>
    <w:p>
      <w:pPr>
        <w:pStyle w:val="Indenta"/>
        <w:rPr>
          <w:del w:id="4654" w:author="Master Repository Process" w:date="2022-05-27T14:27:00Z"/>
        </w:rPr>
      </w:pPr>
      <w:del w:id="4655" w:author="Master Repository Process" w:date="2022-05-27T14:27:00Z">
        <w:r>
          <w:tab/>
          <w:delText>(a)</w:delText>
        </w:r>
        <w:r>
          <w:tab/>
          <w:delText xml:space="preserve">a partnership, as a linked entity, is entitled to residential property if the partnership property is or includes residential property; and </w:delText>
        </w:r>
      </w:del>
    </w:p>
    <w:p>
      <w:pPr>
        <w:pStyle w:val="Indenta"/>
        <w:rPr>
          <w:del w:id="4656" w:author="Master Repository Process" w:date="2022-05-27T14:27:00Z"/>
        </w:rPr>
      </w:pPr>
      <w:del w:id="4657" w:author="Master Repository Process" w:date="2022-05-27T14:27:00Z">
        <w:r>
          <w:tab/>
          <w:delText>(b)</w:delText>
        </w:r>
        <w:r>
          <w:tab/>
          <w:delText>a unit trust scheme, as a linked entity, is entitled to residential property if the trustee of the scheme is so entitled.</w:delText>
        </w:r>
      </w:del>
    </w:p>
    <w:p>
      <w:pPr>
        <w:pStyle w:val="Ednotesubsection"/>
        <w:rPr>
          <w:ins w:id="4658" w:author="Master Repository Process" w:date="2022-05-27T14:27:00Z"/>
        </w:rPr>
      </w:pPr>
      <w:ins w:id="4659" w:author="Master Repository Process" w:date="2022-05-27T14:27:00Z">
        <w:r>
          <w:tab/>
          <w:t>[(3), (4)</w:t>
        </w:r>
        <w:r>
          <w:tab/>
          <w:t>deleted]</w:t>
        </w:r>
      </w:ins>
    </w:p>
    <w:p>
      <w:pPr>
        <w:pStyle w:val="Footnotesection"/>
      </w:pPr>
      <w:bookmarkStart w:id="4660" w:name="_Toc513472035"/>
      <w:bookmarkStart w:id="4661" w:name="_Toc513472129"/>
      <w:bookmarkStart w:id="4662" w:name="_Toc515352279"/>
      <w:bookmarkStart w:id="4663" w:name="_Toc516044945"/>
      <w:bookmarkStart w:id="4664" w:name="_Toc516238690"/>
      <w:bookmarkStart w:id="4665" w:name="_Toc516239065"/>
      <w:bookmarkStart w:id="4666" w:name="_Toc516240252"/>
      <w:bookmarkStart w:id="4667" w:name="_Toc526928445"/>
      <w:bookmarkStart w:id="4668" w:name="_Toc527633789"/>
      <w:bookmarkStart w:id="4669" w:name="_Toc527637287"/>
      <w:r>
        <w:tab/>
        <w:t>[Section 205ZG inserted: No. 24 of 2018 s. </w:t>
      </w:r>
      <w:del w:id="4670" w:author="Master Repository Process" w:date="2022-05-27T14:27:00Z">
        <w:r>
          <w:delText>8</w:delText>
        </w:r>
      </w:del>
      <w:ins w:id="4671" w:author="Master Repository Process" w:date="2022-05-27T14:27:00Z">
        <w:r>
          <w:t>8; amended: No. 12 of 2019 s. 110</w:t>
        </w:r>
      </w:ins>
      <w:r>
        <w:t>.]</w:t>
      </w:r>
    </w:p>
    <w:p>
      <w:pPr>
        <w:pStyle w:val="Heading4"/>
        <w:rPr>
          <w:sz w:val="26"/>
          <w:szCs w:val="26"/>
        </w:rPr>
      </w:pPr>
      <w:bookmarkStart w:id="4672" w:name="_Toc37946982"/>
      <w:bookmarkStart w:id="4673" w:name="_Toc37947582"/>
      <w:bookmarkStart w:id="4674" w:name="_Toc38031646"/>
      <w:bookmarkStart w:id="4675" w:name="_Toc93310155"/>
      <w:bookmarkStart w:id="4676" w:name="_Toc104291177"/>
      <w:bookmarkStart w:id="4677" w:name="_Toc531692332"/>
      <w:bookmarkStart w:id="4678" w:name="_Toc531856237"/>
      <w:bookmarkStart w:id="4679" w:name="_Toc531858965"/>
      <w:bookmarkStart w:id="4680" w:name="_Toc531859504"/>
      <w:r>
        <w:rPr>
          <w:sz w:val="26"/>
          <w:szCs w:val="26"/>
        </w:rPr>
        <w:t>Division 5 — Acquisitions to which this Part applies</w:t>
      </w:r>
      <w:bookmarkEnd w:id="4672"/>
      <w:bookmarkEnd w:id="4673"/>
      <w:bookmarkEnd w:id="4674"/>
      <w:bookmarkEnd w:id="4675"/>
      <w:bookmarkEnd w:id="4676"/>
      <w:bookmarkEnd w:id="4660"/>
      <w:bookmarkEnd w:id="4661"/>
      <w:bookmarkEnd w:id="4662"/>
      <w:bookmarkEnd w:id="4663"/>
      <w:bookmarkEnd w:id="4664"/>
      <w:bookmarkEnd w:id="4665"/>
      <w:bookmarkEnd w:id="4666"/>
      <w:bookmarkEnd w:id="4667"/>
      <w:bookmarkEnd w:id="4668"/>
      <w:bookmarkEnd w:id="4669"/>
      <w:bookmarkEnd w:id="4677"/>
      <w:bookmarkEnd w:id="4678"/>
      <w:bookmarkEnd w:id="4679"/>
      <w:bookmarkEnd w:id="4680"/>
    </w:p>
    <w:p>
      <w:pPr>
        <w:pStyle w:val="Footnoteheading"/>
      </w:pPr>
      <w:r>
        <w:tab/>
        <w:t>[Heading inserted: No. 24 of 2018 s. 8.]</w:t>
      </w:r>
    </w:p>
    <w:p>
      <w:pPr>
        <w:pStyle w:val="Heading5"/>
      </w:pPr>
      <w:bookmarkStart w:id="4681" w:name="_Toc527633790"/>
      <w:bookmarkStart w:id="4682" w:name="_Toc527637288"/>
      <w:bookmarkStart w:id="4683" w:name="_Toc531859505"/>
      <w:bookmarkStart w:id="4684" w:name="_Toc104291178"/>
      <w:r>
        <w:rPr>
          <w:rStyle w:val="CharSectno"/>
        </w:rPr>
        <w:t>205ZH</w:t>
      </w:r>
      <w:r>
        <w:t>.</w:t>
      </w:r>
      <w:r>
        <w:tab/>
      </w:r>
      <w:del w:id="4685" w:author="Master Repository Process" w:date="2022-05-27T14:27:00Z">
        <w:r>
          <w:delText>Acquisition of significant interest in residential</w:delText>
        </w:r>
      </w:del>
      <w:ins w:id="4686" w:author="Master Repository Process" w:date="2022-05-27T14:27:00Z">
        <w:r>
          <w:t>Foreign</w:t>
        </w:r>
      </w:ins>
      <w:r>
        <w:t xml:space="preserve"> landholder</w:t>
      </w:r>
      <w:bookmarkEnd w:id="4681"/>
      <w:bookmarkEnd w:id="4682"/>
      <w:bookmarkEnd w:id="4683"/>
      <w:ins w:id="4687" w:author="Master Repository Process" w:date="2022-05-27T14:27:00Z">
        <w:r>
          <w:t xml:space="preserve"> acquisitions</w:t>
        </w:r>
      </w:ins>
      <w:bookmarkEnd w:id="4684"/>
    </w:p>
    <w:p>
      <w:pPr>
        <w:pStyle w:val="Subsection"/>
        <w:rPr>
          <w:del w:id="4688" w:author="Master Repository Process" w:date="2022-05-27T14:27:00Z"/>
        </w:rPr>
      </w:pPr>
      <w:r>
        <w:tab/>
        <w:t>(1)</w:t>
      </w:r>
      <w:r>
        <w:tab/>
        <w:t xml:space="preserve">An acquisition by a </w:t>
      </w:r>
      <w:del w:id="4689" w:author="Master Repository Process" w:date="2022-05-27T14:27:00Z">
        <w:r>
          <w:delText xml:space="preserve">foreign </w:delText>
        </w:r>
      </w:del>
      <w:r>
        <w:t xml:space="preserve">person </w:t>
      </w:r>
      <w:ins w:id="4690" w:author="Master Repository Process" w:date="2022-05-27T14:27:00Z">
        <w:r>
          <w:t xml:space="preserve">(the </w:t>
        </w:r>
        <w:r>
          <w:rPr>
            <w:rStyle w:val="CharDefText"/>
          </w:rPr>
          <w:t>acquirer</w:t>
        </w:r>
        <w:r>
          <w:t xml:space="preserve">) </w:t>
        </w:r>
      </w:ins>
      <w:r>
        <w:t xml:space="preserve">of an interest in an entity </w:t>
      </w:r>
      <w:del w:id="4691" w:author="Master Repository Process" w:date="2022-05-27T14:27:00Z">
        <w:r>
          <w:delText xml:space="preserve">is a </w:delText>
        </w:r>
        <w:r>
          <w:rPr>
            <w:rStyle w:val="CharDefText"/>
          </w:rPr>
          <w:delText>foreign landholder acquisition</w:delText>
        </w:r>
        <w:r>
          <w:delText xml:space="preserve"> if — </w:delText>
        </w:r>
      </w:del>
    </w:p>
    <w:p>
      <w:pPr>
        <w:pStyle w:val="Subsection"/>
      </w:pPr>
      <w:del w:id="4692" w:author="Master Repository Process" w:date="2022-05-27T14:27:00Z">
        <w:r>
          <w:tab/>
          <w:delText>(a)</w:delText>
        </w:r>
        <w:r>
          <w:tab/>
          <w:delText xml:space="preserve">immediately before the acquisition the entity was </w:delText>
        </w:r>
      </w:del>
      <w:ins w:id="4693" w:author="Master Repository Process" w:date="2022-05-27T14:27:00Z">
        <w:r>
          <w:t xml:space="preserve">that is </w:t>
        </w:r>
      </w:ins>
      <w:r>
        <w:t xml:space="preserve">a residential landholder in </w:t>
      </w:r>
      <w:del w:id="4694" w:author="Master Repository Process" w:date="2022-05-27T14:27:00Z">
        <w:r>
          <w:delText>which the interest (if any) of the foreign person and the interest (if any) of any related person did not amount to a significant interest; and</w:delText>
        </w:r>
      </w:del>
      <w:ins w:id="4695" w:author="Master Repository Process" w:date="2022-05-27T14:27:00Z">
        <w:r>
          <w:t xml:space="preserve">relation to the acquisition is a </w:t>
        </w:r>
        <w:r>
          <w:rPr>
            <w:rStyle w:val="CharDefText"/>
          </w:rPr>
          <w:t>foreign landholder acquisition</w:t>
        </w:r>
        <w:r>
          <w:t xml:space="preserve"> if — </w:t>
        </w:r>
      </w:ins>
    </w:p>
    <w:p>
      <w:pPr>
        <w:pStyle w:val="Indenta"/>
        <w:rPr>
          <w:ins w:id="4696" w:author="Master Repository Process" w:date="2022-05-27T14:27:00Z"/>
        </w:rPr>
      </w:pPr>
      <w:r>
        <w:tab/>
        <w:t>(</w:t>
      </w:r>
      <w:del w:id="4697" w:author="Master Repository Process" w:date="2022-05-27T14:27:00Z">
        <w:r>
          <w:delText>b)</w:delText>
        </w:r>
        <w:r>
          <w:tab/>
        </w:r>
      </w:del>
      <w:ins w:id="4698" w:author="Master Repository Process" w:date="2022-05-27T14:27:00Z">
        <w:r>
          <w:t>a)</w:t>
        </w:r>
        <w:r>
          <w:tab/>
          <w:t xml:space="preserve">either — </w:t>
        </w:r>
      </w:ins>
    </w:p>
    <w:p>
      <w:pPr>
        <w:pStyle w:val="Indenti"/>
        <w:rPr>
          <w:ins w:id="4699" w:author="Master Repository Process" w:date="2022-05-27T14:27:00Z"/>
        </w:rPr>
      </w:pPr>
      <w:ins w:id="4700" w:author="Master Repository Process" w:date="2022-05-27T14:27:00Z">
        <w:r>
          <w:tab/>
          <w:t>(i)</w:t>
        </w:r>
        <w:r>
          <w:tab/>
          <w:t>the acquirer is a foreign person; or</w:t>
        </w:r>
      </w:ins>
    </w:p>
    <w:p>
      <w:pPr>
        <w:pStyle w:val="Indenta"/>
        <w:rPr>
          <w:del w:id="4701" w:author="Master Repository Process" w:date="2022-05-27T14:27:00Z"/>
        </w:rPr>
      </w:pPr>
      <w:ins w:id="4702" w:author="Master Repository Process" w:date="2022-05-27T14:27:00Z">
        <w:r>
          <w:tab/>
          <w:t>(ii)</w:t>
        </w:r>
        <w:r>
          <w:tab/>
          <w:t xml:space="preserve">the acquirer is not a foreign person but, immediately </w:t>
        </w:r>
      </w:ins>
      <w:r>
        <w:t>after the acquisition</w:t>
      </w:r>
      <w:del w:id="4703" w:author="Master Repository Process" w:date="2022-05-27T14:27:00Z">
        <w:r>
          <w:delText xml:space="preserve"> the entity is a residential landholder in which — </w:delText>
        </w:r>
      </w:del>
    </w:p>
    <w:p>
      <w:pPr>
        <w:pStyle w:val="Indenti"/>
        <w:rPr>
          <w:del w:id="4704" w:author="Master Repository Process" w:date="2022-05-27T14:27:00Z"/>
        </w:rPr>
      </w:pPr>
      <w:del w:id="4705" w:author="Master Repository Process" w:date="2022-05-27T14:27:00Z">
        <w:r>
          <w:tab/>
          <w:delText>(i)</w:delText>
        </w:r>
        <w:r>
          <w:tab/>
          <w:delText>the interest of the foreign person is a significant interest; or</w:delText>
        </w:r>
      </w:del>
    </w:p>
    <w:p>
      <w:pPr>
        <w:pStyle w:val="Indenti"/>
        <w:rPr>
          <w:del w:id="4706" w:author="Master Repository Process" w:date="2022-05-27T14:27:00Z"/>
        </w:rPr>
      </w:pPr>
      <w:del w:id="4707" w:author="Master Repository Process" w:date="2022-05-27T14:27:00Z">
        <w:r>
          <w:tab/>
          <w:delText>(ii)</w:delText>
        </w:r>
        <w:r>
          <w:tab/>
          <w:delText>the interest of the foreign person when aggregated with any interest of a related person amounts to a significant interest.</w:delText>
        </w:r>
      </w:del>
    </w:p>
    <w:p>
      <w:pPr>
        <w:pStyle w:val="Subsection"/>
        <w:rPr>
          <w:del w:id="4708" w:author="Master Repository Process" w:date="2022-05-27T14:27:00Z"/>
        </w:rPr>
      </w:pPr>
      <w:del w:id="4709" w:author="Master Repository Process" w:date="2022-05-27T14:27:00Z">
        <w:r>
          <w:tab/>
          <w:delText>(2)</w:delText>
        </w:r>
        <w:r>
          <w:tab/>
          <w:delText xml:space="preserve">An acquisition by a person that is not a foreign person of an interest in an entity is a </w:delText>
        </w:r>
        <w:r>
          <w:rPr>
            <w:rStyle w:val="CharDefText"/>
          </w:rPr>
          <w:delText>foreign landholder acquisition</w:delText>
        </w:r>
        <w:r>
          <w:delText xml:space="preserve"> if — </w:delText>
        </w:r>
      </w:del>
    </w:p>
    <w:p>
      <w:pPr>
        <w:pStyle w:val="Indenta"/>
        <w:rPr>
          <w:del w:id="4710" w:author="Master Repository Process" w:date="2022-05-27T14:27:00Z"/>
        </w:rPr>
      </w:pPr>
      <w:del w:id="4711" w:author="Master Repository Process" w:date="2022-05-27T14:27:00Z">
        <w:r>
          <w:tab/>
          <w:delText>(a)</w:delText>
        </w:r>
        <w:r>
          <w:tab/>
          <w:delText>immediately before the acquisition the entity was a residential landholder in which the interest (if any) of the person and the interest (if any) of any related person did not amount to a significant interest; and</w:delText>
        </w:r>
      </w:del>
    </w:p>
    <w:p>
      <w:pPr>
        <w:pStyle w:val="Indenti"/>
      </w:pPr>
      <w:del w:id="4712" w:author="Master Repository Process" w:date="2022-05-27T14:27:00Z">
        <w:r>
          <w:tab/>
          <w:delText>(b)</w:delText>
        </w:r>
        <w:r>
          <w:tab/>
          <w:delText xml:space="preserve">after the acquisition the entity is a residential landholder in which the person and </w:delText>
        </w:r>
      </w:del>
      <w:ins w:id="4713" w:author="Master Repository Process" w:date="2022-05-27T14:27:00Z">
        <w:r>
          <w:t xml:space="preserve">, there is </w:t>
        </w:r>
      </w:ins>
      <w:r>
        <w:t xml:space="preserve">at least 1 related person </w:t>
      </w:r>
      <w:ins w:id="4714" w:author="Master Repository Process" w:date="2022-05-27T14:27:00Z">
        <w:r>
          <w:t xml:space="preserve">in respect of the acquirer </w:t>
        </w:r>
      </w:ins>
      <w:r>
        <w:t xml:space="preserve">that is a foreign person </w:t>
      </w:r>
      <w:ins w:id="4715" w:author="Master Repository Process" w:date="2022-05-27T14:27:00Z">
        <w:r>
          <w:t xml:space="preserve">and </w:t>
        </w:r>
      </w:ins>
      <w:r>
        <w:t xml:space="preserve">has an interest </w:t>
      </w:r>
      <w:del w:id="4716" w:author="Master Repository Process" w:date="2022-05-27T14:27:00Z">
        <w:r>
          <w:delText xml:space="preserve">and in which — </w:delText>
        </w:r>
      </w:del>
      <w:ins w:id="4717" w:author="Master Repository Process" w:date="2022-05-27T14:27:00Z">
        <w:r>
          <w:t>in the residential landholder;</w:t>
        </w:r>
      </w:ins>
    </w:p>
    <w:p>
      <w:pPr>
        <w:pStyle w:val="Indenta"/>
        <w:rPr>
          <w:ins w:id="4718" w:author="Master Repository Process" w:date="2022-05-27T14:27:00Z"/>
        </w:rPr>
      </w:pPr>
      <w:r>
        <w:tab/>
      </w:r>
      <w:del w:id="4719" w:author="Master Repository Process" w:date="2022-05-27T14:27:00Z">
        <w:r>
          <w:delText>(i)</w:delText>
        </w:r>
        <w:r>
          <w:tab/>
        </w:r>
      </w:del>
      <w:ins w:id="4720" w:author="Master Repository Process" w:date="2022-05-27T14:27:00Z">
        <w:r>
          <w:tab/>
          <w:t>and</w:t>
        </w:r>
      </w:ins>
    </w:p>
    <w:p>
      <w:pPr>
        <w:pStyle w:val="Indenta"/>
        <w:rPr>
          <w:ins w:id="4721" w:author="Master Repository Process" w:date="2022-05-27T14:27:00Z"/>
        </w:rPr>
      </w:pPr>
      <w:ins w:id="4722" w:author="Master Repository Process" w:date="2022-05-27T14:27:00Z">
        <w:r>
          <w:tab/>
          <w:t>(b)</w:t>
        </w:r>
        <w:r>
          <w:tab/>
          <w:t xml:space="preserve">subsection (2) applies to </w:t>
        </w:r>
      </w:ins>
      <w:r>
        <w:t xml:space="preserve">the </w:t>
      </w:r>
      <w:del w:id="4723" w:author="Master Repository Process" w:date="2022-05-27T14:27:00Z">
        <w:r>
          <w:delText xml:space="preserve">interest </w:delText>
        </w:r>
      </w:del>
      <w:ins w:id="4724" w:author="Master Repository Process" w:date="2022-05-27T14:27:00Z">
        <w:r>
          <w:t>acquisition.</w:t>
        </w:r>
      </w:ins>
    </w:p>
    <w:p>
      <w:pPr>
        <w:pStyle w:val="Subsection"/>
        <w:keepNext/>
        <w:rPr>
          <w:ins w:id="4725" w:author="Master Repository Process" w:date="2022-05-27T14:27:00Z"/>
        </w:rPr>
      </w:pPr>
      <w:ins w:id="4726" w:author="Master Repository Process" w:date="2022-05-27T14:27:00Z">
        <w:r>
          <w:tab/>
          <w:t>(2)</w:t>
        </w:r>
        <w:r>
          <w:tab/>
          <w:t xml:space="preserve">This subsection applies to an acquisition in any </w:t>
        </w:r>
      </w:ins>
      <w:r>
        <w:t xml:space="preserve">of the </w:t>
      </w:r>
      <w:del w:id="4727" w:author="Master Repository Process" w:date="2022-05-27T14:27:00Z">
        <w:r>
          <w:delText>person is</w:delText>
        </w:r>
      </w:del>
      <w:ins w:id="4728" w:author="Master Repository Process" w:date="2022-05-27T14:27:00Z">
        <w:r>
          <w:t>following circumstances —</w:t>
        </w:r>
      </w:ins>
    </w:p>
    <w:p>
      <w:pPr>
        <w:pStyle w:val="Indenta"/>
        <w:rPr>
          <w:ins w:id="4729" w:author="Master Repository Process" w:date="2022-05-27T14:27:00Z"/>
        </w:rPr>
      </w:pPr>
      <w:ins w:id="4730" w:author="Master Repository Process" w:date="2022-05-27T14:27:00Z">
        <w:r>
          <w:tab/>
          <w:t>(a)</w:t>
        </w:r>
        <w:r>
          <w:tab/>
          <w:t xml:space="preserve">if — </w:t>
        </w:r>
      </w:ins>
    </w:p>
    <w:p>
      <w:pPr>
        <w:pStyle w:val="Indenti"/>
      </w:pPr>
      <w:ins w:id="4731" w:author="Master Repository Process" w:date="2022-05-27T14:27:00Z">
        <w:r>
          <w:tab/>
          <w:t>(i)</w:t>
        </w:r>
        <w:r>
          <w:tab/>
          <w:t>immediately before the acquisition, the acquirer does not have</w:t>
        </w:r>
      </w:ins>
      <w:r>
        <w:t xml:space="preserve"> a significant interest</w:t>
      </w:r>
      <w:del w:id="4732" w:author="Master Repository Process" w:date="2022-05-27T14:27:00Z">
        <w:r>
          <w:delText>; or</w:delText>
        </w:r>
      </w:del>
      <w:ins w:id="4733" w:author="Master Repository Process" w:date="2022-05-27T14:27:00Z">
        <w:r>
          <w:t xml:space="preserve"> in the residential landholder; and</w:t>
        </w:r>
      </w:ins>
    </w:p>
    <w:p>
      <w:pPr>
        <w:pStyle w:val="Indenti"/>
        <w:rPr>
          <w:ins w:id="4734" w:author="Master Repository Process" w:date="2022-05-27T14:27:00Z"/>
        </w:rPr>
      </w:pPr>
      <w:r>
        <w:tab/>
        <w:t>(ii)</w:t>
      </w:r>
      <w:r>
        <w:tab/>
      </w:r>
      <w:del w:id="4735" w:author="Master Repository Process" w:date="2022-05-27T14:27:00Z">
        <w:r>
          <w:delText>the interest of the person when</w:delText>
        </w:r>
      </w:del>
      <w:ins w:id="4736" w:author="Master Repository Process" w:date="2022-05-27T14:27:00Z">
        <w:r>
          <w:t>immediately after the acquisition, the acquirer has a significant interest in the residential landholder;</w:t>
        </w:r>
      </w:ins>
    </w:p>
    <w:p>
      <w:pPr>
        <w:pStyle w:val="Indenta"/>
        <w:rPr>
          <w:ins w:id="4737" w:author="Master Repository Process" w:date="2022-05-27T14:27:00Z"/>
        </w:rPr>
      </w:pPr>
      <w:ins w:id="4738" w:author="Master Repository Process" w:date="2022-05-27T14:27:00Z">
        <w:r>
          <w:tab/>
          <w:t>(b)</w:t>
        </w:r>
        <w:r>
          <w:tab/>
          <w:t xml:space="preserve">if — </w:t>
        </w:r>
      </w:ins>
    </w:p>
    <w:p>
      <w:pPr>
        <w:pStyle w:val="Indenti"/>
        <w:rPr>
          <w:ins w:id="4739" w:author="Master Repository Process" w:date="2022-05-27T14:27:00Z"/>
        </w:rPr>
      </w:pPr>
      <w:ins w:id="4740" w:author="Master Repository Process" w:date="2022-05-27T14:27:00Z">
        <w:r>
          <w:tab/>
          <w:t>(i)</w:t>
        </w:r>
        <w:r>
          <w:tab/>
          <w:t>immediately before the acquisition, the</w:t>
        </w:r>
      </w:ins>
      <w:r>
        <w:t xml:space="preserve"> aggregated </w:t>
      </w:r>
      <w:del w:id="4741" w:author="Master Repository Process" w:date="2022-05-27T14:27:00Z">
        <w:r>
          <w:delText>with any</w:delText>
        </w:r>
      </w:del>
      <w:ins w:id="4742" w:author="Master Repository Process" w:date="2022-05-27T14:27:00Z">
        <w:r>
          <w:t>group</w:t>
        </w:r>
      </w:ins>
      <w:r>
        <w:t xml:space="preserve"> interest </w:t>
      </w:r>
      <w:del w:id="4743" w:author="Master Repository Process" w:date="2022-05-27T14:27:00Z">
        <w:r>
          <w:delText>of</w:delText>
        </w:r>
      </w:del>
      <w:ins w:id="4744" w:author="Master Repository Process" w:date="2022-05-27T14:27:00Z">
        <w:r>
          <w:t>in the residential landholder does not amount to</w:t>
        </w:r>
      </w:ins>
      <w:r>
        <w:t xml:space="preserve"> a </w:t>
      </w:r>
      <w:del w:id="4745" w:author="Master Repository Process" w:date="2022-05-27T14:27:00Z">
        <w:r>
          <w:delText>related person</w:delText>
        </w:r>
      </w:del>
      <w:ins w:id="4746" w:author="Master Repository Process" w:date="2022-05-27T14:27:00Z">
        <w:r>
          <w:t>significant interest; and</w:t>
        </w:r>
      </w:ins>
    </w:p>
    <w:p>
      <w:pPr>
        <w:pStyle w:val="Indenti"/>
      </w:pPr>
      <w:ins w:id="4747" w:author="Master Repository Process" w:date="2022-05-27T14:27:00Z">
        <w:r>
          <w:tab/>
          <w:t>(ii)</w:t>
        </w:r>
        <w:r>
          <w:tab/>
          <w:t>immediately after the acquisition, the aggregated group interest in the residential landholder</w:t>
        </w:r>
      </w:ins>
      <w:r>
        <w:t xml:space="preserve"> amounts to a significant interest</w:t>
      </w:r>
      <w:del w:id="4748" w:author="Master Repository Process" w:date="2022-05-27T14:27:00Z">
        <w:r>
          <w:delText>.</w:delText>
        </w:r>
      </w:del>
      <w:ins w:id="4749" w:author="Master Repository Process" w:date="2022-05-27T14:27:00Z">
        <w:r>
          <w:t>;</w:t>
        </w:r>
      </w:ins>
    </w:p>
    <w:p>
      <w:pPr>
        <w:pStyle w:val="Footnotesection"/>
        <w:rPr>
          <w:del w:id="4750" w:author="Master Repository Process" w:date="2022-05-27T14:27:00Z"/>
        </w:rPr>
      </w:pPr>
      <w:bookmarkStart w:id="4751" w:name="_Toc527633791"/>
      <w:bookmarkStart w:id="4752" w:name="_Toc527637289"/>
      <w:del w:id="4753" w:author="Master Repository Process" w:date="2022-05-27T14:27:00Z">
        <w:r>
          <w:tab/>
          <w:delText>[Section 205ZH inserted: No. 24 of 2018 s. 8.]</w:delText>
        </w:r>
      </w:del>
    </w:p>
    <w:p>
      <w:pPr>
        <w:pStyle w:val="Indenta"/>
        <w:rPr>
          <w:ins w:id="4754" w:author="Master Repository Process" w:date="2022-05-27T14:27:00Z"/>
        </w:rPr>
      </w:pPr>
      <w:bookmarkStart w:id="4755" w:name="_Toc531859506"/>
      <w:del w:id="4756" w:author="Master Repository Process" w:date="2022-05-27T14:27:00Z">
        <w:r>
          <w:rPr>
            <w:rStyle w:val="CharSectno"/>
          </w:rPr>
          <w:delText>205ZI</w:delText>
        </w:r>
        <w:r>
          <w:delText>.</w:delText>
        </w:r>
        <w:r>
          <w:tab/>
          <w:delText>Acquisition of further interest by holder of</w:delText>
        </w:r>
      </w:del>
      <w:ins w:id="4757" w:author="Master Repository Process" w:date="2022-05-27T14:27:00Z">
        <w:r>
          <w:tab/>
          <w:t>(c)</w:t>
        </w:r>
        <w:r>
          <w:tab/>
          <w:t xml:space="preserve">if — </w:t>
        </w:r>
      </w:ins>
    </w:p>
    <w:p>
      <w:pPr>
        <w:pStyle w:val="Indenti"/>
      </w:pPr>
      <w:ins w:id="4758" w:author="Master Repository Process" w:date="2022-05-27T14:27:00Z">
        <w:r>
          <w:tab/>
          <w:t>(i)</w:t>
        </w:r>
        <w:r>
          <w:tab/>
          <w:t>immediately before the acquisition, the acquirer has a</w:t>
        </w:r>
      </w:ins>
      <w:r>
        <w:t xml:space="preserve"> significant interest</w:t>
      </w:r>
      <w:bookmarkEnd w:id="4751"/>
      <w:bookmarkEnd w:id="4752"/>
      <w:bookmarkEnd w:id="4755"/>
      <w:ins w:id="4759" w:author="Master Repository Process" w:date="2022-05-27T14:27:00Z">
        <w:r>
          <w:t xml:space="preserve"> in the residential landholder; and</w:t>
        </w:r>
      </w:ins>
    </w:p>
    <w:p>
      <w:pPr>
        <w:pStyle w:val="Indenti"/>
        <w:rPr>
          <w:ins w:id="4760" w:author="Master Repository Process" w:date="2022-05-27T14:27:00Z"/>
        </w:rPr>
      </w:pPr>
      <w:r>
        <w:tab/>
        <w:t>(</w:t>
      </w:r>
      <w:del w:id="4761" w:author="Master Repository Process" w:date="2022-05-27T14:27:00Z">
        <w:r>
          <w:delText>1)</w:delText>
        </w:r>
        <w:r>
          <w:tab/>
          <w:delText>An</w:delText>
        </w:r>
      </w:del>
      <w:ins w:id="4762" w:author="Master Repository Process" w:date="2022-05-27T14:27:00Z">
        <w:r>
          <w:t>ii)</w:t>
        </w:r>
        <w:r>
          <w:tab/>
          <w:t>as a result of the</w:t>
        </w:r>
      </w:ins>
      <w:r>
        <w:t xml:space="preserve"> acquisition</w:t>
      </w:r>
      <w:del w:id="4763" w:author="Master Repository Process" w:date="2022-05-27T14:27:00Z">
        <w:r>
          <w:delText xml:space="preserve"> by a foreign person of an</w:delText>
        </w:r>
      </w:del>
      <w:ins w:id="4764" w:author="Master Repository Process" w:date="2022-05-27T14:27:00Z">
        <w:r>
          <w:t>, the acquirer’s</w:t>
        </w:r>
      </w:ins>
      <w:r>
        <w:t xml:space="preserve"> interest in </w:t>
      </w:r>
      <w:del w:id="4765" w:author="Master Repository Process" w:date="2022-05-27T14:27:00Z">
        <w:r>
          <w:delText xml:space="preserve">an entity is also a </w:delText>
        </w:r>
        <w:r>
          <w:rPr>
            <w:rStyle w:val="CharDefText"/>
          </w:rPr>
          <w:delText>foreign</w:delText>
        </w:r>
      </w:del>
      <w:ins w:id="4766" w:author="Master Repository Process" w:date="2022-05-27T14:27:00Z">
        <w:r>
          <w:t>the residential</w:t>
        </w:r>
      </w:ins>
      <w:r>
        <w:t xml:space="preserve"> landholder </w:t>
      </w:r>
      <w:del w:id="4767" w:author="Master Repository Process" w:date="2022-05-27T14:27:00Z">
        <w:r>
          <w:rPr>
            <w:rStyle w:val="CharDefText"/>
          </w:rPr>
          <w:delText>acquisition</w:delText>
        </w:r>
        <w:r>
          <w:delText xml:space="preserve"> </w:delText>
        </w:r>
      </w:del>
      <w:ins w:id="4768" w:author="Master Repository Process" w:date="2022-05-27T14:27:00Z">
        <w:r>
          <w:t>increases;</w:t>
        </w:r>
      </w:ins>
    </w:p>
    <w:p>
      <w:pPr>
        <w:pStyle w:val="Indenta"/>
      </w:pPr>
      <w:ins w:id="4769" w:author="Master Repository Process" w:date="2022-05-27T14:27:00Z">
        <w:r>
          <w:tab/>
          <w:t>(d)</w:t>
        </w:r>
        <w:r>
          <w:tab/>
        </w:r>
      </w:ins>
      <w:r>
        <w:t xml:space="preserve">if — </w:t>
      </w:r>
    </w:p>
    <w:p>
      <w:pPr>
        <w:pStyle w:val="Indenti"/>
      </w:pPr>
      <w:r>
        <w:tab/>
        <w:t>(</w:t>
      </w:r>
      <w:del w:id="4770" w:author="Master Repository Process" w:date="2022-05-27T14:27:00Z">
        <w:r>
          <w:delText>a</w:delText>
        </w:r>
      </w:del>
      <w:ins w:id="4771" w:author="Master Repository Process" w:date="2022-05-27T14:27:00Z">
        <w:r>
          <w:t>i</w:t>
        </w:r>
      </w:ins>
      <w:r>
        <w:t>)</w:t>
      </w:r>
      <w:r>
        <w:tab/>
        <w:t>immediately before the acquisition</w:t>
      </w:r>
      <w:ins w:id="4772" w:author="Master Repository Process" w:date="2022-05-27T14:27:00Z">
        <w:r>
          <w:t>,</w:t>
        </w:r>
      </w:ins>
      <w:r>
        <w:t xml:space="preserve"> the </w:t>
      </w:r>
      <w:del w:id="4773" w:author="Master Repository Process" w:date="2022-05-27T14:27:00Z">
        <w:r>
          <w:delText>entity is a</w:delText>
        </w:r>
      </w:del>
      <w:ins w:id="4774" w:author="Master Repository Process" w:date="2022-05-27T14:27:00Z">
        <w:r>
          <w:t>aggregated group interest in the</w:t>
        </w:r>
      </w:ins>
      <w:r>
        <w:t xml:space="preserve"> residential landholder </w:t>
      </w:r>
      <w:del w:id="4775" w:author="Master Repository Process" w:date="2022-05-27T14:27:00Z">
        <w:r>
          <w:delText xml:space="preserve">in which — </w:delText>
        </w:r>
      </w:del>
      <w:ins w:id="4776" w:author="Master Repository Process" w:date="2022-05-27T14:27:00Z">
        <w:r>
          <w:t>amounts to a significant interest; and</w:t>
        </w:r>
      </w:ins>
    </w:p>
    <w:p>
      <w:pPr>
        <w:pStyle w:val="Indenti"/>
        <w:rPr>
          <w:del w:id="4777" w:author="Master Repository Process" w:date="2022-05-27T14:27:00Z"/>
        </w:rPr>
      </w:pPr>
      <w:r>
        <w:tab/>
        <w:t>(</w:t>
      </w:r>
      <w:del w:id="4778" w:author="Master Repository Process" w:date="2022-05-27T14:27:00Z">
        <w:r>
          <w:delText>i)</w:delText>
        </w:r>
        <w:r>
          <w:tab/>
          <w:delText>the interest</w:delText>
        </w:r>
      </w:del>
      <w:ins w:id="4779" w:author="Master Repository Process" w:date="2022-05-27T14:27:00Z">
        <w:r>
          <w:t>ii)</w:t>
        </w:r>
        <w:r>
          <w:tab/>
          <w:t>as a result</w:t>
        </w:r>
      </w:ins>
      <w:r>
        <w:t xml:space="preserve"> of the </w:t>
      </w:r>
      <w:del w:id="4780" w:author="Master Repository Process" w:date="2022-05-27T14:27:00Z">
        <w:r>
          <w:delText xml:space="preserve">foreign person is a significant interest; or </w:delText>
        </w:r>
      </w:del>
    </w:p>
    <w:p>
      <w:pPr>
        <w:pStyle w:val="Indenti"/>
        <w:rPr>
          <w:del w:id="4781" w:author="Master Repository Process" w:date="2022-05-27T14:27:00Z"/>
        </w:rPr>
      </w:pPr>
      <w:del w:id="4782" w:author="Master Repository Process" w:date="2022-05-27T14:27:00Z">
        <w:r>
          <w:tab/>
          <w:delText>(ii)</w:delText>
        </w:r>
        <w:r>
          <w:tab/>
          <w:delText xml:space="preserve">the interest of the foreign person when </w:delText>
        </w:r>
      </w:del>
      <w:ins w:id="4783" w:author="Master Repository Process" w:date="2022-05-27T14:27:00Z">
        <w:r>
          <w:t xml:space="preserve">acquisition, the </w:t>
        </w:r>
      </w:ins>
      <w:r>
        <w:t xml:space="preserve">aggregated </w:t>
      </w:r>
      <w:del w:id="4784" w:author="Master Repository Process" w:date="2022-05-27T14:27:00Z">
        <w:r>
          <w:delText>with any interest of a related person amounts to a significant interest; or</w:delText>
        </w:r>
      </w:del>
    </w:p>
    <w:p>
      <w:pPr>
        <w:pStyle w:val="Indenti"/>
        <w:rPr>
          <w:del w:id="4785" w:author="Master Repository Process" w:date="2022-05-27T14:27:00Z"/>
        </w:rPr>
      </w:pPr>
      <w:del w:id="4786" w:author="Master Repository Process" w:date="2022-05-27T14:27:00Z">
        <w:r>
          <w:tab/>
          <w:delText>(iii)</w:delText>
        </w:r>
        <w:r>
          <w:tab/>
          <w:delText>the interest of a related person is a significant interest;</w:delText>
        </w:r>
      </w:del>
    </w:p>
    <w:p>
      <w:pPr>
        <w:pStyle w:val="Indenta"/>
        <w:rPr>
          <w:del w:id="4787" w:author="Master Repository Process" w:date="2022-05-27T14:27:00Z"/>
        </w:rPr>
      </w:pPr>
      <w:del w:id="4788" w:author="Master Repository Process" w:date="2022-05-27T14:27:00Z">
        <w:r>
          <w:tab/>
        </w:r>
        <w:r>
          <w:tab/>
          <w:delText>and</w:delText>
        </w:r>
      </w:del>
    </w:p>
    <w:p>
      <w:pPr>
        <w:pStyle w:val="Indenta"/>
        <w:rPr>
          <w:del w:id="4789" w:author="Master Repository Process" w:date="2022-05-27T14:27:00Z"/>
        </w:rPr>
      </w:pPr>
      <w:del w:id="4790" w:author="Master Repository Process" w:date="2022-05-27T14:27:00Z">
        <w:r>
          <w:tab/>
          <w:delText>(b)</w:delText>
        </w:r>
        <w:r>
          <w:tab/>
          <w:delText>by the acquisition the foreign person or any related person acquires, or the foreign person and any related person acquire, a further</w:delText>
        </w:r>
      </w:del>
      <w:ins w:id="4791" w:author="Master Repository Process" w:date="2022-05-27T14:27:00Z">
        <w:r>
          <w:t>group</w:t>
        </w:r>
      </w:ins>
      <w:r>
        <w:t xml:space="preserve"> interest in the </w:t>
      </w:r>
      <w:del w:id="4792" w:author="Master Repository Process" w:date="2022-05-27T14:27:00Z">
        <w:r>
          <w:delText>landholder.</w:delText>
        </w:r>
      </w:del>
    </w:p>
    <w:p>
      <w:pPr>
        <w:pStyle w:val="Subsection"/>
        <w:rPr>
          <w:del w:id="4793" w:author="Master Repository Process" w:date="2022-05-27T14:27:00Z"/>
        </w:rPr>
      </w:pPr>
      <w:del w:id="4794" w:author="Master Repository Process" w:date="2022-05-27T14:27:00Z">
        <w:r>
          <w:tab/>
          <w:delText>(2)</w:delText>
        </w:r>
        <w:r>
          <w:tab/>
          <w:delText xml:space="preserve">An acquisition by a person that is not a foreign person of an interest in an entity is also a </w:delText>
        </w:r>
        <w:r>
          <w:rPr>
            <w:rStyle w:val="CharDefText"/>
          </w:rPr>
          <w:delText>foreign landholder acquisition</w:delText>
        </w:r>
        <w:r>
          <w:delText xml:space="preserve"> if — </w:delText>
        </w:r>
      </w:del>
    </w:p>
    <w:p>
      <w:pPr>
        <w:pStyle w:val="Indenti"/>
      </w:pPr>
      <w:del w:id="4795" w:author="Master Repository Process" w:date="2022-05-27T14:27:00Z">
        <w:r>
          <w:tab/>
          <w:delText>(a)</w:delText>
        </w:r>
        <w:r>
          <w:tab/>
          <w:delText xml:space="preserve">immediately before the acquisition the entity is a </w:delText>
        </w:r>
      </w:del>
      <w:r>
        <w:t xml:space="preserve">residential landholder </w:t>
      </w:r>
      <w:del w:id="4796" w:author="Master Repository Process" w:date="2022-05-27T14:27:00Z">
        <w:r>
          <w:delText xml:space="preserve">in which at least 1 related person that is a foreign person has an interest and in which — </w:delText>
        </w:r>
      </w:del>
      <w:ins w:id="4797" w:author="Master Repository Process" w:date="2022-05-27T14:27:00Z">
        <w:r>
          <w:t>increases.</w:t>
        </w:r>
      </w:ins>
    </w:p>
    <w:p>
      <w:pPr>
        <w:pStyle w:val="Subsection"/>
        <w:keepNext/>
        <w:rPr>
          <w:ins w:id="4798" w:author="Master Repository Process" w:date="2022-05-27T14:27:00Z"/>
        </w:rPr>
      </w:pPr>
      <w:r>
        <w:tab/>
        <w:t>(</w:t>
      </w:r>
      <w:del w:id="4799" w:author="Master Repository Process" w:date="2022-05-27T14:27:00Z">
        <w:r>
          <w:delText>i)</w:delText>
        </w:r>
        <w:r>
          <w:tab/>
          <w:delText xml:space="preserve">the </w:delText>
        </w:r>
      </w:del>
      <w:ins w:id="4800" w:author="Master Repository Process" w:date="2022-05-27T14:27:00Z">
        <w:r>
          <w:t>3)</w:t>
        </w:r>
        <w:r>
          <w:tab/>
          <w:t xml:space="preserve">In subsection (2) — </w:t>
        </w:r>
      </w:ins>
    </w:p>
    <w:p>
      <w:pPr>
        <w:pStyle w:val="Defstart"/>
        <w:keepNext/>
        <w:rPr>
          <w:ins w:id="4801" w:author="Master Repository Process" w:date="2022-05-27T14:27:00Z"/>
        </w:rPr>
      </w:pPr>
      <w:ins w:id="4802" w:author="Master Repository Process" w:date="2022-05-27T14:27:00Z">
        <w:r>
          <w:tab/>
        </w:r>
        <w:r>
          <w:rPr>
            <w:rStyle w:val="CharDefText"/>
          </w:rPr>
          <w:t xml:space="preserve">aggregated group </w:t>
        </w:r>
      </w:ins>
      <w:r>
        <w:rPr>
          <w:rStyle w:val="CharDefText"/>
        </w:rPr>
        <w:t>interest</w:t>
      </w:r>
      <w:r>
        <w:t xml:space="preserve"> </w:t>
      </w:r>
      <w:ins w:id="4803" w:author="Master Repository Process" w:date="2022-05-27T14:27:00Z">
        <w:r>
          <w:t xml:space="preserve">means the aggregate </w:t>
        </w:r>
      </w:ins>
      <w:r>
        <w:t>of</w:t>
      </w:r>
      <w:del w:id="4804" w:author="Master Repository Process" w:date="2022-05-27T14:27:00Z">
        <w:r>
          <w:delText xml:space="preserve"> </w:delText>
        </w:r>
      </w:del>
      <w:ins w:id="4805" w:author="Master Repository Process" w:date="2022-05-27T14:27:00Z">
        <w:r>
          <w:t xml:space="preserve"> — </w:t>
        </w:r>
      </w:ins>
    </w:p>
    <w:p>
      <w:pPr>
        <w:pStyle w:val="Defpara"/>
      </w:pPr>
      <w:ins w:id="4806" w:author="Master Repository Process" w:date="2022-05-27T14:27:00Z">
        <w:r>
          <w:tab/>
          <w:t>(a)</w:t>
        </w:r>
        <w:r>
          <w:tab/>
        </w:r>
      </w:ins>
      <w:r>
        <w:t xml:space="preserve">the </w:t>
      </w:r>
      <w:del w:id="4807" w:author="Master Repository Process" w:date="2022-05-27T14:27:00Z">
        <w:r>
          <w:delText xml:space="preserve">person is a significant </w:delText>
        </w:r>
      </w:del>
      <w:r>
        <w:t>interest</w:t>
      </w:r>
      <w:del w:id="4808" w:author="Master Repository Process" w:date="2022-05-27T14:27:00Z">
        <w:r>
          <w:delText xml:space="preserve">; or </w:delText>
        </w:r>
      </w:del>
      <w:ins w:id="4809" w:author="Master Repository Process" w:date="2022-05-27T14:27:00Z">
        <w:r>
          <w:t xml:space="preserve"> (if any) that the acquirer has in the residential landholder; and</w:t>
        </w:r>
      </w:ins>
    </w:p>
    <w:p>
      <w:pPr>
        <w:pStyle w:val="Indenti"/>
        <w:rPr>
          <w:del w:id="4810" w:author="Master Repository Process" w:date="2022-05-27T14:27:00Z"/>
        </w:rPr>
      </w:pPr>
      <w:del w:id="4811" w:author="Master Repository Process" w:date="2022-05-27T14:27:00Z">
        <w:r>
          <w:tab/>
          <w:delText>(ii)</w:delText>
        </w:r>
        <w:r>
          <w:tab/>
          <w:delText>the interest of the person when aggregated with any interest of a</w:delText>
        </w:r>
      </w:del>
      <w:ins w:id="4812" w:author="Master Repository Process" w:date="2022-05-27T14:27:00Z">
        <w:r>
          <w:tab/>
          <w:t>(b)</w:t>
        </w:r>
        <w:r>
          <w:tab/>
          <w:t>if 1 or more</w:t>
        </w:r>
      </w:ins>
      <w:r>
        <w:t xml:space="preserve"> related </w:t>
      </w:r>
      <w:del w:id="4813" w:author="Master Repository Process" w:date="2022-05-27T14:27:00Z">
        <w:r>
          <w:delText>person amounts to a significant interest; or</w:delText>
        </w:r>
      </w:del>
    </w:p>
    <w:p>
      <w:pPr>
        <w:pStyle w:val="Indenti"/>
        <w:rPr>
          <w:del w:id="4814" w:author="Master Repository Process" w:date="2022-05-27T14:27:00Z"/>
        </w:rPr>
      </w:pPr>
      <w:del w:id="4815" w:author="Master Repository Process" w:date="2022-05-27T14:27:00Z">
        <w:r>
          <w:tab/>
          <w:delText>(iii)</w:delText>
        </w:r>
        <w:r>
          <w:tab/>
          <w:delText>the interest of a related person is a significant interest;</w:delText>
        </w:r>
      </w:del>
    </w:p>
    <w:p>
      <w:pPr>
        <w:pStyle w:val="Indenta"/>
        <w:rPr>
          <w:del w:id="4816" w:author="Master Repository Process" w:date="2022-05-27T14:27:00Z"/>
        </w:rPr>
      </w:pPr>
      <w:del w:id="4817" w:author="Master Repository Process" w:date="2022-05-27T14:27:00Z">
        <w:r>
          <w:tab/>
        </w:r>
        <w:r>
          <w:tab/>
          <w:delText>and</w:delText>
        </w:r>
      </w:del>
    </w:p>
    <w:p>
      <w:pPr>
        <w:pStyle w:val="Defpara"/>
      </w:pPr>
      <w:del w:id="4818" w:author="Master Repository Process" w:date="2022-05-27T14:27:00Z">
        <w:r>
          <w:tab/>
          <w:delText>(b)</w:delText>
        </w:r>
        <w:r>
          <w:tab/>
          <w:delText>by the acquisition the person or a related person acquires, or the person and a related person acquire, a further</w:delText>
        </w:r>
      </w:del>
      <w:ins w:id="4819" w:author="Master Repository Process" w:date="2022-05-27T14:27:00Z">
        <w:r>
          <w:t>persons have an</w:t>
        </w:r>
      </w:ins>
      <w:r>
        <w:t xml:space="preserve"> interest in the </w:t>
      </w:r>
      <w:ins w:id="4820" w:author="Master Repository Process" w:date="2022-05-27T14:27:00Z">
        <w:r>
          <w:t xml:space="preserve">residential </w:t>
        </w:r>
      </w:ins>
      <w:r>
        <w:t>landholder</w:t>
      </w:r>
      <w:ins w:id="4821" w:author="Master Repository Process" w:date="2022-05-27T14:27:00Z">
        <w:r>
          <w:t> — all of those interests</w:t>
        </w:r>
      </w:ins>
      <w:r>
        <w:t>.</w:t>
      </w:r>
    </w:p>
    <w:p>
      <w:pPr>
        <w:pStyle w:val="Footnotesection"/>
        <w:rPr>
          <w:ins w:id="4822" w:author="Master Repository Process" w:date="2022-05-27T14:27:00Z"/>
        </w:rPr>
      </w:pPr>
      <w:bookmarkStart w:id="4823" w:name="_Toc513472038"/>
      <w:bookmarkStart w:id="4824" w:name="_Toc513472132"/>
      <w:bookmarkStart w:id="4825" w:name="_Toc515352282"/>
      <w:bookmarkStart w:id="4826" w:name="_Toc516044948"/>
      <w:bookmarkStart w:id="4827" w:name="_Toc516238693"/>
      <w:bookmarkStart w:id="4828" w:name="_Toc516239068"/>
      <w:bookmarkStart w:id="4829" w:name="_Toc516240255"/>
      <w:bookmarkStart w:id="4830" w:name="_Toc526928448"/>
      <w:bookmarkStart w:id="4831" w:name="_Toc527633792"/>
      <w:bookmarkStart w:id="4832" w:name="_Toc527637290"/>
      <w:r>
        <w:tab/>
        <w:t xml:space="preserve">[Section </w:t>
      </w:r>
      <w:del w:id="4833" w:author="Master Repository Process" w:date="2022-05-27T14:27:00Z">
        <w:r>
          <w:delText>205ZI</w:delText>
        </w:r>
      </w:del>
      <w:ins w:id="4834" w:author="Master Repository Process" w:date="2022-05-27T14:27:00Z">
        <w:r>
          <w:t>205ZH</w:t>
        </w:r>
      </w:ins>
      <w:r>
        <w:t xml:space="preserve"> inserted: No. </w:t>
      </w:r>
      <w:del w:id="4835" w:author="Master Repository Process" w:date="2022-05-27T14:27:00Z">
        <w:r>
          <w:delText>24</w:delText>
        </w:r>
      </w:del>
      <w:ins w:id="4836" w:author="Master Repository Process" w:date="2022-05-27T14:27:00Z">
        <w:r>
          <w:t>12</w:t>
        </w:r>
      </w:ins>
      <w:r>
        <w:t xml:space="preserve"> of </w:t>
      </w:r>
      <w:del w:id="4837" w:author="Master Repository Process" w:date="2022-05-27T14:27:00Z">
        <w:r>
          <w:delText>2018</w:delText>
        </w:r>
      </w:del>
      <w:ins w:id="4838" w:author="Master Repository Process" w:date="2022-05-27T14:27:00Z">
        <w:r>
          <w:t>2019</w:t>
        </w:r>
      </w:ins>
      <w:r>
        <w:t xml:space="preserve"> s. </w:t>
      </w:r>
      <w:del w:id="4839" w:author="Master Repository Process" w:date="2022-05-27T14:27:00Z">
        <w:r>
          <w:delText>8</w:delText>
        </w:r>
      </w:del>
      <w:ins w:id="4840" w:author="Master Repository Process" w:date="2022-05-27T14:27:00Z">
        <w:r>
          <w:t>111.]</w:t>
        </w:r>
      </w:ins>
    </w:p>
    <w:p>
      <w:pPr>
        <w:pStyle w:val="Ednotesection"/>
      </w:pPr>
      <w:ins w:id="4841" w:author="Master Repository Process" w:date="2022-05-27T14:27:00Z">
        <w:r>
          <w:t>[</w:t>
        </w:r>
        <w:r>
          <w:rPr>
            <w:b/>
          </w:rPr>
          <w:t>205ZI.</w:t>
        </w:r>
        <w:r>
          <w:tab/>
          <w:t>Deleted: No. 12 of 2019 s. 111</w:t>
        </w:r>
      </w:ins>
      <w:r>
        <w:t>.]</w:t>
      </w:r>
    </w:p>
    <w:p>
      <w:pPr>
        <w:pStyle w:val="Heading4"/>
        <w:rPr>
          <w:sz w:val="26"/>
          <w:szCs w:val="26"/>
        </w:rPr>
      </w:pPr>
      <w:bookmarkStart w:id="4842" w:name="_Toc37946984"/>
      <w:bookmarkStart w:id="4843" w:name="_Toc37947584"/>
      <w:bookmarkStart w:id="4844" w:name="_Toc38031648"/>
      <w:bookmarkStart w:id="4845" w:name="_Toc93310157"/>
      <w:bookmarkStart w:id="4846" w:name="_Toc104291179"/>
      <w:bookmarkStart w:id="4847" w:name="_Toc531692335"/>
      <w:bookmarkStart w:id="4848" w:name="_Toc531856240"/>
      <w:bookmarkStart w:id="4849" w:name="_Toc531858968"/>
      <w:bookmarkStart w:id="4850" w:name="_Toc531859507"/>
      <w:r>
        <w:rPr>
          <w:sz w:val="26"/>
          <w:szCs w:val="26"/>
        </w:rPr>
        <w:t>Division 6 — Collection of foreign landholder duty</w:t>
      </w:r>
      <w:bookmarkEnd w:id="4842"/>
      <w:bookmarkEnd w:id="4843"/>
      <w:bookmarkEnd w:id="4844"/>
      <w:bookmarkEnd w:id="4845"/>
      <w:bookmarkEnd w:id="4846"/>
      <w:bookmarkEnd w:id="4823"/>
      <w:bookmarkEnd w:id="4824"/>
      <w:bookmarkEnd w:id="4825"/>
      <w:bookmarkEnd w:id="4826"/>
      <w:bookmarkEnd w:id="4827"/>
      <w:bookmarkEnd w:id="4828"/>
      <w:bookmarkEnd w:id="4829"/>
      <w:bookmarkEnd w:id="4830"/>
      <w:bookmarkEnd w:id="4831"/>
      <w:bookmarkEnd w:id="4832"/>
      <w:bookmarkEnd w:id="4847"/>
      <w:bookmarkEnd w:id="4848"/>
      <w:bookmarkEnd w:id="4849"/>
      <w:bookmarkEnd w:id="4850"/>
    </w:p>
    <w:p>
      <w:pPr>
        <w:pStyle w:val="Footnoteheading"/>
      </w:pPr>
      <w:r>
        <w:tab/>
        <w:t>[Heading inserted: No. 24 of 2018 s. 8.]</w:t>
      </w:r>
    </w:p>
    <w:p>
      <w:pPr>
        <w:pStyle w:val="Heading5"/>
      </w:pPr>
      <w:bookmarkStart w:id="4851" w:name="_Toc104291180"/>
      <w:bookmarkStart w:id="4852" w:name="_Toc527633793"/>
      <w:bookmarkStart w:id="4853" w:name="_Toc527637291"/>
      <w:bookmarkStart w:id="4854" w:name="_Toc531859508"/>
      <w:r>
        <w:rPr>
          <w:rStyle w:val="CharSectno"/>
        </w:rPr>
        <w:t>205ZJ</w:t>
      </w:r>
      <w:r>
        <w:t>.</w:t>
      </w:r>
      <w:r>
        <w:tab/>
        <w:t>Rate of foreign landholder duty</w:t>
      </w:r>
      <w:bookmarkEnd w:id="4851"/>
      <w:bookmarkEnd w:id="4852"/>
      <w:bookmarkEnd w:id="4853"/>
      <w:bookmarkEnd w:id="4854"/>
    </w:p>
    <w:p>
      <w:pPr>
        <w:pStyle w:val="Subsection"/>
      </w:pPr>
      <w:r>
        <w:tab/>
      </w:r>
      <w:r>
        <w:tab/>
        <w:t xml:space="preserve">Foreign landholder duty is chargeable — </w:t>
      </w:r>
    </w:p>
    <w:p>
      <w:pPr>
        <w:pStyle w:val="Indenta"/>
      </w:pPr>
      <w:r>
        <w:tab/>
        <w:t>(a)</w:t>
      </w:r>
      <w:r>
        <w:tab/>
        <w:t xml:space="preserve">by reference to the value referred to in section 188(1) or 189(1), as the case requires; and </w:t>
      </w:r>
    </w:p>
    <w:p>
      <w:pPr>
        <w:pStyle w:val="Indenta"/>
      </w:pPr>
      <w:r>
        <w:tab/>
        <w:t>(b)</w:t>
      </w:r>
      <w:r>
        <w:tab/>
        <w:t>at the rate of 7% of that value.</w:t>
      </w:r>
    </w:p>
    <w:p>
      <w:pPr>
        <w:pStyle w:val="Footnotesection"/>
      </w:pPr>
      <w:bookmarkStart w:id="4855" w:name="_Toc527633794"/>
      <w:bookmarkStart w:id="4856" w:name="_Toc527637292"/>
      <w:r>
        <w:tab/>
        <w:t>[Section 205ZJ inserted: No. 24 of 2018 s. 8.]</w:t>
      </w:r>
    </w:p>
    <w:p>
      <w:pPr>
        <w:pStyle w:val="Heading5"/>
      </w:pPr>
      <w:bookmarkStart w:id="4857" w:name="_Toc104291181"/>
      <w:bookmarkStart w:id="4858" w:name="_Toc531859509"/>
      <w:r>
        <w:rPr>
          <w:rStyle w:val="CharSectno"/>
        </w:rPr>
        <w:t>205ZK</w:t>
      </w:r>
      <w:r>
        <w:t>.</w:t>
      </w:r>
      <w:r>
        <w:tab/>
        <w:t>Calculation of foreign landholder duty where landholder duty calculated under s. 193</w:t>
      </w:r>
      <w:bookmarkEnd w:id="4857"/>
      <w:bookmarkEnd w:id="4855"/>
      <w:bookmarkEnd w:id="4856"/>
      <w:bookmarkEnd w:id="4858"/>
    </w:p>
    <w:p>
      <w:pPr>
        <w:pStyle w:val="Subsection"/>
      </w:pPr>
      <w:r>
        <w:tab/>
        <w:t>(1)</w:t>
      </w:r>
      <w:r>
        <w:tab/>
        <w:t>This section applies to the calculation of foreign landholder duty in respect of a foreign landholder acquisition if the Commissioner calculates landholder duty in respect of the acquisition under section 193(3).</w:t>
      </w:r>
    </w:p>
    <w:p>
      <w:pPr>
        <w:pStyle w:val="Subsection"/>
      </w:pPr>
      <w:r>
        <w:tab/>
        <w:t>(2)</w:t>
      </w:r>
      <w:r>
        <w:tab/>
        <w:t xml:space="preserve">If this section applies — </w:t>
      </w:r>
    </w:p>
    <w:p>
      <w:pPr>
        <w:pStyle w:val="Indenta"/>
      </w:pPr>
      <w:r>
        <w:tab/>
        <w:t>(a)</w:t>
      </w:r>
      <w:r>
        <w:tab/>
        <w:t>the Commissioner may calculate the foreign landholder duty in respect of the acquisition as if the acquisition occurred at the end of the relevant period (as defined in section 193(1)); and</w:t>
      </w:r>
    </w:p>
    <w:p>
      <w:pPr>
        <w:pStyle w:val="Indenta"/>
      </w:pPr>
      <w:r>
        <w:tab/>
        <w:t>(b)</w:t>
      </w:r>
      <w:r>
        <w:tab/>
        <w:t xml:space="preserve">if the single relevant acquisition referred to in section 193(3) (the </w:t>
      </w:r>
      <w:r>
        <w:rPr>
          <w:rStyle w:val="CharDefText"/>
        </w:rPr>
        <w:t>single acquisition</w:t>
      </w:r>
      <w:r>
        <w:t xml:space="preserve">) includes more than 1 foreign landholder acquisition — </w:t>
      </w:r>
    </w:p>
    <w:p>
      <w:pPr>
        <w:pStyle w:val="Indenti"/>
      </w:pPr>
      <w:r>
        <w:tab/>
        <w:t>(i)</w:t>
      </w:r>
      <w:r>
        <w:tab/>
        <w:t>the Commissioner is not required to make a separate calculation of foreign landholder duty in respect of the acquisition; and</w:t>
      </w:r>
    </w:p>
    <w:p>
      <w:pPr>
        <w:pStyle w:val="Indenti"/>
      </w:pPr>
      <w:r>
        <w:tab/>
        <w:t>(ii)</w:t>
      </w:r>
      <w:r>
        <w:tab/>
        <w:t>the Commissioner may calculate foreign landholder duty in respect of all foreign landholder acquisitions forming part of the single acquisition as if all of the acquisitions had been made by a single foreign landholder acquisition.</w:t>
      </w:r>
    </w:p>
    <w:p>
      <w:pPr>
        <w:pStyle w:val="Footnotesection"/>
      </w:pPr>
      <w:bookmarkStart w:id="4859" w:name="_Toc513472041"/>
      <w:bookmarkStart w:id="4860" w:name="_Toc513472135"/>
      <w:bookmarkStart w:id="4861" w:name="_Toc515352285"/>
      <w:bookmarkStart w:id="4862" w:name="_Toc516044951"/>
      <w:bookmarkStart w:id="4863" w:name="_Toc516238696"/>
      <w:bookmarkStart w:id="4864" w:name="_Toc516239071"/>
      <w:bookmarkStart w:id="4865" w:name="_Toc516240258"/>
      <w:bookmarkStart w:id="4866" w:name="_Toc526928451"/>
      <w:bookmarkStart w:id="4867" w:name="_Toc527633795"/>
      <w:bookmarkStart w:id="4868" w:name="_Toc527637293"/>
      <w:r>
        <w:tab/>
        <w:t>[Section 205ZK inserted: No. 24 of 2018 s. 8.]</w:t>
      </w:r>
    </w:p>
    <w:p>
      <w:pPr>
        <w:pStyle w:val="Heading5"/>
        <w:rPr>
          <w:ins w:id="4869" w:author="Master Repository Process" w:date="2022-05-27T14:27:00Z"/>
        </w:rPr>
      </w:pPr>
      <w:bookmarkStart w:id="4870" w:name="_Toc104291182"/>
      <w:ins w:id="4871" w:author="Master Repository Process" w:date="2022-05-27T14:27:00Z">
        <w:r>
          <w:rPr>
            <w:rStyle w:val="CharSectno"/>
          </w:rPr>
          <w:t>205ZKA</w:t>
        </w:r>
        <w:r>
          <w:t>.</w:t>
        </w:r>
        <w:r>
          <w:tab/>
          <w:t>Modified application of s. 176 if entity becomes residential landholder because of acquisitions forming one arrangement</w:t>
        </w:r>
        <w:bookmarkEnd w:id="4870"/>
      </w:ins>
    </w:p>
    <w:p>
      <w:pPr>
        <w:pStyle w:val="Subsection"/>
        <w:rPr>
          <w:ins w:id="4872" w:author="Master Repository Process" w:date="2022-05-27T14:27:00Z"/>
        </w:rPr>
      </w:pPr>
      <w:ins w:id="4873" w:author="Master Repository Process" w:date="2022-05-27T14:27:00Z">
        <w:r>
          <w:tab/>
          <w:t>(1)</w:t>
        </w:r>
        <w:r>
          <w:tab/>
          <w:t xml:space="preserve">This section modifies the application of section 176 in relation to an acquisition (the </w:t>
        </w:r>
        <w:r>
          <w:rPr>
            <w:rStyle w:val="CharDefText"/>
          </w:rPr>
          <w:t>main acquisition</w:t>
        </w:r>
        <w:r>
          <w:t xml:space="preserve">) of an interest in an entity (the </w:t>
        </w:r>
        <w:r>
          <w:rPr>
            <w:rStyle w:val="CharDefText"/>
          </w:rPr>
          <w:t>main entity</w:t>
        </w:r>
        <w:r>
          <w:t xml:space="preserve">) if — </w:t>
        </w:r>
      </w:ins>
    </w:p>
    <w:p>
      <w:pPr>
        <w:pStyle w:val="Indenta"/>
        <w:rPr>
          <w:ins w:id="4874" w:author="Master Repository Process" w:date="2022-05-27T14:27:00Z"/>
        </w:rPr>
      </w:pPr>
      <w:ins w:id="4875" w:author="Master Repository Process" w:date="2022-05-27T14:27:00Z">
        <w:r>
          <w:tab/>
          <w:t>(a)</w:t>
        </w:r>
        <w:r>
          <w:tab/>
          <w:t>at the time the agreement for the main acquisition is made, the main entity is not a residential landholder in relation to the main acquisition; and</w:t>
        </w:r>
      </w:ins>
    </w:p>
    <w:p>
      <w:pPr>
        <w:pStyle w:val="Indenta"/>
        <w:rPr>
          <w:ins w:id="4876" w:author="Master Repository Process" w:date="2022-05-27T14:27:00Z"/>
        </w:rPr>
      </w:pPr>
      <w:ins w:id="4877" w:author="Master Repository Process" w:date="2022-05-27T14:27:00Z">
        <w:r>
          <w:tab/>
          <w:t>(b)</w:t>
        </w:r>
        <w:r>
          <w:tab/>
          <w:t>after the agreement is made and either before or after it is completed, 1 or more other acquisitions of interests in entities occur; and</w:t>
        </w:r>
      </w:ins>
    </w:p>
    <w:p>
      <w:pPr>
        <w:pStyle w:val="Indenta"/>
        <w:rPr>
          <w:ins w:id="4878" w:author="Master Repository Process" w:date="2022-05-27T14:27:00Z"/>
        </w:rPr>
      </w:pPr>
      <w:ins w:id="4879" w:author="Master Repository Process" w:date="2022-05-27T14:27:00Z">
        <w:r>
          <w:tab/>
          <w:t>(c)</w:t>
        </w:r>
        <w:r>
          <w:tab/>
          <w:t xml:space="preserve">as a result of the occurrence of the acquisition or acquisitions referred to in paragraph (b) — </w:t>
        </w:r>
      </w:ins>
    </w:p>
    <w:p>
      <w:pPr>
        <w:pStyle w:val="Indenti"/>
        <w:rPr>
          <w:ins w:id="4880" w:author="Master Repository Process" w:date="2022-05-27T14:27:00Z"/>
        </w:rPr>
      </w:pPr>
      <w:ins w:id="4881" w:author="Master Repository Process" w:date="2022-05-27T14:27:00Z">
        <w:r>
          <w:tab/>
          <w:t>(i)</w:t>
        </w:r>
        <w:r>
          <w:tab/>
          <w:t>the main entity becomes a landholder in relation to the main acquisition because section 155(3) or 156A(3) becomes applicable; and</w:t>
        </w:r>
      </w:ins>
    </w:p>
    <w:p>
      <w:pPr>
        <w:pStyle w:val="Indenti"/>
        <w:rPr>
          <w:ins w:id="4882" w:author="Master Repository Process" w:date="2022-05-27T14:27:00Z"/>
        </w:rPr>
      </w:pPr>
      <w:ins w:id="4883" w:author="Master Repository Process" w:date="2022-05-27T14:27:00Z">
        <w:r>
          <w:tab/>
          <w:t>(ii)</w:t>
        </w:r>
        <w:r>
          <w:tab/>
          <w:t>the main entity becomes a residential landholder in relation to the main acquisition because section 205ZG(2)(b) becomes applicable.</w:t>
        </w:r>
      </w:ins>
    </w:p>
    <w:p>
      <w:pPr>
        <w:pStyle w:val="Subsection"/>
        <w:rPr>
          <w:ins w:id="4884" w:author="Master Repository Process" w:date="2022-05-27T14:27:00Z"/>
        </w:rPr>
      </w:pPr>
      <w:ins w:id="4885" w:author="Master Repository Process" w:date="2022-05-27T14:27:00Z">
        <w:r>
          <w:tab/>
          <w:t>(2)</w:t>
        </w:r>
        <w:r>
          <w:tab/>
          <w:t xml:space="preserve">From the time at which section 205ZG(2)(b) becomes applicable, the application of section 176 in relation to the main acquisition is modified as follows — </w:t>
        </w:r>
      </w:ins>
    </w:p>
    <w:p>
      <w:pPr>
        <w:pStyle w:val="Indenta"/>
        <w:rPr>
          <w:ins w:id="4886" w:author="Master Repository Process" w:date="2022-05-27T14:27:00Z"/>
        </w:rPr>
      </w:pPr>
      <w:ins w:id="4887" w:author="Master Repository Process" w:date="2022-05-27T14:27:00Z">
        <w:r>
          <w:tab/>
          <w:t>(a)</w:t>
        </w:r>
        <w:r>
          <w:tab/>
          <w:t>section 176(2) applies in relation to the main acquisition subject to subsection (3) of this section;</w:t>
        </w:r>
      </w:ins>
    </w:p>
    <w:p>
      <w:pPr>
        <w:pStyle w:val="Indenta"/>
        <w:rPr>
          <w:ins w:id="4888" w:author="Master Repository Process" w:date="2022-05-27T14:27:00Z"/>
        </w:rPr>
      </w:pPr>
      <w:ins w:id="4889" w:author="Master Repository Process" w:date="2022-05-27T14:27:00Z">
        <w:r>
          <w:tab/>
          <w:t>(b)</w:t>
        </w:r>
        <w:r>
          <w:tab/>
          <w:t>section 176(3) does not apply in relation to the main acquisition.</w:t>
        </w:r>
      </w:ins>
    </w:p>
    <w:p>
      <w:pPr>
        <w:pStyle w:val="Subsection"/>
        <w:rPr>
          <w:ins w:id="4890" w:author="Master Repository Process" w:date="2022-05-27T14:27:00Z"/>
        </w:rPr>
      </w:pPr>
      <w:ins w:id="4891" w:author="Master Repository Process" w:date="2022-05-27T14:27:00Z">
        <w:r>
          <w:tab/>
          <w:t>(3)</w:t>
        </w:r>
        <w:r>
          <w:tab/>
          <w:t>For the purposes of sections 180(1) and 183, the main acquisition is taken to occur at the time at which section 205ZG(2)(b) becomes applicable.</w:t>
        </w:r>
      </w:ins>
    </w:p>
    <w:p>
      <w:pPr>
        <w:pStyle w:val="Footnotesection"/>
        <w:rPr>
          <w:ins w:id="4892" w:author="Master Repository Process" w:date="2022-05-27T14:27:00Z"/>
        </w:rPr>
      </w:pPr>
      <w:ins w:id="4893" w:author="Master Repository Process" w:date="2022-05-27T14:27:00Z">
        <w:r>
          <w:tab/>
          <w:t>[Section 205ZKA inserted: No. 12 of 2019 s. 112.]</w:t>
        </w:r>
      </w:ins>
    </w:p>
    <w:p>
      <w:pPr>
        <w:pStyle w:val="Heading4"/>
        <w:rPr>
          <w:sz w:val="26"/>
          <w:szCs w:val="26"/>
        </w:rPr>
      </w:pPr>
      <w:bookmarkStart w:id="4894" w:name="_Toc37946988"/>
      <w:bookmarkStart w:id="4895" w:name="_Toc37947588"/>
      <w:bookmarkStart w:id="4896" w:name="_Toc38031652"/>
      <w:bookmarkStart w:id="4897" w:name="_Toc93310161"/>
      <w:bookmarkStart w:id="4898" w:name="_Toc104291183"/>
      <w:bookmarkStart w:id="4899" w:name="_Toc531692338"/>
      <w:bookmarkStart w:id="4900" w:name="_Toc531856243"/>
      <w:bookmarkStart w:id="4901" w:name="_Toc531858971"/>
      <w:bookmarkStart w:id="4902" w:name="_Toc531859510"/>
      <w:r>
        <w:rPr>
          <w:sz w:val="26"/>
          <w:szCs w:val="26"/>
        </w:rPr>
        <w:t>Division 7 — Interim assessment of foreign landholder duty</w:t>
      </w:r>
      <w:bookmarkEnd w:id="4894"/>
      <w:bookmarkEnd w:id="4895"/>
      <w:bookmarkEnd w:id="4896"/>
      <w:bookmarkEnd w:id="4897"/>
      <w:bookmarkEnd w:id="4898"/>
      <w:bookmarkEnd w:id="4859"/>
      <w:bookmarkEnd w:id="4860"/>
      <w:bookmarkEnd w:id="4861"/>
      <w:bookmarkEnd w:id="4862"/>
      <w:bookmarkEnd w:id="4863"/>
      <w:bookmarkEnd w:id="4864"/>
      <w:bookmarkEnd w:id="4865"/>
      <w:bookmarkEnd w:id="4866"/>
      <w:bookmarkEnd w:id="4867"/>
      <w:bookmarkEnd w:id="4868"/>
      <w:bookmarkEnd w:id="4899"/>
      <w:bookmarkEnd w:id="4900"/>
      <w:bookmarkEnd w:id="4901"/>
      <w:bookmarkEnd w:id="4902"/>
    </w:p>
    <w:p>
      <w:pPr>
        <w:pStyle w:val="Footnoteheading"/>
      </w:pPr>
      <w:r>
        <w:tab/>
        <w:t>[Heading inserted: No. 24 of 2018 s. 8.]</w:t>
      </w:r>
    </w:p>
    <w:p>
      <w:pPr>
        <w:pStyle w:val="Heading5"/>
      </w:pPr>
      <w:bookmarkStart w:id="4903" w:name="_Toc104291184"/>
      <w:bookmarkStart w:id="4904" w:name="_Toc527633796"/>
      <w:bookmarkStart w:id="4905" w:name="_Toc527637294"/>
      <w:bookmarkStart w:id="4906" w:name="_Toc531859511"/>
      <w:r>
        <w:rPr>
          <w:rStyle w:val="CharSectno"/>
        </w:rPr>
        <w:t>205ZL</w:t>
      </w:r>
      <w:r>
        <w:t>.</w:t>
      </w:r>
      <w:r>
        <w:tab/>
        <w:t>Interim assessment of foreign landholder duty</w:t>
      </w:r>
      <w:bookmarkEnd w:id="4903"/>
      <w:bookmarkEnd w:id="4904"/>
      <w:bookmarkEnd w:id="4905"/>
      <w:bookmarkEnd w:id="4906"/>
    </w:p>
    <w:p>
      <w:pPr>
        <w:pStyle w:val="Subsection"/>
      </w:pPr>
      <w:r>
        <w:tab/>
        <w:t>(1)</w:t>
      </w:r>
      <w:r>
        <w:tab/>
        <w:t xml:space="preserve">The Commissioner may make an assessment (an </w:t>
      </w:r>
      <w:r>
        <w:rPr>
          <w:rStyle w:val="CharDefText"/>
        </w:rPr>
        <w:t>interim assessment</w:t>
      </w:r>
      <w:r>
        <w:t>) of a portion of the foreign landholder duty payable in respect of a foreign landholder acquisition if, under section 195A(1), the Commissioner makes an assessment of a portion of the landholder duty payable in respect of the acquisition.</w:t>
      </w:r>
    </w:p>
    <w:p>
      <w:pPr>
        <w:pStyle w:val="Subsection"/>
      </w:pPr>
      <w:r>
        <w:tab/>
        <w:t>(2)</w:t>
      </w:r>
      <w:r>
        <w:tab/>
        <w:t>For the purposes of making an interim assessment, the foreign landholder duty payable is to be determined as if the portion of the value of the residential landholder were the full value of the residential landholder.</w:t>
      </w:r>
    </w:p>
    <w:p>
      <w:pPr>
        <w:pStyle w:val="Subsection"/>
      </w:pPr>
      <w:r>
        <w:tab/>
        <w:t>(3)</w:t>
      </w:r>
      <w:r>
        <w:tab/>
        <w:t xml:space="preserve">The Commissioner can make a determination of a portion of the value of a residential landholder for the purposes of making an interim assessment even though the Commissioner has ascertained — </w:t>
      </w:r>
    </w:p>
    <w:p>
      <w:pPr>
        <w:pStyle w:val="Indenta"/>
      </w:pPr>
      <w:r>
        <w:tab/>
        <w:t>(a)</w:t>
      </w:r>
      <w:r>
        <w:tab/>
        <w:t>the value of only some of the residential property or chattels to which section 186(1) applies; or</w:t>
      </w:r>
    </w:p>
    <w:p>
      <w:pPr>
        <w:pStyle w:val="Indenta"/>
      </w:pPr>
      <w:r>
        <w:tab/>
        <w:t>(b)</w:t>
      </w:r>
      <w:r>
        <w:tab/>
        <w:t>only a portion of the value of particular residential property or chattels to which section 186(1) applies.</w:t>
      </w:r>
    </w:p>
    <w:p>
      <w:pPr>
        <w:pStyle w:val="Footnotesection"/>
      </w:pPr>
      <w:bookmarkStart w:id="4907" w:name="_Toc513472043"/>
      <w:bookmarkStart w:id="4908" w:name="_Toc513472137"/>
      <w:bookmarkStart w:id="4909" w:name="_Toc515352287"/>
      <w:bookmarkStart w:id="4910" w:name="_Toc516044953"/>
      <w:bookmarkStart w:id="4911" w:name="_Toc516238698"/>
      <w:bookmarkStart w:id="4912" w:name="_Toc516239073"/>
      <w:bookmarkStart w:id="4913" w:name="_Toc516240260"/>
      <w:bookmarkStart w:id="4914" w:name="_Toc526928453"/>
      <w:bookmarkStart w:id="4915" w:name="_Toc527633797"/>
      <w:bookmarkStart w:id="4916" w:name="_Toc527637295"/>
      <w:r>
        <w:tab/>
        <w:t>[Section 205ZL inserted: No. 24 of 2018 s. 8.]</w:t>
      </w:r>
    </w:p>
    <w:p>
      <w:pPr>
        <w:pStyle w:val="Heading4"/>
        <w:rPr>
          <w:sz w:val="26"/>
          <w:szCs w:val="26"/>
        </w:rPr>
      </w:pPr>
      <w:bookmarkStart w:id="4917" w:name="_Toc37946990"/>
      <w:bookmarkStart w:id="4918" w:name="_Toc37947590"/>
      <w:bookmarkStart w:id="4919" w:name="_Toc38031654"/>
      <w:bookmarkStart w:id="4920" w:name="_Toc93310163"/>
      <w:bookmarkStart w:id="4921" w:name="_Toc104291185"/>
      <w:bookmarkStart w:id="4922" w:name="_Toc531692340"/>
      <w:bookmarkStart w:id="4923" w:name="_Toc531856245"/>
      <w:bookmarkStart w:id="4924" w:name="_Toc531858973"/>
      <w:bookmarkStart w:id="4925" w:name="_Toc531859512"/>
      <w:r>
        <w:rPr>
          <w:sz w:val="26"/>
          <w:szCs w:val="26"/>
        </w:rPr>
        <w:t>Division 8 — Exemptions and reassessment</w:t>
      </w:r>
      <w:bookmarkEnd w:id="4917"/>
      <w:bookmarkEnd w:id="4918"/>
      <w:bookmarkEnd w:id="4919"/>
      <w:bookmarkEnd w:id="4920"/>
      <w:bookmarkEnd w:id="4921"/>
      <w:bookmarkEnd w:id="4907"/>
      <w:bookmarkEnd w:id="4908"/>
      <w:bookmarkEnd w:id="4909"/>
      <w:bookmarkEnd w:id="4910"/>
      <w:bookmarkEnd w:id="4911"/>
      <w:bookmarkEnd w:id="4912"/>
      <w:bookmarkEnd w:id="4913"/>
      <w:bookmarkEnd w:id="4914"/>
      <w:bookmarkEnd w:id="4915"/>
      <w:bookmarkEnd w:id="4916"/>
      <w:bookmarkEnd w:id="4922"/>
      <w:bookmarkEnd w:id="4923"/>
      <w:bookmarkEnd w:id="4924"/>
      <w:bookmarkEnd w:id="4925"/>
    </w:p>
    <w:p>
      <w:pPr>
        <w:pStyle w:val="Footnoteheading"/>
      </w:pPr>
      <w:r>
        <w:tab/>
        <w:t>[Heading inserted: No. 24 of 2018 s. 8.]</w:t>
      </w:r>
    </w:p>
    <w:p>
      <w:pPr>
        <w:pStyle w:val="Heading4"/>
      </w:pPr>
      <w:bookmarkStart w:id="4926" w:name="_Toc37946991"/>
      <w:bookmarkStart w:id="4927" w:name="_Toc37947591"/>
      <w:bookmarkStart w:id="4928" w:name="_Toc38031655"/>
      <w:bookmarkStart w:id="4929" w:name="_Toc93310164"/>
      <w:bookmarkStart w:id="4930" w:name="_Toc104291186"/>
      <w:bookmarkStart w:id="4931" w:name="_Toc513472044"/>
      <w:bookmarkStart w:id="4932" w:name="_Toc513472138"/>
      <w:bookmarkStart w:id="4933" w:name="_Toc515352288"/>
      <w:bookmarkStart w:id="4934" w:name="_Toc516044954"/>
      <w:bookmarkStart w:id="4935" w:name="_Toc516238699"/>
      <w:bookmarkStart w:id="4936" w:name="_Toc516239074"/>
      <w:bookmarkStart w:id="4937" w:name="_Toc516240261"/>
      <w:bookmarkStart w:id="4938" w:name="_Toc526928454"/>
      <w:bookmarkStart w:id="4939" w:name="_Toc527633798"/>
      <w:bookmarkStart w:id="4940" w:name="_Toc527637296"/>
      <w:bookmarkStart w:id="4941" w:name="_Toc531692341"/>
      <w:bookmarkStart w:id="4942" w:name="_Toc531856246"/>
      <w:bookmarkStart w:id="4943" w:name="_Toc531858974"/>
      <w:bookmarkStart w:id="4944" w:name="_Toc531859513"/>
      <w:r>
        <w:t>Subdivision 1 — Exempt acquisitions</w:t>
      </w:r>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p>
    <w:p>
      <w:pPr>
        <w:pStyle w:val="Footnoteheading"/>
      </w:pPr>
      <w:r>
        <w:tab/>
        <w:t>[Heading inserted: No. 24 of 2018 s. 8.]</w:t>
      </w:r>
    </w:p>
    <w:p>
      <w:pPr>
        <w:pStyle w:val="Heading5"/>
      </w:pPr>
      <w:bookmarkStart w:id="4945" w:name="_Toc104291187"/>
      <w:bookmarkStart w:id="4946" w:name="_Toc527633799"/>
      <w:bookmarkStart w:id="4947" w:name="_Toc527637297"/>
      <w:bookmarkStart w:id="4948" w:name="_Toc531859514"/>
      <w:r>
        <w:rPr>
          <w:rStyle w:val="CharSectno"/>
        </w:rPr>
        <w:t>205ZM</w:t>
      </w:r>
      <w:r>
        <w:t>.</w:t>
      </w:r>
      <w:r>
        <w:tab/>
        <w:t xml:space="preserve">Exemption </w:t>
      </w:r>
      <w:ins w:id="4949" w:author="Master Repository Process" w:date="2022-05-27T14:27:00Z">
        <w:r>
          <w:t xml:space="preserve">or reduction of foreign landholder duty </w:t>
        </w:r>
      </w:ins>
      <w:r>
        <w:t>if foreign transfer duty would not be chargeable</w:t>
      </w:r>
      <w:bookmarkEnd w:id="4945"/>
      <w:bookmarkEnd w:id="4946"/>
      <w:bookmarkEnd w:id="4947"/>
      <w:bookmarkEnd w:id="4948"/>
    </w:p>
    <w:p>
      <w:pPr>
        <w:pStyle w:val="Subsection"/>
      </w:pPr>
      <w:r>
        <w:tab/>
        <w:t>(1)</w:t>
      </w:r>
      <w:r>
        <w:tab/>
        <w:t xml:space="preserve">In this section — </w:t>
      </w:r>
    </w:p>
    <w:p>
      <w:pPr>
        <w:pStyle w:val="Defstart"/>
      </w:pPr>
      <w:r>
        <w:tab/>
      </w:r>
      <w:r>
        <w:rPr>
          <w:rStyle w:val="CharDefText"/>
        </w:rPr>
        <w:t>acquiring person</w:t>
      </w:r>
      <w:r>
        <w:t xml:space="preserve">, in relation to an acquisition, means the person making the acquisition; </w:t>
      </w:r>
    </w:p>
    <w:p>
      <w:pPr>
        <w:pStyle w:val="Defstart"/>
        <w:rPr>
          <w:del w:id="4950" w:author="Master Repository Process" w:date="2022-05-27T14:27:00Z"/>
        </w:rPr>
      </w:pPr>
      <w:r>
        <w:tab/>
      </w:r>
      <w:del w:id="4951" w:author="Master Repository Process" w:date="2022-05-27T14:27:00Z">
        <w:r>
          <w:rPr>
            <w:rStyle w:val="CharDefText"/>
          </w:rPr>
          <w:delText>relinquishing person</w:delText>
        </w:r>
      </w:del>
      <w:ins w:id="4952" w:author="Master Repository Process" w:date="2022-05-27T14:27:00Z">
        <w:r>
          <w:rPr>
            <w:rStyle w:val="CharDefText"/>
          </w:rPr>
          <w:t>notional transfer</w:t>
        </w:r>
      </w:ins>
      <w:r>
        <w:t xml:space="preserve">, in relation to an acquisition, means </w:t>
      </w:r>
      <w:del w:id="4953" w:author="Master Repository Process" w:date="2022-05-27T14:27:00Z">
        <w:r>
          <w:delText>the person from whom the interest in the landholder was acquired.</w:delText>
        </w:r>
      </w:del>
    </w:p>
    <w:p>
      <w:pPr>
        <w:pStyle w:val="Defstart"/>
      </w:pPr>
      <w:del w:id="4954" w:author="Master Repository Process" w:date="2022-05-27T14:27:00Z">
        <w:r>
          <w:tab/>
          <w:delText>(2)</w:delText>
        </w:r>
        <w:r>
          <w:tab/>
          <w:delText>An acquisition is exempt if no foreign transfer duty would be chargeable, other than under Chapter 6, on</w:delText>
        </w:r>
      </w:del>
      <w:ins w:id="4955" w:author="Master Repository Process" w:date="2022-05-27T14:27:00Z">
        <w:r>
          <w:t>a notional transaction consisting of</w:t>
        </w:r>
      </w:ins>
      <w:r>
        <w:t xml:space="preserve"> the transfer, at the time of the acquisition, by the relinquishing person to the acquiring person of </w:t>
      </w:r>
      <w:ins w:id="4956" w:author="Master Repository Process" w:date="2022-05-27T14:27:00Z">
        <w:r>
          <w:t xml:space="preserve">the relevant </w:t>
        </w:r>
      </w:ins>
      <w:r>
        <w:t>residential property</w:t>
      </w:r>
      <w:del w:id="4957" w:author="Master Repository Process" w:date="2022-05-27T14:27:00Z">
        <w:r>
          <w:delText xml:space="preserve"> of the landholder, or of a linked entity in respect of the landholder</w:delText>
        </w:r>
      </w:del>
      <w:r>
        <w:t xml:space="preserve">, as if the </w:t>
      </w:r>
      <w:ins w:id="4958" w:author="Master Repository Process" w:date="2022-05-27T14:27:00Z">
        <w:r>
          <w:t xml:space="preserve">relevant residential </w:t>
        </w:r>
      </w:ins>
      <w:r>
        <w:t xml:space="preserve">property were </w:t>
      </w:r>
      <w:del w:id="4959" w:author="Master Repository Process" w:date="2022-05-27T14:27:00Z">
        <w:r>
          <w:delText>that</w:delText>
        </w:r>
      </w:del>
      <w:ins w:id="4960" w:author="Master Repository Process" w:date="2022-05-27T14:27:00Z">
        <w:r>
          <w:t>property</w:t>
        </w:r>
      </w:ins>
      <w:r>
        <w:t xml:space="preserve"> of the relinquishing person</w:t>
      </w:r>
      <w:del w:id="4961" w:author="Master Repository Process" w:date="2022-05-27T14:27:00Z">
        <w:r>
          <w:delText>.</w:delText>
        </w:r>
      </w:del>
      <w:ins w:id="4962" w:author="Master Repository Process" w:date="2022-05-27T14:27:00Z">
        <w:r>
          <w:t>;</w:t>
        </w:r>
      </w:ins>
    </w:p>
    <w:p>
      <w:pPr>
        <w:pStyle w:val="Defstart"/>
        <w:rPr>
          <w:ins w:id="4963" w:author="Master Repository Process" w:date="2022-05-27T14:27:00Z"/>
        </w:rPr>
      </w:pPr>
      <w:ins w:id="4964" w:author="Master Repository Process" w:date="2022-05-27T14:27:00Z">
        <w:r>
          <w:tab/>
        </w:r>
        <w:r>
          <w:rPr>
            <w:rStyle w:val="CharDefText"/>
          </w:rPr>
          <w:t>relevant residential property</w:t>
        </w:r>
        <w:r>
          <w:t>, in relation to an acquisition of an interest in a residential landholder, means the residential property in Western Australia to which the landholder, and each linked entity in respect of the landholder, is entitled;</w:t>
        </w:r>
      </w:ins>
    </w:p>
    <w:p>
      <w:pPr>
        <w:pStyle w:val="Defstart"/>
        <w:rPr>
          <w:ins w:id="4965" w:author="Master Repository Process" w:date="2022-05-27T14:27:00Z"/>
        </w:rPr>
      </w:pPr>
      <w:ins w:id="4966" w:author="Master Repository Process" w:date="2022-05-27T14:27:00Z">
        <w:r>
          <w:tab/>
        </w:r>
        <w:r>
          <w:rPr>
            <w:rStyle w:val="CharDefText"/>
          </w:rPr>
          <w:t>relinquishing person</w:t>
        </w:r>
        <w:r>
          <w:t>, in relation to an acquisition, means the person from whom the interest in the residential landholder was acquired.</w:t>
        </w:r>
      </w:ins>
    </w:p>
    <w:p>
      <w:pPr>
        <w:pStyle w:val="Subsection"/>
        <w:rPr>
          <w:ins w:id="4967" w:author="Master Repository Process" w:date="2022-05-27T14:27:00Z"/>
        </w:rPr>
      </w:pPr>
      <w:ins w:id="4968" w:author="Master Repository Process" w:date="2022-05-27T14:27:00Z">
        <w:r>
          <w:tab/>
          <w:t>(2)</w:t>
        </w:r>
        <w:r>
          <w:tab/>
          <w:t>This section applies to an acquisition of an interest in a residential landholder if no foreign transfer duty would be chargeable, or foreign transfer duty would be chargeable only to a particular extent, on the notional transfer in relation to the acquisition.</w:t>
        </w:r>
      </w:ins>
    </w:p>
    <w:p>
      <w:pPr>
        <w:pStyle w:val="Subsection"/>
        <w:rPr>
          <w:ins w:id="4969" w:author="Master Repository Process" w:date="2022-05-27T14:27:00Z"/>
        </w:rPr>
      </w:pPr>
      <w:ins w:id="4970" w:author="Master Repository Process" w:date="2022-05-27T14:27:00Z">
        <w:r>
          <w:tab/>
          <w:t>(2A)</w:t>
        </w:r>
        <w:r>
          <w:tab/>
          <w:t>If no foreign transfer duty would be chargeable on the notional transfer, the acquisition is exempt.</w:t>
        </w:r>
      </w:ins>
    </w:p>
    <w:p>
      <w:pPr>
        <w:pStyle w:val="Subsection"/>
        <w:rPr>
          <w:ins w:id="4971" w:author="Master Repository Process" w:date="2022-05-27T14:27:00Z"/>
        </w:rPr>
      </w:pPr>
      <w:ins w:id="4972" w:author="Master Repository Process" w:date="2022-05-27T14:27:00Z">
        <w:r>
          <w:tab/>
          <w:t>(2B)</w:t>
        </w:r>
        <w:r>
          <w:tab/>
          <w:t>If foreign transfer duty would be chargeable on the notional transfer only to a particular extent, then despite Chapter 3 Part 6 Division 5, the amount of foreign landholder duty chargeable in respect of the acquisition is the amount of foreign landholder duty calculated under that Division in respect of the acquisition reduced by the same proportion as the proportion of the notional transfer on which no foreign transfer duty would be chargeable.</w:t>
        </w:r>
      </w:ins>
    </w:p>
    <w:p>
      <w:pPr>
        <w:pStyle w:val="Subsection"/>
      </w:pPr>
      <w:r>
        <w:tab/>
        <w:t>(3)</w:t>
      </w:r>
      <w:r>
        <w:tab/>
        <w:t xml:space="preserve">For the purposes of </w:t>
      </w:r>
      <w:del w:id="4973" w:author="Master Repository Process" w:date="2022-05-27T14:27:00Z">
        <w:r>
          <w:delText>subsection (2),</w:delText>
        </w:r>
      </w:del>
      <w:ins w:id="4974" w:author="Master Repository Process" w:date="2022-05-27T14:27:00Z">
        <w:r>
          <w:t>this section,</w:t>
        </w:r>
      </w:ins>
      <w:r>
        <w:t xml:space="preserve"> the acquiring person in respect of an acquisition </w:t>
      </w:r>
      <w:del w:id="4975" w:author="Master Repository Process" w:date="2022-05-27T14:27:00Z">
        <w:r>
          <w:delText>described in</w:delText>
        </w:r>
      </w:del>
      <w:ins w:id="4976" w:author="Master Repository Process" w:date="2022-05-27T14:27:00Z">
        <w:r>
          <w:t>to which</w:t>
        </w:r>
      </w:ins>
      <w:r>
        <w:t xml:space="preserve"> section 205ZH(</w:t>
      </w:r>
      <w:del w:id="4977" w:author="Master Repository Process" w:date="2022-05-27T14:27:00Z">
        <w:r>
          <w:delText>2) or 205ZI(2)</w:delText>
        </w:r>
      </w:del>
      <w:ins w:id="4978" w:author="Master Repository Process" w:date="2022-05-27T14:27:00Z">
        <w:r>
          <w:t>1)(a)(ii) applies</w:t>
        </w:r>
      </w:ins>
      <w:r>
        <w:t xml:space="preserve"> is to be treated as if they were a foreign person.</w:t>
      </w:r>
    </w:p>
    <w:p>
      <w:pPr>
        <w:pStyle w:val="Subsection"/>
      </w:pPr>
      <w:r>
        <w:tab/>
        <w:t>(4)</w:t>
      </w:r>
      <w:r>
        <w:tab/>
        <w:t xml:space="preserve">If the acquiring person did not acquire the interest in the residential landholder from another person, the reference to the relinquishing person </w:t>
      </w:r>
      <w:ins w:id="4979" w:author="Master Repository Process" w:date="2022-05-27T14:27:00Z">
        <w:r>
          <w:t xml:space="preserve">in the definition of </w:t>
        </w:r>
        <w:r>
          <w:rPr>
            <w:rStyle w:val="CharDefText"/>
          </w:rPr>
          <w:t>notional transfer</w:t>
        </w:r>
        <w:r>
          <w:t xml:space="preserve"> in subsection (1) </w:t>
        </w:r>
      </w:ins>
      <w:r>
        <w:t xml:space="preserve">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PermNoteHeading"/>
      </w:pPr>
      <w:r>
        <w:tab/>
        <w:t>Note for this subsection:</w:t>
      </w:r>
    </w:p>
    <w:p>
      <w:pPr>
        <w:pStyle w:val="PermNoteText"/>
      </w:pPr>
      <w:r>
        <w:tab/>
      </w:r>
      <w:r>
        <w:tab/>
        <w:t>An acquiring person may acquire an interest in a company by the company issuing shares to the person, or buying back shares of another person.</w:t>
      </w:r>
    </w:p>
    <w:p>
      <w:pPr>
        <w:pStyle w:val="Subsection"/>
        <w:rPr>
          <w:ins w:id="4980" w:author="Master Repository Process" w:date="2022-05-27T14:27:00Z"/>
        </w:rPr>
      </w:pPr>
      <w:ins w:id="4981" w:author="Master Repository Process" w:date="2022-05-27T14:27:00Z">
        <w:r>
          <w:tab/>
          <w:t>(5)</w:t>
        </w:r>
        <w:r>
          <w:tab/>
          <w:t xml:space="preserve">This section does not apply if — </w:t>
        </w:r>
      </w:ins>
    </w:p>
    <w:p>
      <w:pPr>
        <w:pStyle w:val="Indenta"/>
        <w:rPr>
          <w:ins w:id="4982" w:author="Master Repository Process" w:date="2022-05-27T14:27:00Z"/>
        </w:rPr>
      </w:pPr>
      <w:ins w:id="4983" w:author="Master Repository Process" w:date="2022-05-27T14:27:00Z">
        <w:r>
          <w:tab/>
          <w:t>(a)</w:t>
        </w:r>
        <w:r>
          <w:tab/>
          <w:t>no foreign transfer duty would be chargeable, or foreign transfer duty would be chargeable only to a particular extent, on the notional transfer because of an exemption or reduction under Chapter 6; or</w:t>
        </w:r>
      </w:ins>
    </w:p>
    <w:p>
      <w:pPr>
        <w:pStyle w:val="Indenta"/>
        <w:rPr>
          <w:ins w:id="4984" w:author="Master Repository Process" w:date="2022-05-27T14:27:00Z"/>
        </w:rPr>
      </w:pPr>
      <w:ins w:id="4985" w:author="Master Repository Process" w:date="2022-05-27T14:27:00Z">
        <w:r>
          <w:tab/>
          <w:t>(b)</w:t>
        </w:r>
        <w:r>
          <w:tab/>
          <w:t>section 194 applies to the acquisition.</w:t>
        </w:r>
      </w:ins>
    </w:p>
    <w:p>
      <w:pPr>
        <w:pStyle w:val="Footnotesection"/>
      </w:pPr>
      <w:bookmarkStart w:id="4986" w:name="_Toc527633800"/>
      <w:bookmarkStart w:id="4987" w:name="_Toc527637298"/>
      <w:r>
        <w:tab/>
        <w:t>[Section 205ZM inserted: No. 24 of 2018 s. </w:t>
      </w:r>
      <w:del w:id="4988" w:author="Master Repository Process" w:date="2022-05-27T14:27:00Z">
        <w:r>
          <w:delText>8</w:delText>
        </w:r>
      </w:del>
      <w:ins w:id="4989" w:author="Master Repository Process" w:date="2022-05-27T14:27:00Z">
        <w:r>
          <w:t>8; amended: No. 12 of 2019 s. 113</w:t>
        </w:r>
      </w:ins>
      <w:r>
        <w:t>.]</w:t>
      </w:r>
    </w:p>
    <w:p>
      <w:pPr>
        <w:pStyle w:val="Heading5"/>
      </w:pPr>
      <w:bookmarkStart w:id="4990" w:name="_Toc104291188"/>
      <w:bookmarkStart w:id="4991" w:name="_Toc531859515"/>
      <w:r>
        <w:rPr>
          <w:rStyle w:val="CharSectno"/>
        </w:rPr>
        <w:t>205ZN</w:t>
      </w:r>
      <w:r>
        <w:t>.</w:t>
      </w:r>
      <w:r>
        <w:tab/>
        <w:t>Exemption for certain acquisitions treated as made under agreement referred to in s. 176(2)</w:t>
      </w:r>
      <w:bookmarkEnd w:id="4990"/>
      <w:bookmarkEnd w:id="4986"/>
      <w:bookmarkEnd w:id="4987"/>
      <w:bookmarkEnd w:id="4991"/>
    </w:p>
    <w:p>
      <w:pPr>
        <w:pStyle w:val="Subsection"/>
      </w:pPr>
      <w:r>
        <w:tab/>
      </w:r>
      <w:r>
        <w:tab/>
        <w:t xml:space="preserve">An acquisition is exempt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when the agreement is completed the acquirer is not a foreign person; and</w:t>
      </w:r>
    </w:p>
    <w:p>
      <w:pPr>
        <w:pStyle w:val="Indenta"/>
      </w:pPr>
      <w:r>
        <w:tab/>
        <w:t>(c)</w:t>
      </w:r>
      <w:r>
        <w:tab/>
        <w:t>had the acquisition not been treated as mentioned in paragraph (a) the liability for foreign landholder duty in respect of the acquisition would not have arisen.</w:t>
      </w:r>
    </w:p>
    <w:p>
      <w:pPr>
        <w:pStyle w:val="Footnotesection"/>
      </w:pPr>
      <w:bookmarkStart w:id="4992" w:name="_Toc513472047"/>
      <w:bookmarkStart w:id="4993" w:name="_Toc513472141"/>
      <w:bookmarkStart w:id="4994" w:name="_Toc515352291"/>
      <w:bookmarkStart w:id="4995" w:name="_Toc516044957"/>
      <w:bookmarkStart w:id="4996" w:name="_Toc516238702"/>
      <w:bookmarkStart w:id="4997" w:name="_Toc516239077"/>
      <w:bookmarkStart w:id="4998" w:name="_Toc516240264"/>
      <w:bookmarkStart w:id="4999" w:name="_Toc526928457"/>
      <w:bookmarkStart w:id="5000" w:name="_Toc527633801"/>
      <w:bookmarkStart w:id="5001" w:name="_Toc527637299"/>
      <w:r>
        <w:tab/>
        <w:t>[Section 205ZN inserted: No. 24 of 2018 s. 8.]</w:t>
      </w:r>
    </w:p>
    <w:p>
      <w:pPr>
        <w:pStyle w:val="Heading4"/>
      </w:pPr>
      <w:bookmarkStart w:id="5002" w:name="_Toc37946994"/>
      <w:bookmarkStart w:id="5003" w:name="_Toc37947594"/>
      <w:bookmarkStart w:id="5004" w:name="_Toc38031658"/>
      <w:bookmarkStart w:id="5005" w:name="_Toc93310167"/>
      <w:bookmarkStart w:id="5006" w:name="_Toc104291189"/>
      <w:bookmarkStart w:id="5007" w:name="_Toc531692344"/>
      <w:bookmarkStart w:id="5008" w:name="_Toc531856249"/>
      <w:bookmarkStart w:id="5009" w:name="_Toc531858977"/>
      <w:bookmarkStart w:id="5010" w:name="_Toc531859516"/>
      <w:r>
        <w:t>Subdivision 2 — Exemptions relating to construction, refurbishment and subdivision</w:t>
      </w:r>
      <w:bookmarkEnd w:id="5002"/>
      <w:bookmarkEnd w:id="5003"/>
      <w:bookmarkEnd w:id="5004"/>
      <w:bookmarkEnd w:id="5005"/>
      <w:bookmarkEnd w:id="5006"/>
      <w:bookmarkEnd w:id="4992"/>
      <w:bookmarkEnd w:id="4993"/>
      <w:bookmarkEnd w:id="4994"/>
      <w:bookmarkEnd w:id="4995"/>
      <w:bookmarkEnd w:id="4996"/>
      <w:bookmarkEnd w:id="4997"/>
      <w:bookmarkEnd w:id="4998"/>
      <w:bookmarkEnd w:id="4999"/>
      <w:bookmarkEnd w:id="5000"/>
      <w:bookmarkEnd w:id="5001"/>
      <w:bookmarkEnd w:id="5007"/>
      <w:bookmarkEnd w:id="5008"/>
      <w:bookmarkEnd w:id="5009"/>
      <w:bookmarkEnd w:id="5010"/>
    </w:p>
    <w:p>
      <w:pPr>
        <w:pStyle w:val="Footnoteheading"/>
      </w:pPr>
      <w:r>
        <w:tab/>
        <w:t>[Heading inserted: No. 24 of 2018 s. 8.]</w:t>
      </w:r>
    </w:p>
    <w:p>
      <w:pPr>
        <w:pStyle w:val="Heading5"/>
      </w:pPr>
      <w:bookmarkStart w:id="5011" w:name="_Toc104291190"/>
      <w:bookmarkStart w:id="5012" w:name="_Toc527633802"/>
      <w:bookmarkStart w:id="5013" w:name="_Toc527637300"/>
      <w:bookmarkStart w:id="5014" w:name="_Toc531859517"/>
      <w:r>
        <w:rPr>
          <w:rStyle w:val="CharSectno"/>
        </w:rPr>
        <w:t>205ZO</w:t>
      </w:r>
      <w:r>
        <w:t>.</w:t>
      </w:r>
      <w:r>
        <w:tab/>
        <w:t>Exemption relating to construction or refurbishment of 10 or more dwellings</w:t>
      </w:r>
      <w:bookmarkEnd w:id="5011"/>
      <w:bookmarkEnd w:id="5012"/>
      <w:bookmarkEnd w:id="5013"/>
      <w:bookmarkEnd w:id="5014"/>
    </w:p>
    <w:p>
      <w:pPr>
        <w:pStyle w:val="Subsection"/>
      </w:pPr>
      <w:r>
        <w:tab/>
        <w:t>(1)</w:t>
      </w:r>
      <w:r>
        <w:tab/>
        <w:t xml:space="preserve">An acquisition is exempt if — </w:t>
      </w:r>
    </w:p>
    <w:p>
      <w:pPr>
        <w:pStyle w:val="Indenta"/>
      </w:pPr>
      <w:r>
        <w:tab/>
        <w:t>(a)</w:t>
      </w:r>
      <w:r>
        <w:tab/>
        <w:t>at the time when the acquisition occurs, the residential landholder or a linked entity in respect of the landholder is entitled to a parcel of land on which there is no building, or part of a building, capable of being used solely or dominantly as a place of residence; and</w:t>
      </w:r>
    </w:p>
    <w:p>
      <w:pPr>
        <w:pStyle w:val="Indenta"/>
      </w:pPr>
      <w:r>
        <w:tab/>
        <w:t>(b)</w:t>
      </w:r>
      <w:r>
        <w:tab/>
        <w:t>the landholder, linked entity or an associate of the landholder intends to construct, refurbish or complete the construction or refurbishment of 10 or more dwellings on the parcel of land; and</w:t>
      </w:r>
    </w:p>
    <w:p>
      <w:pPr>
        <w:pStyle w:val="Indenta"/>
      </w:pPr>
      <w:r>
        <w:tab/>
        <w:t>(c)</w:t>
      </w:r>
      <w:r>
        <w:tab/>
        <w:t>within the period of 5 years beginning on the day on which the acquisition occurs, the landholder, linked entity or associate complies with subsection (2) in relation to 10 or more dwellings; and</w:t>
      </w:r>
    </w:p>
    <w:p>
      <w:pPr>
        <w:pStyle w:val="Indenta"/>
      </w:pPr>
      <w:r>
        <w:tab/>
        <w:t>(d)</w:t>
      </w:r>
      <w:r>
        <w:tab/>
        <w:t>the interest the subject of the acquisition has not been disposed of by the acquirer at the time the landholder, linked entity or associate complies with subsection (2) in relation to 10 or more dwellings; and</w:t>
      </w:r>
    </w:p>
    <w:p>
      <w:pPr>
        <w:pStyle w:val="Indenta"/>
      </w:pPr>
      <w:r>
        <w:tab/>
        <w:t>(e)</w:t>
      </w:r>
      <w:r>
        <w:tab/>
        <w:t>the parcel of land is, in the Commissioner’s opinion, suitable for 10 or more dwellings.</w:t>
      </w:r>
    </w:p>
    <w:p>
      <w:pPr>
        <w:pStyle w:val="Subsection"/>
      </w:pPr>
      <w:r>
        <w:tab/>
        <w:t>(2)</w:t>
      </w:r>
      <w:r>
        <w:tab/>
        <w:t xml:space="preserve">A residential landholder, linked entity or associate of a residential landholder complies with this subsection in relation to — </w:t>
      </w:r>
    </w:p>
    <w:p>
      <w:pPr>
        <w:pStyle w:val="Indenta"/>
      </w:pPr>
      <w:r>
        <w:tab/>
        <w:t>(a)</w:t>
      </w:r>
      <w:r>
        <w:tab/>
        <w:t>a dwelling the landholder, linked entity or associate intends to construct, if the landholder, linked entity or associate begins construction of that dwelling or another dwelling on the parcel of land; or</w:t>
      </w:r>
    </w:p>
    <w:p>
      <w:pPr>
        <w:pStyle w:val="Indenta"/>
      </w:pPr>
      <w:r>
        <w:tab/>
        <w:t>(b)</w:t>
      </w:r>
      <w:r>
        <w:tab/>
        <w:t>a dwelling the landholder, linked entity or associate intends to refurbish, if all licences, approvals, registrations, exemptions and other kinds of authorisation necessary to refurbish that dwelling or another dwelling on the parcel of land are issued, granted or obtained; or</w:t>
      </w:r>
    </w:p>
    <w:p>
      <w:pPr>
        <w:pStyle w:val="Indenta"/>
      </w:pPr>
      <w:r>
        <w:tab/>
        <w:t>(c)</w:t>
      </w:r>
      <w:r>
        <w:tab/>
        <w:t>a dwelling the landholder, linked entity or associate intends to complete construction or refurbishment of, if that dwelling or another dwelling on the parcel of land, construction or refurbishment of which is completed by the landholder, linked entity or associate, is ready for occupation as a place of residence.</w:t>
      </w:r>
    </w:p>
    <w:p>
      <w:pPr>
        <w:pStyle w:val="Subsection"/>
      </w:pPr>
      <w:r>
        <w:tab/>
        <w:t>(3)</w:t>
      </w:r>
      <w:r>
        <w:tab/>
        <w:t xml:space="preserve">For the purposes of subsection (2)(a), construction of a dwelling begins on — </w:t>
      </w:r>
    </w:p>
    <w:p>
      <w:pPr>
        <w:pStyle w:val="Indenta"/>
      </w:pPr>
      <w:r>
        <w:tab/>
        <w:t>(a)</w:t>
      </w:r>
      <w:r>
        <w:tab/>
        <w:t>the day on which laying the foundations for the dwelling begins; or</w:t>
      </w:r>
    </w:p>
    <w:p>
      <w:pPr>
        <w:pStyle w:val="Indenta"/>
      </w:pPr>
      <w:r>
        <w:tab/>
        <w:t>(b)</w:t>
      </w:r>
      <w:r>
        <w:tab/>
        <w:t>another day the Commissioner considers appropriate in the circumstances of the case.</w:t>
      </w:r>
    </w:p>
    <w:p>
      <w:pPr>
        <w:pStyle w:val="Subsection"/>
      </w:pPr>
      <w:r>
        <w:tab/>
        <w:t>(4)</w:t>
      </w:r>
      <w:r>
        <w:tab/>
        <w:t xml:space="preserve">An application for reassessment under section 205ZR because of this section must be made on or before the later of the following — </w:t>
      </w:r>
    </w:p>
    <w:p>
      <w:pPr>
        <w:pStyle w:val="Indenta"/>
      </w:pPr>
      <w:r>
        <w:tab/>
        <w:t>(a)</w:t>
      </w:r>
      <w:r>
        <w:tab/>
        <w:t>the last day of the period of 1 year beginning on the day on which the residential landholder, linked entity or associate complies with subsection (2) in relation to 10 or more dwellings;</w:t>
      </w:r>
    </w:p>
    <w:p>
      <w:pPr>
        <w:pStyle w:val="Indenta"/>
      </w:pPr>
      <w:r>
        <w:tab/>
        <w:t>(b)</w:t>
      </w:r>
      <w:r>
        <w:tab/>
        <w:t>the last day of the period of 5 years beginning on the day on which the acquisition occurs.</w:t>
      </w:r>
    </w:p>
    <w:p>
      <w:pPr>
        <w:pStyle w:val="Footnotesection"/>
      </w:pPr>
      <w:bookmarkStart w:id="5015" w:name="_Toc527633803"/>
      <w:bookmarkStart w:id="5016" w:name="_Toc527637301"/>
      <w:r>
        <w:tab/>
        <w:t>[Section 205ZO inserted: No. 24 of 2018 s. 8.]</w:t>
      </w:r>
    </w:p>
    <w:p>
      <w:pPr>
        <w:pStyle w:val="Heading5"/>
      </w:pPr>
      <w:bookmarkStart w:id="5017" w:name="_Toc104291191"/>
      <w:bookmarkStart w:id="5018" w:name="_Toc531859518"/>
      <w:r>
        <w:rPr>
          <w:rStyle w:val="CharSectno"/>
        </w:rPr>
        <w:t>205ZP</w:t>
      </w:r>
      <w:r>
        <w:t>.</w:t>
      </w:r>
      <w:r>
        <w:tab/>
        <w:t>Exemption relating to subdivision for purpose of constructing 10 or more dwellings</w:t>
      </w:r>
      <w:bookmarkEnd w:id="5017"/>
      <w:bookmarkEnd w:id="5015"/>
      <w:bookmarkEnd w:id="5016"/>
      <w:bookmarkEnd w:id="5018"/>
    </w:p>
    <w:p>
      <w:pPr>
        <w:pStyle w:val="Subsection"/>
      </w:pPr>
      <w:r>
        <w:tab/>
        <w:t>(1)</w:t>
      </w:r>
      <w:r>
        <w:tab/>
        <w:t xml:space="preserve">An acquisition is exempt if — </w:t>
      </w:r>
    </w:p>
    <w:p>
      <w:pPr>
        <w:pStyle w:val="Indenta"/>
      </w:pPr>
      <w:r>
        <w:tab/>
        <w:t>(a)</w:t>
      </w:r>
      <w:r>
        <w:tab/>
        <w:t>at the time when the acquisition occurs, the residential landholder or a linked entity in respect of the landholder is entitled to a parcel of land that is vacant or substantially vacant; and</w:t>
      </w:r>
    </w:p>
    <w:p>
      <w:pPr>
        <w:pStyle w:val="Indenta"/>
      </w:pPr>
      <w:r>
        <w:tab/>
        <w:t>(b)</w:t>
      </w:r>
      <w:r>
        <w:tab/>
        <w:t xml:space="preserve">the landholder, linked entity or an associate of the landholder intends to subdivide or complete subdividing the parcel of land for the purpose of a person constructing 10 or more dwellings on the </w:t>
      </w:r>
      <w:del w:id="5019" w:author="Master Repository Process" w:date="2022-05-27T14:27:00Z">
        <w:r>
          <w:delText xml:space="preserve">parcel of </w:delText>
        </w:r>
      </w:del>
      <w:r>
        <w:t>land; and</w:t>
      </w:r>
    </w:p>
    <w:p>
      <w:pPr>
        <w:pStyle w:val="Indenta"/>
      </w:pPr>
      <w:r>
        <w:tab/>
        <w:t>(c)</w:t>
      </w:r>
      <w:r>
        <w:tab/>
        <w:t xml:space="preserve">within the period of 5 years beginning on the day on which the acquisition occurs, the landholder, linked entity or associate — </w:t>
      </w:r>
    </w:p>
    <w:p>
      <w:pPr>
        <w:pStyle w:val="Indenti"/>
      </w:pPr>
      <w:r>
        <w:tab/>
        <w:t>(i)</w:t>
      </w:r>
      <w:r>
        <w:tab/>
        <w:t xml:space="preserve">begins subdividing the parcel of land; or </w:t>
      </w:r>
    </w:p>
    <w:p>
      <w:pPr>
        <w:pStyle w:val="Indenti"/>
      </w:pPr>
      <w:r>
        <w:tab/>
        <w:t>(ii)</w:t>
      </w:r>
      <w:r>
        <w:tab/>
        <w:t>if subdividing the parcel of land has begun when the acquisition occurs, completes subdividing the parcel of land;</w:t>
      </w:r>
    </w:p>
    <w:p>
      <w:pPr>
        <w:pStyle w:val="Indenta"/>
      </w:pPr>
      <w:r>
        <w:tab/>
      </w:r>
      <w:r>
        <w:tab/>
        <w:t>and</w:t>
      </w:r>
    </w:p>
    <w:p>
      <w:pPr>
        <w:pStyle w:val="Indenta"/>
      </w:pPr>
      <w:r>
        <w:tab/>
        <w:t>(d)</w:t>
      </w:r>
      <w:r>
        <w:tab/>
        <w:t xml:space="preserve">the interest the subject of the acquisition has not been disposed of by the acquirer when the landholder, linked entity or associate — </w:t>
      </w:r>
    </w:p>
    <w:p>
      <w:pPr>
        <w:pStyle w:val="Indenti"/>
      </w:pPr>
      <w:r>
        <w:tab/>
        <w:t>(i)</w:t>
      </w:r>
      <w:r>
        <w:tab/>
        <w:t xml:space="preserve">begins subdividing the parcel of land; or </w:t>
      </w:r>
    </w:p>
    <w:p>
      <w:pPr>
        <w:pStyle w:val="Indenti"/>
      </w:pPr>
      <w:r>
        <w:tab/>
        <w:t>(ii)</w:t>
      </w:r>
      <w:r>
        <w:tab/>
        <w:t>if subdividing the parcel of land has begun when the acquisition occurs, completes subdividing the parcel of land;</w:t>
      </w:r>
    </w:p>
    <w:p>
      <w:pPr>
        <w:pStyle w:val="Indenta"/>
      </w:pPr>
      <w:r>
        <w:tab/>
      </w:r>
      <w:r>
        <w:tab/>
        <w:t>and</w:t>
      </w:r>
    </w:p>
    <w:p>
      <w:pPr>
        <w:pStyle w:val="Indenta"/>
      </w:pPr>
      <w:r>
        <w:tab/>
        <w:t>(e)</w:t>
      </w:r>
      <w:r>
        <w:tab/>
        <w:t>the parcel of land is, in the Commissioner’s opinion, suitable for 10 or more dwellings.</w:t>
      </w:r>
    </w:p>
    <w:p>
      <w:pPr>
        <w:pStyle w:val="Subsection"/>
      </w:pPr>
      <w:r>
        <w:tab/>
        <w:t>(2)</w:t>
      </w:r>
      <w:r>
        <w:tab/>
        <w:t xml:space="preserve">An application for reassessment under section 205ZR because of this section must be made on or before the later of the following — </w:t>
      </w:r>
    </w:p>
    <w:p>
      <w:pPr>
        <w:pStyle w:val="Indenta"/>
      </w:pPr>
      <w:r>
        <w:tab/>
        <w:t>(a)</w:t>
      </w:r>
      <w:r>
        <w:tab/>
        <w:t xml:space="preserve">the last day of the period of 1 year beginning on the day on which the landholder, linked entity or associate — </w:t>
      </w:r>
    </w:p>
    <w:p>
      <w:pPr>
        <w:pStyle w:val="Indenti"/>
      </w:pPr>
      <w:r>
        <w:tab/>
        <w:t>(i)</w:t>
      </w:r>
      <w:r>
        <w:tab/>
        <w:t xml:space="preserve">begins subdividing the parcel of land; or </w:t>
      </w:r>
    </w:p>
    <w:p>
      <w:pPr>
        <w:pStyle w:val="Indenti"/>
      </w:pPr>
      <w:r>
        <w:tab/>
        <w:t>(ii)</w:t>
      </w:r>
      <w:r>
        <w:tab/>
        <w:t>if subdividing the parcel of land has begun when the acquisition occurs, completes subdividing the parcel of land;</w:t>
      </w:r>
    </w:p>
    <w:p>
      <w:pPr>
        <w:pStyle w:val="Indenta"/>
      </w:pPr>
      <w:r>
        <w:tab/>
        <w:t>(b)</w:t>
      </w:r>
      <w:r>
        <w:tab/>
        <w:t>the last day of the period of 5 years beginning on the day on which the acquisition occurs.</w:t>
      </w:r>
    </w:p>
    <w:p>
      <w:pPr>
        <w:pStyle w:val="Subsection"/>
        <w:keepNext/>
      </w:pPr>
      <w:r>
        <w:tab/>
        <w:t>(3)</w:t>
      </w:r>
      <w:r>
        <w:tab/>
        <w:t xml:space="preserve">For the purposes of subsections (1)(c) and (d) and (2)(a) — </w:t>
      </w:r>
    </w:p>
    <w:p>
      <w:pPr>
        <w:pStyle w:val="Indenta"/>
      </w:pPr>
      <w:r>
        <w:tab/>
        <w:t>(a)</w:t>
      </w:r>
      <w:r>
        <w:tab/>
        <w:t xml:space="preserve">a person begins subdividing land on the day on which the land is subdivided under the </w:t>
      </w:r>
      <w:r>
        <w:rPr>
          <w:i/>
        </w:rPr>
        <w:t>Land Tax Assessment Act 2002</w:t>
      </w:r>
      <w:r>
        <w:t xml:space="preserve"> Glossary clause 3; and </w:t>
      </w:r>
    </w:p>
    <w:p>
      <w:pPr>
        <w:pStyle w:val="Indenta"/>
      </w:pPr>
      <w:r>
        <w:tab/>
        <w:t>(b)</w:t>
      </w:r>
      <w:r>
        <w:tab/>
        <w:t>a person completes subdividing land on the day on which the new certificate of title is created and registered for the subdivided land.</w:t>
      </w:r>
    </w:p>
    <w:p>
      <w:pPr>
        <w:pStyle w:val="Footnotesection"/>
      </w:pPr>
      <w:bookmarkStart w:id="5020" w:name="_Toc527633804"/>
      <w:bookmarkStart w:id="5021" w:name="_Toc527637302"/>
      <w:r>
        <w:tab/>
        <w:t>[Section 205ZP inserted: No. 24 of 2018 s. </w:t>
      </w:r>
      <w:del w:id="5022" w:author="Master Repository Process" w:date="2022-05-27T14:27:00Z">
        <w:r>
          <w:delText>8</w:delText>
        </w:r>
      </w:del>
      <w:ins w:id="5023" w:author="Master Repository Process" w:date="2022-05-27T14:27:00Z">
        <w:r>
          <w:t>8; amended: No. 12 of 2019 s. 114</w:t>
        </w:r>
      </w:ins>
      <w:r>
        <w:t>.]</w:t>
      </w:r>
    </w:p>
    <w:p>
      <w:pPr>
        <w:pStyle w:val="Heading5"/>
      </w:pPr>
      <w:bookmarkStart w:id="5024" w:name="_Toc104291192"/>
      <w:bookmarkStart w:id="5025" w:name="_Toc531859519"/>
      <w:r>
        <w:rPr>
          <w:rStyle w:val="CharSectno"/>
        </w:rPr>
        <w:t>205ZQ</w:t>
      </w:r>
      <w:r>
        <w:t>.</w:t>
      </w:r>
      <w:r>
        <w:tab/>
        <w:t>Calculation of duty where some land of landholder not part of parcel of land</w:t>
      </w:r>
      <w:bookmarkEnd w:id="5024"/>
      <w:bookmarkEnd w:id="5020"/>
      <w:bookmarkEnd w:id="5021"/>
      <w:bookmarkEnd w:id="5025"/>
    </w:p>
    <w:p>
      <w:pPr>
        <w:pStyle w:val="Subsection"/>
      </w:pPr>
      <w:r>
        <w:tab/>
        <w:t>(1)</w:t>
      </w:r>
      <w:r>
        <w:tab/>
        <w:t xml:space="preserve">This section applies to an acquisition referred to in section 205ZO or 205ZP if immediately before the acquisition the residential landholder, or a linked entity in respect of the landholder, is entitled to — </w:t>
      </w:r>
    </w:p>
    <w:p>
      <w:pPr>
        <w:pStyle w:val="Indenta"/>
      </w:pPr>
      <w:r>
        <w:tab/>
        <w:t>(a)</w:t>
      </w:r>
      <w:r>
        <w:tab/>
        <w:t>a parcel of land referred to in section 205ZO or 205ZP; and</w:t>
      </w:r>
    </w:p>
    <w:p>
      <w:pPr>
        <w:pStyle w:val="Indenta"/>
      </w:pPr>
      <w:r>
        <w:tab/>
        <w:t>(b)</w:t>
      </w:r>
      <w:r>
        <w:tab/>
        <w:t>other residential property in Western Australia.</w:t>
      </w:r>
    </w:p>
    <w:p>
      <w:pPr>
        <w:pStyle w:val="Subsection"/>
      </w:pPr>
      <w:r>
        <w:tab/>
        <w:t>(2)</w:t>
      </w:r>
      <w:r>
        <w:tab/>
        <w:t>Section 166 is not applicable to or in relation to the acquisition.</w:t>
      </w:r>
    </w:p>
    <w:p>
      <w:pPr>
        <w:pStyle w:val="Subsection"/>
      </w:pPr>
      <w:r>
        <w:tab/>
        <w:t>(3)</w:t>
      </w:r>
      <w:r>
        <w:tab/>
        <w:t>For the purposes of calculating foreign landholder duty in respect of the acquisition the residential property referred to in subsection (1)(a) is to be disregarded when determining the value of the landholder.</w:t>
      </w:r>
    </w:p>
    <w:p>
      <w:pPr>
        <w:pStyle w:val="Footnotesection"/>
      </w:pPr>
      <w:bookmarkStart w:id="5026" w:name="_Toc513472051"/>
      <w:bookmarkStart w:id="5027" w:name="_Toc513472145"/>
      <w:bookmarkStart w:id="5028" w:name="_Toc515352295"/>
      <w:bookmarkStart w:id="5029" w:name="_Toc516044961"/>
      <w:bookmarkStart w:id="5030" w:name="_Toc516238706"/>
      <w:bookmarkStart w:id="5031" w:name="_Toc516239081"/>
      <w:bookmarkStart w:id="5032" w:name="_Toc516240268"/>
      <w:bookmarkStart w:id="5033" w:name="_Toc526928461"/>
      <w:bookmarkStart w:id="5034" w:name="_Toc527633805"/>
      <w:bookmarkStart w:id="5035" w:name="_Toc527637303"/>
      <w:r>
        <w:tab/>
        <w:t>[Section 205ZQ inserted: No. 24 of 2018 s. 8.]</w:t>
      </w:r>
    </w:p>
    <w:p>
      <w:pPr>
        <w:pStyle w:val="Heading4"/>
      </w:pPr>
      <w:bookmarkStart w:id="5036" w:name="_Toc37946998"/>
      <w:bookmarkStart w:id="5037" w:name="_Toc37947598"/>
      <w:bookmarkStart w:id="5038" w:name="_Toc38031662"/>
      <w:bookmarkStart w:id="5039" w:name="_Toc93310171"/>
      <w:bookmarkStart w:id="5040" w:name="_Toc104291193"/>
      <w:bookmarkStart w:id="5041" w:name="_Toc531692348"/>
      <w:bookmarkStart w:id="5042" w:name="_Toc531856253"/>
      <w:bookmarkStart w:id="5043" w:name="_Toc531858981"/>
      <w:bookmarkStart w:id="5044" w:name="_Toc531859520"/>
      <w:r>
        <w:t>Subdivision 3 — Reassessment</w:t>
      </w:r>
      <w:bookmarkEnd w:id="5036"/>
      <w:bookmarkEnd w:id="5037"/>
      <w:bookmarkEnd w:id="5038"/>
      <w:bookmarkEnd w:id="5039"/>
      <w:bookmarkEnd w:id="5040"/>
      <w:bookmarkEnd w:id="5026"/>
      <w:bookmarkEnd w:id="5027"/>
      <w:bookmarkEnd w:id="5028"/>
      <w:bookmarkEnd w:id="5029"/>
      <w:bookmarkEnd w:id="5030"/>
      <w:bookmarkEnd w:id="5031"/>
      <w:bookmarkEnd w:id="5032"/>
      <w:bookmarkEnd w:id="5033"/>
      <w:bookmarkEnd w:id="5034"/>
      <w:bookmarkEnd w:id="5035"/>
      <w:bookmarkEnd w:id="5041"/>
      <w:bookmarkEnd w:id="5042"/>
      <w:bookmarkEnd w:id="5043"/>
      <w:bookmarkEnd w:id="5044"/>
    </w:p>
    <w:p>
      <w:pPr>
        <w:pStyle w:val="Footnoteheading"/>
      </w:pPr>
      <w:r>
        <w:tab/>
        <w:t>[Heading inserted: No. 24 of 2018 s. 8.]</w:t>
      </w:r>
    </w:p>
    <w:p>
      <w:pPr>
        <w:pStyle w:val="Heading5"/>
      </w:pPr>
      <w:bookmarkStart w:id="5045" w:name="_Toc104291194"/>
      <w:bookmarkStart w:id="5046" w:name="_Toc527633806"/>
      <w:bookmarkStart w:id="5047" w:name="_Toc527637304"/>
      <w:bookmarkStart w:id="5048" w:name="_Toc531859521"/>
      <w:r>
        <w:rPr>
          <w:rStyle w:val="CharSectno"/>
        </w:rPr>
        <w:t>205ZR</w:t>
      </w:r>
      <w:r>
        <w:t>.</w:t>
      </w:r>
      <w:r>
        <w:tab/>
        <w:t>Reassessment</w:t>
      </w:r>
      <w:bookmarkEnd w:id="5045"/>
      <w:bookmarkEnd w:id="5046"/>
      <w:bookmarkEnd w:id="5047"/>
      <w:bookmarkEnd w:id="5048"/>
    </w:p>
    <w:p>
      <w:pPr>
        <w:pStyle w:val="Subsection"/>
      </w:pPr>
      <w:r>
        <w:tab/>
        <w:t>(1)</w:t>
      </w:r>
      <w:r>
        <w:tab/>
        <w:t>The Commissioner, on the application of a person that has paid or is liable to pay foreign landholder duty, must reassess the liability to foreign landholder duty on an acquisition if the liability is affected by section 205ZN, 205ZO or 205ZP.</w:t>
      </w:r>
    </w:p>
    <w:p>
      <w:pPr>
        <w:pStyle w:val="Subsection"/>
      </w:pPr>
      <w:r>
        <w:tab/>
        <w:t>(2)</w:t>
      </w:r>
      <w:r>
        <w:tab/>
        <w:t>An application for reassessment under this section must be made in the approved form.</w:t>
      </w:r>
    </w:p>
    <w:p>
      <w:pPr>
        <w:pStyle w:val="Subsection"/>
      </w:pPr>
      <w:r>
        <w:tab/>
        <w:t>(3)</w:t>
      </w:r>
      <w:r>
        <w:tab/>
        <w:t>The limitations as to time in the Taxation Administration Act section 17 do not apply in respect of a reassessment because of section 205ZO or 205ZP.</w:t>
      </w:r>
    </w:p>
    <w:p>
      <w:pPr>
        <w:pStyle w:val="Footnotesection"/>
      </w:pPr>
      <w:bookmarkStart w:id="5049" w:name="_Toc513472053"/>
      <w:bookmarkStart w:id="5050" w:name="_Toc513472147"/>
      <w:bookmarkStart w:id="5051" w:name="_Toc515352297"/>
      <w:bookmarkStart w:id="5052" w:name="_Toc516044963"/>
      <w:bookmarkStart w:id="5053" w:name="_Toc516238708"/>
      <w:bookmarkStart w:id="5054" w:name="_Toc516239083"/>
      <w:bookmarkStart w:id="5055" w:name="_Toc516240270"/>
      <w:bookmarkStart w:id="5056" w:name="_Toc526928463"/>
      <w:bookmarkStart w:id="5057" w:name="_Toc527633807"/>
      <w:bookmarkStart w:id="5058" w:name="_Toc527637305"/>
      <w:r>
        <w:tab/>
        <w:t>[Section 205ZR inserted: No. 24 of 2018 s. 8.]</w:t>
      </w:r>
    </w:p>
    <w:p>
      <w:pPr>
        <w:pStyle w:val="Heading4"/>
      </w:pPr>
      <w:bookmarkStart w:id="5059" w:name="_Toc37947000"/>
      <w:bookmarkStart w:id="5060" w:name="_Toc37947600"/>
      <w:bookmarkStart w:id="5061" w:name="_Toc38031664"/>
      <w:bookmarkStart w:id="5062" w:name="_Toc93310173"/>
      <w:bookmarkStart w:id="5063" w:name="_Toc104291195"/>
      <w:bookmarkStart w:id="5064" w:name="_Toc531692350"/>
      <w:bookmarkStart w:id="5065" w:name="_Toc531856255"/>
      <w:bookmarkStart w:id="5066" w:name="_Toc531858983"/>
      <w:bookmarkStart w:id="5067" w:name="_Toc531859522"/>
      <w:r>
        <w:t>Division 9 — Lodgment of declaration</w:t>
      </w:r>
      <w:bookmarkEnd w:id="5059"/>
      <w:bookmarkEnd w:id="5060"/>
      <w:bookmarkEnd w:id="5061"/>
      <w:bookmarkEnd w:id="5062"/>
      <w:bookmarkEnd w:id="5063"/>
      <w:bookmarkEnd w:id="5049"/>
      <w:bookmarkEnd w:id="5050"/>
      <w:bookmarkEnd w:id="5051"/>
      <w:bookmarkEnd w:id="5052"/>
      <w:bookmarkEnd w:id="5053"/>
      <w:bookmarkEnd w:id="5054"/>
      <w:bookmarkEnd w:id="5055"/>
      <w:bookmarkEnd w:id="5056"/>
      <w:bookmarkEnd w:id="5057"/>
      <w:bookmarkEnd w:id="5058"/>
      <w:bookmarkEnd w:id="5064"/>
      <w:bookmarkEnd w:id="5065"/>
      <w:bookmarkEnd w:id="5066"/>
      <w:bookmarkEnd w:id="5067"/>
    </w:p>
    <w:p>
      <w:pPr>
        <w:pStyle w:val="Footnoteheading"/>
      </w:pPr>
      <w:r>
        <w:tab/>
        <w:t>[Heading inserted: No. 24 of 2018 s. 8.]</w:t>
      </w:r>
    </w:p>
    <w:p>
      <w:pPr>
        <w:pStyle w:val="Heading5"/>
      </w:pPr>
      <w:bookmarkStart w:id="5068" w:name="_Toc104291196"/>
      <w:bookmarkStart w:id="5069" w:name="_Toc527633808"/>
      <w:bookmarkStart w:id="5070" w:name="_Toc527637306"/>
      <w:bookmarkStart w:id="5071" w:name="_Toc531859523"/>
      <w:r>
        <w:rPr>
          <w:rStyle w:val="CharSectno"/>
        </w:rPr>
        <w:t>205ZS</w:t>
      </w:r>
      <w:r>
        <w:t>.</w:t>
      </w:r>
      <w:r>
        <w:tab/>
        <w:t>Foreign landholder duty declaration to be lodged</w:t>
      </w:r>
      <w:bookmarkEnd w:id="5068"/>
      <w:bookmarkEnd w:id="5069"/>
      <w:bookmarkEnd w:id="5070"/>
      <w:bookmarkEnd w:id="5071"/>
    </w:p>
    <w:p>
      <w:pPr>
        <w:pStyle w:val="Subsection"/>
      </w:pPr>
      <w:r>
        <w:tab/>
        <w:t>(1)</w:t>
      </w:r>
      <w:r>
        <w:tab/>
        <w:t>A foreign landholder duty declaration must be lodged in respect of a foreign landholder acquisition.</w:t>
      </w:r>
    </w:p>
    <w:p>
      <w:pPr>
        <w:pStyle w:val="Subsection"/>
      </w:pPr>
      <w:r>
        <w:tab/>
        <w:t>(2)</w:t>
      </w:r>
      <w:r>
        <w:tab/>
        <w:t xml:space="preserve">The foreign landholder duty declaration must be lodged on or before the day on which </w:t>
      </w:r>
      <w:del w:id="5072" w:author="Master Repository Process" w:date="2022-05-27T14:27:00Z">
        <w:r>
          <w:delText>the</w:delText>
        </w:r>
      </w:del>
      <w:ins w:id="5073" w:author="Master Repository Process" w:date="2022-05-27T14:27:00Z">
        <w:r>
          <w:t>an</w:t>
        </w:r>
      </w:ins>
      <w:r>
        <w:t xml:space="preserve"> acquisition statement </w:t>
      </w:r>
      <w:ins w:id="5074" w:author="Master Repository Process" w:date="2022-05-27T14:27:00Z">
        <w:r>
          <w:t xml:space="preserve">or agreement </w:t>
        </w:r>
      </w:ins>
      <w:r>
        <w:t>is required to be lodged under section 200</w:t>
      </w:r>
      <w:del w:id="5075" w:author="Master Repository Process" w:date="2022-05-27T14:27:00Z">
        <w:r>
          <w:delText>(3), </w:delText>
        </w:r>
      </w:del>
      <w:ins w:id="5076" w:author="Master Repository Process" w:date="2022-05-27T14:27:00Z">
        <w:r>
          <w:t xml:space="preserve">, </w:t>
        </w:r>
      </w:ins>
      <w:r>
        <w:t>201(6) or 202(2) in respect of the acquisition.</w:t>
      </w:r>
    </w:p>
    <w:p>
      <w:pPr>
        <w:pStyle w:val="Footnotesection"/>
      </w:pPr>
      <w:bookmarkStart w:id="5077" w:name="_Toc527633809"/>
      <w:bookmarkStart w:id="5078" w:name="_Toc527637307"/>
      <w:r>
        <w:tab/>
        <w:t>[Section 205ZS inserted: No. 24 of 2018 s. </w:t>
      </w:r>
      <w:del w:id="5079" w:author="Master Repository Process" w:date="2022-05-27T14:27:00Z">
        <w:r>
          <w:delText>8</w:delText>
        </w:r>
      </w:del>
      <w:ins w:id="5080" w:author="Master Repository Process" w:date="2022-05-27T14:27:00Z">
        <w:r>
          <w:t>8; amended: No. 12 of 2019 s. 115</w:t>
        </w:r>
      </w:ins>
      <w:r>
        <w:t>.]</w:t>
      </w:r>
    </w:p>
    <w:p>
      <w:pPr>
        <w:pStyle w:val="Heading5"/>
      </w:pPr>
      <w:bookmarkStart w:id="5081" w:name="_Toc104291197"/>
      <w:bookmarkStart w:id="5082" w:name="_Toc531859524"/>
      <w:r>
        <w:rPr>
          <w:rStyle w:val="CharSectno"/>
        </w:rPr>
        <w:t>205ZT</w:t>
      </w:r>
      <w:r>
        <w:t>.</w:t>
      </w:r>
      <w:r>
        <w:tab/>
        <w:t>Failure to lodge foreign landholder duty declaration</w:t>
      </w:r>
      <w:bookmarkEnd w:id="5081"/>
      <w:bookmarkEnd w:id="5077"/>
      <w:bookmarkEnd w:id="5078"/>
      <w:bookmarkEnd w:id="5082"/>
    </w:p>
    <w:p>
      <w:pPr>
        <w:pStyle w:val="Subsection"/>
      </w:pPr>
      <w:r>
        <w:tab/>
      </w:r>
      <w:r>
        <w:tab/>
        <w:t xml:space="preserve">If a foreign landholder duty declaration is not lodged in accordance with section 205ZS(2), the following persons commit an offence — </w:t>
      </w:r>
    </w:p>
    <w:p>
      <w:pPr>
        <w:pStyle w:val="Indenta"/>
      </w:pPr>
      <w:r>
        <w:tab/>
        <w:t>(a)</w:t>
      </w:r>
      <w:r>
        <w:tab/>
        <w:t>in every case, the foreign acquirer</w:t>
      </w:r>
      <w:ins w:id="5083" w:author="Master Repository Process" w:date="2022-05-27T14:27:00Z">
        <w:r>
          <w:t>, other than a person whose interest in the residential landholder is, for the purposes of calculating the duty, an excluded interest under section 189</w:t>
        </w:r>
      </w:ins>
      <w:r>
        <w:t>;</w:t>
      </w:r>
    </w:p>
    <w:p>
      <w:pPr>
        <w:pStyle w:val="Indenta"/>
      </w:pPr>
      <w:r>
        <w:tab/>
        <w:t>(b)</w:t>
      </w:r>
      <w:r>
        <w:tab/>
        <w:t xml:space="preserve">if the </w:t>
      </w:r>
      <w:del w:id="5084" w:author="Master Repository Process" w:date="2022-05-27T14:27:00Z">
        <w:r>
          <w:delText>landholder</w:delText>
        </w:r>
      </w:del>
      <w:ins w:id="5085" w:author="Master Repository Process" w:date="2022-05-27T14:27:00Z">
        <w:r>
          <w:t>residential</w:t>
        </w:r>
      </w:ins>
      <w:r>
        <w:t xml:space="preserve"> concerned is a corporation, the corporation;</w:t>
      </w:r>
    </w:p>
    <w:p>
      <w:pPr>
        <w:pStyle w:val="Indenta"/>
      </w:pPr>
      <w:r>
        <w:tab/>
        <w:t>(c)</w:t>
      </w:r>
      <w:r>
        <w:tab/>
        <w:t xml:space="preserve">if the </w:t>
      </w:r>
      <w:del w:id="5086" w:author="Master Repository Process" w:date="2022-05-27T14:27:00Z">
        <w:r>
          <w:delText>landholder</w:delText>
        </w:r>
      </w:del>
      <w:ins w:id="5087" w:author="Master Repository Process" w:date="2022-05-27T14:27:00Z">
        <w:r>
          <w:t>residential</w:t>
        </w:r>
      </w:ins>
      <w:r>
        <w:t xml:space="preserve"> concerned is a unit trust scheme, the trustee of the scheme;</w:t>
      </w:r>
    </w:p>
    <w:p>
      <w:pPr>
        <w:pStyle w:val="Indenta"/>
      </w:pPr>
      <w:r>
        <w:tab/>
        <w:t>(d)</w:t>
      </w:r>
      <w:r>
        <w:tab/>
      </w:r>
      <w:del w:id="5088" w:author="Master Repository Process" w:date="2022-05-27T14:27:00Z">
        <w:r>
          <w:delText>any person taken into account under section 205ZH or 205ZI as being</w:delText>
        </w:r>
      </w:del>
      <w:ins w:id="5089" w:author="Master Repository Process" w:date="2022-05-27T14:27:00Z">
        <w:r>
          <w:t>a foreign person that is a</w:t>
        </w:r>
      </w:ins>
      <w:r>
        <w:t xml:space="preserve"> related </w:t>
      </w:r>
      <w:del w:id="5090" w:author="Master Repository Process" w:date="2022-05-27T14:27:00Z">
        <w:r>
          <w:delText>to the</w:delText>
        </w:r>
      </w:del>
      <w:ins w:id="5091" w:author="Master Repository Process" w:date="2022-05-27T14:27:00Z">
        <w:r>
          <w:t>person in respect of a</w:t>
        </w:r>
      </w:ins>
      <w:r>
        <w:t xml:space="preserve"> foreign acquirer </w:t>
      </w:r>
      <w:del w:id="5092" w:author="Master Repository Process" w:date="2022-05-27T14:27:00Z">
        <w:r>
          <w:delText xml:space="preserve">for the purposes of the </w:delText>
        </w:r>
      </w:del>
      <w:ins w:id="5093" w:author="Master Repository Process" w:date="2022-05-27T14:27:00Z">
        <w:r>
          <w:t xml:space="preserve">(as defined in paragraph (a) of the definition of </w:t>
        </w:r>
        <w:r>
          <w:rPr>
            <w:rStyle w:val="CharDefText"/>
          </w:rPr>
          <w:t>foreign acquirer</w:t>
        </w:r>
        <w:r>
          <w:t xml:space="preserve"> in section 205ZD(1)) and has an interest in the residential landholder immediately after the foreign landholder </w:t>
        </w:r>
      </w:ins>
      <w:r>
        <w:t>acquisition, other than a person whose interest in the landholder is, for the purpose of calculating the foreign landholder duty, an excluded interest under section 189.</w:t>
      </w:r>
    </w:p>
    <w:p>
      <w:pPr>
        <w:pStyle w:val="Penstart"/>
      </w:pPr>
      <w:r>
        <w:tab/>
        <w:t>Penalty: a fine of $5 000.</w:t>
      </w:r>
    </w:p>
    <w:p>
      <w:pPr>
        <w:pStyle w:val="Footnotesection"/>
      </w:pPr>
      <w:r>
        <w:tab/>
        <w:t>[Section 205ZT inserted: No. 24 of 2018 s. </w:t>
      </w:r>
      <w:del w:id="5094" w:author="Master Repository Process" w:date="2022-05-27T14:27:00Z">
        <w:r>
          <w:delText>8</w:delText>
        </w:r>
      </w:del>
      <w:ins w:id="5095" w:author="Master Repository Process" w:date="2022-05-27T14:27:00Z">
        <w:r>
          <w:t>8; amended: No. 12 of 2019 s. 116</w:t>
        </w:r>
      </w:ins>
      <w:r>
        <w:t>.]</w:t>
      </w:r>
    </w:p>
    <w:p>
      <w:pPr>
        <w:pStyle w:val="Heading2"/>
        <w:rPr>
          <w:sz w:val="32"/>
        </w:rPr>
      </w:pPr>
      <w:bookmarkStart w:id="5096" w:name="_Toc37947003"/>
      <w:bookmarkStart w:id="5097" w:name="_Toc37947603"/>
      <w:bookmarkStart w:id="5098" w:name="_Toc38031667"/>
      <w:bookmarkStart w:id="5099" w:name="_Toc93310176"/>
      <w:bookmarkStart w:id="5100" w:name="_Toc104291198"/>
      <w:bookmarkStart w:id="5101" w:name="_Toc531692353"/>
      <w:bookmarkStart w:id="5102" w:name="_Toc531856258"/>
      <w:bookmarkStart w:id="5103" w:name="_Toc531858986"/>
      <w:bookmarkStart w:id="5104" w:name="_Toc531859525"/>
      <w:r>
        <w:rPr>
          <w:rStyle w:val="CharPartNo"/>
          <w:sz w:val="32"/>
        </w:rPr>
        <w:t>Chapter 4</w:t>
      </w:r>
      <w:r>
        <w:rPr>
          <w:sz w:val="32"/>
        </w:rPr>
        <w:t> — </w:t>
      </w:r>
      <w:r>
        <w:rPr>
          <w:rStyle w:val="CharPartText"/>
          <w:sz w:val="32"/>
        </w:rPr>
        <w:t>Insurance duty</w:t>
      </w:r>
      <w:bookmarkEnd w:id="5096"/>
      <w:bookmarkEnd w:id="5097"/>
      <w:bookmarkEnd w:id="5098"/>
      <w:bookmarkEnd w:id="5099"/>
      <w:bookmarkEnd w:id="5100"/>
      <w:bookmarkEnd w:id="4042"/>
      <w:bookmarkEnd w:id="4043"/>
      <w:bookmarkEnd w:id="4044"/>
      <w:bookmarkEnd w:id="4045"/>
      <w:bookmarkEnd w:id="5101"/>
      <w:bookmarkEnd w:id="5102"/>
      <w:bookmarkEnd w:id="5103"/>
      <w:bookmarkEnd w:id="5104"/>
    </w:p>
    <w:p>
      <w:pPr>
        <w:pStyle w:val="Heading3"/>
        <w:rPr>
          <w:sz w:val="28"/>
        </w:rPr>
      </w:pPr>
      <w:bookmarkStart w:id="5105" w:name="_Toc37947004"/>
      <w:bookmarkStart w:id="5106" w:name="_Toc37947604"/>
      <w:bookmarkStart w:id="5107" w:name="_Toc38031668"/>
      <w:bookmarkStart w:id="5108" w:name="_Toc93310177"/>
      <w:bookmarkStart w:id="5109" w:name="_Toc104291199"/>
      <w:bookmarkStart w:id="5110" w:name="_Toc530491840"/>
      <w:bookmarkStart w:id="5111" w:name="_Toc530492300"/>
      <w:bookmarkStart w:id="5112" w:name="_Toc530493310"/>
      <w:bookmarkStart w:id="5113" w:name="_Toc530556445"/>
      <w:bookmarkStart w:id="5114" w:name="_Toc531692354"/>
      <w:bookmarkStart w:id="5115" w:name="_Toc531856259"/>
      <w:bookmarkStart w:id="5116" w:name="_Toc531858987"/>
      <w:bookmarkStart w:id="5117" w:name="_Toc531859526"/>
      <w:r>
        <w:rPr>
          <w:rStyle w:val="CharDivNo"/>
          <w:sz w:val="28"/>
        </w:rPr>
        <w:t>Part 1</w:t>
      </w:r>
      <w:r>
        <w:rPr>
          <w:sz w:val="28"/>
        </w:rPr>
        <w:t> — </w:t>
      </w:r>
      <w:r>
        <w:rPr>
          <w:rStyle w:val="CharDivText"/>
          <w:sz w:val="28"/>
        </w:rPr>
        <w:t>Preliminary</w:t>
      </w:r>
      <w:bookmarkEnd w:id="5105"/>
      <w:bookmarkEnd w:id="5106"/>
      <w:bookmarkEnd w:id="5107"/>
      <w:bookmarkEnd w:id="5108"/>
      <w:bookmarkEnd w:id="5109"/>
      <w:bookmarkEnd w:id="5110"/>
      <w:bookmarkEnd w:id="5111"/>
      <w:bookmarkEnd w:id="5112"/>
      <w:bookmarkEnd w:id="5113"/>
      <w:bookmarkEnd w:id="5114"/>
      <w:bookmarkEnd w:id="5115"/>
      <w:bookmarkEnd w:id="5116"/>
      <w:bookmarkEnd w:id="5117"/>
    </w:p>
    <w:p>
      <w:pPr>
        <w:pStyle w:val="Heading5"/>
      </w:pPr>
      <w:bookmarkStart w:id="5118" w:name="_Toc104291200"/>
      <w:bookmarkStart w:id="5119" w:name="_Toc531859527"/>
      <w:r>
        <w:rPr>
          <w:rStyle w:val="CharSectno"/>
        </w:rPr>
        <w:t>206</w:t>
      </w:r>
      <w:r>
        <w:t>.</w:t>
      </w:r>
      <w:r>
        <w:tab/>
        <w:t>Terms used</w:t>
      </w:r>
      <w:bookmarkEnd w:id="5118"/>
      <w:bookmarkEnd w:id="5119"/>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tab/>
      </w:r>
      <w:r>
        <w:rPr>
          <w:rStyle w:val="CharDefText"/>
        </w:rPr>
        <w:t>offshore risk insurance</w:t>
      </w:r>
      <w:r>
        <w:t xml:space="preserve"> means any kind of insurance that is applicable to —</w:t>
      </w:r>
    </w:p>
    <w:p>
      <w:pPr>
        <w:pStyle w:val="Defpara"/>
      </w:pPr>
      <w:r>
        <w:tab/>
        <w:t>(a)</w:t>
      </w:r>
      <w:r>
        <w:tab/>
        <w:t>property outside Australia; or</w:t>
      </w:r>
    </w:p>
    <w:p>
      <w:pPr>
        <w:pStyle w:val="Defpara"/>
      </w:pPr>
      <w:r>
        <w:tab/>
        <w:t>(b)</w:t>
      </w:r>
      <w:r>
        <w:tab/>
        <w:t>a risk, contingency or event concerning an act or omission that, in the normal course of events, occurs outside Australia;</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spacing w:before="260"/>
        <w:rPr>
          <w:sz w:val="28"/>
        </w:rPr>
      </w:pPr>
      <w:bookmarkStart w:id="5120" w:name="_Toc37947006"/>
      <w:bookmarkStart w:id="5121" w:name="_Toc37947606"/>
      <w:bookmarkStart w:id="5122" w:name="_Toc38031670"/>
      <w:bookmarkStart w:id="5123" w:name="_Toc93310179"/>
      <w:bookmarkStart w:id="5124" w:name="_Toc104291201"/>
      <w:bookmarkStart w:id="5125" w:name="_Toc530491842"/>
      <w:bookmarkStart w:id="5126" w:name="_Toc530492302"/>
      <w:bookmarkStart w:id="5127" w:name="_Toc530493312"/>
      <w:bookmarkStart w:id="5128" w:name="_Toc530556447"/>
      <w:bookmarkStart w:id="5129" w:name="_Toc531692356"/>
      <w:bookmarkStart w:id="5130" w:name="_Toc531856261"/>
      <w:bookmarkStart w:id="5131" w:name="_Toc531858989"/>
      <w:bookmarkStart w:id="5132" w:name="_Toc531859528"/>
      <w:r>
        <w:rPr>
          <w:rStyle w:val="CharDivNo"/>
          <w:sz w:val="28"/>
        </w:rPr>
        <w:t>Part 2</w:t>
      </w:r>
      <w:r>
        <w:rPr>
          <w:sz w:val="28"/>
        </w:rPr>
        <w:t> — </w:t>
      </w:r>
      <w:r>
        <w:rPr>
          <w:rStyle w:val="CharDivText"/>
          <w:sz w:val="28"/>
        </w:rPr>
        <w:t>Imposition of insurance duty</w:t>
      </w:r>
      <w:bookmarkEnd w:id="5120"/>
      <w:bookmarkEnd w:id="5121"/>
      <w:bookmarkEnd w:id="5122"/>
      <w:bookmarkEnd w:id="5123"/>
      <w:bookmarkEnd w:id="5124"/>
      <w:bookmarkEnd w:id="5125"/>
      <w:bookmarkEnd w:id="5126"/>
      <w:bookmarkEnd w:id="5127"/>
      <w:bookmarkEnd w:id="5128"/>
      <w:bookmarkEnd w:id="5129"/>
      <w:bookmarkEnd w:id="5130"/>
      <w:bookmarkEnd w:id="5131"/>
      <w:bookmarkEnd w:id="5132"/>
    </w:p>
    <w:p>
      <w:pPr>
        <w:pStyle w:val="Heading5"/>
        <w:spacing w:before="240"/>
      </w:pPr>
      <w:bookmarkStart w:id="5133" w:name="_Toc104291202"/>
      <w:bookmarkStart w:id="5134" w:name="_Toc531859529"/>
      <w:r>
        <w:rPr>
          <w:rStyle w:val="CharSectno"/>
        </w:rPr>
        <w:t>207</w:t>
      </w:r>
      <w:r>
        <w:t>.</w:t>
      </w:r>
      <w:r>
        <w:tab/>
        <w:t>Insurance duty imposed</w:t>
      </w:r>
      <w:bookmarkEnd w:id="5133"/>
      <w:bookmarkEnd w:id="5134"/>
    </w:p>
    <w:p>
      <w:pPr>
        <w:pStyle w:val="Subsection"/>
      </w:pPr>
      <w:r>
        <w:tab/>
      </w:r>
      <w:r>
        <w:tab/>
        <w:t>Duty is imposed on the premium paid in relation to a contract of insurance.</w:t>
      </w:r>
    </w:p>
    <w:p>
      <w:pPr>
        <w:pStyle w:val="Heading5"/>
        <w:spacing w:before="240"/>
      </w:pPr>
      <w:bookmarkStart w:id="5135" w:name="_Toc104291203"/>
      <w:bookmarkStart w:id="5136" w:name="_Toc531859530"/>
      <w:r>
        <w:rPr>
          <w:rStyle w:val="CharSectno"/>
        </w:rPr>
        <w:t>208</w:t>
      </w:r>
      <w:r>
        <w:t>.</w:t>
      </w:r>
      <w:r>
        <w:tab/>
        <w:t>Contract of insurance</w:t>
      </w:r>
      <w:bookmarkEnd w:id="5135"/>
      <w:bookmarkEnd w:id="5136"/>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spacing w:before="240"/>
      </w:pPr>
      <w:bookmarkStart w:id="5137" w:name="_Toc104291204"/>
      <w:bookmarkStart w:id="5138" w:name="_Toc531859531"/>
      <w:r>
        <w:rPr>
          <w:rStyle w:val="CharSectno"/>
        </w:rPr>
        <w:t>209</w:t>
      </w:r>
      <w:r>
        <w:t>.</w:t>
      </w:r>
      <w:r>
        <w:tab/>
        <w:t>General insurance</w:t>
      </w:r>
      <w:bookmarkEnd w:id="5137"/>
      <w:bookmarkEnd w:id="5138"/>
    </w:p>
    <w:p>
      <w:pPr>
        <w:pStyle w:val="Subsection"/>
      </w:pPr>
      <w:r>
        <w:tab/>
        <w:t>(1)</w:t>
      </w:r>
      <w:r>
        <w:tab/>
      </w:r>
      <w:r>
        <w:rPr>
          <w:rStyle w:val="CharDefText"/>
        </w:rPr>
        <w:t>General insurance</w:t>
      </w:r>
      <w:r>
        <w:t xml:space="preserve"> is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spacing w:before="120"/>
      </w:pPr>
      <w:r>
        <w:tab/>
      </w:r>
      <w:r>
        <w:tab/>
        <w:t>or both.</w:t>
      </w:r>
    </w:p>
    <w:p>
      <w:pPr>
        <w:pStyle w:val="Subsection"/>
        <w:tabs>
          <w:tab w:val="left" w:pos="4536"/>
        </w:tabs>
        <w:spacing w:before="120"/>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insurance in respect of goods in the course of being transported, whether by rail, road, air or sea, and whether within Western Australia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5139" w:name="_Toc104291205"/>
      <w:bookmarkStart w:id="5140" w:name="_Toc531859532"/>
      <w:r>
        <w:rPr>
          <w:rStyle w:val="CharSectno"/>
        </w:rPr>
        <w:t>210</w:t>
      </w:r>
      <w:r>
        <w:t>.</w:t>
      </w:r>
      <w:r>
        <w:tab/>
        <w:t>Additional insurance in life insurance policy is general insurance</w:t>
      </w:r>
      <w:bookmarkEnd w:id="5139"/>
      <w:bookmarkEnd w:id="5140"/>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5141" w:name="_Toc104291206"/>
      <w:bookmarkStart w:id="5142" w:name="_Toc531859533"/>
      <w:r>
        <w:rPr>
          <w:rStyle w:val="CharSectno"/>
        </w:rPr>
        <w:t>211</w:t>
      </w:r>
      <w:r>
        <w:t>.</w:t>
      </w:r>
      <w:r>
        <w:tab/>
        <w:t>Premium</w:t>
      </w:r>
      <w:bookmarkEnd w:id="5141"/>
      <w:bookmarkEnd w:id="5142"/>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5143" w:name="_Toc104291207"/>
      <w:bookmarkStart w:id="5144" w:name="_Toc531859534"/>
      <w:r>
        <w:rPr>
          <w:rStyle w:val="CharSectno"/>
        </w:rPr>
        <w:t>212</w:t>
      </w:r>
      <w:r>
        <w:t>.</w:t>
      </w:r>
      <w:r>
        <w:tab/>
        <w:t>When premium paid</w:t>
      </w:r>
      <w:bookmarkEnd w:id="5143"/>
      <w:bookmarkEnd w:id="5144"/>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60"/>
        <w:rPr>
          <w:sz w:val="28"/>
        </w:rPr>
      </w:pPr>
      <w:bookmarkStart w:id="5145" w:name="_Toc37947013"/>
      <w:bookmarkStart w:id="5146" w:name="_Toc37947613"/>
      <w:bookmarkStart w:id="5147" w:name="_Toc38031677"/>
      <w:bookmarkStart w:id="5148" w:name="_Toc93310186"/>
      <w:bookmarkStart w:id="5149" w:name="_Toc104291208"/>
      <w:bookmarkStart w:id="5150" w:name="_Toc530491849"/>
      <w:bookmarkStart w:id="5151" w:name="_Toc530492309"/>
      <w:bookmarkStart w:id="5152" w:name="_Toc530493319"/>
      <w:bookmarkStart w:id="5153" w:name="_Toc530556454"/>
      <w:bookmarkStart w:id="5154" w:name="_Toc531692363"/>
      <w:bookmarkStart w:id="5155" w:name="_Toc531856268"/>
      <w:bookmarkStart w:id="5156" w:name="_Toc531858996"/>
      <w:bookmarkStart w:id="5157" w:name="_Toc531859535"/>
      <w:r>
        <w:rPr>
          <w:rStyle w:val="CharDivNo"/>
          <w:sz w:val="28"/>
        </w:rPr>
        <w:t>Part 3</w:t>
      </w:r>
      <w:r>
        <w:rPr>
          <w:sz w:val="28"/>
        </w:rPr>
        <w:t> — </w:t>
      </w:r>
      <w:r>
        <w:rPr>
          <w:rStyle w:val="CharDivText"/>
          <w:sz w:val="28"/>
        </w:rPr>
        <w:t>Collection of insurance duty</w:t>
      </w:r>
      <w:bookmarkEnd w:id="5145"/>
      <w:bookmarkEnd w:id="5146"/>
      <w:bookmarkEnd w:id="5147"/>
      <w:bookmarkEnd w:id="5148"/>
      <w:bookmarkEnd w:id="5149"/>
      <w:bookmarkEnd w:id="5150"/>
      <w:bookmarkEnd w:id="5151"/>
      <w:bookmarkEnd w:id="5152"/>
      <w:bookmarkEnd w:id="5153"/>
      <w:bookmarkEnd w:id="5154"/>
      <w:bookmarkEnd w:id="5155"/>
      <w:bookmarkEnd w:id="5156"/>
      <w:bookmarkEnd w:id="5157"/>
    </w:p>
    <w:p>
      <w:pPr>
        <w:pStyle w:val="Heading4"/>
        <w:rPr>
          <w:sz w:val="26"/>
        </w:rPr>
      </w:pPr>
      <w:bookmarkStart w:id="5158" w:name="_Toc37947014"/>
      <w:bookmarkStart w:id="5159" w:name="_Toc37947614"/>
      <w:bookmarkStart w:id="5160" w:name="_Toc38031678"/>
      <w:bookmarkStart w:id="5161" w:name="_Toc93310187"/>
      <w:bookmarkStart w:id="5162" w:name="_Toc104291209"/>
      <w:bookmarkStart w:id="5163" w:name="_Toc530491850"/>
      <w:bookmarkStart w:id="5164" w:name="_Toc530492310"/>
      <w:bookmarkStart w:id="5165" w:name="_Toc530493320"/>
      <w:bookmarkStart w:id="5166" w:name="_Toc530556455"/>
      <w:bookmarkStart w:id="5167" w:name="_Toc531692364"/>
      <w:bookmarkStart w:id="5168" w:name="_Toc531856269"/>
      <w:bookmarkStart w:id="5169" w:name="_Toc531858997"/>
      <w:bookmarkStart w:id="5170" w:name="_Toc531859536"/>
      <w:r>
        <w:rPr>
          <w:sz w:val="26"/>
        </w:rPr>
        <w:t>Division 1 — Liability</w:t>
      </w:r>
      <w:bookmarkEnd w:id="5158"/>
      <w:bookmarkEnd w:id="5159"/>
      <w:bookmarkEnd w:id="5160"/>
      <w:bookmarkEnd w:id="5161"/>
      <w:bookmarkEnd w:id="5162"/>
      <w:bookmarkEnd w:id="5163"/>
      <w:bookmarkEnd w:id="5164"/>
      <w:bookmarkEnd w:id="5165"/>
      <w:bookmarkEnd w:id="5166"/>
      <w:bookmarkEnd w:id="5167"/>
      <w:bookmarkEnd w:id="5168"/>
      <w:bookmarkEnd w:id="5169"/>
      <w:bookmarkEnd w:id="5170"/>
    </w:p>
    <w:p>
      <w:pPr>
        <w:pStyle w:val="Heading5"/>
      </w:pPr>
      <w:bookmarkStart w:id="5171" w:name="_Toc104291210"/>
      <w:bookmarkStart w:id="5172" w:name="_Toc531859537"/>
      <w:r>
        <w:rPr>
          <w:rStyle w:val="CharSectno"/>
        </w:rPr>
        <w:t>213</w:t>
      </w:r>
      <w:r>
        <w:t>.</w:t>
      </w:r>
      <w:r>
        <w:tab/>
        <w:t>Who is liable to pay duty</w:t>
      </w:r>
      <w:bookmarkEnd w:id="5171"/>
      <w:bookmarkEnd w:id="5172"/>
    </w:p>
    <w:p>
      <w:pPr>
        <w:pStyle w:val="Subsection"/>
        <w:spacing w:before="180"/>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spacing w:before="240"/>
      </w:pPr>
      <w:bookmarkStart w:id="5173" w:name="_Toc104291211"/>
      <w:bookmarkStart w:id="5174" w:name="_Toc531859538"/>
      <w:r>
        <w:rPr>
          <w:rStyle w:val="CharSectno"/>
        </w:rPr>
        <w:t>214</w:t>
      </w:r>
      <w:r>
        <w:t>.</w:t>
      </w:r>
      <w:r>
        <w:tab/>
        <w:t>General insurer</w:t>
      </w:r>
      <w:bookmarkEnd w:id="5173"/>
      <w:bookmarkEnd w:id="5174"/>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spacing w:before="260"/>
        <w:rPr>
          <w:sz w:val="26"/>
        </w:rPr>
      </w:pPr>
      <w:bookmarkStart w:id="5175" w:name="_Toc37947017"/>
      <w:bookmarkStart w:id="5176" w:name="_Toc37947617"/>
      <w:bookmarkStart w:id="5177" w:name="_Toc38031681"/>
      <w:bookmarkStart w:id="5178" w:name="_Toc93310190"/>
      <w:bookmarkStart w:id="5179" w:name="_Toc104291212"/>
      <w:bookmarkStart w:id="5180" w:name="_Toc530491853"/>
      <w:bookmarkStart w:id="5181" w:name="_Toc530492313"/>
      <w:bookmarkStart w:id="5182" w:name="_Toc530493323"/>
      <w:bookmarkStart w:id="5183" w:name="_Toc530556458"/>
      <w:bookmarkStart w:id="5184" w:name="_Toc531692367"/>
      <w:bookmarkStart w:id="5185" w:name="_Toc531856272"/>
      <w:bookmarkStart w:id="5186" w:name="_Toc531859000"/>
      <w:bookmarkStart w:id="5187" w:name="_Toc531859539"/>
      <w:r>
        <w:rPr>
          <w:sz w:val="26"/>
        </w:rPr>
        <w:t>Division 2 — Amount of insurance duty</w:t>
      </w:r>
      <w:bookmarkEnd w:id="5175"/>
      <w:bookmarkEnd w:id="5176"/>
      <w:bookmarkEnd w:id="5177"/>
      <w:bookmarkEnd w:id="5178"/>
      <w:bookmarkEnd w:id="5179"/>
      <w:bookmarkEnd w:id="5180"/>
      <w:bookmarkEnd w:id="5181"/>
      <w:bookmarkEnd w:id="5182"/>
      <w:bookmarkEnd w:id="5183"/>
      <w:bookmarkEnd w:id="5184"/>
      <w:bookmarkEnd w:id="5185"/>
      <w:bookmarkEnd w:id="5186"/>
      <w:bookmarkEnd w:id="5187"/>
    </w:p>
    <w:p>
      <w:pPr>
        <w:pStyle w:val="Heading5"/>
        <w:spacing w:before="180"/>
      </w:pPr>
      <w:bookmarkStart w:id="5188" w:name="_Toc104291213"/>
      <w:bookmarkStart w:id="5189" w:name="_Toc531859540"/>
      <w:r>
        <w:rPr>
          <w:rStyle w:val="CharSectno"/>
        </w:rPr>
        <w:t>215</w:t>
      </w:r>
      <w:r>
        <w:t>.</w:t>
      </w:r>
      <w:r>
        <w:tab/>
        <w:t>Amount of duty payable</w:t>
      </w:r>
      <w:bookmarkEnd w:id="5188"/>
      <w:bookmarkEnd w:id="5189"/>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5190" w:name="_Toc104291214"/>
      <w:bookmarkStart w:id="5191" w:name="_Toc531859541"/>
      <w:r>
        <w:rPr>
          <w:rStyle w:val="CharSectno"/>
        </w:rPr>
        <w:t>216</w:t>
      </w:r>
      <w:r>
        <w:t>.</w:t>
      </w:r>
      <w:r>
        <w:tab/>
        <w:t>Policies effecting general insurance and other insurance, duty on</w:t>
      </w:r>
      <w:bookmarkEnd w:id="5190"/>
      <w:bookmarkEnd w:id="5191"/>
    </w:p>
    <w:p>
      <w:pPr>
        <w:pStyle w:val="Subsection"/>
        <w:spacing w:before="180"/>
      </w:pPr>
      <w:r>
        <w:tab/>
        <w:t>(1)</w:t>
      </w:r>
      <w:r>
        <w:tab/>
        <w:t>This section applies to a contract of insurance that effects both general insurance and one or more other kinds of insurance.</w:t>
      </w:r>
    </w:p>
    <w:p>
      <w:pPr>
        <w:pStyle w:val="Subsection"/>
        <w:spacing w:before="180"/>
      </w:pPr>
      <w:r>
        <w:tab/>
        <w:t>(2)</w:t>
      </w:r>
      <w:r>
        <w:tab/>
        <w:t>The proportion of the premium that is attributable to general insurance is to be determined in accordance with the Apportionment Schedule or Schedules published by the Commissioner from time to time.</w:t>
      </w:r>
    </w:p>
    <w:p>
      <w:pPr>
        <w:pStyle w:val="Subsection"/>
        <w:spacing w:before="180"/>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spacing w:before="180"/>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spacing w:before="180"/>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spacing w:before="180"/>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5192" w:name="_Toc37947020"/>
      <w:bookmarkStart w:id="5193" w:name="_Toc37947620"/>
      <w:bookmarkStart w:id="5194" w:name="_Toc38031684"/>
      <w:bookmarkStart w:id="5195" w:name="_Toc93310193"/>
      <w:bookmarkStart w:id="5196" w:name="_Toc104291215"/>
      <w:bookmarkStart w:id="5197" w:name="_Toc530491856"/>
      <w:bookmarkStart w:id="5198" w:name="_Toc530492316"/>
      <w:bookmarkStart w:id="5199" w:name="_Toc530493326"/>
      <w:bookmarkStart w:id="5200" w:name="_Toc530556461"/>
      <w:bookmarkStart w:id="5201" w:name="_Toc531692370"/>
      <w:bookmarkStart w:id="5202" w:name="_Toc531856275"/>
      <w:bookmarkStart w:id="5203" w:name="_Toc531859003"/>
      <w:bookmarkStart w:id="5204" w:name="_Toc531859542"/>
      <w:r>
        <w:rPr>
          <w:sz w:val="26"/>
        </w:rPr>
        <w:t>Division 3 — Insurers</w:t>
      </w:r>
      <w:bookmarkEnd w:id="5192"/>
      <w:bookmarkEnd w:id="5193"/>
      <w:bookmarkEnd w:id="5194"/>
      <w:bookmarkEnd w:id="5195"/>
      <w:bookmarkEnd w:id="5196"/>
      <w:bookmarkEnd w:id="5197"/>
      <w:bookmarkEnd w:id="5198"/>
      <w:bookmarkEnd w:id="5199"/>
      <w:bookmarkEnd w:id="5200"/>
      <w:bookmarkEnd w:id="5201"/>
      <w:bookmarkEnd w:id="5202"/>
      <w:bookmarkEnd w:id="5203"/>
      <w:bookmarkEnd w:id="5204"/>
    </w:p>
    <w:p>
      <w:pPr>
        <w:pStyle w:val="Heading5"/>
      </w:pPr>
      <w:bookmarkStart w:id="5205" w:name="_Toc104291216"/>
      <w:bookmarkStart w:id="5206" w:name="_Toc531859543"/>
      <w:r>
        <w:rPr>
          <w:rStyle w:val="CharSectno"/>
        </w:rPr>
        <w:t>217</w:t>
      </w:r>
      <w:r>
        <w:t>.</w:t>
      </w:r>
      <w:r>
        <w:tab/>
        <w:t>General insurers to apply to be registered</w:t>
      </w:r>
      <w:bookmarkEnd w:id="5205"/>
      <w:bookmarkEnd w:id="5206"/>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5207" w:name="_Toc104291217"/>
      <w:bookmarkStart w:id="5208" w:name="_Toc531859544"/>
      <w:r>
        <w:rPr>
          <w:rStyle w:val="CharSectno"/>
        </w:rPr>
        <w:t>218</w:t>
      </w:r>
      <w:r>
        <w:t>.</w:t>
      </w:r>
      <w:r>
        <w:tab/>
        <w:t>Registration of general insurers</w:t>
      </w:r>
      <w:bookmarkEnd w:id="5207"/>
      <w:bookmarkEnd w:id="5208"/>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5209" w:name="_Toc104291218"/>
      <w:bookmarkStart w:id="5210" w:name="_Toc531859545"/>
      <w:r>
        <w:rPr>
          <w:rStyle w:val="CharSectno"/>
        </w:rPr>
        <w:t>219</w:t>
      </w:r>
      <w:r>
        <w:t>.</w:t>
      </w:r>
      <w:r>
        <w:tab/>
        <w:t>Return period of registered insurer</w:t>
      </w:r>
      <w:bookmarkEnd w:id="5209"/>
      <w:bookmarkEnd w:id="5210"/>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5211" w:name="_Toc104291219"/>
      <w:bookmarkStart w:id="5212" w:name="_Toc531859546"/>
      <w:r>
        <w:rPr>
          <w:rStyle w:val="CharSectno"/>
        </w:rPr>
        <w:t>220</w:t>
      </w:r>
      <w:r>
        <w:t>.</w:t>
      </w:r>
      <w:r>
        <w:tab/>
        <w:t>Registered insurers to lodge returns</w:t>
      </w:r>
      <w:bookmarkEnd w:id="5211"/>
      <w:bookmarkEnd w:id="5212"/>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5213" w:name="_Toc104291220"/>
      <w:bookmarkStart w:id="5214" w:name="_Toc531859547"/>
      <w:r>
        <w:rPr>
          <w:rStyle w:val="CharSectno"/>
        </w:rPr>
        <w:t>221</w:t>
      </w:r>
      <w:r>
        <w:t>.</w:t>
      </w:r>
      <w:r>
        <w:tab/>
        <w:t>Time for payment of duty by insurers</w:t>
      </w:r>
      <w:bookmarkEnd w:id="5213"/>
      <w:bookmarkEnd w:id="5214"/>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5215" w:name="_Toc104291221"/>
      <w:bookmarkStart w:id="5216" w:name="_Toc531859548"/>
      <w:r>
        <w:rPr>
          <w:rStyle w:val="CharSectno"/>
        </w:rPr>
        <w:t>222</w:t>
      </w:r>
      <w:r>
        <w:t>.</w:t>
      </w:r>
      <w:r>
        <w:tab/>
        <w:t>Cancelling registration of general insurers</w:t>
      </w:r>
      <w:bookmarkEnd w:id="5215"/>
      <w:bookmarkEnd w:id="5216"/>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5217" w:name="_Toc37947027"/>
      <w:bookmarkStart w:id="5218" w:name="_Toc37947627"/>
      <w:bookmarkStart w:id="5219" w:name="_Toc38031691"/>
      <w:bookmarkStart w:id="5220" w:name="_Toc93310200"/>
      <w:bookmarkStart w:id="5221" w:name="_Toc104291222"/>
      <w:bookmarkStart w:id="5222" w:name="_Toc530491863"/>
      <w:bookmarkStart w:id="5223" w:name="_Toc530492323"/>
      <w:bookmarkStart w:id="5224" w:name="_Toc530493333"/>
      <w:bookmarkStart w:id="5225" w:name="_Toc530556468"/>
      <w:bookmarkStart w:id="5226" w:name="_Toc531692377"/>
      <w:bookmarkStart w:id="5227" w:name="_Toc531856282"/>
      <w:bookmarkStart w:id="5228" w:name="_Toc531859010"/>
      <w:bookmarkStart w:id="5229" w:name="_Toc531859549"/>
      <w:r>
        <w:rPr>
          <w:sz w:val="26"/>
        </w:rPr>
        <w:t>Division 4 — Insured persons</w:t>
      </w:r>
      <w:bookmarkEnd w:id="5217"/>
      <w:bookmarkEnd w:id="5218"/>
      <w:bookmarkEnd w:id="5219"/>
      <w:bookmarkEnd w:id="5220"/>
      <w:bookmarkEnd w:id="5221"/>
      <w:bookmarkEnd w:id="5222"/>
      <w:bookmarkEnd w:id="5223"/>
      <w:bookmarkEnd w:id="5224"/>
      <w:bookmarkEnd w:id="5225"/>
      <w:bookmarkEnd w:id="5226"/>
      <w:bookmarkEnd w:id="5227"/>
      <w:bookmarkEnd w:id="5228"/>
      <w:bookmarkEnd w:id="5229"/>
    </w:p>
    <w:p>
      <w:pPr>
        <w:pStyle w:val="Heading5"/>
        <w:spacing w:before="240"/>
      </w:pPr>
      <w:bookmarkStart w:id="5230" w:name="_Toc104291223"/>
      <w:bookmarkStart w:id="5231" w:name="_Toc531859550"/>
      <w:r>
        <w:rPr>
          <w:rStyle w:val="CharSectno"/>
        </w:rPr>
        <w:t>223</w:t>
      </w:r>
      <w:r>
        <w:t>.</w:t>
      </w:r>
      <w:r>
        <w:tab/>
        <w:t>Some insured persons to lodge statements</w:t>
      </w:r>
      <w:bookmarkEnd w:id="5230"/>
      <w:bookmarkEnd w:id="5231"/>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5232" w:name="_Toc104291224"/>
      <w:bookmarkStart w:id="5233" w:name="_Toc531859551"/>
      <w:r>
        <w:rPr>
          <w:rStyle w:val="CharSectno"/>
        </w:rPr>
        <w:t>224</w:t>
      </w:r>
      <w:r>
        <w:t>.</w:t>
      </w:r>
      <w:r>
        <w:tab/>
        <w:t>Time for payment of duty by insured persons</w:t>
      </w:r>
      <w:bookmarkEnd w:id="5232"/>
      <w:bookmarkEnd w:id="5233"/>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5234" w:name="_Toc37947030"/>
      <w:bookmarkStart w:id="5235" w:name="_Toc37947630"/>
      <w:bookmarkStart w:id="5236" w:name="_Toc38031694"/>
      <w:bookmarkStart w:id="5237" w:name="_Toc93310203"/>
      <w:bookmarkStart w:id="5238" w:name="_Toc104291225"/>
      <w:bookmarkStart w:id="5239" w:name="_Toc530491866"/>
      <w:bookmarkStart w:id="5240" w:name="_Toc530492326"/>
      <w:bookmarkStart w:id="5241" w:name="_Toc530493336"/>
      <w:bookmarkStart w:id="5242" w:name="_Toc530556471"/>
      <w:bookmarkStart w:id="5243" w:name="_Toc531692380"/>
      <w:bookmarkStart w:id="5244" w:name="_Toc531856285"/>
      <w:bookmarkStart w:id="5245" w:name="_Toc531859013"/>
      <w:bookmarkStart w:id="5246" w:name="_Toc531859552"/>
      <w:r>
        <w:rPr>
          <w:rStyle w:val="CharDivNo"/>
          <w:sz w:val="28"/>
        </w:rPr>
        <w:t>Part 4</w:t>
      </w:r>
      <w:r>
        <w:rPr>
          <w:sz w:val="28"/>
        </w:rPr>
        <w:t> — </w:t>
      </w:r>
      <w:r>
        <w:rPr>
          <w:rStyle w:val="CharDivText"/>
          <w:sz w:val="28"/>
        </w:rPr>
        <w:t>General provisions as to insurance duty</w:t>
      </w:r>
      <w:bookmarkEnd w:id="5234"/>
      <w:bookmarkEnd w:id="5235"/>
      <w:bookmarkEnd w:id="5236"/>
      <w:bookmarkEnd w:id="5237"/>
      <w:bookmarkEnd w:id="5238"/>
      <w:bookmarkEnd w:id="5239"/>
      <w:bookmarkEnd w:id="5240"/>
      <w:bookmarkEnd w:id="5241"/>
      <w:bookmarkEnd w:id="5242"/>
      <w:bookmarkEnd w:id="5243"/>
      <w:bookmarkEnd w:id="5244"/>
      <w:bookmarkEnd w:id="5245"/>
      <w:bookmarkEnd w:id="5246"/>
    </w:p>
    <w:p>
      <w:pPr>
        <w:pStyle w:val="Heading5"/>
        <w:spacing w:before="180"/>
      </w:pPr>
      <w:bookmarkStart w:id="5247" w:name="_Toc104291226"/>
      <w:bookmarkStart w:id="5248" w:name="_Toc531859553"/>
      <w:r>
        <w:rPr>
          <w:rStyle w:val="CharSectno"/>
        </w:rPr>
        <w:t>225</w:t>
      </w:r>
      <w:r>
        <w:t>.</w:t>
      </w:r>
      <w:r>
        <w:tab/>
        <w:t>Insurer and intermediary to notify Commissioner of contracts of insurance</w:t>
      </w:r>
      <w:bookmarkEnd w:id="5247"/>
      <w:bookmarkEnd w:id="5248"/>
    </w:p>
    <w:p>
      <w:pPr>
        <w:pStyle w:val="Subsection"/>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spacing w:before="180"/>
      </w:pPr>
      <w:bookmarkStart w:id="5249" w:name="_Toc104291227"/>
      <w:bookmarkStart w:id="5250" w:name="_Toc531859554"/>
      <w:r>
        <w:rPr>
          <w:rStyle w:val="CharSectno"/>
        </w:rPr>
        <w:t>226</w:t>
      </w:r>
      <w:r>
        <w:t>.</w:t>
      </w:r>
      <w:r>
        <w:tab/>
        <w:t>Refunds of duty if premium refunded</w:t>
      </w:r>
      <w:bookmarkEnd w:id="5249"/>
      <w:bookmarkEnd w:id="5250"/>
    </w:p>
    <w:p>
      <w:pPr>
        <w:pStyle w:val="Subsection"/>
        <w:keepNext/>
        <w:keepLines/>
        <w:spacing w:before="18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80"/>
      </w:pPr>
      <w:r>
        <w:tab/>
      </w:r>
      <w:r>
        <w:tab/>
        <w:t>the insurer is entitled to a refund of the duty paid to the extent to which the premium was refunded.</w:t>
      </w:r>
    </w:p>
    <w:p>
      <w:pPr>
        <w:pStyle w:val="Subsection"/>
        <w:spacing w:before="18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spacing w:before="180"/>
      </w:pPr>
      <w:r>
        <w:tab/>
      </w:r>
      <w:r>
        <w:tab/>
        <w:t>the person is entitled to a refund of the duty paid to the extent to which the premium was refunded.</w:t>
      </w:r>
    </w:p>
    <w:p>
      <w:pPr>
        <w:pStyle w:val="Subsection"/>
        <w:spacing w:before="180"/>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240"/>
      </w:pPr>
      <w:bookmarkStart w:id="5251" w:name="_Toc104291228"/>
      <w:bookmarkStart w:id="5252" w:name="_Toc531859555"/>
      <w:r>
        <w:rPr>
          <w:rStyle w:val="CharSectno"/>
        </w:rPr>
        <w:t>227</w:t>
      </w:r>
      <w:r>
        <w:t>.</w:t>
      </w:r>
      <w:r>
        <w:tab/>
        <w:t>Records to be kept</w:t>
      </w:r>
      <w:bookmarkEnd w:id="5251"/>
      <w:bookmarkEnd w:id="5252"/>
    </w:p>
    <w:p>
      <w:pPr>
        <w:pStyle w:val="Subsection"/>
        <w:spacing w:before="18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keepNext/>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5253" w:name="_Toc37947034"/>
      <w:bookmarkStart w:id="5254" w:name="_Toc37947634"/>
      <w:bookmarkStart w:id="5255" w:name="_Toc38031698"/>
      <w:bookmarkStart w:id="5256" w:name="_Toc93310207"/>
      <w:bookmarkStart w:id="5257" w:name="_Toc104291229"/>
      <w:bookmarkStart w:id="5258" w:name="_Toc530491870"/>
      <w:bookmarkStart w:id="5259" w:name="_Toc530492330"/>
      <w:bookmarkStart w:id="5260" w:name="_Toc530493340"/>
      <w:bookmarkStart w:id="5261" w:name="_Toc530556475"/>
      <w:bookmarkStart w:id="5262" w:name="_Toc531692384"/>
      <w:bookmarkStart w:id="5263" w:name="_Toc531856289"/>
      <w:bookmarkStart w:id="5264" w:name="_Toc531859017"/>
      <w:bookmarkStart w:id="5265" w:name="_Toc531859556"/>
      <w:r>
        <w:rPr>
          <w:rStyle w:val="CharPartNo"/>
          <w:sz w:val="32"/>
        </w:rPr>
        <w:t>Chapter 5</w:t>
      </w:r>
      <w:r>
        <w:rPr>
          <w:sz w:val="32"/>
        </w:rPr>
        <w:t> — </w:t>
      </w:r>
      <w:r>
        <w:rPr>
          <w:rStyle w:val="CharPartText"/>
          <w:sz w:val="32"/>
        </w:rPr>
        <w:t>Vehicle licence duty</w:t>
      </w:r>
      <w:bookmarkEnd w:id="5253"/>
      <w:bookmarkEnd w:id="5254"/>
      <w:bookmarkEnd w:id="5255"/>
      <w:bookmarkEnd w:id="5256"/>
      <w:bookmarkEnd w:id="5257"/>
      <w:bookmarkEnd w:id="5258"/>
      <w:bookmarkEnd w:id="5259"/>
      <w:bookmarkEnd w:id="5260"/>
      <w:bookmarkEnd w:id="5261"/>
      <w:bookmarkEnd w:id="5262"/>
      <w:bookmarkEnd w:id="5263"/>
      <w:bookmarkEnd w:id="5264"/>
      <w:bookmarkEnd w:id="5265"/>
    </w:p>
    <w:p>
      <w:pPr>
        <w:pStyle w:val="Heading3"/>
        <w:rPr>
          <w:sz w:val="28"/>
        </w:rPr>
      </w:pPr>
      <w:bookmarkStart w:id="5266" w:name="_Toc37947035"/>
      <w:bookmarkStart w:id="5267" w:name="_Toc37947635"/>
      <w:bookmarkStart w:id="5268" w:name="_Toc38031699"/>
      <w:bookmarkStart w:id="5269" w:name="_Toc93310208"/>
      <w:bookmarkStart w:id="5270" w:name="_Toc104291230"/>
      <w:bookmarkStart w:id="5271" w:name="_Toc530491871"/>
      <w:bookmarkStart w:id="5272" w:name="_Toc530492331"/>
      <w:bookmarkStart w:id="5273" w:name="_Toc530493341"/>
      <w:bookmarkStart w:id="5274" w:name="_Toc530556476"/>
      <w:bookmarkStart w:id="5275" w:name="_Toc531692385"/>
      <w:bookmarkStart w:id="5276" w:name="_Toc531856290"/>
      <w:bookmarkStart w:id="5277" w:name="_Toc531859018"/>
      <w:bookmarkStart w:id="5278" w:name="_Toc531859557"/>
      <w:r>
        <w:rPr>
          <w:rStyle w:val="CharDivNo"/>
          <w:sz w:val="28"/>
        </w:rPr>
        <w:t>Part 1</w:t>
      </w:r>
      <w:r>
        <w:rPr>
          <w:sz w:val="28"/>
        </w:rPr>
        <w:t> — </w:t>
      </w:r>
      <w:r>
        <w:rPr>
          <w:rStyle w:val="CharDivText"/>
          <w:sz w:val="28"/>
        </w:rPr>
        <w:t>Preliminary</w:t>
      </w:r>
      <w:bookmarkEnd w:id="5266"/>
      <w:bookmarkEnd w:id="5267"/>
      <w:bookmarkEnd w:id="5268"/>
      <w:bookmarkEnd w:id="5269"/>
      <w:bookmarkEnd w:id="5270"/>
      <w:bookmarkEnd w:id="5271"/>
      <w:bookmarkEnd w:id="5272"/>
      <w:bookmarkEnd w:id="5273"/>
      <w:bookmarkEnd w:id="5274"/>
      <w:bookmarkEnd w:id="5275"/>
      <w:bookmarkEnd w:id="5276"/>
      <w:bookmarkEnd w:id="5277"/>
      <w:bookmarkEnd w:id="5278"/>
    </w:p>
    <w:p>
      <w:pPr>
        <w:pStyle w:val="Heading5"/>
        <w:rPr>
          <w:sz w:val="32"/>
        </w:rPr>
      </w:pPr>
      <w:bookmarkStart w:id="5279" w:name="_Toc104291231"/>
      <w:bookmarkStart w:id="5280" w:name="_Toc531859558"/>
      <w:r>
        <w:rPr>
          <w:rStyle w:val="CharSectno"/>
        </w:rPr>
        <w:t>228</w:t>
      </w:r>
      <w:r>
        <w:t>.</w:t>
      </w:r>
      <w:r>
        <w:tab/>
        <w:t>Terms used</w:t>
      </w:r>
      <w:bookmarkEnd w:id="5279"/>
      <w:bookmarkEnd w:id="5280"/>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CEO</w:t>
      </w:r>
      <w:r>
        <w:t xml:space="preserve"> has the meaning given in the </w:t>
      </w:r>
      <w:r>
        <w:rPr>
          <w:i/>
          <w:iCs/>
        </w:rPr>
        <w:t>Road Traffic (Administration) Act 2008</w:t>
      </w:r>
      <w:r>
        <w:t xml:space="preserve"> section 4;</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Vehicles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has the meaning given in the Vehicles Act;</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w:t>
      </w:r>
      <w:r>
        <w:rPr>
          <w:i/>
          <w:iCs/>
        </w:rPr>
        <w:t>Road Traffic (Administration) Act 2008</w:t>
      </w:r>
      <w:r>
        <w:t xml:space="preserve"> section 4,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Defstart"/>
      </w:pPr>
      <w:r>
        <w:rPr>
          <w:b/>
        </w:rPr>
        <w:tab/>
      </w:r>
      <w:r>
        <w:rPr>
          <w:rStyle w:val="CharDefText"/>
        </w:rPr>
        <w:t>Vehicles Act</w:t>
      </w:r>
      <w:r>
        <w:t xml:space="preserve"> means the </w:t>
      </w:r>
      <w:r>
        <w:rPr>
          <w:i/>
          <w:iCs/>
        </w:rPr>
        <w:t>Road Traffic (Vehicles) Act 2012</w:t>
      </w:r>
      <w:r>
        <w:t>.</w:t>
      </w:r>
    </w:p>
    <w:p>
      <w:pPr>
        <w:pStyle w:val="Footnotesection"/>
      </w:pPr>
      <w:r>
        <w:tab/>
        <w:t>[Section 228 amended: No. 8 of 2012 s. 90 and 95.]</w:t>
      </w:r>
    </w:p>
    <w:p>
      <w:pPr>
        <w:pStyle w:val="Heading3"/>
        <w:rPr>
          <w:sz w:val="28"/>
        </w:rPr>
      </w:pPr>
      <w:bookmarkStart w:id="5281" w:name="_Toc37947037"/>
      <w:bookmarkStart w:id="5282" w:name="_Toc37947637"/>
      <w:bookmarkStart w:id="5283" w:name="_Toc38031701"/>
      <w:bookmarkStart w:id="5284" w:name="_Toc93310210"/>
      <w:bookmarkStart w:id="5285" w:name="_Toc104291232"/>
      <w:bookmarkStart w:id="5286" w:name="_Toc530491873"/>
      <w:bookmarkStart w:id="5287" w:name="_Toc530492333"/>
      <w:bookmarkStart w:id="5288" w:name="_Toc530493343"/>
      <w:bookmarkStart w:id="5289" w:name="_Toc530556478"/>
      <w:bookmarkStart w:id="5290" w:name="_Toc531692387"/>
      <w:bookmarkStart w:id="5291" w:name="_Toc531856292"/>
      <w:bookmarkStart w:id="5292" w:name="_Toc531859020"/>
      <w:bookmarkStart w:id="5293" w:name="_Toc531859559"/>
      <w:r>
        <w:rPr>
          <w:rStyle w:val="CharDivNo"/>
          <w:sz w:val="28"/>
        </w:rPr>
        <w:t>Part 2</w:t>
      </w:r>
      <w:r>
        <w:rPr>
          <w:sz w:val="28"/>
        </w:rPr>
        <w:t> — </w:t>
      </w:r>
      <w:r>
        <w:rPr>
          <w:rStyle w:val="CharDivText"/>
          <w:sz w:val="28"/>
        </w:rPr>
        <w:t>Imposition of vehicle licence duty</w:t>
      </w:r>
      <w:bookmarkEnd w:id="5281"/>
      <w:bookmarkEnd w:id="5282"/>
      <w:bookmarkEnd w:id="5283"/>
      <w:bookmarkEnd w:id="5284"/>
      <w:bookmarkEnd w:id="5285"/>
      <w:bookmarkEnd w:id="5286"/>
      <w:bookmarkEnd w:id="5287"/>
      <w:bookmarkEnd w:id="5288"/>
      <w:bookmarkEnd w:id="5289"/>
      <w:bookmarkEnd w:id="5290"/>
      <w:bookmarkEnd w:id="5291"/>
      <w:bookmarkEnd w:id="5292"/>
      <w:bookmarkEnd w:id="5293"/>
    </w:p>
    <w:p>
      <w:pPr>
        <w:pStyle w:val="Heading5"/>
      </w:pPr>
      <w:bookmarkStart w:id="5294" w:name="_Toc104291233"/>
      <w:bookmarkStart w:id="5295" w:name="_Toc531859560"/>
      <w:r>
        <w:rPr>
          <w:rStyle w:val="CharSectno"/>
        </w:rPr>
        <w:t>229</w:t>
      </w:r>
      <w:r>
        <w:t>.</w:t>
      </w:r>
      <w:r>
        <w:tab/>
        <w:t>Vehicle licence duty imposed</w:t>
      </w:r>
      <w:bookmarkEnd w:id="5294"/>
      <w:bookmarkEnd w:id="5295"/>
    </w:p>
    <w:p>
      <w:pPr>
        <w:pStyle w:val="Subsection"/>
      </w:pPr>
      <w:r>
        <w:tab/>
      </w:r>
      <w:r>
        <w:tab/>
        <w:t>Duty is imposed on the grant or transfer of a licence for a vehicle.</w:t>
      </w:r>
    </w:p>
    <w:p>
      <w:pPr>
        <w:pStyle w:val="Heading5"/>
      </w:pPr>
      <w:bookmarkStart w:id="5296" w:name="_Toc104291234"/>
      <w:bookmarkStart w:id="5297" w:name="_Toc531859561"/>
      <w:r>
        <w:rPr>
          <w:rStyle w:val="CharSectno"/>
        </w:rPr>
        <w:t>230</w:t>
      </w:r>
      <w:r>
        <w:t>.</w:t>
      </w:r>
      <w:r>
        <w:tab/>
        <w:t>Vehicle and licence</w:t>
      </w:r>
      <w:bookmarkEnd w:id="5296"/>
      <w:bookmarkEnd w:id="5297"/>
    </w:p>
    <w:p>
      <w:pPr>
        <w:pStyle w:val="Subsection"/>
      </w:pPr>
      <w:r>
        <w:tab/>
        <w:t>(1)</w:t>
      </w:r>
      <w:r>
        <w:tab/>
        <w:t xml:space="preserve">A </w:t>
      </w:r>
      <w:r>
        <w:rPr>
          <w:rStyle w:val="CharDefText"/>
        </w:rPr>
        <w:t>vehicle</w:t>
      </w:r>
      <w:r>
        <w:rPr>
          <w:bCs/>
        </w:rPr>
        <w:t xml:space="preserve"> is</w:t>
      </w:r>
      <w:r>
        <w:t xml:space="preserve"> a vehicle that is required to be licensed under the Vehicles Act, other than a caravan.</w:t>
      </w:r>
    </w:p>
    <w:p>
      <w:pPr>
        <w:pStyle w:val="Subsection"/>
      </w:pPr>
      <w:r>
        <w:tab/>
        <w:t>(2)</w:t>
      </w:r>
      <w:r>
        <w:tab/>
        <w:t xml:space="preserve">A </w:t>
      </w:r>
      <w:r>
        <w:rPr>
          <w:rStyle w:val="CharDefText"/>
        </w:rPr>
        <w:t>licence</w:t>
      </w:r>
      <w:r>
        <w:t>, in respect of a vehicle, is a licence for the vehicle granted under the Vehicles Act.</w:t>
      </w:r>
    </w:p>
    <w:p>
      <w:pPr>
        <w:pStyle w:val="Subsection"/>
        <w:rPr>
          <w:bCs/>
        </w:rPr>
      </w:pPr>
      <w:r>
        <w:tab/>
        <w:t>(3)</w:t>
      </w:r>
      <w:r>
        <w:tab/>
        <w:t xml:space="preserve">A duplicate licence or a certified copy of the licence granted under the Vehicles Act is not a </w:t>
      </w:r>
      <w:r>
        <w:rPr>
          <w:rStyle w:val="CharDefText"/>
        </w:rPr>
        <w:t>licence</w:t>
      </w:r>
      <w:r>
        <w:rPr>
          <w:bCs/>
        </w:rPr>
        <w:t>.</w:t>
      </w:r>
    </w:p>
    <w:p>
      <w:pPr>
        <w:pStyle w:val="Footnotesection"/>
        <w:rPr>
          <w:bCs/>
          <w:u w:val="single"/>
        </w:rPr>
      </w:pPr>
      <w:r>
        <w:tab/>
        <w:t>[Section 230 amended: No. 8 of 2012 s. 91 and 95.]</w:t>
      </w:r>
    </w:p>
    <w:p>
      <w:pPr>
        <w:pStyle w:val="Heading3"/>
        <w:rPr>
          <w:sz w:val="28"/>
        </w:rPr>
      </w:pPr>
      <w:bookmarkStart w:id="5298" w:name="_Toc37947040"/>
      <w:bookmarkStart w:id="5299" w:name="_Toc37947640"/>
      <w:bookmarkStart w:id="5300" w:name="_Toc38031704"/>
      <w:bookmarkStart w:id="5301" w:name="_Toc93310213"/>
      <w:bookmarkStart w:id="5302" w:name="_Toc104291235"/>
      <w:bookmarkStart w:id="5303" w:name="_Toc530491876"/>
      <w:bookmarkStart w:id="5304" w:name="_Toc530492336"/>
      <w:bookmarkStart w:id="5305" w:name="_Toc530493346"/>
      <w:bookmarkStart w:id="5306" w:name="_Toc530556481"/>
      <w:bookmarkStart w:id="5307" w:name="_Toc531692390"/>
      <w:bookmarkStart w:id="5308" w:name="_Toc531856295"/>
      <w:bookmarkStart w:id="5309" w:name="_Toc531859023"/>
      <w:bookmarkStart w:id="5310" w:name="_Toc531859562"/>
      <w:r>
        <w:rPr>
          <w:rStyle w:val="CharDivNo"/>
          <w:sz w:val="28"/>
        </w:rPr>
        <w:t>Part 3</w:t>
      </w:r>
      <w:r>
        <w:rPr>
          <w:sz w:val="28"/>
        </w:rPr>
        <w:t> — </w:t>
      </w:r>
      <w:r>
        <w:rPr>
          <w:rStyle w:val="CharDivText"/>
          <w:sz w:val="28"/>
        </w:rPr>
        <w:t>Collection of vehicle licence duty</w:t>
      </w:r>
      <w:bookmarkEnd w:id="5298"/>
      <w:bookmarkEnd w:id="5299"/>
      <w:bookmarkEnd w:id="5300"/>
      <w:bookmarkEnd w:id="5301"/>
      <w:bookmarkEnd w:id="5302"/>
      <w:bookmarkEnd w:id="5303"/>
      <w:bookmarkEnd w:id="5304"/>
      <w:bookmarkEnd w:id="5305"/>
      <w:bookmarkEnd w:id="5306"/>
      <w:bookmarkEnd w:id="5307"/>
      <w:bookmarkEnd w:id="5308"/>
      <w:bookmarkEnd w:id="5309"/>
      <w:bookmarkEnd w:id="5310"/>
    </w:p>
    <w:p>
      <w:pPr>
        <w:pStyle w:val="Heading4"/>
        <w:rPr>
          <w:sz w:val="26"/>
        </w:rPr>
      </w:pPr>
      <w:bookmarkStart w:id="5311" w:name="_Toc37947041"/>
      <w:bookmarkStart w:id="5312" w:name="_Toc37947641"/>
      <w:bookmarkStart w:id="5313" w:name="_Toc38031705"/>
      <w:bookmarkStart w:id="5314" w:name="_Toc93310214"/>
      <w:bookmarkStart w:id="5315" w:name="_Toc104291236"/>
      <w:bookmarkStart w:id="5316" w:name="_Toc530491877"/>
      <w:bookmarkStart w:id="5317" w:name="_Toc530492337"/>
      <w:bookmarkStart w:id="5318" w:name="_Toc530493347"/>
      <w:bookmarkStart w:id="5319" w:name="_Toc530556482"/>
      <w:bookmarkStart w:id="5320" w:name="_Toc531692391"/>
      <w:bookmarkStart w:id="5321" w:name="_Toc531856296"/>
      <w:bookmarkStart w:id="5322" w:name="_Toc531859024"/>
      <w:bookmarkStart w:id="5323" w:name="_Toc531859563"/>
      <w:r>
        <w:rPr>
          <w:sz w:val="26"/>
        </w:rPr>
        <w:t>Division 1 — Preliminary</w:t>
      </w:r>
      <w:bookmarkEnd w:id="5311"/>
      <w:bookmarkEnd w:id="5312"/>
      <w:bookmarkEnd w:id="5313"/>
      <w:bookmarkEnd w:id="5314"/>
      <w:bookmarkEnd w:id="5315"/>
      <w:bookmarkEnd w:id="5316"/>
      <w:bookmarkEnd w:id="5317"/>
      <w:bookmarkEnd w:id="5318"/>
      <w:bookmarkEnd w:id="5319"/>
      <w:bookmarkEnd w:id="5320"/>
      <w:bookmarkEnd w:id="5321"/>
      <w:bookmarkEnd w:id="5322"/>
      <w:bookmarkEnd w:id="5323"/>
    </w:p>
    <w:p>
      <w:pPr>
        <w:pStyle w:val="Heading5"/>
      </w:pPr>
      <w:bookmarkStart w:id="5324" w:name="_Toc104291237"/>
      <w:bookmarkStart w:id="5325" w:name="_Toc531859564"/>
      <w:r>
        <w:rPr>
          <w:rStyle w:val="CharSectno"/>
        </w:rPr>
        <w:t>231</w:t>
      </w:r>
      <w:r>
        <w:t>.</w:t>
      </w:r>
      <w:r>
        <w:tab/>
        <w:t>Terms used</w:t>
      </w:r>
      <w:bookmarkEnd w:id="5324"/>
      <w:bookmarkEnd w:id="5325"/>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5326" w:name="_Toc37947043"/>
      <w:bookmarkStart w:id="5327" w:name="_Toc37947643"/>
      <w:bookmarkStart w:id="5328" w:name="_Toc38031707"/>
      <w:bookmarkStart w:id="5329" w:name="_Toc93310216"/>
      <w:bookmarkStart w:id="5330" w:name="_Toc104291238"/>
      <w:bookmarkStart w:id="5331" w:name="_Toc530491879"/>
      <w:bookmarkStart w:id="5332" w:name="_Toc530492339"/>
      <w:bookmarkStart w:id="5333" w:name="_Toc530493349"/>
      <w:bookmarkStart w:id="5334" w:name="_Toc530556484"/>
      <w:bookmarkStart w:id="5335" w:name="_Toc531692393"/>
      <w:bookmarkStart w:id="5336" w:name="_Toc531856298"/>
      <w:bookmarkStart w:id="5337" w:name="_Toc531859026"/>
      <w:bookmarkStart w:id="5338" w:name="_Toc531859565"/>
      <w:r>
        <w:rPr>
          <w:sz w:val="26"/>
        </w:rPr>
        <w:t>Division 2 — Liability</w:t>
      </w:r>
      <w:bookmarkEnd w:id="5326"/>
      <w:bookmarkEnd w:id="5327"/>
      <w:bookmarkEnd w:id="5328"/>
      <w:bookmarkEnd w:id="5329"/>
      <w:bookmarkEnd w:id="5330"/>
      <w:bookmarkEnd w:id="5331"/>
      <w:bookmarkEnd w:id="5332"/>
      <w:bookmarkEnd w:id="5333"/>
      <w:bookmarkEnd w:id="5334"/>
      <w:bookmarkEnd w:id="5335"/>
      <w:bookmarkEnd w:id="5336"/>
      <w:bookmarkEnd w:id="5337"/>
      <w:bookmarkEnd w:id="5338"/>
    </w:p>
    <w:p>
      <w:pPr>
        <w:pStyle w:val="Heading5"/>
        <w:ind w:left="0" w:firstLine="0"/>
      </w:pPr>
      <w:bookmarkStart w:id="5339" w:name="_Toc104291239"/>
      <w:bookmarkStart w:id="5340" w:name="_Toc531859566"/>
      <w:r>
        <w:rPr>
          <w:rStyle w:val="CharSectno"/>
        </w:rPr>
        <w:t>232</w:t>
      </w:r>
      <w:r>
        <w:t>.</w:t>
      </w:r>
      <w:r>
        <w:tab/>
        <w:t>Who is liable to pay duty</w:t>
      </w:r>
      <w:bookmarkEnd w:id="5339"/>
      <w:bookmarkEnd w:id="5340"/>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5341" w:name="_Toc37947045"/>
      <w:bookmarkStart w:id="5342" w:name="_Toc37947645"/>
      <w:bookmarkStart w:id="5343" w:name="_Toc38031709"/>
      <w:bookmarkStart w:id="5344" w:name="_Toc93310218"/>
      <w:bookmarkStart w:id="5345" w:name="_Toc104291240"/>
      <w:bookmarkStart w:id="5346" w:name="_Toc530491881"/>
      <w:bookmarkStart w:id="5347" w:name="_Toc530492341"/>
      <w:bookmarkStart w:id="5348" w:name="_Toc530493351"/>
      <w:bookmarkStart w:id="5349" w:name="_Toc530556486"/>
      <w:bookmarkStart w:id="5350" w:name="_Toc531692395"/>
      <w:bookmarkStart w:id="5351" w:name="_Toc531856300"/>
      <w:bookmarkStart w:id="5352" w:name="_Toc531859028"/>
      <w:bookmarkStart w:id="5353" w:name="_Toc531859567"/>
      <w:r>
        <w:rPr>
          <w:sz w:val="26"/>
        </w:rPr>
        <w:t>Division 3 — Assessment and payment of vehicle licence duty</w:t>
      </w:r>
      <w:bookmarkEnd w:id="5341"/>
      <w:bookmarkEnd w:id="5342"/>
      <w:bookmarkEnd w:id="5343"/>
      <w:bookmarkEnd w:id="5344"/>
      <w:bookmarkEnd w:id="5345"/>
      <w:bookmarkEnd w:id="5346"/>
      <w:bookmarkEnd w:id="5347"/>
      <w:bookmarkEnd w:id="5348"/>
      <w:bookmarkEnd w:id="5349"/>
      <w:bookmarkEnd w:id="5350"/>
      <w:bookmarkEnd w:id="5351"/>
      <w:bookmarkEnd w:id="5352"/>
      <w:bookmarkEnd w:id="5353"/>
    </w:p>
    <w:p>
      <w:pPr>
        <w:pStyle w:val="Heading5"/>
      </w:pPr>
      <w:bookmarkStart w:id="5354" w:name="_Toc104291241"/>
      <w:bookmarkStart w:id="5355" w:name="_Toc531859568"/>
      <w:r>
        <w:rPr>
          <w:rStyle w:val="CharSectno"/>
        </w:rPr>
        <w:t>233</w:t>
      </w:r>
      <w:r>
        <w:t>.</w:t>
      </w:r>
      <w:r>
        <w:tab/>
        <w:t>Assessment of duty</w:t>
      </w:r>
      <w:bookmarkEnd w:id="5354"/>
      <w:bookmarkEnd w:id="5355"/>
    </w:p>
    <w:p>
      <w:pPr>
        <w:pStyle w:val="Subsection"/>
      </w:pPr>
      <w:r>
        <w:tab/>
        <w:t>(1)</w:t>
      </w:r>
      <w:r>
        <w:tab/>
        <w:t>When an application is made for the grant or transfer of a licence for a vehicle the CEO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Footnotesection"/>
      </w:pPr>
      <w:r>
        <w:tab/>
        <w:t>[Section 233 amended: No. 8 of 2012 s. 96.]</w:t>
      </w:r>
    </w:p>
    <w:p>
      <w:pPr>
        <w:pStyle w:val="Heading5"/>
      </w:pPr>
      <w:bookmarkStart w:id="5356" w:name="_Toc104291242"/>
      <w:bookmarkStart w:id="5357" w:name="_Toc531859569"/>
      <w:r>
        <w:rPr>
          <w:rStyle w:val="CharSectno"/>
        </w:rPr>
        <w:t>234</w:t>
      </w:r>
      <w:r>
        <w:t>.</w:t>
      </w:r>
      <w:r>
        <w:tab/>
        <w:t>Applicant for licence to state dutiable value of vehicle etc.</w:t>
      </w:r>
      <w:bookmarkEnd w:id="5356"/>
      <w:bookmarkEnd w:id="5357"/>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CEO may, by notice given to the applicant, require the applicant to give the CEO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Footnotesection"/>
      </w:pPr>
      <w:r>
        <w:tab/>
        <w:t>[Section 234 amended: No. 8 of 2012 s. 96.]</w:t>
      </w:r>
    </w:p>
    <w:p>
      <w:pPr>
        <w:pStyle w:val="Heading5"/>
      </w:pPr>
      <w:bookmarkStart w:id="5358" w:name="_Toc104291243"/>
      <w:bookmarkStart w:id="5359" w:name="_Toc531859570"/>
      <w:r>
        <w:rPr>
          <w:rStyle w:val="CharSectno"/>
        </w:rPr>
        <w:t>235</w:t>
      </w:r>
      <w:r>
        <w:t>.</w:t>
      </w:r>
      <w:r>
        <w:tab/>
        <w:t>Payment of duty</w:t>
      </w:r>
      <w:bookmarkEnd w:id="5358"/>
      <w:bookmarkEnd w:id="5359"/>
    </w:p>
    <w:p>
      <w:pPr>
        <w:pStyle w:val="Subsection"/>
        <w:keepLines/>
      </w:pPr>
      <w:r>
        <w:tab/>
      </w:r>
      <w:r>
        <w:tab/>
        <w:t xml:space="preserve">Duty chargeable on the grant or transfer of a licence for a vehicle and any penalty tax is payable — </w:t>
      </w:r>
    </w:p>
    <w:p>
      <w:pPr>
        <w:pStyle w:val="Indenta"/>
      </w:pPr>
      <w:r>
        <w:tab/>
        <w:t>(a)</w:t>
      </w:r>
      <w:r>
        <w:tab/>
        <w:t>to the CEO in accordance with the Vehicles Act; or</w:t>
      </w:r>
    </w:p>
    <w:p>
      <w:pPr>
        <w:pStyle w:val="Indenta"/>
      </w:pPr>
      <w:r>
        <w:tab/>
        <w:t>(b)</w:t>
      </w:r>
      <w:r>
        <w:tab/>
        <w:t>if an assessment is made by the Commissioner — in accordance with the Taxation Administration Act.</w:t>
      </w:r>
    </w:p>
    <w:p>
      <w:pPr>
        <w:pStyle w:val="Footnotesection"/>
      </w:pPr>
      <w:r>
        <w:tab/>
        <w:t>[Section 235 amended: No. 8 of 2012 s. 95 and 96.]</w:t>
      </w:r>
    </w:p>
    <w:p>
      <w:pPr>
        <w:pStyle w:val="Heading4"/>
        <w:rPr>
          <w:sz w:val="26"/>
        </w:rPr>
      </w:pPr>
      <w:bookmarkStart w:id="5360" w:name="_Toc37947049"/>
      <w:bookmarkStart w:id="5361" w:name="_Toc37947649"/>
      <w:bookmarkStart w:id="5362" w:name="_Toc38031713"/>
      <w:bookmarkStart w:id="5363" w:name="_Toc93310222"/>
      <w:bookmarkStart w:id="5364" w:name="_Toc104291244"/>
      <w:bookmarkStart w:id="5365" w:name="_Toc530491885"/>
      <w:bookmarkStart w:id="5366" w:name="_Toc530492345"/>
      <w:bookmarkStart w:id="5367" w:name="_Toc530493355"/>
      <w:bookmarkStart w:id="5368" w:name="_Toc530556490"/>
      <w:bookmarkStart w:id="5369" w:name="_Toc531692399"/>
      <w:bookmarkStart w:id="5370" w:name="_Toc531856304"/>
      <w:bookmarkStart w:id="5371" w:name="_Toc531859032"/>
      <w:bookmarkStart w:id="5372" w:name="_Toc531859571"/>
      <w:r>
        <w:rPr>
          <w:sz w:val="26"/>
        </w:rPr>
        <w:t>Division 4 — Amount of vehicle licence duty</w:t>
      </w:r>
      <w:bookmarkEnd w:id="5360"/>
      <w:bookmarkEnd w:id="5361"/>
      <w:bookmarkEnd w:id="5362"/>
      <w:bookmarkEnd w:id="5363"/>
      <w:bookmarkEnd w:id="5364"/>
      <w:bookmarkEnd w:id="5365"/>
      <w:bookmarkEnd w:id="5366"/>
      <w:bookmarkEnd w:id="5367"/>
      <w:bookmarkEnd w:id="5368"/>
      <w:bookmarkEnd w:id="5369"/>
      <w:bookmarkEnd w:id="5370"/>
      <w:bookmarkEnd w:id="5371"/>
      <w:bookmarkEnd w:id="5372"/>
    </w:p>
    <w:p>
      <w:pPr>
        <w:pStyle w:val="Heading5"/>
      </w:pPr>
      <w:bookmarkStart w:id="5373" w:name="_Toc104291245"/>
      <w:bookmarkStart w:id="5374" w:name="_Toc531859572"/>
      <w:r>
        <w:rPr>
          <w:rStyle w:val="CharSectno"/>
        </w:rPr>
        <w:t>236</w:t>
      </w:r>
      <w:r>
        <w:t>.</w:t>
      </w:r>
      <w:r>
        <w:tab/>
        <w:t>Amount of duty payable</w:t>
      </w:r>
      <w:bookmarkEnd w:id="5373"/>
      <w:bookmarkEnd w:id="5374"/>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drawing>
          <wp:inline distT="0" distB="0" distL="0" distR="0">
            <wp:extent cx="17907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b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No. 12 of 2008 s. 24.]</w:t>
      </w:r>
    </w:p>
    <w:p>
      <w:pPr>
        <w:pStyle w:val="Heading4"/>
        <w:rPr>
          <w:sz w:val="26"/>
        </w:rPr>
      </w:pPr>
      <w:bookmarkStart w:id="5375" w:name="_Toc37947051"/>
      <w:bookmarkStart w:id="5376" w:name="_Toc37947651"/>
      <w:bookmarkStart w:id="5377" w:name="_Toc38031715"/>
      <w:bookmarkStart w:id="5378" w:name="_Toc93310224"/>
      <w:bookmarkStart w:id="5379" w:name="_Toc104291246"/>
      <w:bookmarkStart w:id="5380" w:name="_Toc530491887"/>
      <w:bookmarkStart w:id="5381" w:name="_Toc530492347"/>
      <w:bookmarkStart w:id="5382" w:name="_Toc530493357"/>
      <w:bookmarkStart w:id="5383" w:name="_Toc530556492"/>
      <w:bookmarkStart w:id="5384" w:name="_Toc531692401"/>
      <w:bookmarkStart w:id="5385" w:name="_Toc531856306"/>
      <w:bookmarkStart w:id="5386" w:name="_Toc531859034"/>
      <w:bookmarkStart w:id="5387" w:name="_Toc531859573"/>
      <w:r>
        <w:rPr>
          <w:sz w:val="26"/>
        </w:rPr>
        <w:t>Division 5 — Dutiable value of a vehicle</w:t>
      </w:r>
      <w:bookmarkEnd w:id="5375"/>
      <w:bookmarkEnd w:id="5376"/>
      <w:bookmarkEnd w:id="5377"/>
      <w:bookmarkEnd w:id="5378"/>
      <w:bookmarkEnd w:id="5379"/>
      <w:bookmarkEnd w:id="5380"/>
      <w:bookmarkEnd w:id="5381"/>
      <w:bookmarkEnd w:id="5382"/>
      <w:bookmarkEnd w:id="5383"/>
      <w:bookmarkEnd w:id="5384"/>
      <w:bookmarkEnd w:id="5385"/>
      <w:bookmarkEnd w:id="5386"/>
      <w:bookmarkEnd w:id="5387"/>
    </w:p>
    <w:p>
      <w:pPr>
        <w:pStyle w:val="Heading5"/>
        <w:spacing w:before="180"/>
      </w:pPr>
      <w:bookmarkStart w:id="5388" w:name="_Toc104291247"/>
      <w:bookmarkStart w:id="5389" w:name="_Toc531859574"/>
      <w:r>
        <w:rPr>
          <w:rStyle w:val="CharSectno"/>
        </w:rPr>
        <w:t>237</w:t>
      </w:r>
      <w:r>
        <w:t>.</w:t>
      </w:r>
      <w:r>
        <w:tab/>
        <w:t>Certain new vehicles, dutiable value of</w:t>
      </w:r>
      <w:bookmarkEnd w:id="5388"/>
      <w:bookmarkEnd w:id="5389"/>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for each optional feature in or of the vehicle — the additional amount fixed by the manufacturer, importer or principal distributor for the retail sale in Western Australia of the optional feature.</w:t>
      </w:r>
    </w:p>
    <w:p>
      <w:pPr>
        <w:pStyle w:val="Subsection"/>
      </w:pPr>
      <w:r>
        <w:tab/>
        <w:t>(2)</w:t>
      </w:r>
      <w:r>
        <w:tab/>
        <w:t>This section has effect subject to section 239.</w:t>
      </w:r>
    </w:p>
    <w:p>
      <w:pPr>
        <w:pStyle w:val="Heading5"/>
        <w:spacing w:before="180"/>
      </w:pPr>
      <w:bookmarkStart w:id="5390" w:name="_Toc104291248"/>
      <w:bookmarkStart w:id="5391" w:name="_Toc531859575"/>
      <w:r>
        <w:rPr>
          <w:rStyle w:val="CharSectno"/>
        </w:rPr>
        <w:t>238</w:t>
      </w:r>
      <w:r>
        <w:t>.</w:t>
      </w:r>
      <w:r>
        <w:tab/>
        <w:t>Certain other vehicles, dutiable value of</w:t>
      </w:r>
      <w:bookmarkEnd w:id="5390"/>
      <w:bookmarkEnd w:id="5391"/>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5392" w:name="_Toc104291249"/>
      <w:bookmarkStart w:id="5393" w:name="_Toc531859576"/>
      <w:r>
        <w:rPr>
          <w:rStyle w:val="CharSectno"/>
        </w:rPr>
        <w:t>239</w:t>
      </w:r>
      <w:r>
        <w:t>.</w:t>
      </w:r>
      <w:r>
        <w:tab/>
        <w:t>Specialised vehicles, dutiable value of</w:t>
      </w:r>
      <w:bookmarkEnd w:id="5392"/>
      <w:bookmarkEnd w:id="5393"/>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rPr>
          <w:sz w:val="28"/>
        </w:rPr>
      </w:pPr>
      <w:bookmarkStart w:id="5394" w:name="_Toc37947055"/>
      <w:bookmarkStart w:id="5395" w:name="_Toc37947655"/>
      <w:bookmarkStart w:id="5396" w:name="_Toc38031719"/>
      <w:bookmarkStart w:id="5397" w:name="_Toc93310228"/>
      <w:bookmarkStart w:id="5398" w:name="_Toc104291250"/>
      <w:bookmarkStart w:id="5399" w:name="_Toc530491891"/>
      <w:bookmarkStart w:id="5400" w:name="_Toc530492351"/>
      <w:bookmarkStart w:id="5401" w:name="_Toc530493361"/>
      <w:bookmarkStart w:id="5402" w:name="_Toc530556496"/>
      <w:bookmarkStart w:id="5403" w:name="_Toc531692405"/>
      <w:bookmarkStart w:id="5404" w:name="_Toc531856310"/>
      <w:bookmarkStart w:id="5405" w:name="_Toc531859038"/>
      <w:bookmarkStart w:id="5406" w:name="_Toc531859577"/>
      <w:r>
        <w:rPr>
          <w:rStyle w:val="CharDivNo"/>
          <w:sz w:val="28"/>
        </w:rPr>
        <w:t>Part 4</w:t>
      </w:r>
      <w:r>
        <w:rPr>
          <w:sz w:val="28"/>
        </w:rPr>
        <w:t> — </w:t>
      </w:r>
      <w:r>
        <w:rPr>
          <w:rStyle w:val="CharDivText"/>
          <w:sz w:val="28"/>
        </w:rPr>
        <w:t>Exemptions and nominal duty</w:t>
      </w:r>
      <w:bookmarkEnd w:id="5394"/>
      <w:bookmarkEnd w:id="5395"/>
      <w:bookmarkEnd w:id="5396"/>
      <w:bookmarkEnd w:id="5397"/>
      <w:bookmarkEnd w:id="5398"/>
      <w:bookmarkEnd w:id="5399"/>
      <w:bookmarkEnd w:id="5400"/>
      <w:bookmarkEnd w:id="5401"/>
      <w:bookmarkEnd w:id="5402"/>
      <w:bookmarkEnd w:id="5403"/>
      <w:bookmarkEnd w:id="5404"/>
      <w:bookmarkEnd w:id="5405"/>
      <w:bookmarkEnd w:id="5406"/>
    </w:p>
    <w:p>
      <w:pPr>
        <w:pStyle w:val="Heading4"/>
        <w:rPr>
          <w:sz w:val="26"/>
        </w:rPr>
      </w:pPr>
      <w:bookmarkStart w:id="5407" w:name="_Toc37947056"/>
      <w:bookmarkStart w:id="5408" w:name="_Toc37947656"/>
      <w:bookmarkStart w:id="5409" w:name="_Toc38031720"/>
      <w:bookmarkStart w:id="5410" w:name="_Toc93310229"/>
      <w:bookmarkStart w:id="5411" w:name="_Toc104291251"/>
      <w:bookmarkStart w:id="5412" w:name="_Toc530491892"/>
      <w:bookmarkStart w:id="5413" w:name="_Toc530492352"/>
      <w:bookmarkStart w:id="5414" w:name="_Toc530493362"/>
      <w:bookmarkStart w:id="5415" w:name="_Toc530556497"/>
      <w:bookmarkStart w:id="5416" w:name="_Toc531692406"/>
      <w:bookmarkStart w:id="5417" w:name="_Toc531856311"/>
      <w:bookmarkStart w:id="5418" w:name="_Toc531859039"/>
      <w:bookmarkStart w:id="5419" w:name="_Toc531859578"/>
      <w:r>
        <w:rPr>
          <w:sz w:val="26"/>
        </w:rPr>
        <w:t>Division 1 — Exemptions — general</w:t>
      </w:r>
      <w:bookmarkEnd w:id="5407"/>
      <w:bookmarkEnd w:id="5408"/>
      <w:bookmarkEnd w:id="5409"/>
      <w:bookmarkEnd w:id="5410"/>
      <w:bookmarkEnd w:id="5411"/>
      <w:bookmarkEnd w:id="5412"/>
      <w:bookmarkEnd w:id="5413"/>
      <w:bookmarkEnd w:id="5414"/>
      <w:bookmarkEnd w:id="5415"/>
      <w:bookmarkEnd w:id="5416"/>
      <w:bookmarkEnd w:id="5417"/>
      <w:bookmarkEnd w:id="5418"/>
      <w:bookmarkEnd w:id="5419"/>
    </w:p>
    <w:p>
      <w:pPr>
        <w:pStyle w:val="Heading5"/>
        <w:spacing w:before="180"/>
      </w:pPr>
      <w:bookmarkStart w:id="5420" w:name="_Toc104291252"/>
      <w:bookmarkStart w:id="5421" w:name="_Toc531859579"/>
      <w:r>
        <w:rPr>
          <w:rStyle w:val="CharSectno"/>
        </w:rPr>
        <w:t>240</w:t>
      </w:r>
      <w:r>
        <w:t>.</w:t>
      </w:r>
      <w:r>
        <w:tab/>
        <w:t>If no vehicle licence fee payable under Vehicles Act</w:t>
      </w:r>
      <w:bookmarkEnd w:id="5420"/>
      <w:bookmarkEnd w:id="5421"/>
    </w:p>
    <w:p>
      <w:pPr>
        <w:pStyle w:val="Subsection"/>
      </w:pPr>
      <w:r>
        <w:tab/>
        <w:t>(1)</w:t>
      </w:r>
      <w:r>
        <w:tab/>
        <w:t>Duty is not chargeable on the grant of a licence for a vehicle if no fee is payable under the Vehicles Act section 7(3).</w:t>
      </w:r>
    </w:p>
    <w:p>
      <w:pPr>
        <w:pStyle w:val="Subsection"/>
      </w:pPr>
      <w:r>
        <w:tab/>
        <w:t>(2)</w:t>
      </w:r>
      <w:r>
        <w:tab/>
        <w:t>Duty is not chargeable on the transfer of a licence for a vehicle if no fee would have been payable under the Vehicles Act section 7(3) for the grant of a licence to the transferee for the vehicle on the day of the transfer.</w:t>
      </w:r>
    </w:p>
    <w:p>
      <w:pPr>
        <w:pStyle w:val="Footnotesection"/>
      </w:pPr>
      <w:r>
        <w:tab/>
        <w:t>[Section 240 amended: No. 8 of 2012 s. 92.]</w:t>
      </w:r>
    </w:p>
    <w:p>
      <w:pPr>
        <w:pStyle w:val="Heading5"/>
        <w:spacing w:before="180"/>
      </w:pPr>
      <w:bookmarkStart w:id="5422" w:name="_Toc104291253"/>
      <w:bookmarkStart w:id="5423" w:name="_Toc531859580"/>
      <w:r>
        <w:rPr>
          <w:rStyle w:val="CharSectno"/>
        </w:rPr>
        <w:t>241</w:t>
      </w:r>
      <w:r>
        <w:t>.</w:t>
      </w:r>
      <w:r>
        <w:tab/>
        <w:t>If transfer is a reconstruction transaction</w:t>
      </w:r>
      <w:bookmarkEnd w:id="5422"/>
      <w:bookmarkEnd w:id="5423"/>
    </w:p>
    <w:p>
      <w:pPr>
        <w:pStyle w:val="Subsection"/>
      </w:pPr>
      <w:r>
        <w:tab/>
      </w:r>
      <w:r>
        <w:tab/>
        <w:t>Duty is not chargeable on the transfer of a licence for a vehicle if an exemption certificate issued under section 263(3)(a) in respect of the transfer is given to the CEO.</w:t>
      </w:r>
    </w:p>
    <w:p>
      <w:pPr>
        <w:pStyle w:val="Footnotesection"/>
      </w:pPr>
      <w:r>
        <w:tab/>
        <w:t>[Section 241 amended: No. 8 of 2012 s. 96.]</w:t>
      </w:r>
    </w:p>
    <w:p>
      <w:pPr>
        <w:pStyle w:val="Heading5"/>
        <w:spacing w:before="180"/>
      </w:pPr>
      <w:bookmarkStart w:id="5424" w:name="_Toc104291254"/>
      <w:bookmarkStart w:id="5425" w:name="_Toc531859581"/>
      <w:r>
        <w:rPr>
          <w:rStyle w:val="CharSectno"/>
        </w:rPr>
        <w:t>242</w:t>
      </w:r>
      <w:r>
        <w:t>.</w:t>
      </w:r>
      <w:r>
        <w:tab/>
        <w:t>If vehicle previously licensed to licence holder</w:t>
      </w:r>
      <w:bookmarkEnd w:id="5424"/>
      <w:bookmarkEnd w:id="5425"/>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Vehicles Act; or</w:t>
      </w:r>
    </w:p>
    <w:p>
      <w:pPr>
        <w:pStyle w:val="Indenta"/>
      </w:pPr>
      <w:r>
        <w:tab/>
        <w:t>(b)</w:t>
      </w:r>
      <w:r>
        <w:tab/>
        <w:t>a corresponding State law; or</w:t>
      </w:r>
    </w:p>
    <w:p>
      <w:pPr>
        <w:pStyle w:val="Indenta"/>
      </w:pPr>
      <w:r>
        <w:tab/>
        <w:t>(c)</w:t>
      </w:r>
      <w:r>
        <w:tab/>
        <w:t>a law of a</w:t>
      </w:r>
      <w:r>
        <w:rPr>
          <w:bCs/>
        </w:rPr>
        <w:t xml:space="preserve"> country other than Australia</w:t>
      </w:r>
      <w:r>
        <w:t xml:space="preserve"> that corresponds to the Vehicles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Footnotesection"/>
      </w:pPr>
      <w:r>
        <w:tab/>
        <w:t>[Section 242 amended: No. 8 of 2012 s. 95.]</w:t>
      </w:r>
    </w:p>
    <w:p>
      <w:pPr>
        <w:pStyle w:val="Heading5"/>
      </w:pPr>
      <w:bookmarkStart w:id="5426" w:name="_Toc104291255"/>
      <w:bookmarkStart w:id="5427" w:name="_Toc531859582"/>
      <w:r>
        <w:rPr>
          <w:rStyle w:val="CharSectno"/>
        </w:rPr>
        <w:t>243</w:t>
      </w:r>
      <w:r>
        <w:t>.</w:t>
      </w:r>
      <w:r>
        <w:tab/>
        <w:t>If licence is for certain heavy vehicle</w:t>
      </w:r>
      <w:bookmarkEnd w:id="5426"/>
      <w:bookmarkEnd w:id="5427"/>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r>
        <w:rPr>
          <w:i/>
        </w:rPr>
        <w:t>Interstate Road Transport Act 1985</w:t>
      </w:r>
      <w:r>
        <w:t xml:space="preserve"> (Commonwealth); and</w:t>
      </w:r>
    </w:p>
    <w:p>
      <w:pPr>
        <w:pStyle w:val="Indenta"/>
        <w:keepLines/>
      </w:pPr>
      <w:r>
        <w:tab/>
        <w:t>(b)</w:t>
      </w:r>
      <w:r>
        <w:tab/>
        <w:t xml:space="preserve">since 16 January 1997, no licence or registration has been granted under the </w:t>
      </w:r>
      <w:r>
        <w:rPr>
          <w:i/>
        </w:rPr>
        <w:t>Road Traffic Act 1974</w:t>
      </w:r>
      <w:r>
        <w:t xml:space="preserve"> or the Vehicles Act or a corresponding State law for the vehicle in any other person’s name.</w:t>
      </w:r>
    </w:p>
    <w:p>
      <w:pPr>
        <w:pStyle w:val="Footnotesection"/>
      </w:pPr>
      <w:r>
        <w:tab/>
        <w:t>[Section 243 amended: No. 8 of 2012 s. 93.]</w:t>
      </w:r>
    </w:p>
    <w:p>
      <w:pPr>
        <w:pStyle w:val="Heading5"/>
      </w:pPr>
      <w:bookmarkStart w:id="5428" w:name="_Toc104291256"/>
      <w:bookmarkStart w:id="5429" w:name="_Toc531859583"/>
      <w:r>
        <w:rPr>
          <w:rStyle w:val="CharSectno"/>
        </w:rPr>
        <w:t>244A</w:t>
      </w:r>
      <w:r>
        <w:t>.</w:t>
      </w:r>
      <w:r>
        <w:tab/>
        <w:t>If transfer is between spouses or de facto partners</w:t>
      </w:r>
      <w:bookmarkEnd w:id="5428"/>
      <w:bookmarkEnd w:id="5429"/>
    </w:p>
    <w:p>
      <w:pPr>
        <w:pStyle w:val="Subsection"/>
      </w:pPr>
      <w:r>
        <w:tab/>
        <w:t>(1)</w:t>
      </w:r>
      <w:r>
        <w:tab/>
        <w:t xml:space="preserve">In this section — </w:t>
      </w:r>
    </w:p>
    <w:p>
      <w:pPr>
        <w:pStyle w:val="Defstart"/>
        <w:rPr>
          <w:ins w:id="5430" w:author="Master Repository Process" w:date="2022-05-27T14:27:00Z"/>
        </w:rPr>
      </w:pPr>
      <w:ins w:id="5431" w:author="Master Repository Process" w:date="2022-05-27T14:27:00Z">
        <w:r>
          <w:tab/>
        </w:r>
        <w:r>
          <w:rPr>
            <w:rStyle w:val="CharDefText"/>
          </w:rPr>
          <w:t>car or bus</w:t>
        </w:r>
        <w:r>
          <w:t xml:space="preserve"> means a motor vehicle, other than a motor cycle, or a motorised wheelchair, built mainly to carry people and includes the type of vehicle known as a utility;</w:t>
        </w:r>
      </w:ins>
    </w:p>
    <w:p>
      <w:pPr>
        <w:pStyle w:val="Defstart"/>
        <w:rPr>
          <w:ins w:id="5432" w:author="Master Repository Process" w:date="2022-05-27T14:27:00Z"/>
        </w:rPr>
      </w:pPr>
      <w:r>
        <w:tab/>
      </w:r>
      <w:r>
        <w:rPr>
          <w:rStyle w:val="CharDefText"/>
        </w:rPr>
        <w:t>de facto partners of 2 years</w:t>
      </w:r>
      <w:r>
        <w:t xml:space="preserve"> has the meaning given in section 9</w:t>
      </w:r>
      <w:ins w:id="5433" w:author="Master Repository Process" w:date="2022-05-27T14:27:00Z">
        <w:r>
          <w:t>;</w:t>
        </w:r>
      </w:ins>
    </w:p>
    <w:p>
      <w:pPr>
        <w:pStyle w:val="Defstart"/>
        <w:rPr>
          <w:ins w:id="5434" w:author="Master Repository Process" w:date="2022-05-27T14:27:00Z"/>
        </w:rPr>
      </w:pPr>
      <w:ins w:id="5435" w:author="Master Repository Process" w:date="2022-05-27T14:27:00Z">
        <w:r>
          <w:tab/>
        </w:r>
        <w:r>
          <w:rPr>
            <w:rStyle w:val="CharDefText"/>
          </w:rPr>
          <w:t>goods vehicle</w:t>
        </w:r>
        <w:r>
          <w:t xml:space="preserve"> means a motor vehicle built or modified to be used primarily to carry goods or materials used in any trade, business or industry;</w:t>
        </w:r>
      </w:ins>
    </w:p>
    <w:p>
      <w:pPr>
        <w:pStyle w:val="Defstart"/>
        <w:rPr>
          <w:ins w:id="5436" w:author="Master Repository Process" w:date="2022-05-27T14:27:00Z"/>
        </w:rPr>
      </w:pPr>
      <w:ins w:id="5437" w:author="Master Repository Process" w:date="2022-05-27T14:27:00Z">
        <w:r>
          <w:tab/>
        </w:r>
        <w:r>
          <w:rPr>
            <w:rStyle w:val="CharDefText"/>
          </w:rPr>
          <w:t>motor cycle</w:t>
        </w:r>
        <w:r>
          <w:t xml:space="preserve"> means a motor vehicle, other than a motorised wheelchair or a goods vehicle, that is not equipped with a permanent cab and cab roof and that — </w:t>
        </w:r>
      </w:ins>
    </w:p>
    <w:p>
      <w:pPr>
        <w:pStyle w:val="Defpara"/>
        <w:rPr>
          <w:ins w:id="5438" w:author="Master Repository Process" w:date="2022-05-27T14:27:00Z"/>
        </w:rPr>
      </w:pPr>
      <w:ins w:id="5439" w:author="Master Repository Process" w:date="2022-05-27T14:27:00Z">
        <w:r>
          <w:tab/>
          <w:t>(a)</w:t>
        </w:r>
        <w:r>
          <w:tab/>
          <w:t>is designed to travel on 2 wheels or, with a sidecar attached, 3 wheels; or</w:t>
        </w:r>
      </w:ins>
    </w:p>
    <w:p>
      <w:pPr>
        <w:pStyle w:val="Defpara"/>
        <w:rPr>
          <w:ins w:id="5440" w:author="Master Repository Process" w:date="2022-05-27T14:27:00Z"/>
        </w:rPr>
      </w:pPr>
      <w:ins w:id="5441" w:author="Master Repository Process" w:date="2022-05-27T14:27:00Z">
        <w:r>
          <w:tab/>
          <w:t>(b)</w:t>
        </w:r>
        <w:r>
          <w:tab/>
          <w:t>has 3 wheels arranged so that the axis of rotation of 2 wheels lies on the same straight line and each of those 2 wheels is equidistant from the third;</w:t>
        </w:r>
      </w:ins>
    </w:p>
    <w:p>
      <w:pPr>
        <w:pStyle w:val="Defstart"/>
        <w:rPr>
          <w:ins w:id="5442" w:author="Master Repository Process" w:date="2022-05-27T14:27:00Z"/>
        </w:rPr>
      </w:pPr>
      <w:ins w:id="5443" w:author="Master Repository Process" w:date="2022-05-27T14:27:00Z">
        <w:r>
          <w:tab/>
        </w:r>
        <w:r>
          <w:rPr>
            <w:rStyle w:val="CharDefText"/>
          </w:rPr>
          <w:t>motorised wheelchair</w:t>
        </w:r>
        <w:r>
          <w:t xml:space="preserve"> means a chair</w:t>
        </w:r>
        <w:r>
          <w:noBreakHyphen/>
          <w:t xml:space="preserve">type vehicle that — </w:t>
        </w:r>
      </w:ins>
    </w:p>
    <w:p>
      <w:pPr>
        <w:pStyle w:val="Defpara"/>
        <w:rPr>
          <w:ins w:id="5444" w:author="Master Repository Process" w:date="2022-05-27T14:27:00Z"/>
        </w:rPr>
      </w:pPr>
      <w:ins w:id="5445" w:author="Master Repository Process" w:date="2022-05-27T14:27:00Z">
        <w:r>
          <w:tab/>
          <w:t>(a)</w:t>
        </w:r>
        <w:r>
          <w:tab/>
          <w:t>is fitted with 3 or more wheels; and</w:t>
        </w:r>
      </w:ins>
    </w:p>
    <w:p>
      <w:pPr>
        <w:pStyle w:val="Defpara"/>
      </w:pPr>
      <w:ins w:id="5446" w:author="Master Repository Process" w:date="2022-05-27T14:27:00Z">
        <w:r>
          <w:tab/>
          <w:t>(b)</w:t>
        </w:r>
        <w:r>
          <w:tab/>
          <w:t>is fitted and designed only for the use of persons with a physical disability</w:t>
        </w:r>
      </w:ins>
      <w:r>
        <w:t>.</w:t>
      </w:r>
    </w:p>
    <w:p>
      <w:pPr>
        <w:pStyle w:val="Subsection"/>
      </w:pPr>
      <w:r>
        <w:tab/>
        <w:t>(2)</w:t>
      </w:r>
      <w:r>
        <w:tab/>
        <w:t>Duty is not chargeable on the transfer of a licence for a vehicle if subsections (3), (4), (5) and (6) apply.</w:t>
      </w:r>
    </w:p>
    <w:p>
      <w:pPr>
        <w:pStyle w:val="Subsection"/>
      </w:pPr>
      <w:r>
        <w:tab/>
        <w:t>(3)</w:t>
      </w:r>
      <w:r>
        <w:tab/>
        <w:t>This subsection applies if the person from whom, and the person to whom, the licence is transferred are married to each other or are de facto partners of 2 years.</w:t>
      </w:r>
    </w:p>
    <w:p>
      <w:pPr>
        <w:pStyle w:val="Subsection"/>
      </w:pPr>
      <w:r>
        <w:tab/>
        <w:t>(4)</w:t>
      </w:r>
      <w:r>
        <w:tab/>
        <w:t>This subsection applies if neither the person from whom, nor the person to whom, the licence is transferred holds the vehicle as trustee of a trust.</w:t>
      </w:r>
    </w:p>
    <w:p>
      <w:pPr>
        <w:pStyle w:val="Subsection"/>
        <w:rPr>
          <w:ins w:id="5447" w:author="Master Repository Process" w:date="2022-05-27T14:27:00Z"/>
        </w:rPr>
      </w:pPr>
      <w:r>
        <w:tab/>
        <w:t>(5)</w:t>
      </w:r>
      <w:r>
        <w:tab/>
        <w:t xml:space="preserve">This subsection applies if the </w:t>
      </w:r>
      <w:del w:id="5448" w:author="Master Repository Process" w:date="2022-05-27T14:27:00Z">
        <w:r>
          <w:delText>fee</w:delText>
        </w:r>
      </w:del>
      <w:ins w:id="5449" w:author="Master Repository Process" w:date="2022-05-27T14:27:00Z">
        <w:r>
          <w:t xml:space="preserve">vehicle is a car or bus or a goods vehicle — </w:t>
        </w:r>
      </w:ins>
    </w:p>
    <w:p>
      <w:pPr>
        <w:pStyle w:val="Indenta"/>
        <w:rPr>
          <w:ins w:id="5450" w:author="Master Repository Process" w:date="2022-05-27T14:27:00Z"/>
        </w:rPr>
      </w:pPr>
      <w:ins w:id="5451" w:author="Master Repository Process" w:date="2022-05-27T14:27:00Z">
        <w:r>
          <w:tab/>
          <w:t>(a)</w:t>
        </w:r>
        <w:r>
          <w:tab/>
          <w:t>with an unloaded mass</w:t>
        </w:r>
      </w:ins>
      <w:r>
        <w:t xml:space="preserve"> that </w:t>
      </w:r>
      <w:del w:id="5452" w:author="Master Repository Process" w:date="2022-05-27T14:27:00Z">
        <w:r>
          <w:delText>would have been payable under the Vehicles Act for the grant of a licence to the transferee for the vehicle on the day of the transfer would have been reduced under regulations made under section 7(</w:delText>
        </w:r>
      </w:del>
      <w:ins w:id="5453" w:author="Master Repository Process" w:date="2022-05-27T14:27:00Z">
        <w:r>
          <w:t xml:space="preserve">does not exceed </w:t>
        </w:r>
      </w:ins>
      <w:r>
        <w:t>3</w:t>
      </w:r>
      <w:del w:id="5454" w:author="Master Repository Process" w:date="2022-05-27T14:27:00Z">
        <w:r>
          <w:delText xml:space="preserve">) of </w:delText>
        </w:r>
      </w:del>
      <w:ins w:id="5455" w:author="Master Repository Process" w:date="2022-05-27T14:27:00Z">
        <w:r>
          <w:t> 000 kg; and</w:t>
        </w:r>
      </w:ins>
    </w:p>
    <w:p>
      <w:pPr>
        <w:pStyle w:val="Indenta"/>
        <w:rPr>
          <w:ins w:id="5456" w:author="Master Repository Process" w:date="2022-05-27T14:27:00Z"/>
        </w:rPr>
      </w:pPr>
      <w:ins w:id="5457" w:author="Master Repository Process" w:date="2022-05-27T14:27:00Z">
        <w:r>
          <w:tab/>
          <w:t>(b)</w:t>
        </w:r>
        <w:r>
          <w:tab/>
        </w:r>
      </w:ins>
      <w:r>
        <w:t xml:space="preserve">that </w:t>
      </w:r>
      <w:del w:id="5458" w:author="Master Repository Process" w:date="2022-05-27T14:27:00Z">
        <w:r>
          <w:delText xml:space="preserve">Act for the reason, or for reasons </w:delText>
        </w:r>
      </w:del>
      <w:ins w:id="5459" w:author="Master Repository Process" w:date="2022-05-27T14:27:00Z">
        <w:r>
          <w:t>is not a heavy vehicle; and</w:t>
        </w:r>
      </w:ins>
    </w:p>
    <w:p>
      <w:pPr>
        <w:pStyle w:val="Indenta"/>
      </w:pPr>
      <w:ins w:id="5460" w:author="Master Repository Process" w:date="2022-05-27T14:27:00Z">
        <w:r>
          <w:tab/>
          <w:t>(c)</w:t>
        </w:r>
        <w:r>
          <w:tab/>
        </w:r>
      </w:ins>
      <w:r>
        <w:t xml:space="preserve">that </w:t>
      </w:r>
      <w:del w:id="5461" w:author="Master Repository Process" w:date="2022-05-27T14:27:00Z">
        <w:r>
          <w:delText>include the reason, that the vehicle is</w:delText>
        </w:r>
      </w:del>
      <w:ins w:id="5462" w:author="Master Repository Process" w:date="2022-05-27T14:27:00Z">
        <w:r>
          <w:t>is to be</w:t>
        </w:r>
      </w:ins>
      <w:r>
        <w:t xml:space="preserve"> used exclusively for social, domestic or pleasure purposes and </w:t>
      </w:r>
      <w:ins w:id="5463" w:author="Master Repository Process" w:date="2022-05-27T14:27:00Z">
        <w:r>
          <w:t xml:space="preserve">is </w:t>
        </w:r>
      </w:ins>
      <w:r>
        <w:t xml:space="preserve">not </w:t>
      </w:r>
      <w:ins w:id="5464" w:author="Master Repository Process" w:date="2022-05-27T14:27:00Z">
        <w:r>
          <w:t xml:space="preserve">to be used in any trade, business or industry or </w:t>
        </w:r>
      </w:ins>
      <w:r>
        <w:t xml:space="preserve">for the </w:t>
      </w:r>
      <w:del w:id="5465" w:author="Master Repository Process" w:date="2022-05-27T14:27:00Z">
        <w:r>
          <w:delText>carriage</w:delText>
        </w:r>
      </w:del>
      <w:ins w:id="5466" w:author="Master Repository Process" w:date="2022-05-27T14:27:00Z">
        <w:r>
          <w:t>carrying</w:t>
        </w:r>
      </w:ins>
      <w:r>
        <w:t xml:space="preserve"> of passengers</w:t>
      </w:r>
      <w:ins w:id="5467" w:author="Master Repository Process" w:date="2022-05-27T14:27:00Z">
        <w:r>
          <w:t>,</w:t>
        </w:r>
      </w:ins>
      <w:r>
        <w:t xml:space="preserve"> or goods, for hire or reward</w:t>
      </w:r>
      <w:del w:id="5468" w:author="Master Repository Process" w:date="2022-05-27T14:27:00Z">
        <w:r>
          <w:delText xml:space="preserve"> or in any business, trade or profession</w:delText>
        </w:r>
      </w:del>
      <w:r>
        <w:t>.</w:t>
      </w:r>
    </w:p>
    <w:p>
      <w:pPr>
        <w:pStyle w:val="Subsection"/>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No. 27 of 2011 s. 4; amended: No. 8 of 2012 s. </w:t>
      </w:r>
      <w:del w:id="5469" w:author="Master Repository Process" w:date="2022-05-27T14:27:00Z">
        <w:r>
          <w:delText>94</w:delText>
        </w:r>
      </w:del>
      <w:ins w:id="5470" w:author="Master Repository Process" w:date="2022-05-27T14:27:00Z">
        <w:r>
          <w:t>94; No. 12 of 2019 s. 117</w:t>
        </w:r>
      </w:ins>
      <w:r>
        <w:t>.]</w:t>
      </w:r>
    </w:p>
    <w:p>
      <w:pPr>
        <w:pStyle w:val="Heading5"/>
      </w:pPr>
      <w:bookmarkStart w:id="5471" w:name="_Toc104291257"/>
      <w:bookmarkStart w:id="5472" w:name="_Toc531859584"/>
      <w:r>
        <w:rPr>
          <w:rStyle w:val="CharSectno"/>
        </w:rPr>
        <w:t>244</w:t>
      </w:r>
      <w:r>
        <w:t>.</w:t>
      </w:r>
      <w:r>
        <w:tab/>
        <w:t>If licence is for prescribed class of person or vehicle etc.</w:t>
      </w:r>
      <w:bookmarkEnd w:id="5471"/>
      <w:bookmarkEnd w:id="5472"/>
    </w:p>
    <w:p>
      <w:pPr>
        <w:pStyle w:val="Subsection"/>
        <w:keepNext/>
        <w:keepLines/>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5473" w:name="_Toc37947063"/>
      <w:bookmarkStart w:id="5474" w:name="_Toc37947663"/>
      <w:bookmarkStart w:id="5475" w:name="_Toc38031727"/>
      <w:bookmarkStart w:id="5476" w:name="_Toc93310236"/>
      <w:bookmarkStart w:id="5477" w:name="_Toc104291258"/>
      <w:bookmarkStart w:id="5478" w:name="_Toc530491899"/>
      <w:bookmarkStart w:id="5479" w:name="_Toc530492359"/>
      <w:bookmarkStart w:id="5480" w:name="_Toc530493369"/>
      <w:bookmarkStart w:id="5481" w:name="_Toc530556504"/>
      <w:bookmarkStart w:id="5482" w:name="_Toc531692413"/>
      <w:bookmarkStart w:id="5483" w:name="_Toc531856318"/>
      <w:bookmarkStart w:id="5484" w:name="_Toc531859046"/>
      <w:bookmarkStart w:id="5485" w:name="_Toc531859585"/>
      <w:r>
        <w:rPr>
          <w:sz w:val="26"/>
        </w:rPr>
        <w:t>Division 2 — Exemptions — motor vehicle dealers</w:t>
      </w:r>
      <w:bookmarkEnd w:id="5473"/>
      <w:bookmarkEnd w:id="5474"/>
      <w:bookmarkEnd w:id="5475"/>
      <w:bookmarkEnd w:id="5476"/>
      <w:bookmarkEnd w:id="5477"/>
      <w:bookmarkEnd w:id="5478"/>
      <w:bookmarkEnd w:id="5479"/>
      <w:bookmarkEnd w:id="5480"/>
      <w:bookmarkEnd w:id="5481"/>
      <w:bookmarkEnd w:id="5482"/>
      <w:bookmarkEnd w:id="5483"/>
      <w:bookmarkEnd w:id="5484"/>
      <w:bookmarkEnd w:id="5485"/>
    </w:p>
    <w:p>
      <w:pPr>
        <w:pStyle w:val="Heading5"/>
      </w:pPr>
      <w:bookmarkStart w:id="5486" w:name="_Toc104291259"/>
      <w:bookmarkStart w:id="5487" w:name="_Toc531859586"/>
      <w:r>
        <w:rPr>
          <w:rStyle w:val="CharSectno"/>
        </w:rPr>
        <w:t>245</w:t>
      </w:r>
      <w:r>
        <w:t>.</w:t>
      </w:r>
      <w:r>
        <w:tab/>
        <w:t>Use of vehicle includes for minor incidental purposes</w:t>
      </w:r>
      <w:bookmarkEnd w:id="5486"/>
      <w:bookmarkEnd w:id="5487"/>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5488" w:name="_Toc104291260"/>
      <w:bookmarkStart w:id="5489" w:name="_Toc531859587"/>
      <w:r>
        <w:rPr>
          <w:rStyle w:val="CharSectno"/>
        </w:rPr>
        <w:t>246</w:t>
      </w:r>
      <w:r>
        <w:t>.</w:t>
      </w:r>
      <w:r>
        <w:tab/>
        <w:t>If licence is for vehicle in dealer’s trading stock</w:t>
      </w:r>
      <w:bookmarkEnd w:id="5488"/>
      <w:bookmarkEnd w:id="5489"/>
    </w:p>
    <w:p>
      <w:pPr>
        <w:pStyle w:val="Subsection"/>
      </w:pPr>
      <w:r>
        <w:tab/>
        <w:t>(1)</w:t>
      </w:r>
      <w:r>
        <w:tab/>
        <w:t xml:space="preserve">Duty is not chargeable on the grant of a licence for a vehicle to a dealer if — </w:t>
      </w:r>
    </w:p>
    <w:p>
      <w:pPr>
        <w:pStyle w:val="Indenta"/>
      </w:pPr>
      <w:r>
        <w:tab/>
        <w:t>(a)</w:t>
      </w:r>
      <w:r>
        <w:tab/>
        <w:t xml:space="preserve">the dealer acquired the vehicle solely for the purpose of — </w:t>
      </w:r>
    </w:p>
    <w:p>
      <w:pPr>
        <w:pStyle w:val="Indenti"/>
      </w:pPr>
      <w:r>
        <w:tab/>
        <w:t>(i)</w:t>
      </w:r>
      <w:r>
        <w:tab/>
        <w:t>selling it to another person in the ordinary course of the dealer’s business; or</w:t>
      </w:r>
    </w:p>
    <w:p>
      <w:pPr>
        <w:pStyle w:val="Indenti"/>
      </w:pPr>
      <w:r>
        <w:tab/>
        <w:t>(ii)</w:t>
      </w:r>
      <w:r>
        <w:tab/>
        <w:t>demonstrating it to prospective purchasers;</w:t>
      </w:r>
    </w:p>
    <w:p>
      <w:pPr>
        <w:pStyle w:val="Indenta"/>
      </w:pPr>
      <w:r>
        <w:tab/>
      </w:r>
      <w:r>
        <w:tab/>
        <w:t>and</w:t>
      </w:r>
    </w:p>
    <w:p>
      <w:pPr>
        <w:pStyle w:val="Indenta"/>
        <w:keepNext/>
      </w:pPr>
      <w:r>
        <w:tab/>
        <w:t>(b)</w:t>
      </w:r>
      <w:r>
        <w:tab/>
        <w:t xml:space="preserve">the application for the grant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5490" w:name="_Toc104291261"/>
      <w:bookmarkStart w:id="5491" w:name="_Toc531859588"/>
      <w:r>
        <w:rPr>
          <w:rStyle w:val="CharSectno"/>
        </w:rPr>
        <w:t>247</w:t>
      </w:r>
      <w:r>
        <w:t>.</w:t>
      </w:r>
      <w:r>
        <w:tab/>
        <w:t>If licence is for vehicle used for charitable etc. purposes</w:t>
      </w:r>
      <w:bookmarkEnd w:id="5490"/>
      <w:bookmarkEnd w:id="5491"/>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spacing w:before="100"/>
      </w:pPr>
      <w:r>
        <w:tab/>
      </w:r>
      <w:r>
        <w:tab/>
        <w:t>and</w:t>
      </w:r>
    </w:p>
    <w:p>
      <w:pPr>
        <w:pStyle w:val="Indenta"/>
        <w:spacing w:before="100"/>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spacing w:before="180"/>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spacing w:before="180"/>
      </w:pPr>
      <w:r>
        <w:tab/>
        <w:t>(3)</w:t>
      </w:r>
      <w:r>
        <w:tab/>
        <w:t>Subject to the Taxation Administration Act section 17, the Commissioner must make any reassessment necessary to give effect to subsection (2).</w:t>
      </w:r>
    </w:p>
    <w:p>
      <w:pPr>
        <w:pStyle w:val="Heading5"/>
        <w:spacing w:before="240"/>
      </w:pPr>
      <w:bookmarkStart w:id="5492" w:name="_Toc104291262"/>
      <w:bookmarkStart w:id="5493" w:name="_Toc531859589"/>
      <w:r>
        <w:rPr>
          <w:rStyle w:val="CharSectno"/>
        </w:rPr>
        <w:t>248</w:t>
      </w:r>
      <w:r>
        <w:t>.</w:t>
      </w:r>
      <w:r>
        <w:tab/>
        <w:t>Change of permitted use of exempt vehicle, Commissioner to be notified</w:t>
      </w:r>
      <w:bookmarkEnd w:id="5492"/>
      <w:bookmarkEnd w:id="5493"/>
    </w:p>
    <w:p>
      <w:pPr>
        <w:pStyle w:val="Subsection"/>
        <w:spacing w:before="180"/>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5494" w:name="_Toc104291263"/>
      <w:bookmarkStart w:id="5495" w:name="_Toc531859590"/>
      <w:r>
        <w:rPr>
          <w:rStyle w:val="CharSectno"/>
        </w:rPr>
        <w:t>249</w:t>
      </w:r>
      <w:r>
        <w:t>.</w:t>
      </w:r>
      <w:r>
        <w:tab/>
        <w:t>Change of use of exempt vehicle to non</w:t>
      </w:r>
      <w:r>
        <w:noBreakHyphen/>
        <w:t>permitted use, consequences of</w:t>
      </w:r>
      <w:bookmarkEnd w:id="5494"/>
      <w:bookmarkEnd w:id="5495"/>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5496" w:name="_Toc37947069"/>
      <w:bookmarkStart w:id="5497" w:name="_Toc37947669"/>
      <w:bookmarkStart w:id="5498" w:name="_Toc38031733"/>
      <w:bookmarkStart w:id="5499" w:name="_Toc93310242"/>
      <w:bookmarkStart w:id="5500" w:name="_Toc104291264"/>
      <w:bookmarkStart w:id="5501" w:name="_Toc530491905"/>
      <w:bookmarkStart w:id="5502" w:name="_Toc530492365"/>
      <w:bookmarkStart w:id="5503" w:name="_Toc530493375"/>
      <w:bookmarkStart w:id="5504" w:name="_Toc530556510"/>
      <w:bookmarkStart w:id="5505" w:name="_Toc531692419"/>
      <w:bookmarkStart w:id="5506" w:name="_Toc531856324"/>
      <w:bookmarkStart w:id="5507" w:name="_Toc531859052"/>
      <w:bookmarkStart w:id="5508" w:name="_Toc531859591"/>
      <w:r>
        <w:rPr>
          <w:sz w:val="26"/>
        </w:rPr>
        <w:t>Division 3 — Nominal duty</w:t>
      </w:r>
      <w:bookmarkEnd w:id="5496"/>
      <w:bookmarkEnd w:id="5497"/>
      <w:bookmarkEnd w:id="5498"/>
      <w:bookmarkEnd w:id="5499"/>
      <w:bookmarkEnd w:id="5500"/>
      <w:bookmarkEnd w:id="5501"/>
      <w:bookmarkEnd w:id="5502"/>
      <w:bookmarkEnd w:id="5503"/>
      <w:bookmarkEnd w:id="5504"/>
      <w:bookmarkEnd w:id="5505"/>
      <w:bookmarkEnd w:id="5506"/>
      <w:bookmarkEnd w:id="5507"/>
      <w:bookmarkEnd w:id="5508"/>
    </w:p>
    <w:p>
      <w:pPr>
        <w:pStyle w:val="Heading5"/>
      </w:pPr>
      <w:bookmarkStart w:id="5509" w:name="_Toc104291265"/>
      <w:bookmarkStart w:id="5510" w:name="_Toc531859592"/>
      <w:r>
        <w:rPr>
          <w:rStyle w:val="CharSectno"/>
        </w:rPr>
        <w:t>250</w:t>
      </w:r>
      <w:r>
        <w:t>.</w:t>
      </w:r>
      <w:r>
        <w:tab/>
        <w:t>Transactions chargeable with nominal duty</w:t>
      </w:r>
      <w:bookmarkEnd w:id="5509"/>
      <w:bookmarkEnd w:id="5510"/>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117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(3A)</w:t>
      </w:r>
      <w:r>
        <w:tab/>
        <w:t>For the purposes of subsection (2), section 116 has effect as if the requirement in section 116(2)(a) that the declaration of trust be duty endorsed or an exempt transaction were instead a requirement that duty under this Chapter was paid on the transfer of the licence for the vehicle to the trustee or was not chargeable on that transfer.</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Footnotesection"/>
      </w:pPr>
      <w:r>
        <w:tab/>
        <w:t>[Section 250 amended: No. 32 of 2012 s. 24.]</w:t>
      </w:r>
    </w:p>
    <w:p>
      <w:pPr>
        <w:pStyle w:val="Heading3"/>
        <w:keepLines/>
        <w:rPr>
          <w:sz w:val="28"/>
        </w:rPr>
      </w:pPr>
      <w:bookmarkStart w:id="5511" w:name="_Toc37947071"/>
      <w:bookmarkStart w:id="5512" w:name="_Toc37947671"/>
      <w:bookmarkStart w:id="5513" w:name="_Toc38031735"/>
      <w:bookmarkStart w:id="5514" w:name="_Toc93310244"/>
      <w:bookmarkStart w:id="5515" w:name="_Toc104291266"/>
      <w:bookmarkStart w:id="5516" w:name="_Toc530491907"/>
      <w:bookmarkStart w:id="5517" w:name="_Toc530492367"/>
      <w:bookmarkStart w:id="5518" w:name="_Toc530493377"/>
      <w:bookmarkStart w:id="5519" w:name="_Toc530556512"/>
      <w:bookmarkStart w:id="5520" w:name="_Toc531692421"/>
      <w:bookmarkStart w:id="5521" w:name="_Toc531856326"/>
      <w:bookmarkStart w:id="5522" w:name="_Toc531859054"/>
      <w:bookmarkStart w:id="5523" w:name="_Toc531859593"/>
      <w:r>
        <w:rPr>
          <w:rStyle w:val="CharDivNo"/>
          <w:sz w:val="28"/>
        </w:rPr>
        <w:t>Part 5</w:t>
      </w:r>
      <w:r>
        <w:rPr>
          <w:sz w:val="28"/>
        </w:rPr>
        <w:t> — </w:t>
      </w:r>
      <w:r>
        <w:rPr>
          <w:rStyle w:val="CharDivText"/>
          <w:sz w:val="28"/>
        </w:rPr>
        <w:t>General provisions as to vehicle licence duty</w:t>
      </w:r>
      <w:bookmarkEnd w:id="5511"/>
      <w:bookmarkEnd w:id="5512"/>
      <w:bookmarkEnd w:id="5513"/>
      <w:bookmarkEnd w:id="5514"/>
      <w:bookmarkEnd w:id="5515"/>
      <w:bookmarkEnd w:id="5516"/>
      <w:bookmarkEnd w:id="5517"/>
      <w:bookmarkEnd w:id="5518"/>
      <w:bookmarkEnd w:id="5519"/>
      <w:bookmarkEnd w:id="5520"/>
      <w:bookmarkEnd w:id="5521"/>
      <w:bookmarkEnd w:id="5522"/>
      <w:bookmarkEnd w:id="5523"/>
    </w:p>
    <w:p>
      <w:pPr>
        <w:pStyle w:val="Heading5"/>
      </w:pPr>
      <w:bookmarkStart w:id="5524" w:name="_Toc104291267"/>
      <w:bookmarkStart w:id="5525" w:name="_Toc531859594"/>
      <w:r>
        <w:rPr>
          <w:rStyle w:val="CharSectno"/>
        </w:rPr>
        <w:t>251</w:t>
      </w:r>
      <w:r>
        <w:t>.</w:t>
      </w:r>
      <w:r>
        <w:tab/>
        <w:t>Failure to apply for transfer of licence</w:t>
      </w:r>
      <w:bookmarkEnd w:id="5524"/>
      <w:bookmarkEnd w:id="5525"/>
    </w:p>
    <w:p>
      <w:pPr>
        <w:pStyle w:val="Subsection"/>
        <w:keepLines/>
      </w:pPr>
      <w:r>
        <w:tab/>
        <w:t>(1)</w:t>
      </w:r>
      <w:r>
        <w:tab/>
        <w:t xml:space="preserve">If a person fails to apply for the transfer of a licence for a vehicle when required to do so by the Vehicles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Vehicles Act and this Act.</w:t>
      </w:r>
    </w:p>
    <w:p>
      <w:pPr>
        <w:pStyle w:val="Footnotesection"/>
      </w:pPr>
      <w:r>
        <w:tab/>
        <w:t>[Section 251 amended: No. 8 of 2012 s. 95.]</w:t>
      </w:r>
    </w:p>
    <w:p>
      <w:pPr>
        <w:pStyle w:val="Heading5"/>
      </w:pPr>
      <w:bookmarkStart w:id="5526" w:name="_Toc104291268"/>
      <w:bookmarkStart w:id="5527" w:name="_Toc531859595"/>
      <w:r>
        <w:rPr>
          <w:rStyle w:val="CharSectno"/>
        </w:rPr>
        <w:t>252</w:t>
      </w:r>
      <w:r>
        <w:t>.</w:t>
      </w:r>
      <w:r>
        <w:tab/>
        <w:t>Seller to state dutiable value of vehicle etc.</w:t>
      </w:r>
      <w:bookmarkEnd w:id="5526"/>
      <w:bookmarkEnd w:id="5527"/>
    </w:p>
    <w:p>
      <w:pPr>
        <w:pStyle w:val="Subsection"/>
      </w:pPr>
      <w:r>
        <w:tab/>
        <w:t>(1)</w:t>
      </w:r>
      <w:r>
        <w:tab/>
        <w:t>A person that ceases to be the owner of a vehicle and is required under the Vehicles Act to notify the CEO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CEO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Footnotesection"/>
      </w:pPr>
      <w:r>
        <w:tab/>
        <w:t>[Section 252 amended: No. 8 of 2012 s. 95 and 96.]</w:t>
      </w:r>
    </w:p>
    <w:p>
      <w:pPr>
        <w:pStyle w:val="Heading5"/>
      </w:pPr>
      <w:bookmarkStart w:id="5528" w:name="_Toc104291269"/>
      <w:bookmarkStart w:id="5529" w:name="_Toc531859596"/>
      <w:r>
        <w:rPr>
          <w:rStyle w:val="CharSectno"/>
        </w:rPr>
        <w:t>253</w:t>
      </w:r>
      <w:r>
        <w:t>.</w:t>
      </w:r>
      <w:r>
        <w:tab/>
        <w:t>Functions of CEO and Commissioner</w:t>
      </w:r>
      <w:bookmarkEnd w:id="5528"/>
      <w:bookmarkEnd w:id="5529"/>
    </w:p>
    <w:p>
      <w:pPr>
        <w:pStyle w:val="Subsection"/>
      </w:pPr>
      <w:r>
        <w:tab/>
        <w:t>(1)</w:t>
      </w:r>
      <w:r>
        <w:tab/>
        <w:t>For the purposes of this Chapter the CEO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CEO in the exercise of a function conferred by subsection (1) is taken to have been done by the Commissioner.</w:t>
      </w:r>
    </w:p>
    <w:p>
      <w:pPr>
        <w:pStyle w:val="Subsection"/>
      </w:pPr>
      <w:r>
        <w:tab/>
        <w:t>(3)</w:t>
      </w:r>
      <w:r>
        <w:tab/>
        <w:t>The Commissioner has all of the functions of the CEO under this Chapter, which is modified to the extent necessary to give effect to this subsection.</w:t>
      </w:r>
    </w:p>
    <w:p>
      <w:pPr>
        <w:pStyle w:val="Footnotesection"/>
      </w:pPr>
      <w:r>
        <w:tab/>
        <w:t xml:space="preserve">[Section 253 amended: No. 8 of 2012 s. 96.] </w:t>
      </w:r>
    </w:p>
    <w:p>
      <w:pPr>
        <w:pStyle w:val="Heading5"/>
      </w:pPr>
      <w:bookmarkStart w:id="5530" w:name="_Toc104291270"/>
      <w:bookmarkStart w:id="5531" w:name="_Toc531859597"/>
      <w:r>
        <w:rPr>
          <w:rStyle w:val="CharSectno"/>
        </w:rPr>
        <w:t>254</w:t>
      </w:r>
      <w:r>
        <w:t>.</w:t>
      </w:r>
      <w:r>
        <w:tab/>
        <w:t>Form of certain declarations</w:t>
      </w:r>
      <w:bookmarkEnd w:id="5530"/>
      <w:bookmarkEnd w:id="5531"/>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5532" w:name="_Toc104291271"/>
      <w:bookmarkStart w:id="5533" w:name="_Toc531859598"/>
      <w:r>
        <w:rPr>
          <w:rStyle w:val="CharSectno"/>
        </w:rPr>
        <w:t>255</w:t>
      </w:r>
      <w:r>
        <w:t>.</w:t>
      </w:r>
      <w:r>
        <w:tab/>
        <w:t>CEO’s duties</w:t>
      </w:r>
      <w:bookmarkEnd w:id="5532"/>
      <w:bookmarkEnd w:id="5533"/>
    </w:p>
    <w:p>
      <w:pPr>
        <w:pStyle w:val="Subsection"/>
        <w:keepNext/>
        <w:keepLines/>
      </w:pPr>
      <w:r>
        <w:tab/>
      </w:r>
      <w:r>
        <w:tab/>
        <w:t xml:space="preserve">The CEO must, in accordance with any agreement between the CEO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Footnotesection"/>
      </w:pPr>
      <w:r>
        <w:tab/>
        <w:t>[Section 255 amended: No. 8 of 2012 s. 96.]</w:t>
      </w:r>
    </w:p>
    <w:p>
      <w:pPr>
        <w:pStyle w:val="Heading5"/>
      </w:pPr>
      <w:bookmarkStart w:id="5534" w:name="_Toc104291272"/>
      <w:bookmarkStart w:id="5535" w:name="_Toc531859599"/>
      <w:r>
        <w:rPr>
          <w:rStyle w:val="CharSectno"/>
        </w:rPr>
        <w:t>256</w:t>
      </w:r>
      <w:r>
        <w:t>.</w:t>
      </w:r>
      <w:r>
        <w:tab/>
        <w:t>Records to be kept by dealers</w:t>
      </w:r>
      <w:bookmarkEnd w:id="5534"/>
      <w:bookmarkEnd w:id="5535"/>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5536" w:name="_Toc37947078"/>
      <w:bookmarkStart w:id="5537" w:name="_Toc37947678"/>
      <w:bookmarkStart w:id="5538" w:name="_Toc38031742"/>
      <w:bookmarkStart w:id="5539" w:name="_Toc93310251"/>
      <w:bookmarkStart w:id="5540" w:name="_Toc104291273"/>
      <w:bookmarkStart w:id="5541" w:name="_Toc530491914"/>
      <w:bookmarkStart w:id="5542" w:name="_Toc530492374"/>
      <w:bookmarkStart w:id="5543" w:name="_Toc530493384"/>
      <w:bookmarkStart w:id="5544" w:name="_Toc530556519"/>
      <w:bookmarkStart w:id="5545" w:name="_Toc531692428"/>
      <w:bookmarkStart w:id="5546" w:name="_Toc531856333"/>
      <w:bookmarkStart w:id="5547" w:name="_Toc531859061"/>
      <w:bookmarkStart w:id="5548" w:name="_Toc531859600"/>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5536"/>
      <w:bookmarkEnd w:id="5537"/>
      <w:bookmarkEnd w:id="5538"/>
      <w:bookmarkEnd w:id="5539"/>
      <w:bookmarkEnd w:id="5540"/>
      <w:bookmarkEnd w:id="5541"/>
      <w:bookmarkEnd w:id="5542"/>
      <w:bookmarkEnd w:id="5543"/>
      <w:bookmarkEnd w:id="5544"/>
      <w:bookmarkEnd w:id="5545"/>
      <w:bookmarkEnd w:id="5546"/>
      <w:bookmarkEnd w:id="5547"/>
      <w:bookmarkEnd w:id="5548"/>
    </w:p>
    <w:p>
      <w:pPr>
        <w:pStyle w:val="Heading5"/>
      </w:pPr>
      <w:bookmarkStart w:id="5549" w:name="_Toc104291274"/>
      <w:bookmarkStart w:id="5550" w:name="_Toc531859601"/>
      <w:r>
        <w:rPr>
          <w:rStyle w:val="CharSectno"/>
        </w:rPr>
        <w:t>257</w:t>
      </w:r>
      <w:r>
        <w:t>.</w:t>
      </w:r>
      <w:r>
        <w:tab/>
        <w:t>Terms used</w:t>
      </w:r>
      <w:bookmarkEnd w:id="5549"/>
      <w:bookmarkEnd w:id="5550"/>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rPr>
          <w:ins w:id="5551" w:author="Master Repository Process" w:date="2022-05-27T14:27:00Z"/>
        </w:rPr>
      </w:pPr>
      <w:ins w:id="5552" w:author="Master Repository Process" w:date="2022-05-27T14:27:00Z">
        <w:r>
          <w:tab/>
        </w:r>
        <w:r>
          <w:rPr>
            <w:rStyle w:val="CharDefText"/>
          </w:rPr>
          <w:t>notifiable event</w:t>
        </w:r>
        <w:r>
          <w:t xml:space="preserve"> has the meaning given by section 264(2) and (3);</w:t>
        </w:r>
      </w:ins>
    </w:p>
    <w:p>
      <w:pPr>
        <w:pStyle w:val="Defstart"/>
      </w:pPr>
      <w:r>
        <w:rPr>
          <w:b/>
        </w:rPr>
        <w:tab/>
      </w:r>
      <w:r>
        <w:rPr>
          <w:rStyle w:val="CharDefText"/>
        </w:rPr>
        <w:t>parent entity</w:t>
      </w:r>
      <w:r>
        <w:t xml:space="preserve"> has the meaning given in subsection (2);</w:t>
      </w:r>
    </w:p>
    <w:p>
      <w:pPr>
        <w:pStyle w:val="Defstart"/>
        <w:rPr>
          <w:ins w:id="5553" w:author="Master Repository Process" w:date="2022-05-27T14:27:00Z"/>
        </w:rPr>
      </w:pPr>
      <w:ins w:id="5554" w:author="Master Repository Process" w:date="2022-05-27T14:27:00Z">
        <w:r>
          <w:tab/>
        </w:r>
        <w:r>
          <w:rPr>
            <w:rStyle w:val="CharDefText"/>
          </w:rPr>
          <w:t>public float</w:t>
        </w:r>
        <w:r>
          <w:t xml:space="preserve"> means — </w:t>
        </w:r>
      </w:ins>
    </w:p>
    <w:p>
      <w:pPr>
        <w:pStyle w:val="Defpara"/>
        <w:rPr>
          <w:ins w:id="5555" w:author="Master Repository Process" w:date="2022-05-27T14:27:00Z"/>
        </w:rPr>
      </w:pPr>
      <w:ins w:id="5556" w:author="Master Repository Process" w:date="2022-05-27T14:27:00Z">
        <w:r>
          <w:tab/>
          <w:t>(a)</w:t>
        </w:r>
        <w:r>
          <w:tab/>
          <w:t>the securities of an entity being offered for sale or issue to the public for the purpose of listing the entity on a prescribed financial market; or</w:t>
        </w:r>
      </w:ins>
    </w:p>
    <w:p>
      <w:pPr>
        <w:pStyle w:val="Defpara"/>
        <w:rPr>
          <w:ins w:id="5557" w:author="Master Repository Process" w:date="2022-05-27T14:27:00Z"/>
        </w:rPr>
      </w:pPr>
      <w:ins w:id="5558" w:author="Master Repository Process" w:date="2022-05-27T14:27:00Z">
        <w:r>
          <w:tab/>
          <w:t>(b)</w:t>
        </w:r>
        <w:r>
          <w:tab/>
          <w:t>the securities of an entity being listed on a prescribed financial market within 12 months after being offered to the public as referred to in paragraph (a);</w:t>
        </w:r>
      </w:ins>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rPr>
          <w:ins w:id="5559" w:author="Master Repository Process" w:date="2022-05-27T14:27:00Z"/>
        </w:rPr>
      </w:pPr>
      <w:r>
        <w:tab/>
      </w:r>
      <w:r>
        <w:rPr>
          <w:rStyle w:val="CharDefText"/>
        </w:rPr>
        <w:t>security</w:t>
      </w:r>
      <w:del w:id="5560" w:author="Master Repository Process" w:date="2022-05-27T14:27:00Z">
        <w:r>
          <w:delText>, of</w:delText>
        </w:r>
      </w:del>
      <w:ins w:id="5561" w:author="Master Repository Process" w:date="2022-05-27T14:27:00Z">
        <w:r>
          <w:t xml:space="preserve"> — </w:t>
        </w:r>
      </w:ins>
    </w:p>
    <w:p>
      <w:pPr>
        <w:pStyle w:val="Defstart"/>
        <w:rPr>
          <w:del w:id="5562" w:author="Master Repository Process" w:date="2022-05-27T14:27:00Z"/>
        </w:rPr>
      </w:pPr>
      <w:ins w:id="5563" w:author="Master Repository Process" w:date="2022-05-27T14:27:00Z">
        <w:r>
          <w:tab/>
          <w:t>(a)</w:t>
        </w:r>
        <w:r>
          <w:tab/>
          <w:t>in relation to</w:t>
        </w:r>
      </w:ins>
      <w:r>
        <w:t xml:space="preserve"> an entity</w:t>
      </w:r>
      <w:del w:id="5564" w:author="Master Repository Process" w:date="2022-05-27T14:27:00Z">
        <w:r>
          <w:delText>, means —</w:delText>
        </w:r>
      </w:del>
    </w:p>
    <w:p>
      <w:pPr>
        <w:pStyle w:val="Defpara"/>
        <w:rPr>
          <w:ins w:id="5565" w:author="Master Repository Process" w:date="2022-05-27T14:27:00Z"/>
        </w:rPr>
      </w:pPr>
      <w:del w:id="5566" w:author="Master Repository Process" w:date="2022-05-27T14:27:00Z">
        <w:r>
          <w:tab/>
          <w:delText>(a)</w:delText>
        </w:r>
        <w:r>
          <w:tab/>
          <w:delText xml:space="preserve">if the entity </w:delText>
        </w:r>
      </w:del>
      <w:ins w:id="5567" w:author="Master Repository Process" w:date="2022-05-27T14:27:00Z">
        <w:r>
          <w:t xml:space="preserve"> that </w:t>
        </w:r>
      </w:ins>
      <w:r>
        <w:t>is a corporation</w:t>
      </w:r>
      <w:del w:id="5568" w:author="Master Repository Process" w:date="2022-05-27T14:27:00Z">
        <w:r>
          <w:delText>,</w:delText>
        </w:r>
      </w:del>
      <w:ins w:id="5569" w:author="Master Repository Process" w:date="2022-05-27T14:27:00Z">
        <w:r>
          <w:t xml:space="preserve"> — </w:t>
        </w:r>
      </w:ins>
    </w:p>
    <w:p>
      <w:pPr>
        <w:pStyle w:val="Defsubpara"/>
      </w:pPr>
      <w:ins w:id="5570" w:author="Master Repository Process" w:date="2022-05-27T14:27:00Z">
        <w:r>
          <w:tab/>
          <w:t>(i)</w:t>
        </w:r>
        <w:r>
          <w:tab/>
          <w:t>means</w:t>
        </w:r>
      </w:ins>
      <w:r>
        <w:t xml:space="preserve"> an issued share of the corporation; </w:t>
      </w:r>
      <w:del w:id="5571" w:author="Master Repository Process" w:date="2022-05-27T14:27:00Z">
        <w:r>
          <w:delText>or</w:delText>
        </w:r>
      </w:del>
      <w:ins w:id="5572" w:author="Master Repository Process" w:date="2022-05-27T14:27:00Z">
        <w:r>
          <w:t>and</w:t>
        </w:r>
      </w:ins>
    </w:p>
    <w:p>
      <w:pPr>
        <w:pStyle w:val="Defsubpara"/>
        <w:rPr>
          <w:ins w:id="5573" w:author="Master Repository Process" w:date="2022-05-27T14:27:00Z"/>
        </w:rPr>
      </w:pPr>
      <w:ins w:id="5574" w:author="Master Repository Process" w:date="2022-05-27T14:27:00Z">
        <w:r>
          <w:tab/>
          <w:t>(ii)</w:t>
        </w:r>
        <w:r>
          <w:tab/>
          <w:t>if the corporation is a hybrid company — includes an interest that the Commissioner considers is analogous to an issued share of the corporation;</w:t>
        </w:r>
      </w:ins>
    </w:p>
    <w:p>
      <w:pPr>
        <w:pStyle w:val="Defpara"/>
        <w:rPr>
          <w:ins w:id="5575" w:author="Master Repository Process" w:date="2022-05-27T14:27:00Z"/>
        </w:rPr>
      </w:pPr>
      <w:ins w:id="5576" w:author="Master Repository Process" w:date="2022-05-27T14:27:00Z">
        <w:r>
          <w:tab/>
        </w:r>
        <w:r>
          <w:tab/>
          <w:t>or</w:t>
        </w:r>
      </w:ins>
    </w:p>
    <w:p>
      <w:pPr>
        <w:pStyle w:val="Defpara"/>
      </w:pPr>
      <w:r>
        <w:tab/>
        <w:t>(b)</w:t>
      </w:r>
      <w:r>
        <w:tab/>
      </w:r>
      <w:del w:id="5577" w:author="Master Repository Process" w:date="2022-05-27T14:27:00Z">
        <w:r>
          <w:delText>if the</w:delText>
        </w:r>
      </w:del>
      <w:ins w:id="5578" w:author="Master Repository Process" w:date="2022-05-27T14:27:00Z">
        <w:r>
          <w:t>in relation to an</w:t>
        </w:r>
      </w:ins>
      <w:r>
        <w:t xml:space="preserve"> entity</w:t>
      </w:r>
      <w:ins w:id="5579" w:author="Master Repository Process" w:date="2022-05-27T14:27:00Z">
        <w:r>
          <w:t xml:space="preserve"> that</w:t>
        </w:r>
      </w:ins>
      <w:r>
        <w:t xml:space="preserve"> is a unit trust scheme</w:t>
      </w:r>
      <w:del w:id="5580" w:author="Master Repository Process" w:date="2022-05-27T14:27:00Z">
        <w:r>
          <w:delText>,</w:delText>
        </w:r>
      </w:del>
      <w:ins w:id="5581" w:author="Master Repository Process" w:date="2022-05-27T14:27:00Z">
        <w:r>
          <w:t> — means</w:t>
        </w:r>
      </w:ins>
      <w:r>
        <w:t xml:space="preserv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spacing w:before="180"/>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spacing w:before="180"/>
      </w:pPr>
      <w:r>
        <w:tab/>
      </w:r>
      <w:r>
        <w:tab/>
        <w:t>then, for the purposes of this Chapter, A is the parent entity of B and B is a subsidiary of A.</w:t>
      </w:r>
    </w:p>
    <w:p>
      <w:pPr>
        <w:pStyle w:val="Subsection"/>
        <w:rPr>
          <w:ins w:id="5582" w:author="Master Repository Process" w:date="2022-05-27T14:27:00Z"/>
        </w:rPr>
      </w:pPr>
      <w:ins w:id="5583" w:author="Master Repository Process" w:date="2022-05-27T14:27:00Z">
        <w:r>
          <w:tab/>
          <w:t>(3)</w:t>
        </w:r>
        <w:r>
          <w:tab/>
          <w:t>A reference in section 260 or 264A to residential property includes a reference to a chattel in Western Australia to which section 205E(2) applies.</w:t>
        </w:r>
      </w:ins>
    </w:p>
    <w:p>
      <w:pPr>
        <w:pStyle w:val="Footnotesection"/>
        <w:rPr>
          <w:ins w:id="5584" w:author="Master Repository Process" w:date="2022-05-27T14:27:00Z"/>
        </w:rPr>
      </w:pPr>
      <w:ins w:id="5585" w:author="Master Repository Process" w:date="2022-05-27T14:27:00Z">
        <w:r>
          <w:tab/>
          <w:t>[Section 257 amended: No. 12 of 2019 s. 118.]</w:t>
        </w:r>
      </w:ins>
    </w:p>
    <w:p>
      <w:pPr>
        <w:pStyle w:val="Heading5"/>
        <w:spacing w:before="240"/>
      </w:pPr>
      <w:bookmarkStart w:id="5586" w:name="_Toc104291275"/>
      <w:bookmarkStart w:id="5587" w:name="_Toc531859602"/>
      <w:r>
        <w:rPr>
          <w:rStyle w:val="CharSectno"/>
        </w:rPr>
        <w:t>258</w:t>
      </w:r>
      <w:r>
        <w:t>.</w:t>
      </w:r>
      <w:r>
        <w:tab/>
        <w:t>Members of family</w:t>
      </w:r>
      <w:bookmarkEnd w:id="5586"/>
      <w:bookmarkEnd w:id="5587"/>
    </w:p>
    <w:p>
      <w:pPr>
        <w:pStyle w:val="Subsection"/>
        <w:spacing w:before="180"/>
        <w:rPr>
          <w:bCs/>
        </w:rPr>
      </w:pPr>
      <w:r>
        <w:tab/>
        <w:t>(1)</w:t>
      </w:r>
      <w:r>
        <w:tab/>
        <w:t>A parent entity and its subsidiaries are members of a family.</w:t>
      </w:r>
    </w:p>
    <w:p>
      <w:pPr>
        <w:pStyle w:val="Subsection"/>
        <w:keepNext/>
        <w:spacing w:before="180"/>
      </w:pPr>
      <w:r>
        <w:tab/>
        <w:t>(2)</w:t>
      </w:r>
      <w:r>
        <w:tab/>
        <w:t>If all of the securities of an entity are stapled to the securities of one or more other entities, all of the entities and their subsidiaries are members of a family.</w:t>
      </w:r>
    </w:p>
    <w:p>
      <w:pPr>
        <w:pStyle w:val="Heading5"/>
        <w:spacing w:before="240"/>
      </w:pPr>
      <w:bookmarkStart w:id="5588" w:name="_Toc104291276"/>
      <w:bookmarkStart w:id="5589" w:name="_Toc531859603"/>
      <w:r>
        <w:rPr>
          <w:rStyle w:val="CharSectno"/>
        </w:rPr>
        <w:t>259</w:t>
      </w:r>
      <w:r>
        <w:t>.</w:t>
      </w:r>
      <w:r>
        <w:tab/>
        <w:t>Relevant consolidation transaction</w:t>
      </w:r>
      <w:bookmarkEnd w:id="5588"/>
      <w:bookmarkEnd w:id="5589"/>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keepNext/>
        <w:keepLines/>
      </w:pPr>
      <w:r>
        <w:tab/>
        <w:t>(2)</w:t>
      </w:r>
      <w:r>
        <w:tab/>
        <w:t xml:space="preserve">Subject to this section, a </w:t>
      </w:r>
      <w:r>
        <w:rPr>
          <w:rStyle w:val="CharDefText"/>
        </w:rPr>
        <w:t>relevant consolidation transaction</w:t>
      </w:r>
      <w:r>
        <w:t xml:space="preserve"> is any acquisition on which landholder duty or foreign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Subsection"/>
        <w:rPr>
          <w:ins w:id="5590" w:author="Master Repository Process" w:date="2022-05-27T14:27:00Z"/>
        </w:rPr>
      </w:pPr>
      <w:ins w:id="5591" w:author="Master Repository Process" w:date="2022-05-27T14:27:00Z">
        <w:r>
          <w:tab/>
          <w:t>(5)</w:t>
        </w:r>
        <w:r>
          <w:tab/>
          <w:t xml:space="preserve">An acquisition is not a </w:t>
        </w:r>
        <w:r>
          <w:rPr>
            <w:rStyle w:val="CharDefText"/>
          </w:rPr>
          <w:t>relevant consolidation transaction</w:t>
        </w:r>
        <w:r>
          <w:t xml:space="preserve"> if any part of the consideration for the acquisition, or an associated acquisition, has been or is to be provided by a person that is not a member of the family formed by the corporate consolidation referred to in subsection (2).</w:t>
        </w:r>
      </w:ins>
    </w:p>
    <w:p>
      <w:pPr>
        <w:pStyle w:val="Subsection"/>
        <w:rPr>
          <w:ins w:id="5592" w:author="Master Repository Process" w:date="2022-05-27T14:27:00Z"/>
        </w:rPr>
      </w:pPr>
      <w:ins w:id="5593" w:author="Master Repository Process" w:date="2022-05-27T14:27:00Z">
        <w:r>
          <w:tab/>
          <w:t>(6)</w:t>
        </w:r>
        <w:r>
          <w:tab/>
          <w:t xml:space="preserve">For the purposes of subsection (5) — </w:t>
        </w:r>
      </w:ins>
    </w:p>
    <w:p>
      <w:pPr>
        <w:pStyle w:val="Indenta"/>
        <w:rPr>
          <w:ins w:id="5594" w:author="Master Repository Process" w:date="2022-05-27T14:27:00Z"/>
        </w:rPr>
      </w:pPr>
      <w:ins w:id="5595" w:author="Master Repository Process" w:date="2022-05-27T14:27:00Z">
        <w:r>
          <w:tab/>
          <w:t>(a)</w:t>
        </w:r>
        <w:r>
          <w:tab/>
          <w:t xml:space="preserve">if the acquisition concerned is an acquisition of securities of the affected entity by the head entity as referred to in subsection (2)(a) — an acquisition of securities of the head entity by a holder of securities of the affected entity that is made for the purposes of the same corporate consolidation is an </w:t>
        </w:r>
        <w:r>
          <w:rPr>
            <w:rStyle w:val="CharDefText"/>
          </w:rPr>
          <w:t>associated acquisition</w:t>
        </w:r>
        <w:r>
          <w:t>; or</w:t>
        </w:r>
      </w:ins>
    </w:p>
    <w:p>
      <w:pPr>
        <w:pStyle w:val="Indenta"/>
        <w:rPr>
          <w:ins w:id="5596" w:author="Master Repository Process" w:date="2022-05-27T14:27:00Z"/>
        </w:rPr>
      </w:pPr>
      <w:ins w:id="5597" w:author="Master Repository Process" w:date="2022-05-27T14:27:00Z">
        <w:r>
          <w:tab/>
          <w:t>(b)</w:t>
        </w:r>
        <w:r>
          <w:tab/>
          <w:t>if the acquisition concerned is an acquisition of securities of the head entity by a holder of securities of the affected entity as referred to in subsection (2)(b) — an acquisition of securities of the affected entity by the head entity that is made for the purposes of the same corporate consolidation is an associated acquisition.</w:t>
        </w:r>
      </w:ins>
    </w:p>
    <w:p>
      <w:pPr>
        <w:pStyle w:val="Subsection"/>
        <w:rPr>
          <w:ins w:id="5598" w:author="Master Repository Process" w:date="2022-05-27T14:27:00Z"/>
        </w:rPr>
      </w:pPr>
      <w:ins w:id="5599" w:author="Master Repository Process" w:date="2022-05-27T14:27:00Z">
        <w:r>
          <w:tab/>
          <w:t>(7)</w:t>
        </w:r>
        <w:r>
          <w:tab/>
          <w:t xml:space="preserve">Subsection (5) does not apply in relation to consideration provided for an acquisition or an associated acquisition if — </w:t>
        </w:r>
      </w:ins>
    </w:p>
    <w:p>
      <w:pPr>
        <w:pStyle w:val="Indenta"/>
        <w:rPr>
          <w:ins w:id="5600" w:author="Master Repository Process" w:date="2022-05-27T14:27:00Z"/>
        </w:rPr>
      </w:pPr>
      <w:ins w:id="5601" w:author="Master Repository Process" w:date="2022-05-27T14:27:00Z">
        <w:r>
          <w:tab/>
          <w:t>(a)</w:t>
        </w:r>
        <w:r>
          <w:tab/>
          <w:t>the acquisition or associated acquisition is of a kind referred to in subsection (2)(b); and</w:t>
        </w:r>
      </w:ins>
    </w:p>
    <w:p>
      <w:pPr>
        <w:pStyle w:val="Indenta"/>
        <w:rPr>
          <w:ins w:id="5602" w:author="Master Repository Process" w:date="2022-05-27T14:27:00Z"/>
        </w:rPr>
      </w:pPr>
      <w:ins w:id="5603" w:author="Master Repository Process" w:date="2022-05-27T14:27:00Z">
        <w:r>
          <w:tab/>
          <w:t>(b)</w:t>
        </w:r>
        <w:r>
          <w:tab/>
          <w:t>the consideration is the transfer of securities of the affected entity by the holder of those securities to the head entity.</w:t>
        </w:r>
      </w:ins>
    </w:p>
    <w:p>
      <w:pPr>
        <w:pStyle w:val="Footnotesection"/>
      </w:pPr>
      <w:r>
        <w:tab/>
        <w:t>[Section 259 amended: No. 24 of 2018 s. </w:t>
      </w:r>
      <w:del w:id="5604" w:author="Master Repository Process" w:date="2022-05-27T14:27:00Z">
        <w:r>
          <w:delText>9</w:delText>
        </w:r>
      </w:del>
      <w:ins w:id="5605" w:author="Master Repository Process" w:date="2022-05-27T14:27:00Z">
        <w:r>
          <w:t>9; No. 12 of 2019 s. 119</w:t>
        </w:r>
      </w:ins>
      <w:r>
        <w:t>.]</w:t>
      </w:r>
    </w:p>
    <w:p>
      <w:pPr>
        <w:pStyle w:val="Heading5"/>
      </w:pPr>
      <w:bookmarkStart w:id="5606" w:name="_Toc104291277"/>
      <w:bookmarkStart w:id="5607" w:name="_Toc531859604"/>
      <w:r>
        <w:rPr>
          <w:rStyle w:val="CharSectno"/>
        </w:rPr>
        <w:t>260</w:t>
      </w:r>
      <w:r>
        <w:t>.</w:t>
      </w:r>
      <w:r>
        <w:tab/>
        <w:t>Relevant reconstruction transaction</w:t>
      </w:r>
      <w:bookmarkEnd w:id="5606"/>
      <w:bookmarkEnd w:id="5607"/>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(aa)</w:t>
      </w:r>
      <w:r>
        <w:tab/>
        <w:t>any of the following foreign dutiable transactions, if foreign transfer duty is chargeable —</w:t>
      </w:r>
    </w:p>
    <w:p>
      <w:pPr>
        <w:pStyle w:val="Indenti"/>
      </w:pPr>
      <w:r>
        <w:tab/>
        <w:t>(i)</w:t>
      </w:r>
      <w:r>
        <w:tab/>
        <w:t>an agreement, whether conditional or not, for the transfer of residential property from one member of a family to another member of the family;</w:t>
      </w:r>
    </w:p>
    <w:p>
      <w:pPr>
        <w:pStyle w:val="Indenti"/>
      </w:pPr>
      <w:r>
        <w:tab/>
        <w:t>(ii)</w:t>
      </w:r>
      <w:r>
        <w:tab/>
        <w:t>a transfer of residential property from one member of a family to another member of the family;</w:t>
      </w:r>
    </w:p>
    <w:p>
      <w:pPr>
        <w:pStyle w:val="Indenti"/>
      </w:pPr>
      <w:r>
        <w:tab/>
        <w:t>(iii)</w:t>
      </w:r>
      <w:r>
        <w:tab/>
        <w:t>a declaration of trust over residential property under which one member of a family holds the property on trust for another member of the family;</w:t>
      </w:r>
    </w:p>
    <w:p>
      <w:pPr>
        <w:pStyle w:val="Indenti"/>
      </w:pPr>
      <w:r>
        <w:tab/>
        <w:t>(iv)</w:t>
      </w:r>
      <w:r>
        <w:tab/>
        <w:t>a vesting of residential property held by one member of a family in another member of the family;</w:t>
      </w:r>
    </w:p>
    <w:p>
      <w:pPr>
        <w:pStyle w:val="Indenti"/>
      </w:pPr>
      <w:r>
        <w:tab/>
        <w:t>(v)</w:t>
      </w:r>
      <w:r>
        <w:tab/>
        <w:t>a surrender of special residential property, as defined in section 205F(1), if the special residential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Ednotepara"/>
        <w:spacing w:before="80"/>
      </w:pPr>
      <w:r>
        <w:tab/>
        <w:t>[(c)</w:t>
      </w:r>
      <w:r>
        <w:tab/>
        <w:t>deleted]</w:t>
      </w:r>
    </w:p>
    <w:p>
      <w:pPr>
        <w:pStyle w:val="Indenta"/>
      </w:pPr>
      <w:r>
        <w:tab/>
        <w:t>(d)</w:t>
      </w:r>
      <w:r>
        <w:tab/>
        <w:t>an acquisition by one member of a family from another member of the family of an interest in an entity, if landholder duty or foreign landholder duty is chargeable.</w:t>
      </w:r>
    </w:p>
    <w:p>
      <w:pPr>
        <w:pStyle w:val="Subsection"/>
        <w:rPr>
          <w:ins w:id="5608" w:author="Master Repository Process" w:date="2022-05-27T14:27:00Z"/>
        </w:rPr>
      </w:pPr>
      <w:ins w:id="5609" w:author="Master Repository Process" w:date="2022-05-27T14:27:00Z">
        <w:r>
          <w:tab/>
          <w:t>(1A)</w:t>
        </w:r>
        <w:r>
          <w:tab/>
          <w:t>For the purposes of subsection (1)(a)(v), a surrender of a mining tenement, in whole or in part, by one member of a family is taken to be a surrender to another member of the family if the surrender is made in contemplation of, or as part of an agreement that, the tenement, or the part of the tenement, be granted to or acquired by the other member of the family.</w:t>
        </w:r>
      </w:ins>
    </w:p>
    <w:p>
      <w:pPr>
        <w:pStyle w:val="Subsection"/>
        <w:rPr>
          <w:ins w:id="5610" w:author="Master Repository Process" w:date="2022-05-27T14:27:00Z"/>
        </w:rPr>
      </w:pPr>
      <w:ins w:id="5611" w:author="Master Repository Process" w:date="2022-05-27T14:27:00Z">
        <w:r>
          <w:tab/>
          <w:t>(1B)</w:t>
        </w:r>
        <w:r>
          <w:tab/>
          <w:t xml:space="preserve">For the purposes of subsection (1)(d), an acquisition of an interest in an entity by one member of a family is taken to be an acquisition from another member of the family if — </w:t>
        </w:r>
      </w:ins>
    </w:p>
    <w:p>
      <w:pPr>
        <w:pStyle w:val="Indenta"/>
        <w:rPr>
          <w:ins w:id="5612" w:author="Master Repository Process" w:date="2022-05-27T14:27:00Z"/>
        </w:rPr>
      </w:pPr>
      <w:ins w:id="5613" w:author="Master Repository Process" w:date="2022-05-27T14:27:00Z">
        <w:r>
          <w:tab/>
          <w:t>(a)</w:t>
        </w:r>
        <w:r>
          <w:tab/>
          <w:t>the interest of the other member of the family in the entity is decreased because of the acquisition; or</w:t>
        </w:r>
      </w:ins>
    </w:p>
    <w:p>
      <w:pPr>
        <w:pStyle w:val="Indenta"/>
        <w:rPr>
          <w:ins w:id="5614" w:author="Master Repository Process" w:date="2022-05-27T14:27:00Z"/>
        </w:rPr>
      </w:pPr>
      <w:ins w:id="5615" w:author="Master Repository Process" w:date="2022-05-27T14:27:00Z">
        <w:r>
          <w:tab/>
          <w:t>(b)</w:t>
        </w:r>
        <w:r>
          <w:tab/>
          <w:t>the interest of the other member of the family in the entity decreased resulting in the acquisition.</w:t>
        </w:r>
      </w:ins>
    </w:p>
    <w:p>
      <w:pPr>
        <w:pStyle w:val="Subsection"/>
        <w:spacing w:before="120"/>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pPr>
      <w:r>
        <w:tab/>
        <w:t>(2A)</w:t>
      </w:r>
      <w:r>
        <w:tab/>
        <w:t xml:space="preserve">A transaction referred to in subsection (1)(aa) is not a </w:t>
      </w:r>
      <w:r>
        <w:rPr>
          <w:rStyle w:val="CharDefText"/>
        </w:rPr>
        <w:t>relevant reconstruction transaction</w:t>
      </w:r>
      <w:r>
        <w:t xml:space="preserve"> if, immediately before the transaction, the residential property is held, or the transaction results in the property being held, subject to a discretionary trust.</w:t>
      </w:r>
    </w:p>
    <w:p>
      <w:pPr>
        <w:pStyle w:val="Subsection"/>
        <w:spacing w:before="120"/>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spacing w:before="120"/>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Subsection"/>
        <w:rPr>
          <w:ins w:id="5616" w:author="Master Repository Process" w:date="2022-05-27T14:27:00Z"/>
        </w:rPr>
      </w:pPr>
      <w:ins w:id="5617" w:author="Master Repository Process" w:date="2022-05-27T14:27:00Z">
        <w:r>
          <w:tab/>
          <w:t>(5)</w:t>
        </w:r>
        <w:r>
          <w:tab/>
          <w:t xml:space="preserve">A transaction, transfer or acquisition referred to in subsection (1) is not a </w:t>
        </w:r>
        <w:r>
          <w:rPr>
            <w:rStyle w:val="CharDefText"/>
          </w:rPr>
          <w:t>relevant reconstruction transaction</w:t>
        </w:r>
        <w:r>
          <w:t xml:space="preserve"> if any part of the consideration for the transaction, transfer or acquisition has been or is to be provided by a person that is not a member of the family referred to in that subsection.</w:t>
        </w:r>
      </w:ins>
    </w:p>
    <w:p>
      <w:pPr>
        <w:pStyle w:val="Footnotesection"/>
        <w:keepLines w:val="0"/>
        <w:spacing w:before="80"/>
        <w:ind w:left="890" w:hanging="890"/>
        <w:rPr>
          <w:ins w:id="5618" w:author="Master Repository Process" w:date="2022-05-27T14:27:00Z"/>
        </w:rPr>
      </w:pPr>
      <w:r>
        <w:tab/>
        <w:t>[Section 260 amended: No. 9 of 2010 s. 5; No. 24 of 2018 s. </w:t>
      </w:r>
      <w:del w:id="5619" w:author="Master Repository Process" w:date="2022-05-27T14:27:00Z">
        <w:r>
          <w:delText>10</w:delText>
        </w:r>
      </w:del>
      <w:ins w:id="5620" w:author="Master Repository Process" w:date="2022-05-27T14:27:00Z">
        <w:r>
          <w:t>10; No. 12 of 2019 s. 120.]</w:t>
        </w:r>
      </w:ins>
    </w:p>
    <w:p>
      <w:pPr>
        <w:pStyle w:val="Heading5"/>
        <w:rPr>
          <w:ins w:id="5621" w:author="Master Repository Process" w:date="2022-05-27T14:27:00Z"/>
        </w:rPr>
      </w:pPr>
      <w:bookmarkStart w:id="5622" w:name="_Toc104291278"/>
      <w:ins w:id="5623" w:author="Master Repository Process" w:date="2022-05-27T14:27:00Z">
        <w:r>
          <w:rPr>
            <w:rStyle w:val="CharSectno"/>
          </w:rPr>
          <w:t>260A</w:t>
        </w:r>
        <w:r>
          <w:t>.</w:t>
        </w:r>
        <w:r>
          <w:tab/>
          <w:t>Consideration provided as loan</w:t>
        </w:r>
        <w:bookmarkEnd w:id="5622"/>
      </w:ins>
    </w:p>
    <w:p>
      <w:pPr>
        <w:pStyle w:val="Subsection"/>
        <w:rPr>
          <w:ins w:id="5624" w:author="Master Repository Process" w:date="2022-05-27T14:27:00Z"/>
        </w:rPr>
      </w:pPr>
      <w:ins w:id="5625" w:author="Master Repository Process" w:date="2022-05-27T14:27:00Z">
        <w:r>
          <w:tab/>
        </w:r>
        <w:r>
          <w:tab/>
          <w:t>For the purposes of sections 259(5) and 260(5), consideration provided by a person other than a member of the family is taken to have been provided by a member of the family if the Commissioner is satisfied that the consideration was provided as a loan and has been or will be repaid by a member of the family.</w:t>
        </w:r>
      </w:ins>
    </w:p>
    <w:p>
      <w:pPr>
        <w:pStyle w:val="Footnotesection"/>
        <w:keepLines w:val="0"/>
        <w:spacing w:before="80"/>
        <w:ind w:left="890" w:hanging="890"/>
      </w:pPr>
      <w:ins w:id="5626" w:author="Master Repository Process" w:date="2022-05-27T14:27:00Z">
        <w:r>
          <w:tab/>
          <w:t>[Section 260A inserted: No. 12 of 2019 s. 121</w:t>
        </w:r>
      </w:ins>
      <w:r>
        <w:t>.]</w:t>
      </w:r>
    </w:p>
    <w:p>
      <w:pPr>
        <w:pStyle w:val="Heading5"/>
      </w:pPr>
      <w:bookmarkStart w:id="5627" w:name="_Toc104291279"/>
      <w:bookmarkStart w:id="5628" w:name="_Toc531859605"/>
      <w:r>
        <w:rPr>
          <w:rStyle w:val="CharSectno"/>
        </w:rPr>
        <w:t>261</w:t>
      </w:r>
      <w:r>
        <w:t>.</w:t>
      </w:r>
      <w:r>
        <w:tab/>
        <w:t>Predetermining certain questions</w:t>
      </w:r>
      <w:bookmarkEnd w:id="5627"/>
      <w:bookmarkEnd w:id="5628"/>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w:t>
      </w:r>
      <w:del w:id="5629" w:author="Master Repository Process" w:date="2022-05-27T14:27:00Z">
        <w:r>
          <w:delText>), (3</w:delText>
        </w:r>
      </w:del>
      <w:r>
        <w:t>) or (4).</w:t>
      </w:r>
    </w:p>
    <w:p>
      <w:pPr>
        <w:pStyle w:val="Subsection"/>
      </w:pPr>
      <w:r>
        <w:tab/>
        <w:t>(2)</w:t>
      </w:r>
      <w:r>
        <w:tab/>
        <w:t>A person proposing to enter into a relevant transaction may ask the Commissioner to decide whether, if the transaction were entered into, it would be exempted.</w:t>
      </w:r>
    </w:p>
    <w:p>
      <w:pPr>
        <w:pStyle w:val="Subsection"/>
        <w:rPr>
          <w:del w:id="5630" w:author="Master Repository Process" w:date="2022-05-27T14:27:00Z"/>
        </w:rPr>
      </w:pPr>
      <w:del w:id="5631" w:author="Master Repository Process" w:date="2022-05-27T14:27:00Z">
        <w:r>
          <w:tab/>
          <w:delText>(3)</w:delText>
        </w:r>
        <w:r>
          <w:tab/>
          <w:delText>A person proposing to enter into a relevant transaction may ask the Commissioner to decide whether, if the transaction were entered into and exempted, the Commissioner, under section 265, would revoke the exemption.</w:delText>
        </w:r>
      </w:del>
    </w:p>
    <w:p>
      <w:pPr>
        <w:pStyle w:val="Ednotesubsection"/>
        <w:rPr>
          <w:ins w:id="5632" w:author="Master Repository Process" w:date="2022-05-27T14:27:00Z"/>
        </w:rPr>
      </w:pPr>
      <w:ins w:id="5633" w:author="Master Repository Process" w:date="2022-05-27T14:27:00Z">
        <w:r>
          <w:tab/>
          <w:t>[(3)</w:t>
        </w:r>
        <w:r>
          <w:tab/>
          <w:t>deleted]</w:t>
        </w:r>
      </w:ins>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pPr>
      <w:r>
        <w:tab/>
        <w:t>(5)</w:t>
      </w:r>
      <w:r>
        <w:tab/>
        <w:t>A pre</w:t>
      </w:r>
      <w:r>
        <w:noBreakHyphen/>
        <w:t>transaction decision request must be made in the approved form.</w:t>
      </w:r>
    </w:p>
    <w:p>
      <w:pPr>
        <w:pStyle w:val="Subsection"/>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pPr>
      <w:r>
        <w:tab/>
        <w:t>(7)</w:t>
      </w:r>
      <w:r>
        <w:tab/>
        <w:t>The Commissioner may refuse a pre</w:t>
      </w:r>
      <w:r>
        <w:noBreakHyphen/>
        <w:t xml:space="preserve">transaction decision request if — </w:t>
      </w:r>
    </w:p>
    <w:p>
      <w:pPr>
        <w:pStyle w:val="Indenta"/>
        <w:rPr>
          <w:del w:id="5634" w:author="Master Repository Process" w:date="2022-05-27T14:27:00Z"/>
        </w:rPr>
      </w:pPr>
      <w:del w:id="5635" w:author="Master Repository Process" w:date="2022-05-27T14:27:00Z">
        <w:r>
          <w:tab/>
          <w:delText>(a)</w:delText>
        </w:r>
        <w:r>
          <w:tab/>
          <w:delText>the transaction to which the request relates has been entered into; or</w:delText>
        </w:r>
      </w:del>
    </w:p>
    <w:p>
      <w:pPr>
        <w:pStyle w:val="Ednotepara"/>
        <w:rPr>
          <w:ins w:id="5636" w:author="Master Repository Process" w:date="2022-05-27T14:27:00Z"/>
        </w:rPr>
      </w:pPr>
      <w:ins w:id="5637" w:author="Master Repository Process" w:date="2022-05-27T14:27:00Z">
        <w:r>
          <w:tab/>
          <w:t>[(a)</w:t>
        </w:r>
        <w:r>
          <w:tab/>
          <w:t>deleted]</w:t>
        </w:r>
      </w:ins>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rPr>
          <w:ins w:id="5638" w:author="Master Repository Process" w:date="2022-05-27T14:27:00Z"/>
        </w:rPr>
      </w:pPr>
      <w:ins w:id="5639" w:author="Master Repository Process" w:date="2022-05-27T14:27:00Z">
        <w:r>
          <w:tab/>
          <w:t>(7A)</w:t>
        </w:r>
        <w:r>
          <w:tab/>
          <w:t>The Commissioner must refuse a pre</w:t>
        </w:r>
        <w:r>
          <w:noBreakHyphen/>
          <w:t>transaction decision request if the transaction to which the request relates has been entered into.</w:t>
        </w:r>
      </w:ins>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Footnotesection"/>
        <w:keepLines w:val="0"/>
        <w:spacing w:before="80"/>
        <w:ind w:left="890" w:hanging="890"/>
        <w:rPr>
          <w:ins w:id="5640" w:author="Master Repository Process" w:date="2022-05-27T14:27:00Z"/>
        </w:rPr>
      </w:pPr>
      <w:ins w:id="5641" w:author="Master Repository Process" w:date="2022-05-27T14:27:00Z">
        <w:r>
          <w:tab/>
          <w:t>[Section 261 amended: No. 12 of 2019 s. 122.]</w:t>
        </w:r>
      </w:ins>
    </w:p>
    <w:p>
      <w:pPr>
        <w:pStyle w:val="Heading5"/>
        <w:spacing w:before="180"/>
      </w:pPr>
      <w:bookmarkStart w:id="5642" w:name="_Toc104291280"/>
      <w:bookmarkStart w:id="5643" w:name="_Toc531859606"/>
      <w:r>
        <w:rPr>
          <w:rStyle w:val="CharSectno"/>
        </w:rPr>
        <w:t>262</w:t>
      </w:r>
      <w:r>
        <w:t>.</w:t>
      </w:r>
      <w:r>
        <w:tab/>
        <w:t>Application for exemption</w:t>
      </w:r>
      <w:bookmarkEnd w:id="5642"/>
      <w:bookmarkEnd w:id="5643"/>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ind w:left="890" w:hanging="890"/>
      </w:pPr>
      <w:r>
        <w:tab/>
        <w:t>[Section 262 amended: No. 17 of 2010 s. 16.]</w:t>
      </w:r>
    </w:p>
    <w:p>
      <w:pPr>
        <w:pStyle w:val="Heading5"/>
      </w:pPr>
      <w:bookmarkStart w:id="5644" w:name="_Toc104291281"/>
      <w:bookmarkStart w:id="5645" w:name="_Toc531859607"/>
      <w:r>
        <w:rPr>
          <w:rStyle w:val="CharSectno"/>
        </w:rPr>
        <w:t>263</w:t>
      </w:r>
      <w:r>
        <w:t>.</w:t>
      </w:r>
      <w:r>
        <w:tab/>
        <w:t>Grant of exemption</w:t>
      </w:r>
      <w:bookmarkEnd w:id="5644"/>
      <w:bookmarkEnd w:id="5645"/>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w:t>
      </w:r>
      <w:del w:id="5646" w:author="Master Repository Process" w:date="2022-05-27T14:27:00Z">
        <w:r>
          <w:delText xml:space="preserve"> any member of the family has an outstanding tax liability.</w:delText>
        </w:r>
      </w:del>
      <w:ins w:id="5647" w:author="Master Repository Process" w:date="2022-05-27T14:27:00Z">
        <w:r>
          <w:t xml:space="preserve"> — </w:t>
        </w:r>
      </w:ins>
    </w:p>
    <w:p>
      <w:pPr>
        <w:pStyle w:val="Indenta"/>
        <w:rPr>
          <w:ins w:id="5648" w:author="Master Repository Process" w:date="2022-05-27T14:27:00Z"/>
        </w:rPr>
      </w:pPr>
      <w:ins w:id="5649" w:author="Master Repository Process" w:date="2022-05-27T14:27:00Z">
        <w:r>
          <w:tab/>
          <w:t>(a)</w:t>
        </w:r>
        <w:r>
          <w:tab/>
          <w:t xml:space="preserve">the Commissioner is satisfied that the transaction is part of a scheme or arrangement that has been, or is to be, entered into or carried out by a person — </w:t>
        </w:r>
      </w:ins>
    </w:p>
    <w:p>
      <w:pPr>
        <w:pStyle w:val="Indenti"/>
        <w:rPr>
          <w:ins w:id="5650" w:author="Master Repository Process" w:date="2022-05-27T14:27:00Z"/>
        </w:rPr>
      </w:pPr>
      <w:ins w:id="5651" w:author="Master Repository Process" w:date="2022-05-27T14:27:00Z">
        <w:r>
          <w:tab/>
          <w:t>(i)</w:t>
        </w:r>
        <w:r>
          <w:tab/>
          <w:t>for a purpose of avoiding or reducing any liability of a person for duty; or</w:t>
        </w:r>
      </w:ins>
    </w:p>
    <w:p>
      <w:pPr>
        <w:pStyle w:val="Indenti"/>
        <w:rPr>
          <w:ins w:id="5652" w:author="Master Repository Process" w:date="2022-05-27T14:27:00Z"/>
        </w:rPr>
      </w:pPr>
      <w:ins w:id="5653" w:author="Master Repository Process" w:date="2022-05-27T14:27:00Z">
        <w:r>
          <w:tab/>
          <w:t>(ii)</w:t>
        </w:r>
        <w:r>
          <w:tab/>
          <w:t>for the sole or dominant purpose of avoiding or reducing any liability of a person for tax other than duty;</w:t>
        </w:r>
      </w:ins>
    </w:p>
    <w:p>
      <w:pPr>
        <w:pStyle w:val="Indenta"/>
        <w:rPr>
          <w:ins w:id="5654" w:author="Master Repository Process" w:date="2022-05-27T14:27:00Z"/>
        </w:rPr>
      </w:pPr>
      <w:ins w:id="5655" w:author="Master Repository Process" w:date="2022-05-27T14:27:00Z">
        <w:r>
          <w:tab/>
        </w:r>
        <w:r>
          <w:tab/>
          <w:t>or</w:t>
        </w:r>
      </w:ins>
    </w:p>
    <w:p>
      <w:pPr>
        <w:pStyle w:val="Indenta"/>
        <w:rPr>
          <w:ins w:id="5656" w:author="Master Repository Process" w:date="2022-05-27T14:27:00Z"/>
        </w:rPr>
      </w:pPr>
      <w:ins w:id="5657" w:author="Master Repository Process" w:date="2022-05-27T14:27:00Z">
        <w:r>
          <w:tab/>
          <w:t>(b)</w:t>
        </w:r>
        <w:r>
          <w:tab/>
          <w:t>the Commissioner is satisfied that the exemption would be revoked under section 264A because of the occurrence of a notifiable event referred to in that section; or</w:t>
        </w:r>
      </w:ins>
    </w:p>
    <w:p>
      <w:pPr>
        <w:pStyle w:val="Indenta"/>
        <w:rPr>
          <w:ins w:id="5658" w:author="Master Repository Process" w:date="2022-05-27T14:27:00Z"/>
        </w:rPr>
      </w:pPr>
      <w:ins w:id="5659" w:author="Master Repository Process" w:date="2022-05-27T14:27:00Z">
        <w:r>
          <w:tab/>
          <w:t>(c)</w:t>
        </w:r>
        <w:r>
          <w:tab/>
          <w:t>any member of the family has an outstanding tax liability.</w:t>
        </w:r>
      </w:ins>
    </w:p>
    <w:p>
      <w:pPr>
        <w:pStyle w:val="Footnotesection"/>
        <w:keepLines w:val="0"/>
        <w:spacing w:before="80"/>
        <w:ind w:left="890" w:hanging="890"/>
        <w:rPr>
          <w:ins w:id="5660" w:author="Master Repository Process" w:date="2022-05-27T14:27:00Z"/>
        </w:rPr>
      </w:pPr>
      <w:ins w:id="5661" w:author="Master Repository Process" w:date="2022-05-27T14:27:00Z">
        <w:r>
          <w:tab/>
          <w:t>[Section 263 amended: No. 12 of 2019 s. 123.]</w:t>
        </w:r>
      </w:ins>
    </w:p>
    <w:p>
      <w:pPr>
        <w:pStyle w:val="Heading5"/>
      </w:pPr>
      <w:bookmarkStart w:id="5662" w:name="_Toc104291282"/>
      <w:bookmarkStart w:id="5663" w:name="_Toc531859608"/>
      <w:r>
        <w:rPr>
          <w:rStyle w:val="CharSectno"/>
        </w:rPr>
        <w:t>264</w:t>
      </w:r>
      <w:r>
        <w:t>.</w:t>
      </w:r>
      <w:r>
        <w:tab/>
        <w:t>Commissioner to be notified of certain events after exempt relevant transaction</w:t>
      </w:r>
      <w:bookmarkEnd w:id="5662"/>
      <w:bookmarkEnd w:id="5663"/>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rPr>
          <w:del w:id="5664" w:author="Master Repository Process" w:date="2022-05-27T14:27:00Z"/>
        </w:rPr>
      </w:pPr>
      <w:del w:id="5665" w:author="Master Repository Process" w:date="2022-05-27T14:27:00Z">
        <w:r>
          <w:rPr>
            <w:b/>
          </w:rPr>
          <w:tab/>
        </w:r>
        <w:r>
          <w:rPr>
            <w:rStyle w:val="CharDefText"/>
          </w:rPr>
          <w:delText>notifiable event</w:delText>
        </w:r>
        <w:r>
          <w:delText xml:space="preserve"> has the meaning given by subsections (2) and (3); </w:delText>
        </w:r>
      </w:del>
    </w:p>
    <w:p>
      <w:pPr>
        <w:pStyle w:val="Defstart"/>
      </w:pPr>
      <w:r>
        <w:rPr>
          <w:b/>
        </w:rPr>
        <w:tab/>
      </w:r>
      <w:r>
        <w:rPr>
          <w:rStyle w:val="CharDefText"/>
        </w:rPr>
        <w:t>responsible person</w:t>
      </w:r>
      <w:r>
        <w:t xml:space="preserve"> means —</w:t>
      </w:r>
    </w:p>
    <w:p>
      <w:pPr>
        <w:pStyle w:val="Defpara"/>
      </w:pPr>
      <w:r>
        <w:tab/>
        <w:t>(a)</w:t>
      </w:r>
      <w:r>
        <w:tab/>
        <w:t xml:space="preserve">for a notifiable event that occurs in relation to a relevant transaction as described in subsection (2)(a) — </w:t>
      </w:r>
    </w:p>
    <w:p>
      <w:pPr>
        <w:pStyle w:val="Defsubpara"/>
        <w:keepLines w:val="0"/>
      </w:pPr>
      <w:r>
        <w:tab/>
        <w:t>(i)</w:t>
      </w:r>
      <w:r>
        <w:tab/>
        <w:t>if the controlling entity is a corporation — each person who is a director of the entity when the winding up begins; or</w:t>
      </w:r>
    </w:p>
    <w:p>
      <w:pPr>
        <w:pStyle w:val="Defsubpara"/>
        <w:keepLines w:val="0"/>
      </w:pPr>
      <w:r>
        <w:tab/>
        <w:t>(ii)</w:t>
      </w:r>
      <w:r>
        <w:tab/>
        <w:t>if the controlling entity is a unit trust scheme — the trustee of the entity when the winding up begins; or</w:t>
      </w:r>
    </w:p>
    <w:p>
      <w:pPr>
        <w:pStyle w:val="Defsubpara"/>
        <w:keepLines w:val="0"/>
      </w:pPr>
      <w:r>
        <w:tab/>
        <w:t>(iii)</w:t>
      </w:r>
      <w:r>
        <w:tab/>
        <w:t>if the controlling entity is a unit trust scheme and the trustee of the entity, being a corporation, is wound up — each person who is a director of the trustee when the winding up begins;</w:t>
      </w:r>
    </w:p>
    <w:p>
      <w:pPr>
        <w:pStyle w:val="Defpara"/>
      </w:pPr>
      <w:r>
        <w:tab/>
      </w:r>
      <w:r>
        <w:tab/>
        <w:t>or</w:t>
      </w:r>
    </w:p>
    <w:p>
      <w:pPr>
        <w:pStyle w:val="Defpara"/>
      </w:pPr>
      <w:r>
        <w:tab/>
        <w:t>(b)</w:t>
      </w:r>
      <w:r>
        <w:tab/>
        <w:t>for a notifiable event that occurs in relation to a relevant transaction as described in subsection (2)(b) —</w:t>
      </w:r>
    </w:p>
    <w:p>
      <w:pPr>
        <w:pStyle w:val="Defsubpara"/>
        <w:keepLines w:val="0"/>
      </w:pPr>
      <w:r>
        <w:tab/>
        <w:t>(i)</w:t>
      </w:r>
      <w:r>
        <w:tab/>
        <w:t>the controlling entity or, if the controlling entity is wound up, the major holder (if any) of the controlling entity when the winding up begins; and</w:t>
      </w:r>
    </w:p>
    <w:p>
      <w:pPr>
        <w:pStyle w:val="Defsubpara"/>
        <w:keepLines w:val="0"/>
      </w:pPr>
      <w:r>
        <w:tab/>
        <w:t>(ii)</w:t>
      </w:r>
      <w:r>
        <w:tab/>
        <w:t>the member of the transaction group referred to in subsection (2)(b);</w:t>
      </w:r>
    </w:p>
    <w:p>
      <w:pPr>
        <w:pStyle w:val="Defpara"/>
      </w:pPr>
      <w:r>
        <w:tab/>
      </w:r>
      <w:r>
        <w:tab/>
        <w:t>or</w:t>
      </w:r>
    </w:p>
    <w:p>
      <w:pPr>
        <w:pStyle w:val="Defpara"/>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rPr>
          <w:del w:id="5666" w:author="Master Repository Process" w:date="2022-05-27T14:27:00Z"/>
        </w:rPr>
      </w:pPr>
      <w:r>
        <w:tab/>
        <w:t>(c)</w:t>
      </w:r>
      <w:r>
        <w:tab/>
        <w:t xml:space="preserve">an acquisition </w:t>
      </w:r>
      <w:del w:id="5667" w:author="Master Repository Process" w:date="2022-05-27T14:27:00Z">
        <w:r>
          <w:delText>that is the subject</w:delText>
        </w:r>
      </w:del>
      <w:ins w:id="5668" w:author="Master Repository Process" w:date="2022-05-27T14:27:00Z">
        <w:r>
          <w:t>by one member</w:t>
        </w:r>
      </w:ins>
      <w:r>
        <w:t xml:space="preserve"> of</w:t>
      </w:r>
      <w:del w:id="5669" w:author="Master Repository Process" w:date="2022-05-27T14:27:00Z">
        <w:r>
          <w:delText xml:space="preserve"> — </w:delText>
        </w:r>
      </w:del>
    </w:p>
    <w:p>
      <w:pPr>
        <w:pStyle w:val="Indenta"/>
      </w:pPr>
      <w:del w:id="5670" w:author="Master Repository Process" w:date="2022-05-27T14:27:00Z">
        <w:r>
          <w:tab/>
          <w:delText>(i)</w:delText>
        </w:r>
        <w:r>
          <w:tab/>
        </w:r>
      </w:del>
      <w:ins w:id="5671" w:author="Master Repository Process" w:date="2022-05-27T14:27:00Z">
        <w:r>
          <w:t xml:space="preserve"> a family from another member of the family of </w:t>
        </w:r>
      </w:ins>
      <w:r>
        <w:t xml:space="preserve">an </w:t>
      </w:r>
      <w:del w:id="5672" w:author="Master Repository Process" w:date="2022-05-27T14:27:00Z">
        <w:r>
          <w:delText>application made under section 180</w:delText>
        </w:r>
      </w:del>
      <w:ins w:id="5673" w:author="Master Repository Process" w:date="2022-05-27T14:27:00Z">
        <w:r>
          <w:t>interest in an entity, if landholder duty is not chargeable on the acquisition</w:t>
        </w:r>
      </w:ins>
      <w:r>
        <w:t>; or</w:t>
      </w:r>
    </w:p>
    <w:p>
      <w:pPr>
        <w:pStyle w:val="Indenti"/>
        <w:rPr>
          <w:del w:id="5674" w:author="Master Repository Process" w:date="2022-05-27T14:27:00Z"/>
        </w:rPr>
      </w:pPr>
      <w:del w:id="5675" w:author="Master Repository Process" w:date="2022-05-27T14:27:00Z">
        <w:r>
          <w:tab/>
          <w:delText>(ii)</w:delText>
        </w:r>
        <w:r>
          <w:tab/>
          <w:delText>a statement lodged under section 200;</w:delText>
        </w:r>
      </w:del>
    </w:p>
    <w:p>
      <w:pPr>
        <w:pStyle w:val="Indenta"/>
        <w:rPr>
          <w:del w:id="5676" w:author="Master Repository Process" w:date="2022-05-27T14:27:00Z"/>
        </w:rPr>
      </w:pPr>
      <w:del w:id="5677" w:author="Master Repository Process" w:date="2022-05-27T14:27:00Z">
        <w:r>
          <w:tab/>
        </w:r>
        <w:r>
          <w:tab/>
          <w:delText>or</w:delText>
        </w:r>
      </w:del>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Footnotesection"/>
        <w:keepLines w:val="0"/>
        <w:spacing w:before="80"/>
        <w:ind w:left="890" w:hanging="890"/>
        <w:rPr>
          <w:ins w:id="5678" w:author="Master Repository Process" w:date="2022-05-27T14:27:00Z"/>
        </w:rPr>
      </w:pPr>
      <w:bookmarkStart w:id="5679" w:name="_Toc531859609"/>
      <w:del w:id="5680" w:author="Master Repository Process" w:date="2022-05-27T14:27:00Z">
        <w:r>
          <w:rPr>
            <w:rStyle w:val="CharSectno"/>
          </w:rPr>
          <w:delText>265</w:delText>
        </w:r>
        <w:r>
          <w:delText>.</w:delText>
        </w:r>
        <w:r>
          <w:tab/>
          <w:delText>Revoking</w:delText>
        </w:r>
      </w:del>
      <w:ins w:id="5681" w:author="Master Repository Process" w:date="2022-05-27T14:27:00Z">
        <w:r>
          <w:tab/>
          <w:t>[Section 264 amended: No. 12 of 2019 s. 124.]</w:t>
        </w:r>
      </w:ins>
    </w:p>
    <w:p>
      <w:pPr>
        <w:pStyle w:val="Heading5"/>
      </w:pPr>
      <w:bookmarkStart w:id="5682" w:name="_Toc104291283"/>
      <w:ins w:id="5683" w:author="Master Repository Process" w:date="2022-05-27T14:27:00Z">
        <w:r>
          <w:rPr>
            <w:rStyle w:val="CharSectno"/>
          </w:rPr>
          <w:t>264A</w:t>
        </w:r>
        <w:r>
          <w:t>.</w:t>
        </w:r>
        <w:r>
          <w:tab/>
          <w:t>Automatic revocation of</w:t>
        </w:r>
      </w:ins>
      <w:r>
        <w:t xml:space="preserve"> exemption</w:t>
      </w:r>
      <w:bookmarkEnd w:id="5682"/>
      <w:bookmarkEnd w:id="5679"/>
    </w:p>
    <w:p>
      <w:pPr>
        <w:pStyle w:val="Subsection"/>
        <w:keepNext/>
        <w:rPr>
          <w:ins w:id="5684" w:author="Master Repository Process" w:date="2022-05-27T14:27:00Z"/>
        </w:rPr>
      </w:pPr>
      <w:ins w:id="5685" w:author="Master Repository Process" w:date="2022-05-27T14:27:00Z">
        <w:r>
          <w:tab/>
          <w:t>(1)</w:t>
        </w:r>
        <w:r>
          <w:tab/>
          <w:t xml:space="preserve">The exemption for an exempt relevant reconstruction transaction is revoked by this subsection if — </w:t>
        </w:r>
      </w:ins>
    </w:p>
    <w:p>
      <w:pPr>
        <w:pStyle w:val="Indenta"/>
        <w:rPr>
          <w:ins w:id="5686" w:author="Master Repository Process" w:date="2022-05-27T14:27:00Z"/>
        </w:rPr>
      </w:pPr>
      <w:ins w:id="5687" w:author="Master Repository Process" w:date="2022-05-27T14:27:00Z">
        <w:r>
          <w:tab/>
          <w:t>(a)</w:t>
        </w:r>
        <w:r>
          <w:tab/>
          <w:t>a notifiable event to which section 264(2)(b) applies occurs in relation to the relevant reconstruction transaction within 3 years after the date of the transaction; and</w:t>
        </w:r>
      </w:ins>
    </w:p>
    <w:p>
      <w:pPr>
        <w:pStyle w:val="Indenta"/>
        <w:rPr>
          <w:ins w:id="5688" w:author="Master Repository Process" w:date="2022-05-27T14:27:00Z"/>
        </w:rPr>
      </w:pPr>
      <w:ins w:id="5689" w:author="Master Repository Process" w:date="2022-05-27T14:27:00Z">
        <w:r>
          <w:tab/>
          <w:t>(b)</w:t>
        </w:r>
        <w:r>
          <w:tab/>
          <w:t xml:space="preserve">the member of the transaction group referred to in whichever of section 264(2)(b)(i) or (ii) applies (the </w:t>
        </w:r>
        <w:r>
          <w:rPr>
            <w:rStyle w:val="CharDefText"/>
          </w:rPr>
          <w:t>relevant entity</w:t>
        </w:r>
        <w:r>
          <w:t xml:space="preserve">) is — </w:t>
        </w:r>
      </w:ins>
    </w:p>
    <w:p>
      <w:pPr>
        <w:pStyle w:val="Indenti"/>
        <w:rPr>
          <w:ins w:id="5690" w:author="Master Repository Process" w:date="2022-05-27T14:27:00Z"/>
        </w:rPr>
      </w:pPr>
      <w:ins w:id="5691" w:author="Master Repository Process" w:date="2022-05-27T14:27:00Z">
        <w:r>
          <w:tab/>
          <w:t>(i)</w:t>
        </w:r>
        <w:r>
          <w:tab/>
          <w:t>for a relevant reconstruction transaction referred to in section 260(1)(a)(iii) or (aa)(iii) — the entity for which the dutiable property or residential property is held on trust; or</w:t>
        </w:r>
      </w:ins>
    </w:p>
    <w:p>
      <w:pPr>
        <w:pStyle w:val="Indenti"/>
        <w:rPr>
          <w:ins w:id="5692" w:author="Master Repository Process" w:date="2022-05-27T14:27:00Z"/>
        </w:rPr>
      </w:pPr>
      <w:ins w:id="5693" w:author="Master Repository Process" w:date="2022-05-27T14:27:00Z">
        <w:r>
          <w:tab/>
          <w:t>(ii)</w:t>
        </w:r>
        <w:r>
          <w:tab/>
          <w:t>for a relevant reconstruction transaction referred to in section 260(1)(d) — the acquirer of the interest referred to in that section; or</w:t>
        </w:r>
      </w:ins>
    </w:p>
    <w:p>
      <w:pPr>
        <w:pStyle w:val="Indenti"/>
        <w:rPr>
          <w:ins w:id="5694" w:author="Master Repository Process" w:date="2022-05-27T14:27:00Z"/>
        </w:rPr>
      </w:pPr>
      <w:ins w:id="5695" w:author="Master Repository Process" w:date="2022-05-27T14:27:00Z">
        <w:r>
          <w:tab/>
          <w:t>(iii)</w:t>
        </w:r>
        <w:r>
          <w:tab/>
          <w:t>otherwise — the entity who would, but for the exemption, be liable to pay the transfer duty, foreign transfer duty or vehicle licence duty chargeable on the transaction;</w:t>
        </w:r>
      </w:ins>
    </w:p>
    <w:p>
      <w:pPr>
        <w:pStyle w:val="Indenta"/>
        <w:rPr>
          <w:ins w:id="5696" w:author="Master Repository Process" w:date="2022-05-27T14:27:00Z"/>
        </w:rPr>
      </w:pPr>
      <w:ins w:id="5697" w:author="Master Repository Process" w:date="2022-05-27T14:27:00Z">
        <w:r>
          <w:tab/>
        </w:r>
        <w:r>
          <w:tab/>
          <w:t>and</w:t>
        </w:r>
      </w:ins>
    </w:p>
    <w:p>
      <w:pPr>
        <w:pStyle w:val="Indenta"/>
        <w:rPr>
          <w:ins w:id="5698" w:author="Master Repository Process" w:date="2022-05-27T14:27:00Z"/>
        </w:rPr>
      </w:pPr>
      <w:ins w:id="5699" w:author="Master Repository Process" w:date="2022-05-27T14:27:00Z">
        <w:r>
          <w:tab/>
          <w:t>(c)</w:t>
        </w:r>
        <w:r>
          <w:tab/>
          <w:t>when the notifiable event occurs, the property referred to in subsection (2), or a part of that property, is held by, or on trust for, the relevant entity.</w:t>
        </w:r>
      </w:ins>
    </w:p>
    <w:p>
      <w:pPr>
        <w:pStyle w:val="Subsection"/>
        <w:rPr>
          <w:ins w:id="5700" w:author="Master Repository Process" w:date="2022-05-27T14:27:00Z"/>
        </w:rPr>
      </w:pPr>
      <w:ins w:id="5701" w:author="Master Repository Process" w:date="2022-05-27T14:27:00Z">
        <w:r>
          <w:tab/>
          <w:t>(2)</w:t>
        </w:r>
        <w:r>
          <w:tab/>
          <w:t xml:space="preserve">For the purposes of subsection (1)(c), the property is — </w:t>
        </w:r>
      </w:ins>
    </w:p>
    <w:p>
      <w:pPr>
        <w:pStyle w:val="Indenta"/>
        <w:rPr>
          <w:ins w:id="5702" w:author="Master Repository Process" w:date="2022-05-27T14:27:00Z"/>
        </w:rPr>
      </w:pPr>
      <w:ins w:id="5703" w:author="Master Repository Process" w:date="2022-05-27T14:27:00Z">
        <w:r>
          <w:tab/>
          <w:t>(a)</w:t>
        </w:r>
        <w:r>
          <w:tab/>
          <w:t>for a relevant reconstruction transaction referred to in section 260(1)(a) — the dutiable property to which the transaction relates; or</w:t>
        </w:r>
      </w:ins>
    </w:p>
    <w:p>
      <w:pPr>
        <w:pStyle w:val="Indenta"/>
        <w:rPr>
          <w:ins w:id="5704" w:author="Master Repository Process" w:date="2022-05-27T14:27:00Z"/>
        </w:rPr>
      </w:pPr>
      <w:ins w:id="5705" w:author="Master Repository Process" w:date="2022-05-27T14:27:00Z">
        <w:r>
          <w:tab/>
          <w:t>(b)</w:t>
        </w:r>
        <w:r>
          <w:tab/>
          <w:t>for a relevant reconstruction transaction referred to in section 260(1)(aa) — the residential property to which the transaction relates; or</w:t>
        </w:r>
      </w:ins>
    </w:p>
    <w:p>
      <w:pPr>
        <w:pStyle w:val="Indenta"/>
        <w:rPr>
          <w:ins w:id="5706" w:author="Master Repository Process" w:date="2022-05-27T14:27:00Z"/>
        </w:rPr>
      </w:pPr>
      <w:ins w:id="5707" w:author="Master Repository Process" w:date="2022-05-27T14:27:00Z">
        <w:r>
          <w:tab/>
          <w:t>(c)</w:t>
        </w:r>
        <w:r>
          <w:tab/>
          <w:t>for a relevant reconstruction transaction referred to in section 260(1)(b) — the licence for a vehicle to which the transaction relates; or</w:t>
        </w:r>
      </w:ins>
    </w:p>
    <w:p>
      <w:pPr>
        <w:pStyle w:val="Indenta"/>
        <w:rPr>
          <w:ins w:id="5708" w:author="Master Repository Process" w:date="2022-05-27T14:27:00Z"/>
        </w:rPr>
      </w:pPr>
      <w:ins w:id="5709" w:author="Master Repository Process" w:date="2022-05-27T14:27:00Z">
        <w:r>
          <w:tab/>
          <w:t>(d)</w:t>
        </w:r>
        <w:r>
          <w:tab/>
          <w:t>for a relevant reconstruction transaction referred to in section 260(1)(d) — the interest in an entity to which the transaction relates.</w:t>
        </w:r>
      </w:ins>
    </w:p>
    <w:p>
      <w:pPr>
        <w:pStyle w:val="Subsection"/>
        <w:rPr>
          <w:ins w:id="5710" w:author="Master Repository Process" w:date="2022-05-27T14:27:00Z"/>
        </w:rPr>
      </w:pPr>
      <w:ins w:id="5711" w:author="Master Repository Process" w:date="2022-05-27T14:27:00Z">
        <w:r>
          <w:tab/>
          <w:t>(3)</w:t>
        </w:r>
        <w:r>
          <w:tab/>
          <w:t xml:space="preserve">This section does not apply — </w:t>
        </w:r>
      </w:ins>
    </w:p>
    <w:p>
      <w:pPr>
        <w:pStyle w:val="Indenta"/>
        <w:rPr>
          <w:ins w:id="5712" w:author="Master Repository Process" w:date="2022-05-27T14:27:00Z"/>
        </w:rPr>
      </w:pPr>
      <w:ins w:id="5713" w:author="Master Repository Process" w:date="2022-05-27T14:27:00Z">
        <w:r>
          <w:tab/>
          <w:t>(a)</w:t>
        </w:r>
        <w:r>
          <w:tab/>
          <w:t>to a notifiable event that results from a public float; or</w:t>
        </w:r>
      </w:ins>
    </w:p>
    <w:p>
      <w:pPr>
        <w:pStyle w:val="Indenta"/>
        <w:rPr>
          <w:ins w:id="5714" w:author="Master Repository Process" w:date="2022-05-27T14:27:00Z"/>
        </w:rPr>
      </w:pPr>
      <w:ins w:id="5715" w:author="Master Repository Process" w:date="2022-05-27T14:27:00Z">
        <w:r>
          <w:tab/>
          <w:t>(b)</w:t>
        </w:r>
        <w:r>
          <w:tab/>
          <w:t>in prescribed circumstances.</w:t>
        </w:r>
      </w:ins>
    </w:p>
    <w:p>
      <w:pPr>
        <w:pStyle w:val="Subsection"/>
        <w:rPr>
          <w:ins w:id="5716" w:author="Master Repository Process" w:date="2022-05-27T14:27:00Z"/>
        </w:rPr>
      </w:pPr>
      <w:ins w:id="5717" w:author="Master Repository Process" w:date="2022-05-27T14:27:00Z">
        <w:r>
          <w:tab/>
          <w:t>(4)</w:t>
        </w:r>
        <w:r>
          <w:tab/>
          <w:t>This section applies whether or not there has been a change in the legal description of the property referred to in subsection (2) between the relevant reconstruction transaction and the notifiable event.</w:t>
        </w:r>
      </w:ins>
    </w:p>
    <w:p>
      <w:pPr>
        <w:pStyle w:val="PermNoteHeading"/>
        <w:rPr>
          <w:ins w:id="5718" w:author="Master Repository Process" w:date="2022-05-27T14:27:00Z"/>
        </w:rPr>
      </w:pPr>
      <w:ins w:id="5719" w:author="Master Repository Process" w:date="2022-05-27T14:27:00Z">
        <w:r>
          <w:tab/>
          <w:t>Note for this subsection:</w:t>
        </w:r>
      </w:ins>
    </w:p>
    <w:p>
      <w:pPr>
        <w:pStyle w:val="PermNoteText"/>
        <w:rPr>
          <w:ins w:id="5720" w:author="Master Repository Process" w:date="2022-05-27T14:27:00Z"/>
        </w:rPr>
      </w:pPr>
      <w:ins w:id="5721" w:author="Master Repository Process" w:date="2022-05-27T14:27:00Z">
        <w:r>
          <w:tab/>
        </w:r>
        <w:r>
          <w:tab/>
          <w:t>For example, a change in the legal description of property when a new certificate of title is registered following a subdivision of land.</w:t>
        </w:r>
      </w:ins>
    </w:p>
    <w:p>
      <w:pPr>
        <w:pStyle w:val="Footnotesection"/>
        <w:keepLines w:val="0"/>
        <w:spacing w:before="80"/>
        <w:ind w:left="890" w:hanging="890"/>
        <w:rPr>
          <w:ins w:id="5722" w:author="Master Repository Process" w:date="2022-05-27T14:27:00Z"/>
        </w:rPr>
      </w:pPr>
      <w:ins w:id="5723" w:author="Master Repository Process" w:date="2022-05-27T14:27:00Z">
        <w:r>
          <w:tab/>
          <w:t>[Section 264A inserted: No. 12 of 2019 s. 125.]</w:t>
        </w:r>
      </w:ins>
    </w:p>
    <w:p>
      <w:pPr>
        <w:pStyle w:val="Heading5"/>
        <w:rPr>
          <w:ins w:id="5724" w:author="Master Repository Process" w:date="2022-05-27T14:27:00Z"/>
        </w:rPr>
      </w:pPr>
      <w:bookmarkStart w:id="5725" w:name="_Toc104291284"/>
      <w:ins w:id="5726" w:author="Master Repository Process" w:date="2022-05-27T14:27:00Z">
        <w:r>
          <w:rPr>
            <w:rStyle w:val="CharSectno"/>
          </w:rPr>
          <w:t>265</w:t>
        </w:r>
        <w:r>
          <w:t>.</w:t>
        </w:r>
        <w:r>
          <w:tab/>
          <w:t>Revocation of exemption by Commissioner</w:t>
        </w:r>
        <w:bookmarkEnd w:id="5725"/>
      </w:ins>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 xml:space="preserve">for a purpose of avoiding or reducing </w:t>
      </w:r>
      <w:ins w:id="5727" w:author="Master Repository Process" w:date="2022-05-27T14:27:00Z">
        <w:r>
          <w:t xml:space="preserve">any liability of a person for </w:t>
        </w:r>
      </w:ins>
      <w:r>
        <w:t>duty</w:t>
      </w:r>
      <w:del w:id="5728" w:author="Master Repository Process" w:date="2022-05-27T14:27:00Z">
        <w:r>
          <w:delText xml:space="preserve"> on a transaction, transfer of licence</w:delText>
        </w:r>
      </w:del>
      <w:ins w:id="5729" w:author="Master Repository Process" w:date="2022-05-27T14:27:00Z">
        <w:r>
          <w:t>;</w:t>
        </w:r>
      </w:ins>
      <w:r>
        <w:t xml:space="preserve"> or</w:t>
      </w:r>
      <w:del w:id="5730" w:author="Master Repository Process" w:date="2022-05-27T14:27:00Z">
        <w:r>
          <w:delText xml:space="preserve"> acquisition; or</w:delText>
        </w:r>
      </w:del>
    </w:p>
    <w:p>
      <w:pPr>
        <w:pStyle w:val="Indenta"/>
      </w:pPr>
      <w:r>
        <w:tab/>
        <w:t>(b)</w:t>
      </w:r>
      <w:r>
        <w:tab/>
        <w:t xml:space="preserve">for the sole or dominant purpose of avoiding or reducing </w:t>
      </w:r>
      <w:ins w:id="5731" w:author="Master Repository Process" w:date="2022-05-27T14:27:00Z">
        <w:r>
          <w:t xml:space="preserve">any liability of a person for </w:t>
        </w:r>
      </w:ins>
      <w:r>
        <w:t>tax other than duty,</w:t>
      </w:r>
    </w:p>
    <w:p>
      <w:pPr>
        <w:pStyle w:val="Subsection"/>
      </w:pPr>
      <w:r>
        <w:tab/>
      </w:r>
      <w:r>
        <w:tab/>
        <w:t>the Commissioner may revoke the exemption for the transaction.</w:t>
      </w:r>
    </w:p>
    <w:p>
      <w:pPr>
        <w:pStyle w:val="Footnotesection"/>
        <w:keepLines w:val="0"/>
        <w:spacing w:before="80"/>
        <w:ind w:left="890" w:hanging="890"/>
        <w:rPr>
          <w:ins w:id="5732" w:author="Master Repository Process" w:date="2022-05-27T14:27:00Z"/>
        </w:rPr>
      </w:pPr>
      <w:ins w:id="5733" w:author="Master Repository Process" w:date="2022-05-27T14:27:00Z">
        <w:r>
          <w:tab/>
          <w:t>[Section 265 amended: No. 12 of 2019 s. 126.]</w:t>
        </w:r>
      </w:ins>
    </w:p>
    <w:p>
      <w:pPr>
        <w:pStyle w:val="Heading5"/>
      </w:pPr>
      <w:bookmarkStart w:id="5734" w:name="_Toc104291285"/>
      <w:bookmarkStart w:id="5735" w:name="_Toc531859610"/>
      <w:r>
        <w:rPr>
          <w:rStyle w:val="CharSectno"/>
        </w:rPr>
        <w:t>266</w:t>
      </w:r>
      <w:r>
        <w:t>.</w:t>
      </w:r>
      <w:r>
        <w:tab/>
        <w:t>Liability for duty and tax if exemption revoked</w:t>
      </w:r>
      <w:bookmarkEnd w:id="5734"/>
      <w:bookmarkEnd w:id="5735"/>
    </w:p>
    <w:p>
      <w:pPr>
        <w:pStyle w:val="Subsection"/>
      </w:pPr>
      <w:r>
        <w:tab/>
        <w:t>(1)</w:t>
      </w:r>
      <w:r>
        <w:tab/>
      </w:r>
      <w:del w:id="5736" w:author="Master Repository Process" w:date="2022-05-27T14:27:00Z">
        <w:r>
          <w:delText xml:space="preserve">On revoking an </w:delText>
        </w:r>
      </w:del>
      <w:ins w:id="5737" w:author="Master Repository Process" w:date="2022-05-27T14:27:00Z">
        <w:r>
          <w:t xml:space="preserve">If the </w:t>
        </w:r>
      </w:ins>
      <w:r>
        <w:t xml:space="preserve">exemption for a relevant transaction </w:t>
      </w:r>
      <w:ins w:id="5738" w:author="Master Repository Process" w:date="2022-05-27T14:27:00Z">
        <w:r>
          <w:t xml:space="preserve">is revoked under section 264A or 265, </w:t>
        </w:r>
      </w:ins>
      <w:r>
        <w:t>the Commissioner must make an official assessment for the transaction.</w:t>
      </w:r>
    </w:p>
    <w:p>
      <w:pPr>
        <w:pStyle w:val="Subsection"/>
        <w:rPr>
          <w:ins w:id="5739" w:author="Master Repository Process" w:date="2022-05-27T14:27:00Z"/>
        </w:rPr>
      </w:pPr>
      <w:ins w:id="5740" w:author="Master Repository Process" w:date="2022-05-27T14:27:00Z">
        <w:r>
          <w:tab/>
          <w:t>(1A)</w:t>
        </w:r>
        <w:r>
          <w:tab/>
          <w:t xml:space="preserve">If the exemption is revoked under section 264A, the official assessment — </w:t>
        </w:r>
      </w:ins>
    </w:p>
    <w:p>
      <w:pPr>
        <w:pStyle w:val="Indenta"/>
        <w:rPr>
          <w:ins w:id="5741" w:author="Master Repository Process" w:date="2022-05-27T14:27:00Z"/>
        </w:rPr>
      </w:pPr>
      <w:ins w:id="5742" w:author="Master Repository Process" w:date="2022-05-27T14:27:00Z">
        <w:r>
          <w:tab/>
          <w:t>(a)</w:t>
        </w:r>
        <w:r>
          <w:tab/>
          <w:t>must determine the amount of duty payable on the relevant transaction as at the date of the transaction (subject to any reduction that applies under section 266A or 266B); and</w:t>
        </w:r>
      </w:ins>
    </w:p>
    <w:p>
      <w:pPr>
        <w:pStyle w:val="Indenta"/>
        <w:rPr>
          <w:ins w:id="5743" w:author="Master Repository Process" w:date="2022-05-27T14:27:00Z"/>
        </w:rPr>
      </w:pPr>
      <w:ins w:id="5744" w:author="Master Repository Process" w:date="2022-05-27T14:27:00Z">
        <w:r>
          <w:tab/>
          <w:t>(b)</w:t>
        </w:r>
        <w:r>
          <w:tab/>
          <w:t>may include penalty tax equal to the amount of that duty.</w:t>
        </w:r>
      </w:ins>
    </w:p>
    <w:p>
      <w:pPr>
        <w:pStyle w:val="Subsection"/>
      </w:pPr>
      <w:r>
        <w:tab/>
        <w:t>(2)</w:t>
      </w:r>
      <w:r>
        <w:tab/>
      </w:r>
      <w:del w:id="5745" w:author="Master Repository Process" w:date="2022-05-27T14:27:00Z">
        <w:r>
          <w:delText>The</w:delText>
        </w:r>
      </w:del>
      <w:ins w:id="5746" w:author="Master Repository Process" w:date="2022-05-27T14:27:00Z">
        <w:r>
          <w:t>If the exemption is revoked under section 265, the</w:t>
        </w:r>
      </w:ins>
      <w:r>
        <w:t xml:space="preserv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Subsection"/>
        <w:rPr>
          <w:ins w:id="5747" w:author="Master Repository Process" w:date="2022-05-27T14:27:00Z"/>
        </w:rPr>
      </w:pPr>
      <w:ins w:id="5748" w:author="Master Repository Process" w:date="2022-05-27T14:27:00Z">
        <w:r>
          <w:tab/>
          <w:t>(6)</w:t>
        </w:r>
        <w:r>
          <w:tab/>
          <w:t xml:space="preserve">Despite the Taxation Administration Act section 17, if an exemption for a relevant transaction is revoked under section 264A on the occurrence of a notifiable event, the Commissioner may make a reassessment in relation to the transaction at any time before the later of — </w:t>
        </w:r>
      </w:ins>
    </w:p>
    <w:p>
      <w:pPr>
        <w:pStyle w:val="Indenta"/>
        <w:rPr>
          <w:ins w:id="5749" w:author="Master Repository Process" w:date="2022-05-27T14:27:00Z"/>
        </w:rPr>
      </w:pPr>
      <w:ins w:id="5750" w:author="Master Repository Process" w:date="2022-05-27T14:27:00Z">
        <w:r>
          <w:tab/>
          <w:t>(a)</w:t>
        </w:r>
        <w:r>
          <w:tab/>
          <w:t>the day that is 5 years after the day on which the Commissioner made a reassessment under section 263(2), or issued a certificate or made an assessment under section 263(3), in relation to the transaction (whichever is relevant); or</w:t>
        </w:r>
      </w:ins>
    </w:p>
    <w:p>
      <w:pPr>
        <w:pStyle w:val="Indenta"/>
        <w:rPr>
          <w:ins w:id="5751" w:author="Master Repository Process" w:date="2022-05-27T14:27:00Z"/>
        </w:rPr>
      </w:pPr>
      <w:ins w:id="5752" w:author="Master Repository Process" w:date="2022-05-27T14:27:00Z">
        <w:r>
          <w:tab/>
          <w:t>(b)</w:t>
        </w:r>
        <w:r>
          <w:tab/>
          <w:t>the day that is 12 months after the day on which notice of the notifiable event was lodged under section 264(4).</w:t>
        </w:r>
      </w:ins>
    </w:p>
    <w:p>
      <w:pPr>
        <w:pStyle w:val="Footnotesection"/>
        <w:keepLines w:val="0"/>
        <w:spacing w:before="80"/>
        <w:ind w:left="890" w:hanging="890"/>
        <w:rPr>
          <w:ins w:id="5753" w:author="Master Repository Process" w:date="2022-05-27T14:27:00Z"/>
        </w:rPr>
      </w:pPr>
      <w:ins w:id="5754" w:author="Master Repository Process" w:date="2022-05-27T14:27:00Z">
        <w:r>
          <w:tab/>
          <w:t>[Section 266 amended: No. 12 of 2019 s. 127.]</w:t>
        </w:r>
      </w:ins>
    </w:p>
    <w:p>
      <w:pPr>
        <w:pStyle w:val="Heading5"/>
        <w:rPr>
          <w:ins w:id="5755" w:author="Master Repository Process" w:date="2022-05-27T14:27:00Z"/>
        </w:rPr>
      </w:pPr>
      <w:bookmarkStart w:id="5756" w:name="_Toc104291286"/>
      <w:ins w:id="5757" w:author="Master Repository Process" w:date="2022-05-27T14:27:00Z">
        <w:r>
          <w:rPr>
            <w:rStyle w:val="CharSectno"/>
          </w:rPr>
          <w:t>266A</w:t>
        </w:r>
        <w:r>
          <w:t>.</w:t>
        </w:r>
        <w:r>
          <w:tab/>
          <w:t>Reduction of duty following automatic revocation or refusal of exemption</w:t>
        </w:r>
        <w:bookmarkEnd w:id="5756"/>
      </w:ins>
    </w:p>
    <w:p>
      <w:pPr>
        <w:pStyle w:val="Subsection"/>
        <w:rPr>
          <w:ins w:id="5758" w:author="Master Repository Process" w:date="2022-05-27T14:27:00Z"/>
        </w:rPr>
      </w:pPr>
      <w:ins w:id="5759" w:author="Master Repository Process" w:date="2022-05-27T14:27:00Z">
        <w:r>
          <w:tab/>
          <w:t>(1)</w:t>
        </w:r>
        <w:r>
          <w:tab/>
          <w:t xml:space="preserve">The duty to be assessed on a relevant reconstruction transaction is to be reduced in accordance with subsection (2) if — </w:t>
        </w:r>
      </w:ins>
    </w:p>
    <w:p>
      <w:pPr>
        <w:pStyle w:val="Indenta"/>
        <w:rPr>
          <w:ins w:id="5760" w:author="Master Repository Process" w:date="2022-05-27T14:27:00Z"/>
        </w:rPr>
      </w:pPr>
      <w:ins w:id="5761" w:author="Master Repository Process" w:date="2022-05-27T14:27:00Z">
        <w:r>
          <w:tab/>
          <w:t>(a)</w:t>
        </w:r>
        <w:r>
          <w:tab/>
          <w:t xml:space="preserve">either of the following occurs — </w:t>
        </w:r>
      </w:ins>
    </w:p>
    <w:p>
      <w:pPr>
        <w:pStyle w:val="Indenti"/>
        <w:rPr>
          <w:ins w:id="5762" w:author="Master Repository Process" w:date="2022-05-27T14:27:00Z"/>
        </w:rPr>
      </w:pPr>
      <w:ins w:id="5763" w:author="Master Repository Process" w:date="2022-05-27T14:27:00Z">
        <w:r>
          <w:tab/>
          <w:t>(i)</w:t>
        </w:r>
        <w:r>
          <w:tab/>
          <w:t>an exemption is granted for a relevant reconstruction transaction but the exemption is revoked under section 264A on the occurrence of a notifiable event;</w:t>
        </w:r>
      </w:ins>
    </w:p>
    <w:p>
      <w:pPr>
        <w:pStyle w:val="Indenti"/>
        <w:rPr>
          <w:ins w:id="5764" w:author="Master Repository Process" w:date="2022-05-27T14:27:00Z"/>
        </w:rPr>
      </w:pPr>
      <w:ins w:id="5765" w:author="Master Repository Process" w:date="2022-05-27T14:27:00Z">
        <w:r>
          <w:tab/>
          <w:t>(ii)</w:t>
        </w:r>
        <w:r>
          <w:tab/>
          <w:t>an exemption application is made in accordance with section 262 for a relevant reconstruction transaction and the exemption would have been granted but for the application of section 263(4)(b) because of the occurrence of a notifiable event;</w:t>
        </w:r>
      </w:ins>
    </w:p>
    <w:p>
      <w:pPr>
        <w:pStyle w:val="Indenta"/>
        <w:rPr>
          <w:ins w:id="5766" w:author="Master Repository Process" w:date="2022-05-27T14:27:00Z"/>
        </w:rPr>
      </w:pPr>
      <w:ins w:id="5767" w:author="Master Repository Process" w:date="2022-05-27T14:27:00Z">
        <w:r>
          <w:tab/>
        </w:r>
        <w:r>
          <w:tab/>
          <w:t>and</w:t>
        </w:r>
      </w:ins>
    </w:p>
    <w:p>
      <w:pPr>
        <w:pStyle w:val="Indenta"/>
        <w:rPr>
          <w:ins w:id="5768" w:author="Master Repository Process" w:date="2022-05-27T14:27:00Z"/>
        </w:rPr>
      </w:pPr>
      <w:ins w:id="5769" w:author="Master Repository Process" w:date="2022-05-27T14:27:00Z">
        <w:r>
          <w:tab/>
          <w:t>(b)</w:t>
        </w:r>
        <w:r>
          <w:tab/>
          <w:t xml:space="preserve">at the time of the notifiable event, only part of the property referred to in section 264A(2) to which the relevant reconstruction transaction relates is held by, or on trust for, the member of the transaction group referred to in whichever of section 264(2)(b)(i) or (ii) applies (the </w:t>
        </w:r>
        <w:r>
          <w:rPr>
            <w:rStyle w:val="CharDefText"/>
          </w:rPr>
          <w:t>relevant entity</w:t>
        </w:r>
        <w:r>
          <w:t>).</w:t>
        </w:r>
      </w:ins>
    </w:p>
    <w:p>
      <w:pPr>
        <w:pStyle w:val="Subsection"/>
        <w:rPr>
          <w:ins w:id="5770" w:author="Master Repository Process" w:date="2022-05-27T14:27:00Z"/>
        </w:rPr>
      </w:pPr>
      <w:ins w:id="5771" w:author="Master Repository Process" w:date="2022-05-27T14:27:00Z">
        <w:r>
          <w:tab/>
          <w:t>(2)</w:t>
        </w:r>
        <w:r>
          <w:tab/>
          <w:t>Duty is chargeable on the relevant reconstruction transaction only to the extent that the transaction relates to the part of the property referred to in section 264A(2) that is held by, or on trust for, the relevant entity at the time of the notifiable event.</w:t>
        </w:r>
      </w:ins>
    </w:p>
    <w:p>
      <w:pPr>
        <w:pStyle w:val="Subsection"/>
        <w:rPr>
          <w:ins w:id="5772" w:author="Master Repository Process" w:date="2022-05-27T14:27:00Z"/>
        </w:rPr>
      </w:pPr>
      <w:ins w:id="5773" w:author="Master Repository Process" w:date="2022-05-27T14:27:00Z">
        <w:r>
          <w:tab/>
          <w:t>(3)</w:t>
        </w:r>
        <w:r>
          <w:tab/>
          <w:t>This section applies whether or not there has been a change in the legal description of the property referred to in section 264A(2) between the relevant reconstruction transaction and the notifiable event.</w:t>
        </w:r>
      </w:ins>
    </w:p>
    <w:p>
      <w:pPr>
        <w:pStyle w:val="PermNoteHeading"/>
        <w:rPr>
          <w:ins w:id="5774" w:author="Master Repository Process" w:date="2022-05-27T14:27:00Z"/>
        </w:rPr>
      </w:pPr>
      <w:ins w:id="5775" w:author="Master Repository Process" w:date="2022-05-27T14:27:00Z">
        <w:r>
          <w:tab/>
          <w:t>Note for this subsection:</w:t>
        </w:r>
      </w:ins>
    </w:p>
    <w:p>
      <w:pPr>
        <w:pStyle w:val="PermNoteText"/>
        <w:rPr>
          <w:ins w:id="5776" w:author="Master Repository Process" w:date="2022-05-27T14:27:00Z"/>
        </w:rPr>
      </w:pPr>
      <w:ins w:id="5777" w:author="Master Repository Process" w:date="2022-05-27T14:27:00Z">
        <w:r>
          <w:tab/>
        </w:r>
        <w:r>
          <w:tab/>
          <w:t>For example, a change in the legal description of property when a new certificate of title is registered following a subdivision of land.</w:t>
        </w:r>
      </w:ins>
    </w:p>
    <w:p>
      <w:pPr>
        <w:pStyle w:val="Footnotesection"/>
        <w:keepLines w:val="0"/>
        <w:spacing w:before="80"/>
        <w:ind w:left="890" w:hanging="890"/>
        <w:rPr>
          <w:ins w:id="5778" w:author="Master Repository Process" w:date="2022-05-27T14:27:00Z"/>
        </w:rPr>
      </w:pPr>
      <w:ins w:id="5779" w:author="Master Repository Process" w:date="2022-05-27T14:27:00Z">
        <w:r>
          <w:tab/>
          <w:t>[Section 266A inserted: No. 12 of 2019 s. 128.]</w:t>
        </w:r>
      </w:ins>
    </w:p>
    <w:p>
      <w:pPr>
        <w:pStyle w:val="Heading5"/>
        <w:rPr>
          <w:ins w:id="5780" w:author="Master Repository Process" w:date="2022-05-27T14:27:00Z"/>
        </w:rPr>
      </w:pPr>
      <w:bookmarkStart w:id="5781" w:name="_Toc104291287"/>
      <w:ins w:id="5782" w:author="Master Repository Process" w:date="2022-05-27T14:27:00Z">
        <w:r>
          <w:rPr>
            <w:rStyle w:val="CharSectno"/>
          </w:rPr>
          <w:t>266B</w:t>
        </w:r>
        <w:r>
          <w:t>.</w:t>
        </w:r>
        <w:r>
          <w:tab/>
          <w:t>Reduction of duty following automatic revocation or refusal of exemption resulting from relevant acquisition</w:t>
        </w:r>
        <w:bookmarkEnd w:id="5781"/>
      </w:ins>
    </w:p>
    <w:p>
      <w:pPr>
        <w:pStyle w:val="Subsection"/>
        <w:rPr>
          <w:ins w:id="5783" w:author="Master Repository Process" w:date="2022-05-27T14:27:00Z"/>
        </w:rPr>
      </w:pPr>
      <w:ins w:id="5784" w:author="Master Repository Process" w:date="2022-05-27T14:27:00Z">
        <w:r>
          <w:tab/>
          <w:t>(1)</w:t>
        </w:r>
        <w:r>
          <w:tab/>
          <w:t xml:space="preserve">In this section — </w:t>
        </w:r>
      </w:ins>
    </w:p>
    <w:p>
      <w:pPr>
        <w:pStyle w:val="Defstart"/>
        <w:rPr>
          <w:ins w:id="5785" w:author="Master Repository Process" w:date="2022-05-27T14:27:00Z"/>
        </w:rPr>
      </w:pPr>
      <w:ins w:id="5786" w:author="Master Repository Process" w:date="2022-05-27T14:27:00Z">
        <w:r>
          <w:tab/>
        </w:r>
        <w:r>
          <w:rPr>
            <w:rStyle w:val="CharDefText"/>
          </w:rPr>
          <w:t>property</w:t>
        </w:r>
        <w:r>
          <w:t xml:space="preserve"> means land assets (as defined in section 148(1)), or chattels, or both;</w:t>
        </w:r>
      </w:ins>
    </w:p>
    <w:p>
      <w:pPr>
        <w:pStyle w:val="Defstart"/>
        <w:rPr>
          <w:ins w:id="5787" w:author="Master Repository Process" w:date="2022-05-27T14:27:00Z"/>
        </w:rPr>
      </w:pPr>
      <w:ins w:id="5788" w:author="Master Repository Process" w:date="2022-05-27T14:27:00Z">
        <w:r>
          <w:tab/>
        </w:r>
        <w:r>
          <w:rPr>
            <w:rStyle w:val="CharDefText"/>
          </w:rPr>
          <w:t>relevant acquisition</w:t>
        </w:r>
        <w:r>
          <w:t xml:space="preserve"> has the meaning given in section 148(1).</w:t>
        </w:r>
      </w:ins>
    </w:p>
    <w:p>
      <w:pPr>
        <w:pStyle w:val="Subsection"/>
        <w:rPr>
          <w:ins w:id="5789" w:author="Master Repository Process" w:date="2022-05-27T14:27:00Z"/>
        </w:rPr>
      </w:pPr>
      <w:ins w:id="5790" w:author="Master Repository Process" w:date="2022-05-27T14:27:00Z">
        <w:r>
          <w:tab/>
          <w:t>(2)</w:t>
        </w:r>
        <w:r>
          <w:tab/>
          <w:t xml:space="preserve">The duty assessed on a relevant reconstruction transaction is to be reduced in accordance with subsection (3) if — </w:t>
        </w:r>
      </w:ins>
    </w:p>
    <w:p>
      <w:pPr>
        <w:pStyle w:val="Indenta"/>
        <w:rPr>
          <w:ins w:id="5791" w:author="Master Repository Process" w:date="2022-05-27T14:27:00Z"/>
        </w:rPr>
      </w:pPr>
      <w:ins w:id="5792" w:author="Master Repository Process" w:date="2022-05-27T14:27:00Z">
        <w:r>
          <w:tab/>
          <w:t>(a)</w:t>
        </w:r>
        <w:r>
          <w:tab/>
          <w:t xml:space="preserve">either of the following occurs — </w:t>
        </w:r>
      </w:ins>
    </w:p>
    <w:p>
      <w:pPr>
        <w:pStyle w:val="Indenti"/>
        <w:rPr>
          <w:ins w:id="5793" w:author="Master Repository Process" w:date="2022-05-27T14:27:00Z"/>
        </w:rPr>
      </w:pPr>
      <w:ins w:id="5794" w:author="Master Repository Process" w:date="2022-05-27T14:27:00Z">
        <w:r>
          <w:tab/>
          <w:t>(i)</w:t>
        </w:r>
        <w:r>
          <w:tab/>
          <w:t>an exemption is granted for the relevant reconstruction transaction but the exemption is revoked under section 264A on the occurrence of a notifiable event;</w:t>
        </w:r>
      </w:ins>
    </w:p>
    <w:p>
      <w:pPr>
        <w:pStyle w:val="Indenti"/>
        <w:rPr>
          <w:ins w:id="5795" w:author="Master Repository Process" w:date="2022-05-27T14:27:00Z"/>
        </w:rPr>
      </w:pPr>
      <w:ins w:id="5796" w:author="Master Repository Process" w:date="2022-05-27T14:27:00Z">
        <w:r>
          <w:tab/>
          <w:t>(ii)</w:t>
        </w:r>
        <w:r>
          <w:tab/>
          <w:t>an exemption application is made in accordance with section 262 for the relevant reconstruction transaction and the exemption would have been granted but for the application of section 263(4)(b) because of the occurrence of a notifiable event;</w:t>
        </w:r>
      </w:ins>
    </w:p>
    <w:p>
      <w:pPr>
        <w:pStyle w:val="Indenta"/>
        <w:rPr>
          <w:ins w:id="5797" w:author="Master Repository Process" w:date="2022-05-27T14:27:00Z"/>
        </w:rPr>
      </w:pPr>
      <w:ins w:id="5798" w:author="Master Repository Process" w:date="2022-05-27T14:27:00Z">
        <w:r>
          <w:tab/>
        </w:r>
        <w:r>
          <w:tab/>
          <w:t>and</w:t>
        </w:r>
      </w:ins>
    </w:p>
    <w:p>
      <w:pPr>
        <w:pStyle w:val="Indenta"/>
        <w:rPr>
          <w:ins w:id="5799" w:author="Master Repository Process" w:date="2022-05-27T14:27:00Z"/>
        </w:rPr>
      </w:pPr>
      <w:ins w:id="5800" w:author="Master Repository Process" w:date="2022-05-27T14:27:00Z">
        <w:r>
          <w:tab/>
          <w:t>(b)</w:t>
        </w:r>
        <w:r>
          <w:tab/>
          <w:t xml:space="preserve">the notifiable event results from a relevant acquisition (the </w:t>
        </w:r>
        <w:r>
          <w:rPr>
            <w:rStyle w:val="CharDefText"/>
          </w:rPr>
          <w:t>triggering acquisition</w:t>
        </w:r>
        <w:r>
          <w:t>) on which landholder duty is chargeable; and</w:t>
        </w:r>
      </w:ins>
    </w:p>
    <w:p>
      <w:pPr>
        <w:pStyle w:val="Indenta"/>
        <w:rPr>
          <w:ins w:id="5801" w:author="Master Repository Process" w:date="2022-05-27T14:27:00Z"/>
        </w:rPr>
      </w:pPr>
      <w:ins w:id="5802" w:author="Master Repository Process" w:date="2022-05-27T14:27:00Z">
        <w:r>
          <w:tab/>
          <w:t>(c)</w:t>
        </w:r>
        <w:r>
          <w:tab/>
          <w:t xml:space="preserve">transfer duty or landholder duty is chargeable on the relevant reconstruction transaction in relation to particular property (the </w:t>
        </w:r>
        <w:r>
          <w:rPr>
            <w:rStyle w:val="CharDefText"/>
          </w:rPr>
          <w:t>relevant reconstruction transaction property</w:t>
        </w:r>
        <w:r>
          <w:t>); and</w:t>
        </w:r>
      </w:ins>
    </w:p>
    <w:p>
      <w:pPr>
        <w:pStyle w:val="Indenta"/>
        <w:rPr>
          <w:ins w:id="5803" w:author="Master Repository Process" w:date="2022-05-27T14:27:00Z"/>
        </w:rPr>
      </w:pPr>
      <w:ins w:id="5804" w:author="Master Repository Process" w:date="2022-05-27T14:27:00Z">
        <w:r>
          <w:tab/>
          <w:t>(d)</w:t>
        </w:r>
        <w:r>
          <w:tab/>
          <w:t xml:space="preserve">landholder duty is chargeable on the triggering acquisition in relation to particular property (the </w:t>
        </w:r>
        <w:r>
          <w:rPr>
            <w:rStyle w:val="CharDefText"/>
          </w:rPr>
          <w:t>triggering acquisition property</w:t>
        </w:r>
        <w:r>
          <w:t>); and</w:t>
        </w:r>
      </w:ins>
    </w:p>
    <w:p>
      <w:pPr>
        <w:pStyle w:val="Indenta"/>
        <w:rPr>
          <w:ins w:id="5805" w:author="Master Repository Process" w:date="2022-05-27T14:27:00Z"/>
        </w:rPr>
      </w:pPr>
      <w:ins w:id="5806" w:author="Master Repository Process" w:date="2022-05-27T14:27:00Z">
        <w:r>
          <w:tab/>
          <w:t>(e)</w:t>
        </w:r>
        <w:r>
          <w:tab/>
          <w:t>the triggering acquisition property is or includes the relevant reconstruction transaction property or part of the relevant reconstruction transaction property.</w:t>
        </w:r>
      </w:ins>
    </w:p>
    <w:p>
      <w:pPr>
        <w:pStyle w:val="PermNoteHeading"/>
        <w:rPr>
          <w:ins w:id="5807" w:author="Master Repository Process" w:date="2022-05-27T14:27:00Z"/>
        </w:rPr>
      </w:pPr>
      <w:ins w:id="5808" w:author="Master Repository Process" w:date="2022-05-27T14:27:00Z">
        <w:r>
          <w:tab/>
          <w:t>Note for this subsection:</w:t>
        </w:r>
      </w:ins>
    </w:p>
    <w:p>
      <w:pPr>
        <w:pStyle w:val="PermNoteText"/>
        <w:rPr>
          <w:ins w:id="5809" w:author="Master Repository Process" w:date="2022-05-27T14:27:00Z"/>
        </w:rPr>
      </w:pPr>
      <w:ins w:id="5810" w:author="Master Repository Process" w:date="2022-05-27T14:27:00Z">
        <w:r>
          <w:tab/>
        </w:r>
        <w:r>
          <w:tab/>
          <w:t>Section 266C provides for the property in relation to which landholder duty is taken to be chargeable for the purposes of this section.</w:t>
        </w:r>
      </w:ins>
    </w:p>
    <w:p>
      <w:pPr>
        <w:pStyle w:val="Subsection"/>
        <w:rPr>
          <w:ins w:id="5811" w:author="Master Repository Process" w:date="2022-05-27T14:27:00Z"/>
        </w:rPr>
      </w:pPr>
      <w:ins w:id="5812" w:author="Master Repository Process" w:date="2022-05-27T14:27:00Z">
        <w:r>
          <w:tab/>
          <w:t>(3)</w:t>
        </w:r>
        <w:r>
          <w:tab/>
          <w:t xml:space="preserve">The duty assessed in respect of the relevant reconstruction transaction is to be reduced by the lesser of — </w:t>
        </w:r>
      </w:ins>
    </w:p>
    <w:p>
      <w:pPr>
        <w:pStyle w:val="Indenta"/>
        <w:rPr>
          <w:ins w:id="5813" w:author="Master Repository Process" w:date="2022-05-27T14:27:00Z"/>
        </w:rPr>
      </w:pPr>
      <w:ins w:id="5814" w:author="Master Repository Process" w:date="2022-05-27T14:27:00Z">
        <w:r>
          <w:tab/>
          <w:t>(a)</w:t>
        </w:r>
        <w:r>
          <w:tab/>
          <w:t>the amount of transfer duty or landholder duty that is chargeable on the relevant reconstruction transaction, to the extent that the duty is chargeable in relation to relevant property; or</w:t>
        </w:r>
      </w:ins>
    </w:p>
    <w:p>
      <w:pPr>
        <w:pStyle w:val="Indenta"/>
        <w:rPr>
          <w:ins w:id="5815" w:author="Master Repository Process" w:date="2022-05-27T14:27:00Z"/>
        </w:rPr>
      </w:pPr>
      <w:ins w:id="5816" w:author="Master Repository Process" w:date="2022-05-27T14:27:00Z">
        <w:r>
          <w:tab/>
          <w:t>(b)</w:t>
        </w:r>
        <w:r>
          <w:tab/>
          <w:t>the amount of landholder duty that is chargeable on the triggering acquisition, to the extent that the duty is chargeable in relation to relevant property.</w:t>
        </w:r>
      </w:ins>
    </w:p>
    <w:p>
      <w:pPr>
        <w:pStyle w:val="Subsection"/>
        <w:rPr>
          <w:ins w:id="5817" w:author="Master Repository Process" w:date="2022-05-27T14:27:00Z"/>
        </w:rPr>
      </w:pPr>
      <w:ins w:id="5818" w:author="Master Repository Process" w:date="2022-05-27T14:27:00Z">
        <w:r>
          <w:tab/>
          <w:t>(4)</w:t>
        </w:r>
        <w:r>
          <w:tab/>
          <w:t>For the purposes of subsection (3), relevant property is property that is both triggering acquisition property and relevant reconstruction transaction property, whether or not there has been a change in the legal description of the property between the relevant reconstruction transaction and the triggering acquisition.</w:t>
        </w:r>
      </w:ins>
    </w:p>
    <w:p>
      <w:pPr>
        <w:pStyle w:val="PermNoteHeading"/>
        <w:rPr>
          <w:ins w:id="5819" w:author="Master Repository Process" w:date="2022-05-27T14:27:00Z"/>
        </w:rPr>
      </w:pPr>
      <w:ins w:id="5820" w:author="Master Repository Process" w:date="2022-05-27T14:27:00Z">
        <w:r>
          <w:tab/>
          <w:t>Note for this subsection:</w:t>
        </w:r>
      </w:ins>
    </w:p>
    <w:p>
      <w:pPr>
        <w:pStyle w:val="PermNoteText"/>
        <w:rPr>
          <w:ins w:id="5821" w:author="Master Repository Process" w:date="2022-05-27T14:27:00Z"/>
        </w:rPr>
      </w:pPr>
      <w:ins w:id="5822" w:author="Master Repository Process" w:date="2022-05-27T14:27:00Z">
        <w:r>
          <w:tab/>
        </w:r>
        <w:r>
          <w:tab/>
          <w:t>For example, a change in the legal description of property when a new certificate of title is registered following a subdivision of land.</w:t>
        </w:r>
      </w:ins>
    </w:p>
    <w:p>
      <w:pPr>
        <w:pStyle w:val="Subsection"/>
        <w:rPr>
          <w:ins w:id="5823" w:author="Master Repository Process" w:date="2022-05-27T14:27:00Z"/>
        </w:rPr>
      </w:pPr>
      <w:ins w:id="5824" w:author="Master Repository Process" w:date="2022-05-27T14:27:00Z">
        <w:r>
          <w:tab/>
          <w:t>(5)</w:t>
        </w:r>
        <w:r>
          <w:tab/>
          <w:t>If the relevant reconstruction transaction property is or includes an interest in particular property, and the triggering acquisition property is or includes a different interest in the same property, property is relevant property for the purposes of subsection (3) only to the extent of the lesser of the 2 interests.</w:t>
        </w:r>
      </w:ins>
    </w:p>
    <w:p>
      <w:pPr>
        <w:pStyle w:val="Footnotesection"/>
        <w:keepLines w:val="0"/>
        <w:spacing w:before="80"/>
        <w:ind w:left="890" w:hanging="890"/>
        <w:rPr>
          <w:ins w:id="5825" w:author="Master Repository Process" w:date="2022-05-27T14:27:00Z"/>
        </w:rPr>
      </w:pPr>
      <w:ins w:id="5826" w:author="Master Repository Process" w:date="2022-05-27T14:27:00Z">
        <w:r>
          <w:tab/>
          <w:t>[Section 266B inserted: No. 12 of 2019 s. 128.]</w:t>
        </w:r>
      </w:ins>
    </w:p>
    <w:p>
      <w:pPr>
        <w:pStyle w:val="Heading5"/>
        <w:rPr>
          <w:ins w:id="5827" w:author="Master Repository Process" w:date="2022-05-27T14:27:00Z"/>
        </w:rPr>
      </w:pPr>
      <w:bookmarkStart w:id="5828" w:name="_Toc104291288"/>
      <w:ins w:id="5829" w:author="Master Repository Process" w:date="2022-05-27T14:27:00Z">
        <w:r>
          <w:rPr>
            <w:rStyle w:val="CharSectno"/>
          </w:rPr>
          <w:t>266C</w:t>
        </w:r>
        <w:r>
          <w:t>.</w:t>
        </w:r>
        <w:r>
          <w:tab/>
          <w:t>Property in relation to which landholder duty taken to be chargeable for s. 266B</w:t>
        </w:r>
        <w:bookmarkEnd w:id="5828"/>
      </w:ins>
    </w:p>
    <w:p>
      <w:pPr>
        <w:pStyle w:val="Subsection"/>
        <w:rPr>
          <w:ins w:id="5830" w:author="Master Repository Process" w:date="2022-05-27T14:27:00Z"/>
        </w:rPr>
      </w:pPr>
      <w:ins w:id="5831" w:author="Master Repository Process" w:date="2022-05-27T14:27:00Z">
        <w:r>
          <w:tab/>
          <w:t>(1)</w:t>
        </w:r>
        <w:r>
          <w:tab/>
          <w:t xml:space="preserve">In this section — </w:t>
        </w:r>
      </w:ins>
    </w:p>
    <w:p>
      <w:pPr>
        <w:pStyle w:val="Defstart"/>
        <w:rPr>
          <w:ins w:id="5832" w:author="Master Repository Process" w:date="2022-05-27T14:27:00Z"/>
        </w:rPr>
      </w:pPr>
      <w:ins w:id="5833" w:author="Master Repository Process" w:date="2022-05-27T14:27:00Z">
        <w:r>
          <w:tab/>
        </w:r>
        <w:r>
          <w:rPr>
            <w:rStyle w:val="CharDefText"/>
          </w:rPr>
          <w:t>property</w:t>
        </w:r>
        <w:r>
          <w:t xml:space="preserve"> means land assets (as defined in section 148(1)), or chattels, or both;</w:t>
        </w:r>
      </w:ins>
    </w:p>
    <w:p>
      <w:pPr>
        <w:pStyle w:val="Defstart"/>
        <w:rPr>
          <w:ins w:id="5834" w:author="Master Repository Process" w:date="2022-05-27T14:27:00Z"/>
        </w:rPr>
      </w:pPr>
      <w:ins w:id="5835" w:author="Master Repository Process" w:date="2022-05-27T14:27:00Z">
        <w:r>
          <w:tab/>
        </w:r>
        <w:r>
          <w:rPr>
            <w:rStyle w:val="CharDefText"/>
          </w:rPr>
          <w:t>relevant acquisition</w:t>
        </w:r>
        <w:r>
          <w:t xml:space="preserve"> has the meaning given in section 148(1).</w:t>
        </w:r>
      </w:ins>
    </w:p>
    <w:p>
      <w:pPr>
        <w:pStyle w:val="Subsection"/>
        <w:rPr>
          <w:ins w:id="5836" w:author="Master Repository Process" w:date="2022-05-27T14:27:00Z"/>
        </w:rPr>
      </w:pPr>
      <w:ins w:id="5837" w:author="Master Repository Process" w:date="2022-05-27T14:27:00Z">
        <w:r>
          <w:tab/>
          <w:t>(2)</w:t>
        </w:r>
        <w:r>
          <w:tab/>
          <w:t xml:space="preserve">For the purposes of section 266B, landholder duty that is chargeable on a relevant acquisition of an interest in an entity is taken to be chargeable in relation to — </w:t>
        </w:r>
      </w:ins>
    </w:p>
    <w:p>
      <w:pPr>
        <w:pStyle w:val="Indenta"/>
        <w:rPr>
          <w:ins w:id="5838" w:author="Master Repository Process" w:date="2022-05-27T14:27:00Z"/>
        </w:rPr>
      </w:pPr>
      <w:ins w:id="5839" w:author="Master Repository Process" w:date="2022-05-27T14:27:00Z">
        <w:r>
          <w:tab/>
          <w:t>(a)</w:t>
        </w:r>
        <w:r>
          <w:tab/>
          <w:t>for property of which 100% of the value is taken into account for the purposes of calculating that landholder duty — that property; and</w:t>
        </w:r>
      </w:ins>
    </w:p>
    <w:p>
      <w:pPr>
        <w:pStyle w:val="Indenta"/>
        <w:rPr>
          <w:ins w:id="5840" w:author="Master Repository Process" w:date="2022-05-27T14:27:00Z"/>
        </w:rPr>
      </w:pPr>
      <w:ins w:id="5841" w:author="Master Repository Process" w:date="2022-05-27T14:27:00Z">
        <w:r>
          <w:tab/>
          <w:t>(b)</w:t>
        </w:r>
        <w:r>
          <w:tab/>
          <w:t>for property of which a lower percentage of the value is taken into account for the purposes of calculating that landholder duty — a percentage interest in that property that is equal to the percentage taken into account for the purposes of calculating that landholder duty.</w:t>
        </w:r>
      </w:ins>
    </w:p>
    <w:p>
      <w:pPr>
        <w:pStyle w:val="Subsection"/>
        <w:rPr>
          <w:ins w:id="5842" w:author="Master Repository Process" w:date="2022-05-27T14:27:00Z"/>
        </w:rPr>
      </w:pPr>
      <w:ins w:id="5843" w:author="Master Repository Process" w:date="2022-05-27T14:27:00Z">
        <w:r>
          <w:tab/>
          <w:t>(3)</w:t>
        </w:r>
        <w:r>
          <w:tab/>
          <w:t xml:space="preserve">For the purposes of subsection (2), the percentage of the value of property that is taken into account for the purposes of calculating landholder duty is to be determined in accordance with the following formula — </w:t>
        </w:r>
      </w:ins>
    </w:p>
    <w:p>
      <w:pPr>
        <w:pStyle w:val="Equation"/>
        <w:keepNext/>
        <w:tabs>
          <w:tab w:val="left" w:pos="896"/>
        </w:tabs>
        <w:spacing w:before="120"/>
        <w:rPr>
          <w:ins w:id="5844" w:author="Master Repository Process" w:date="2022-05-27T14:27:00Z"/>
        </w:rPr>
      </w:pPr>
      <w:ins w:id="5845" w:author="Master Repository Process" w:date="2022-05-27T14:27:00Z">
        <w:r>
          <w:rPr>
            <w:iCs/>
            <w:noProof w:val="0"/>
          </w:rPr>
          <w:tab/>
        </w:r>
        <m:oMath>
          <m:r>
            <m:rPr>
              <m:sty m:val="p"/>
            </m:rPr>
            <w:rPr>
              <w:rFonts w:ascii="Cambria Math" w:hAnsi="Cambria Math"/>
            </w:rPr>
            <m:t xml:space="preserve">P × </m:t>
          </m:r>
          <m:d>
            <m:dPr>
              <m:ctrlPr>
                <w:rPr>
                  <w:rFonts w:ascii="Cambria Math" w:hAnsi="Cambria Math"/>
                  <w:noProof w:val="0"/>
                </w:rPr>
              </m:ctrlPr>
            </m:dPr>
            <m:e>
              <m:r>
                <m:rPr>
                  <m:sty m:val="p"/>
                </m:rPr>
                <w:rPr>
                  <w:rFonts w:ascii="Cambria Math" w:hAnsi="Cambria Math"/>
                </w:rPr>
                <m:t>I -E</m:t>
              </m:r>
            </m:e>
          </m:d>
        </m:oMath>
      </w:ins>
    </w:p>
    <w:p>
      <w:pPr>
        <w:pStyle w:val="Subsection"/>
        <w:rPr>
          <w:ins w:id="5846" w:author="Master Repository Process" w:date="2022-05-27T14:27:00Z"/>
        </w:rPr>
      </w:pPr>
      <w:ins w:id="5847" w:author="Master Repository Process" w:date="2022-05-27T14:27:00Z">
        <w:r>
          <w:tab/>
        </w:r>
        <w:r>
          <w:tab/>
          <w:t xml:space="preserve">where — </w:t>
        </w:r>
      </w:ins>
    </w:p>
    <w:p>
      <w:pPr>
        <w:pStyle w:val="MiscellaneousBody"/>
        <w:tabs>
          <w:tab w:val="left" w:pos="896"/>
          <w:tab w:val="left" w:pos="1134"/>
        </w:tabs>
        <w:ind w:left="1134" w:hanging="1134"/>
        <w:rPr>
          <w:ins w:id="5848" w:author="Master Repository Process" w:date="2022-05-27T14:27:00Z"/>
        </w:rPr>
      </w:pPr>
      <w:ins w:id="5849" w:author="Master Repository Process" w:date="2022-05-27T14:27:00Z">
        <w:r>
          <w:tab/>
          <w:t>P</w:t>
        </w:r>
        <w:r>
          <w:tab/>
          <w:t>is the percentage (expressed as a decimal) of the unencumbered value of that property taken into account under section 186 in determining the value of the landholder;</w:t>
        </w:r>
      </w:ins>
    </w:p>
    <w:p>
      <w:pPr>
        <w:pStyle w:val="MiscellaneousBody"/>
        <w:tabs>
          <w:tab w:val="left" w:pos="896"/>
          <w:tab w:val="left" w:pos="1134"/>
        </w:tabs>
        <w:ind w:left="1134" w:hanging="1134"/>
        <w:rPr>
          <w:ins w:id="5850" w:author="Master Repository Process" w:date="2022-05-27T14:27:00Z"/>
        </w:rPr>
      </w:pPr>
      <w:ins w:id="5851" w:author="Master Repository Process" w:date="2022-05-27T14:27:00Z">
        <w:r>
          <w:tab/>
          <w:t>I</w:t>
        </w:r>
        <w:r>
          <w:tab/>
          <w:t>is the percentage (expressed as a decimal) of the interest of the acquirer in the landholder after the relevant acquisition referred to in section 188(3);</w:t>
        </w:r>
      </w:ins>
    </w:p>
    <w:p>
      <w:pPr>
        <w:pStyle w:val="MiscellaneousBody"/>
        <w:tabs>
          <w:tab w:val="left" w:pos="896"/>
          <w:tab w:val="left" w:pos="1134"/>
        </w:tabs>
        <w:ind w:left="1134" w:hanging="1134"/>
        <w:rPr>
          <w:ins w:id="5852" w:author="Master Repository Process" w:date="2022-05-27T14:27:00Z"/>
        </w:rPr>
      </w:pPr>
      <w:ins w:id="5853" w:author="Master Repository Process" w:date="2022-05-27T14:27:00Z">
        <w:r>
          <w:tab/>
          <w:t>E</w:t>
        </w:r>
        <w:r>
          <w:tab/>
          <w:t>is the aggregate percentage (expressed as a decimal) of each excluded interest in relation to the relevant acquisition referred to in section 189.</w:t>
        </w:r>
      </w:ins>
    </w:p>
    <w:p>
      <w:pPr>
        <w:pStyle w:val="Footnotesection"/>
        <w:keepLines w:val="0"/>
        <w:spacing w:before="80"/>
        <w:ind w:left="890" w:hanging="890"/>
        <w:rPr>
          <w:ins w:id="5854" w:author="Master Repository Process" w:date="2022-05-27T14:27:00Z"/>
        </w:rPr>
      </w:pPr>
      <w:ins w:id="5855" w:author="Master Repository Process" w:date="2022-05-27T14:27:00Z">
        <w:r>
          <w:tab/>
          <w:t>[Section 266C inserted: No. 12 of 2019 s. 128.]</w:t>
        </w:r>
      </w:ins>
    </w:p>
    <w:p>
      <w:pPr>
        <w:pStyle w:val="Heading5"/>
        <w:rPr>
          <w:ins w:id="5856" w:author="Master Repository Process" w:date="2022-05-27T14:27:00Z"/>
        </w:rPr>
      </w:pPr>
      <w:bookmarkStart w:id="5857" w:name="_Toc104291289"/>
      <w:ins w:id="5858" w:author="Master Repository Process" w:date="2022-05-27T14:27:00Z">
        <w:r>
          <w:rPr>
            <w:rStyle w:val="CharSectno"/>
          </w:rPr>
          <w:t>266D</w:t>
        </w:r>
        <w:r>
          <w:t>.</w:t>
        </w:r>
        <w:r>
          <w:tab/>
          <w:t>Application of s. 266B and 266C to foreign transfer duty and foreign landholder duty</w:t>
        </w:r>
        <w:bookmarkEnd w:id="5857"/>
      </w:ins>
    </w:p>
    <w:p>
      <w:pPr>
        <w:pStyle w:val="Subsection"/>
        <w:rPr>
          <w:ins w:id="5859" w:author="Master Repository Process" w:date="2022-05-27T14:27:00Z"/>
        </w:rPr>
      </w:pPr>
      <w:ins w:id="5860" w:author="Master Repository Process" w:date="2022-05-27T14:27:00Z">
        <w:r>
          <w:tab/>
        </w:r>
        <w:r>
          <w:tab/>
          <w:t xml:space="preserve">If foreign transfer duty or foreign landholder duty is chargeable on a relevant reconstruction transaction, sections 266B and 266C apply in relation to the foreign transfer duty or foreign landholder duty chargeable on the relevant reconstruction transaction as if — </w:t>
        </w:r>
      </w:ins>
    </w:p>
    <w:p>
      <w:pPr>
        <w:pStyle w:val="Indenta"/>
        <w:rPr>
          <w:ins w:id="5861" w:author="Master Repository Process" w:date="2022-05-27T14:27:00Z"/>
        </w:rPr>
      </w:pPr>
      <w:ins w:id="5862" w:author="Master Repository Process" w:date="2022-05-27T14:27:00Z">
        <w:r>
          <w:tab/>
          <w:t>(a)</w:t>
        </w:r>
        <w:r>
          <w:tab/>
          <w:t>a reference to transfer duty were a reference to foreign transfer duty; and</w:t>
        </w:r>
      </w:ins>
    </w:p>
    <w:p>
      <w:pPr>
        <w:pStyle w:val="Indenta"/>
        <w:rPr>
          <w:ins w:id="5863" w:author="Master Repository Process" w:date="2022-05-27T14:27:00Z"/>
        </w:rPr>
      </w:pPr>
      <w:ins w:id="5864" w:author="Master Repository Process" w:date="2022-05-27T14:27:00Z">
        <w:r>
          <w:tab/>
          <w:t>(b)</w:t>
        </w:r>
        <w:r>
          <w:tab/>
          <w:t>a reference to landholder duty were a reference to foreign landholder duty; and</w:t>
        </w:r>
      </w:ins>
    </w:p>
    <w:p>
      <w:pPr>
        <w:pStyle w:val="Indenta"/>
        <w:rPr>
          <w:ins w:id="5865" w:author="Master Repository Process" w:date="2022-05-27T14:27:00Z"/>
        </w:rPr>
      </w:pPr>
      <w:ins w:id="5866" w:author="Master Repository Process" w:date="2022-05-27T14:27:00Z">
        <w:r>
          <w:tab/>
          <w:t>(c)</w:t>
        </w:r>
        <w:r>
          <w:tab/>
          <w:t>a reference to a landholder were a reference to a residential landholder (as defined in section 205ZD(1)); and</w:t>
        </w:r>
      </w:ins>
    </w:p>
    <w:p>
      <w:pPr>
        <w:pStyle w:val="Indenta"/>
        <w:rPr>
          <w:ins w:id="5867" w:author="Master Repository Process" w:date="2022-05-27T14:27:00Z"/>
        </w:rPr>
      </w:pPr>
      <w:ins w:id="5868" w:author="Master Repository Process" w:date="2022-05-27T14:27:00Z">
        <w:r>
          <w:tab/>
          <w:t>(d)</w:t>
        </w:r>
        <w:r>
          <w:tab/>
          <w:t>a reference to a relevant acquisition were a reference to a foreign landholder acquisition (as defined in section 205ZD(1)); and</w:t>
        </w:r>
      </w:ins>
    </w:p>
    <w:p>
      <w:pPr>
        <w:pStyle w:val="Indenta"/>
        <w:rPr>
          <w:ins w:id="5869" w:author="Master Repository Process" w:date="2022-05-27T14:27:00Z"/>
        </w:rPr>
      </w:pPr>
      <w:ins w:id="5870" w:author="Master Repository Process" w:date="2022-05-27T14:27:00Z">
        <w:r>
          <w:tab/>
          <w:t>(e)</w:t>
        </w:r>
        <w:r>
          <w:tab/>
          <w:t>a reference to land assets (as defined in section 148(1)) were a reference to residential property; and</w:t>
        </w:r>
      </w:ins>
    </w:p>
    <w:p>
      <w:pPr>
        <w:pStyle w:val="Indenta"/>
        <w:rPr>
          <w:ins w:id="5871" w:author="Master Repository Process" w:date="2022-05-27T14:27:00Z"/>
        </w:rPr>
      </w:pPr>
      <w:ins w:id="5872" w:author="Master Repository Process" w:date="2022-05-27T14:27:00Z">
        <w:r>
          <w:tab/>
          <w:t>(f)</w:t>
        </w:r>
        <w:r>
          <w:tab/>
          <w:t>a reference to an acquirer were a reference to a foreign acquirer (as defined in section 205ZD(1)); and</w:t>
        </w:r>
      </w:ins>
    </w:p>
    <w:p>
      <w:pPr>
        <w:pStyle w:val="Indenta"/>
        <w:rPr>
          <w:ins w:id="5873" w:author="Master Repository Process" w:date="2022-05-27T14:27:00Z"/>
        </w:rPr>
      </w:pPr>
      <w:ins w:id="5874" w:author="Master Repository Process" w:date="2022-05-27T14:27:00Z">
        <w:r>
          <w:tab/>
          <w:t>(g)</w:t>
        </w:r>
        <w:r>
          <w:tab/>
          <w:t>a reference to a provision of Chapter 3 were a reference to that provision as applied by section 205ZE(1).</w:t>
        </w:r>
      </w:ins>
    </w:p>
    <w:p>
      <w:pPr>
        <w:pStyle w:val="Footnotesection"/>
        <w:keepLines w:val="0"/>
        <w:spacing w:before="80"/>
        <w:ind w:left="890" w:hanging="890"/>
        <w:rPr>
          <w:ins w:id="5875" w:author="Master Repository Process" w:date="2022-05-27T14:27:00Z"/>
        </w:rPr>
      </w:pPr>
      <w:ins w:id="5876" w:author="Master Repository Process" w:date="2022-05-27T14:27:00Z">
        <w:r>
          <w:tab/>
          <w:t>[Section 266D inserted: No. 12 of 2019 s. 128.]</w:t>
        </w:r>
      </w:ins>
    </w:p>
    <w:p>
      <w:pPr>
        <w:pStyle w:val="Heading2"/>
        <w:spacing w:before="120"/>
        <w:rPr>
          <w:sz w:val="32"/>
        </w:rPr>
      </w:pPr>
      <w:bookmarkStart w:id="5877" w:name="_Toc37947095"/>
      <w:bookmarkStart w:id="5878" w:name="_Toc37947695"/>
      <w:bookmarkStart w:id="5879" w:name="_Toc38031759"/>
      <w:bookmarkStart w:id="5880" w:name="_Toc93310268"/>
      <w:bookmarkStart w:id="5881" w:name="_Toc104291290"/>
      <w:bookmarkStart w:id="5882" w:name="_Toc530491925"/>
      <w:bookmarkStart w:id="5883" w:name="_Toc530492385"/>
      <w:bookmarkStart w:id="5884" w:name="_Toc530493395"/>
      <w:bookmarkStart w:id="5885" w:name="_Toc530556530"/>
      <w:bookmarkStart w:id="5886" w:name="_Toc531692439"/>
      <w:bookmarkStart w:id="5887" w:name="_Toc531856344"/>
      <w:bookmarkStart w:id="5888" w:name="_Toc531859072"/>
      <w:bookmarkStart w:id="5889" w:name="_Toc531859611"/>
      <w:r>
        <w:rPr>
          <w:rStyle w:val="CharPartNo"/>
          <w:sz w:val="32"/>
        </w:rPr>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5877"/>
      <w:bookmarkEnd w:id="5878"/>
      <w:bookmarkEnd w:id="5879"/>
      <w:bookmarkEnd w:id="5880"/>
      <w:bookmarkEnd w:id="5881"/>
      <w:bookmarkEnd w:id="5882"/>
      <w:bookmarkEnd w:id="5883"/>
      <w:bookmarkEnd w:id="5884"/>
      <w:bookmarkEnd w:id="5885"/>
      <w:bookmarkEnd w:id="5886"/>
      <w:bookmarkEnd w:id="5887"/>
      <w:bookmarkEnd w:id="5888"/>
      <w:bookmarkEnd w:id="5889"/>
    </w:p>
    <w:p>
      <w:pPr>
        <w:pStyle w:val="Heading5"/>
        <w:spacing w:before="180"/>
      </w:pPr>
      <w:bookmarkStart w:id="5890" w:name="_Toc104291291"/>
      <w:bookmarkStart w:id="5891" w:name="_Toc531859612"/>
      <w:r>
        <w:rPr>
          <w:rStyle w:val="CharSectno"/>
        </w:rPr>
        <w:t>267</w:t>
      </w:r>
      <w:r>
        <w:t>.</w:t>
      </w:r>
      <w:r>
        <w:tab/>
        <w:t>Term used: scheme</w:t>
      </w:r>
      <w:bookmarkEnd w:id="5890"/>
      <w:bookmarkEnd w:id="5891"/>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spacing w:before="180"/>
      </w:pPr>
      <w:bookmarkStart w:id="5892" w:name="_Toc104291292"/>
      <w:bookmarkStart w:id="5893" w:name="_Toc531859613"/>
      <w:r>
        <w:rPr>
          <w:rStyle w:val="CharSectno"/>
        </w:rPr>
        <w:t>268</w:t>
      </w:r>
      <w:r>
        <w:t>.</w:t>
      </w:r>
      <w:r>
        <w:tab/>
        <w:t>Tax avoidance scheme</w:t>
      </w:r>
      <w:bookmarkEnd w:id="5892"/>
      <w:bookmarkEnd w:id="5893"/>
    </w:p>
    <w:p>
      <w:pPr>
        <w:pStyle w:val="Subsection"/>
        <w:spacing w:before="120"/>
      </w:pPr>
      <w:r>
        <w:tab/>
        <w:t>(1)</w:t>
      </w:r>
      <w:r>
        <w:tab/>
        <w:t xml:space="preserve">In this section — </w:t>
      </w:r>
    </w:p>
    <w:p>
      <w:pPr>
        <w:pStyle w:val="Defstart"/>
        <w:rPr>
          <w:bCs/>
        </w:rPr>
      </w:pPr>
      <w:r>
        <w:rPr>
          <w:b/>
        </w:rPr>
        <w:tab/>
      </w:r>
      <w:r>
        <w:rPr>
          <w:rStyle w:val="CharDefText"/>
        </w:rPr>
        <w:t>foreign tax</w:t>
      </w:r>
      <w:r>
        <w:rPr>
          <w:b/>
        </w:rPr>
        <w:t xml:space="preserve"> </w:t>
      </w:r>
      <w:r>
        <w:rPr>
          <w:bCs/>
        </w:rPr>
        <w:t>means a tax, duty or impost imposed under a law of the Commonwealth, another State, a Territory or a country other than Australia.</w:t>
      </w:r>
    </w:p>
    <w:p>
      <w:pPr>
        <w:pStyle w:val="Subsection"/>
        <w:spacing w:before="120"/>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5894" w:name="_Toc104291293"/>
      <w:bookmarkStart w:id="5895" w:name="_Toc531859614"/>
      <w:r>
        <w:rPr>
          <w:rStyle w:val="CharSectno"/>
        </w:rPr>
        <w:t>269</w:t>
      </w:r>
      <w:r>
        <w:t>.</w:t>
      </w:r>
      <w:r>
        <w:tab/>
        <w:t>Deciding whether proposed scheme would be disregarded under s. 270</w:t>
      </w:r>
      <w:bookmarkEnd w:id="5894"/>
      <w:bookmarkEnd w:id="5895"/>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spacing w:before="180"/>
      </w:pPr>
      <w:bookmarkStart w:id="5896" w:name="_Toc104291294"/>
      <w:bookmarkStart w:id="5897" w:name="_Toc531859615"/>
      <w:r>
        <w:rPr>
          <w:rStyle w:val="CharSectno"/>
        </w:rPr>
        <w:t>270</w:t>
      </w:r>
      <w:r>
        <w:t>.</w:t>
      </w:r>
      <w:r>
        <w:tab/>
        <w:t>Certain tax avoidance schemes, Commissioner may disregard</w:t>
      </w:r>
      <w:bookmarkEnd w:id="5896"/>
      <w:bookmarkEnd w:id="5897"/>
    </w:p>
    <w:p>
      <w:pPr>
        <w:pStyle w:val="Subsection"/>
        <w:spacing w:before="120"/>
      </w:pPr>
      <w:r>
        <w:tab/>
        <w:t>(1)</w:t>
      </w:r>
      <w:r>
        <w:tab/>
        <w:t>If the Commissioner decides that a person has entered into or carried out a tax avoidance scheme that is of a blatant, artificial or contrived nature, the Commissioner may disregard the scheme.</w:t>
      </w:r>
    </w:p>
    <w:p>
      <w:pPr>
        <w:pStyle w:val="Subsection"/>
        <w:keepNext/>
        <w:spacing w:before="120"/>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Subsection"/>
      </w:pPr>
      <w:r>
        <w:tab/>
        <w:t>(4)</w:t>
      </w:r>
      <w:r>
        <w:tab/>
        <w:t>The Commissioner cannot exercise the powers under this section in the course of making an interim assessment but can exercise those powers in the course of making an assessment following an interim assessment.</w:t>
      </w:r>
    </w:p>
    <w:p>
      <w:pPr>
        <w:pStyle w:val="Footnotesection"/>
      </w:pPr>
      <w:r>
        <w:tab/>
        <w:t>[Section 270 amended: No. 10 of 2013 s. 7.]</w:t>
      </w:r>
    </w:p>
    <w:p>
      <w:pPr>
        <w:pStyle w:val="Heading5"/>
      </w:pPr>
      <w:bookmarkStart w:id="5898" w:name="_Toc104291295"/>
      <w:bookmarkStart w:id="5899" w:name="_Toc531859616"/>
      <w:r>
        <w:rPr>
          <w:rStyle w:val="CharSectno"/>
        </w:rPr>
        <w:t>271</w:t>
      </w:r>
      <w:r>
        <w:t>.</w:t>
      </w:r>
      <w:r>
        <w:tab/>
        <w:t>Statement in relation to determination</w:t>
      </w:r>
      <w:bookmarkEnd w:id="5898"/>
      <w:bookmarkEnd w:id="5899"/>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5900" w:name="_Toc37947101"/>
      <w:bookmarkStart w:id="5901" w:name="_Toc37947701"/>
      <w:bookmarkStart w:id="5902" w:name="_Toc38031765"/>
      <w:bookmarkStart w:id="5903" w:name="_Toc93310274"/>
      <w:bookmarkStart w:id="5904" w:name="_Toc104291296"/>
      <w:bookmarkStart w:id="5905" w:name="_Toc530491931"/>
      <w:bookmarkStart w:id="5906" w:name="_Toc530492391"/>
      <w:bookmarkStart w:id="5907" w:name="_Toc530493401"/>
      <w:bookmarkStart w:id="5908" w:name="_Toc530556536"/>
      <w:bookmarkStart w:id="5909" w:name="_Toc531692445"/>
      <w:bookmarkStart w:id="5910" w:name="_Toc531856350"/>
      <w:bookmarkStart w:id="5911" w:name="_Toc531859078"/>
      <w:bookmarkStart w:id="5912" w:name="_Toc531859617"/>
      <w:r>
        <w:rPr>
          <w:rStyle w:val="CharPartNo"/>
          <w:sz w:val="32"/>
        </w:rPr>
        <w:t>Chapter 8</w:t>
      </w:r>
      <w:r>
        <w:rPr>
          <w:sz w:val="32"/>
        </w:rPr>
        <w:t> — </w:t>
      </w:r>
      <w:r>
        <w:rPr>
          <w:rStyle w:val="CharPartText"/>
          <w:sz w:val="32"/>
        </w:rPr>
        <w:t>Other general provisions</w:t>
      </w:r>
      <w:bookmarkEnd w:id="5900"/>
      <w:bookmarkEnd w:id="5901"/>
      <w:bookmarkEnd w:id="5902"/>
      <w:bookmarkEnd w:id="5903"/>
      <w:bookmarkEnd w:id="5904"/>
      <w:bookmarkEnd w:id="5905"/>
      <w:bookmarkEnd w:id="5906"/>
      <w:bookmarkEnd w:id="5907"/>
      <w:bookmarkEnd w:id="5908"/>
      <w:bookmarkEnd w:id="5909"/>
      <w:bookmarkEnd w:id="5910"/>
      <w:bookmarkEnd w:id="5911"/>
      <w:bookmarkEnd w:id="5912"/>
    </w:p>
    <w:p>
      <w:pPr>
        <w:pStyle w:val="Heading3"/>
        <w:rPr>
          <w:sz w:val="28"/>
        </w:rPr>
      </w:pPr>
      <w:bookmarkStart w:id="5913" w:name="_Toc37947102"/>
      <w:bookmarkStart w:id="5914" w:name="_Toc37947702"/>
      <w:bookmarkStart w:id="5915" w:name="_Toc38031766"/>
      <w:bookmarkStart w:id="5916" w:name="_Toc93310275"/>
      <w:bookmarkStart w:id="5917" w:name="_Toc104291297"/>
      <w:bookmarkStart w:id="5918" w:name="_Toc530491932"/>
      <w:bookmarkStart w:id="5919" w:name="_Toc530492392"/>
      <w:bookmarkStart w:id="5920" w:name="_Toc530493402"/>
      <w:bookmarkStart w:id="5921" w:name="_Toc530556537"/>
      <w:bookmarkStart w:id="5922" w:name="_Toc531692446"/>
      <w:bookmarkStart w:id="5923" w:name="_Toc531856351"/>
      <w:bookmarkStart w:id="5924" w:name="_Toc531859079"/>
      <w:bookmarkStart w:id="5925" w:name="_Toc531859618"/>
      <w:r>
        <w:rPr>
          <w:rStyle w:val="CharDivNo"/>
          <w:sz w:val="28"/>
        </w:rPr>
        <w:t>Part 1</w:t>
      </w:r>
      <w:r>
        <w:rPr>
          <w:sz w:val="28"/>
        </w:rPr>
        <w:t> — </w:t>
      </w:r>
      <w:r>
        <w:rPr>
          <w:rStyle w:val="CharDivText"/>
          <w:sz w:val="28"/>
        </w:rPr>
        <w:t>Duty endorsement</w:t>
      </w:r>
      <w:bookmarkEnd w:id="5913"/>
      <w:bookmarkEnd w:id="5914"/>
      <w:bookmarkEnd w:id="5915"/>
      <w:bookmarkEnd w:id="5916"/>
      <w:bookmarkEnd w:id="5917"/>
      <w:bookmarkEnd w:id="5918"/>
      <w:bookmarkEnd w:id="5919"/>
      <w:bookmarkEnd w:id="5920"/>
      <w:bookmarkEnd w:id="5921"/>
      <w:bookmarkEnd w:id="5922"/>
      <w:bookmarkEnd w:id="5923"/>
      <w:bookmarkEnd w:id="5924"/>
      <w:bookmarkEnd w:id="5925"/>
    </w:p>
    <w:p>
      <w:pPr>
        <w:pStyle w:val="Heading5"/>
        <w:spacing w:before="180"/>
      </w:pPr>
      <w:bookmarkStart w:id="5926" w:name="_Toc104291298"/>
      <w:bookmarkStart w:id="5927" w:name="_Toc531859619"/>
      <w:r>
        <w:rPr>
          <w:rStyle w:val="CharSectno"/>
        </w:rPr>
        <w:t>272</w:t>
      </w:r>
      <w:r>
        <w:t>.</w:t>
      </w:r>
      <w:r>
        <w:tab/>
        <w:t>Duty endorsed</w:t>
      </w:r>
      <w:bookmarkEnd w:id="5926"/>
      <w:bookmarkEnd w:id="5927"/>
    </w:p>
    <w:p>
      <w:pPr>
        <w:pStyle w:val="Subsection"/>
        <w:spacing w:before="120"/>
      </w:pPr>
      <w:r>
        <w:tab/>
        <w:t>(1)</w:t>
      </w:r>
      <w:r>
        <w:tab/>
        <w:t xml:space="preserve">A dutiable transaction is </w:t>
      </w:r>
      <w:r>
        <w:rPr>
          <w:rStyle w:val="CharDefText"/>
        </w:rPr>
        <w:t>duty endorsed</w:t>
      </w:r>
      <w:r>
        <w:t xml:space="preserve"> if a transaction record for it is duty endorsed.</w:t>
      </w:r>
    </w:p>
    <w:p>
      <w:pPr>
        <w:pStyle w:val="Subsection"/>
        <w:spacing w:before="120"/>
      </w:pPr>
      <w:r>
        <w:tab/>
        <w:t>(2)</w:t>
      </w:r>
      <w:r>
        <w:tab/>
        <w:t xml:space="preserve">A transaction record for a dutiable transaction is </w:t>
      </w:r>
      <w:r>
        <w:rPr>
          <w:rStyle w:val="CharDefText"/>
        </w:rPr>
        <w:t>duty endorsed</w:t>
      </w:r>
      <w:r>
        <w:t xml:space="preserve"> if it is — </w:t>
      </w:r>
    </w:p>
    <w:p>
      <w:pPr>
        <w:pStyle w:val="Indenta"/>
      </w:pPr>
      <w:r>
        <w:tab/>
        <w:t>(a)</w:t>
      </w:r>
      <w:r>
        <w:tab/>
        <w:t xml:space="preserve">endorsed by the Commissioner — </w:t>
      </w:r>
    </w:p>
    <w:p>
      <w:pPr>
        <w:pStyle w:val="Indenti"/>
      </w:pPr>
      <w:r>
        <w:tab/>
        <w:t>(i)</w:t>
      </w:r>
      <w:r>
        <w:tab/>
        <w:t>under section 273(2), (3) or (4) or 274(2); and</w:t>
      </w:r>
    </w:p>
    <w:p>
      <w:pPr>
        <w:pStyle w:val="Indenti"/>
      </w:pPr>
      <w:r>
        <w:tab/>
        <w:t>(ii)</w:t>
      </w:r>
      <w:r>
        <w:tab/>
        <w:t>if the transaction is a foreign dutiable transaction — under section 273(2A);</w:t>
      </w:r>
    </w:p>
    <w:p>
      <w:pPr>
        <w:pStyle w:val="Indenta"/>
      </w:pPr>
      <w:r>
        <w:tab/>
      </w:r>
      <w:r>
        <w:tab/>
        <w:t>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Footnotesection"/>
      </w:pPr>
      <w:r>
        <w:tab/>
        <w:t>[Section 272 amended: No. 24 of 2018 s. 11.]</w:t>
      </w:r>
    </w:p>
    <w:p>
      <w:pPr>
        <w:pStyle w:val="Heading5"/>
      </w:pPr>
      <w:bookmarkStart w:id="5928" w:name="_Toc104291299"/>
      <w:bookmarkStart w:id="5929" w:name="_Toc531859620"/>
      <w:r>
        <w:rPr>
          <w:rStyle w:val="CharSectno"/>
        </w:rPr>
        <w:t>273A</w:t>
      </w:r>
      <w:r>
        <w:t>.</w:t>
      </w:r>
      <w:r>
        <w:tab/>
        <w:t>Duty endorsement: electronic conveyancing instruments</w:t>
      </w:r>
      <w:bookmarkEnd w:id="5928"/>
      <w:bookmarkEnd w:id="5929"/>
    </w:p>
    <w:p>
      <w:pPr>
        <w:pStyle w:val="Subsection"/>
      </w:pPr>
      <w:r>
        <w:tab/>
        <w:t>(1)</w:t>
      </w:r>
      <w:r>
        <w:tab/>
        <w:t xml:space="preserve">In this section — </w:t>
      </w:r>
    </w:p>
    <w:p>
      <w:pPr>
        <w:pStyle w:val="Defstart"/>
      </w:pPr>
      <w:r>
        <w:tab/>
      </w:r>
      <w:r>
        <w:rPr>
          <w:rStyle w:val="CharDefText"/>
        </w:rPr>
        <w:t>digitally sign</w:t>
      </w:r>
      <w:r>
        <w:t xml:space="preserve"> has the meaning given in the </w:t>
      </w:r>
      <w:r>
        <w:rPr>
          <w:i/>
        </w:rPr>
        <w:t>Electronic Conveyancing Act 2014</w:t>
      </w:r>
      <w:r>
        <w:t xml:space="preserve"> section 3(1);</w:t>
      </w:r>
    </w:p>
    <w:p>
      <w:pPr>
        <w:pStyle w:val="Defstart"/>
      </w:pPr>
      <w:r>
        <w:tab/>
      </w:r>
      <w:r>
        <w:rPr>
          <w:rStyle w:val="CharDefText"/>
        </w:rPr>
        <w:t>electronic conveyancing instrument</w:t>
      </w:r>
      <w:r>
        <w:t xml:space="preserve"> means an instrument in electronic form that, on being digitally signed, has, under the </w:t>
      </w:r>
      <w:r>
        <w:rPr>
          <w:i/>
        </w:rPr>
        <w:t>Electronic Conveyancing Act 2014</w:t>
      </w:r>
      <w:r>
        <w:t xml:space="preserve"> section 9(2), the same effect as if a paper document having the equivalent effect had been executed as provided in section 9(2)(a) or (b) of that Act.</w:t>
      </w:r>
    </w:p>
    <w:p>
      <w:pPr>
        <w:pStyle w:val="Subsection"/>
      </w:pPr>
      <w:r>
        <w:tab/>
        <w:t>(2)</w:t>
      </w:r>
      <w:r>
        <w:tab/>
        <w:t>If the Commissioner has established procedures for the duty endorsement of transaction records that are in the form of electronic conveyancing instruments, a reference in this Act to a transaction record being duty endorsed includes a reference to a transaction record in that form being verified or certified by the Commissioner in accordance with those procedures to the effect that an amount of duty has been paid or is payable or that duty is not chargeable.</w:t>
      </w:r>
    </w:p>
    <w:p>
      <w:pPr>
        <w:pStyle w:val="Subsection"/>
      </w:pPr>
      <w:r>
        <w:tab/>
        <w:t>(3)</w:t>
      </w:r>
      <w:r>
        <w:tab/>
        <w:t xml:space="preserve">The procedures referred to in subsection (2) may include procedures for verifying or certifying electronic conveyancing instruments before they are digitally signed, and in that case — </w:t>
      </w:r>
    </w:p>
    <w:p>
      <w:pPr>
        <w:pStyle w:val="Indenta"/>
      </w:pPr>
      <w:r>
        <w:tab/>
        <w:t>(a)</w:t>
      </w:r>
      <w:r>
        <w:tab/>
        <w:t>the verification or certification of an electronic conveyancing instrument must be undertaken in accordance with those procedures as if the transaction to be effected by the instrument were a dutiable transaction, even though the instrument is not digitally signed; but</w:t>
      </w:r>
    </w:p>
    <w:p>
      <w:pPr>
        <w:pStyle w:val="Indenta"/>
      </w:pPr>
      <w:r>
        <w:tab/>
        <w:t>(b)</w:t>
      </w:r>
      <w:r>
        <w:tab/>
        <w:t>the verification or certification of the electronic conveyancing instrument in accordance with those procedures becomes a duty endorsement under subsection (2) only when the instrument is digitally signed.</w:t>
      </w:r>
    </w:p>
    <w:p>
      <w:pPr>
        <w:pStyle w:val="Footnotesection"/>
        <w:ind w:left="890" w:hanging="890"/>
      </w:pPr>
      <w:r>
        <w:tab/>
        <w:t>[Section 273A inserted: No. 2 of 2014 s. 54.]</w:t>
      </w:r>
    </w:p>
    <w:p>
      <w:pPr>
        <w:pStyle w:val="Heading5"/>
      </w:pPr>
      <w:bookmarkStart w:id="5930" w:name="_Toc104291300"/>
      <w:bookmarkStart w:id="5931" w:name="_Toc531859621"/>
      <w:r>
        <w:rPr>
          <w:rStyle w:val="CharSectno"/>
        </w:rPr>
        <w:t>273</w:t>
      </w:r>
      <w:r>
        <w:t>.</w:t>
      </w:r>
      <w:r>
        <w:tab/>
        <w:t>Endorsing transaction records as to duty paid etc.</w:t>
      </w:r>
      <w:bookmarkEnd w:id="5930"/>
      <w:bookmarkEnd w:id="5931"/>
    </w:p>
    <w:p>
      <w:pPr>
        <w:pStyle w:val="Subsection"/>
      </w:pPr>
      <w:r>
        <w:rPr>
          <w:b/>
        </w:rPr>
        <w:tab/>
      </w:r>
      <w:r>
        <w:t>(1)</w:t>
      </w:r>
      <w:r>
        <w:tab/>
        <w:t>In this section —</w:t>
      </w:r>
    </w:p>
    <w:p>
      <w:pPr>
        <w:pStyle w:val="Defstart"/>
      </w:pPr>
      <w:r>
        <w:rPr>
          <w:b/>
        </w:rPr>
        <w:tab/>
      </w:r>
      <w:r>
        <w:rPr>
          <w:rStyle w:val="CharDefText"/>
        </w:rPr>
        <w:t>required duty</w:t>
      </w:r>
      <w:r>
        <w:t xml:space="preserve"> means — </w:t>
      </w:r>
    </w:p>
    <w:p>
      <w:pPr>
        <w:pStyle w:val="Defpara"/>
      </w:pPr>
      <w:r>
        <w:tab/>
        <w:t>(a)</w:t>
      </w:r>
      <w:r>
        <w:tab/>
        <w:t>the transfer duty and foreign transfer duty (if any)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and any required duty is paid in full, the Commissioner must — </w:t>
      </w:r>
    </w:p>
    <w:p>
      <w:pPr>
        <w:pStyle w:val="Indenta"/>
      </w:pPr>
      <w:r>
        <w:tab/>
        <w:t>(a)</w:t>
      </w:r>
      <w:r>
        <w:tab/>
        <w:t>if transfer duty is chargeable on the dutiable transaction — endorse the transaction record to indicate the amount of transfer duty paid; or</w:t>
      </w:r>
    </w:p>
    <w:p>
      <w:pPr>
        <w:pStyle w:val="Indenta"/>
      </w:pPr>
      <w:r>
        <w:tab/>
        <w:t>(b)</w:t>
      </w:r>
      <w:r>
        <w:tab/>
        <w:t>if transfer duty is not chargeable on the dutiable transaction because of an exemption under this Act or another written law — endorse the transaction record to indicate that transfer duty is not chargeable because of the exemption; or</w:t>
      </w:r>
    </w:p>
    <w:p>
      <w:pPr>
        <w:pStyle w:val="Indenta"/>
      </w:pPr>
      <w:r>
        <w:tab/>
        <w:t>(c)</w:t>
      </w:r>
      <w:r>
        <w:tab/>
        <w:t>if transfer duty is not chargeable on the dutiable transaction other than because of an exemption under this Act or another written law — endorse the transaction record to indicate that transfer duty is not chargeable.</w:t>
      </w:r>
    </w:p>
    <w:p>
      <w:pPr>
        <w:pStyle w:val="Subsection"/>
      </w:pPr>
      <w:r>
        <w:tab/>
        <w:t>(2A)</w:t>
      </w:r>
      <w:r>
        <w:tab/>
        <w:t xml:space="preserve">If a transaction record for a foreign dutiable transaction is lodged for duty endorsement and any required duty is paid in full, the Commissioner must — </w:t>
      </w:r>
    </w:p>
    <w:p>
      <w:pPr>
        <w:pStyle w:val="Indenta"/>
      </w:pPr>
      <w:r>
        <w:tab/>
        <w:t>(a)</w:t>
      </w:r>
      <w:r>
        <w:tab/>
        <w:t>if foreign transfer duty is chargeable on the foreign dutiable transaction — endorse the transaction record to indicate the amount of foreign transfer duty paid; or</w:t>
      </w:r>
    </w:p>
    <w:p>
      <w:pPr>
        <w:pStyle w:val="Indenta"/>
      </w:pPr>
      <w:r>
        <w:tab/>
        <w:t>(b)</w:t>
      </w:r>
      <w:r>
        <w:tab/>
        <w:t>if foreign transfer duty is not chargeable on the foreign dutiable transaction because of an exemption under this Act or another written law — endorse the transaction record to indicate that foreign transfer duty is not chargeable because of the exemption; or</w:t>
      </w:r>
    </w:p>
    <w:p>
      <w:pPr>
        <w:pStyle w:val="Indenta"/>
      </w:pPr>
      <w:r>
        <w:tab/>
        <w:t>(c)</w:t>
      </w:r>
      <w:r>
        <w:tab/>
        <w:t>if foreign transfer duty is not chargeable on the foreign dutiable transaction other than because of an exemption under this Act or another written law — endorse the transaction record to indicate that foreign transfer duty is not chargeable.</w:t>
      </w:r>
    </w:p>
    <w:p>
      <w:pPr>
        <w:pStyle w:val="Subsection"/>
      </w:pPr>
      <w:r>
        <w:tab/>
        <w:t>(3A)</w:t>
      </w:r>
      <w:r>
        <w:tab/>
        <w:t>Despite subsections (2) and (2A), the Commissioner is not required to (but may) endorse a transaction record to indicate the duty paid as a consequence of an interim assessment.</w:t>
      </w:r>
    </w:p>
    <w:p>
      <w:pPr>
        <w:pStyle w:val="Subsection"/>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20"/>
      </w:pPr>
      <w:r>
        <w:tab/>
      </w:r>
      <w:r>
        <w:tab/>
        <w:t>to indicate the amount of duty paid or payable or that duty was not chargeable.</w:t>
      </w:r>
    </w:p>
    <w:p>
      <w:pPr>
        <w:pStyle w:val="Footnotesection"/>
      </w:pPr>
      <w:r>
        <w:tab/>
        <w:t>[Section 273 amended: No. 10 of 2013 s. 8; No. 24 of 2018 s. 12.]</w:t>
      </w:r>
    </w:p>
    <w:p>
      <w:pPr>
        <w:pStyle w:val="Heading5"/>
        <w:keepNext w:val="0"/>
        <w:keepLines w:val="0"/>
        <w:spacing w:before="180"/>
      </w:pPr>
      <w:bookmarkStart w:id="5932" w:name="_Toc104291301"/>
      <w:bookmarkStart w:id="5933" w:name="_Toc531859622"/>
      <w:r>
        <w:rPr>
          <w:rStyle w:val="CharSectno"/>
        </w:rPr>
        <w:t>274</w:t>
      </w:r>
      <w:r>
        <w:t>.</w:t>
      </w:r>
      <w:r>
        <w:tab/>
        <w:t>Endorsement of duty that depends on duty paid on another transaction</w:t>
      </w:r>
      <w:bookmarkEnd w:id="5932"/>
      <w:bookmarkEnd w:id="5933"/>
    </w:p>
    <w:p>
      <w:pPr>
        <w:pStyle w:val="Subsection"/>
        <w:spacing w:before="120"/>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PermNoteHeading"/>
      </w:pPr>
      <w:r>
        <w:tab/>
        <w:t>Note for this section:</w:t>
      </w:r>
    </w:p>
    <w:p>
      <w:pPr>
        <w:pStyle w:val="PermNoteText"/>
      </w:pPr>
      <w:r>
        <w:tab/>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PermNotePara"/>
      </w:pPr>
      <w:r>
        <w:tab/>
        <w:t>(a)</w:t>
      </w:r>
      <w:r>
        <w:tab/>
        <w:t>that no duty is chargeable on the transfer; and</w:t>
      </w:r>
    </w:p>
    <w:p>
      <w:pPr>
        <w:pStyle w:val="PermNotePara"/>
      </w:pPr>
      <w:r>
        <w:tab/>
        <w:t>(b)</w:t>
      </w:r>
      <w:r>
        <w:tab/>
        <w:t>the duty of $20 700 paid on the agreement for transfer.</w:t>
      </w:r>
    </w:p>
    <w:p>
      <w:pPr>
        <w:pStyle w:val="Heading5"/>
        <w:spacing w:before="180"/>
      </w:pPr>
      <w:bookmarkStart w:id="5934" w:name="_Toc104291302"/>
      <w:bookmarkStart w:id="5935" w:name="_Toc531859623"/>
      <w:r>
        <w:rPr>
          <w:rStyle w:val="CharSectno"/>
        </w:rPr>
        <w:t>275</w:t>
      </w:r>
      <w:r>
        <w:t>.</w:t>
      </w:r>
      <w:r>
        <w:tab/>
        <w:t>Duty endorsement is evidence of certain matters</w:t>
      </w:r>
      <w:bookmarkEnd w:id="5934"/>
      <w:bookmarkEnd w:id="5935"/>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and foreign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Footnotesection"/>
      </w:pPr>
      <w:r>
        <w:tab/>
        <w:t>[Section 275 amended: No. 24 of 2018 s. 13.]</w:t>
      </w:r>
    </w:p>
    <w:p>
      <w:pPr>
        <w:pStyle w:val="Heading3"/>
        <w:rPr>
          <w:sz w:val="28"/>
        </w:rPr>
      </w:pPr>
      <w:bookmarkStart w:id="5936" w:name="_Toc37947108"/>
      <w:bookmarkStart w:id="5937" w:name="_Toc37947708"/>
      <w:bookmarkStart w:id="5938" w:name="_Toc38031772"/>
      <w:bookmarkStart w:id="5939" w:name="_Toc93310281"/>
      <w:bookmarkStart w:id="5940" w:name="_Toc104291303"/>
      <w:bookmarkStart w:id="5941" w:name="_Toc530491938"/>
      <w:bookmarkStart w:id="5942" w:name="_Toc530492398"/>
      <w:bookmarkStart w:id="5943" w:name="_Toc530493408"/>
      <w:bookmarkStart w:id="5944" w:name="_Toc530556543"/>
      <w:bookmarkStart w:id="5945" w:name="_Toc531692452"/>
      <w:bookmarkStart w:id="5946" w:name="_Toc531856357"/>
      <w:bookmarkStart w:id="5947" w:name="_Toc531859085"/>
      <w:bookmarkStart w:id="5948" w:name="_Toc531859624"/>
      <w:r>
        <w:rPr>
          <w:rStyle w:val="CharDivNo"/>
          <w:sz w:val="28"/>
        </w:rPr>
        <w:t>Part 2</w:t>
      </w:r>
      <w:r>
        <w:rPr>
          <w:sz w:val="28"/>
        </w:rPr>
        <w:t> — </w:t>
      </w:r>
      <w:r>
        <w:rPr>
          <w:rStyle w:val="CharDivText"/>
          <w:sz w:val="28"/>
        </w:rPr>
        <w:t>Enforcement</w:t>
      </w:r>
      <w:bookmarkEnd w:id="5936"/>
      <w:bookmarkEnd w:id="5937"/>
      <w:bookmarkEnd w:id="5938"/>
      <w:bookmarkEnd w:id="5939"/>
      <w:bookmarkEnd w:id="5940"/>
      <w:bookmarkEnd w:id="5941"/>
      <w:bookmarkEnd w:id="5942"/>
      <w:bookmarkEnd w:id="5943"/>
      <w:bookmarkEnd w:id="5944"/>
      <w:bookmarkEnd w:id="5945"/>
      <w:bookmarkEnd w:id="5946"/>
      <w:bookmarkEnd w:id="5947"/>
      <w:bookmarkEnd w:id="5948"/>
    </w:p>
    <w:p>
      <w:pPr>
        <w:pStyle w:val="Heading5"/>
      </w:pPr>
      <w:bookmarkStart w:id="5949" w:name="_Toc104291304"/>
      <w:bookmarkStart w:id="5950" w:name="_Toc531859625"/>
      <w:r>
        <w:rPr>
          <w:rStyle w:val="CharSectno"/>
        </w:rPr>
        <w:t>276</w:t>
      </w:r>
      <w:r>
        <w:t>.</w:t>
      </w:r>
      <w:r>
        <w:tab/>
        <w:t>Dutiable transactions etc. not to be registered etc. unless duty endorsed</w:t>
      </w:r>
      <w:bookmarkEnd w:id="5949"/>
      <w:bookmarkEnd w:id="5950"/>
    </w:p>
    <w:p>
      <w:pPr>
        <w:pStyle w:val="Subsection"/>
      </w:pPr>
      <w:r>
        <w:tab/>
        <w:t>(1)</w:t>
      </w:r>
      <w:r>
        <w:tab/>
        <w:t xml:space="preserve">A registrar must not register or record — </w:t>
      </w:r>
    </w:p>
    <w:p>
      <w:pPr>
        <w:pStyle w:val="Indenta"/>
      </w:pPr>
      <w:r>
        <w:tab/>
        <w:t>(a)</w:t>
      </w:r>
      <w:r>
        <w:tab/>
        <w:t>a dutiable transaction; or</w:t>
      </w:r>
    </w:p>
    <w:p>
      <w:pPr>
        <w:pStyle w:val="Indenta"/>
      </w:pPr>
      <w:r>
        <w:tab/>
        <w:t>(b)</w:t>
      </w:r>
      <w:r>
        <w:tab/>
        <w:t>a transaction record for a dutiable transaction,</w:t>
      </w:r>
    </w:p>
    <w:p>
      <w:pPr>
        <w:pStyle w:val="Subsection"/>
      </w:pPr>
      <w:r>
        <w:tab/>
      </w:r>
      <w:r>
        <w:tab/>
        <w:t>in a register of legal or beneficial interests in dutiable property unless the transaction is duty endorsed.</w:t>
      </w:r>
    </w:p>
    <w:p>
      <w:pPr>
        <w:pStyle w:val="Penstart"/>
      </w:pPr>
      <w:r>
        <w:tab/>
        <w:t>Penalty: a fine of $20 000.</w:t>
      </w:r>
    </w:p>
    <w:p>
      <w:pPr>
        <w:pStyle w:val="Subsection"/>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pPr>
      <w:r>
        <w:tab/>
        <w:t>(3)</w:t>
      </w:r>
      <w:r>
        <w:tab/>
        <w:t xml:space="preserve">If a disposition of a share in a corporate trustee is a dutiable transaction because of section 67, a person must not register or record — </w:t>
      </w:r>
    </w:p>
    <w:p>
      <w:pPr>
        <w:pStyle w:val="Indenta"/>
      </w:pPr>
      <w:r>
        <w:tab/>
        <w:t>(a)</w:t>
      </w:r>
      <w:r>
        <w:tab/>
        <w:t>the dutiable transaction; or</w:t>
      </w:r>
    </w:p>
    <w:p>
      <w:pPr>
        <w:pStyle w:val="Indenta"/>
      </w:pPr>
      <w:r>
        <w:tab/>
        <w:t>(b)</w:t>
      </w:r>
      <w:r>
        <w:tab/>
        <w:t>a transaction record for the dutiable transaction,</w:t>
      </w:r>
    </w:p>
    <w:p>
      <w:pPr>
        <w:pStyle w:val="Subsection"/>
      </w:pPr>
      <w:r>
        <w:tab/>
      </w:r>
      <w:r>
        <w:tab/>
        <w:t>in the books or records of the corporation unless the dutiable transaction is duty endorsed.</w:t>
      </w:r>
    </w:p>
    <w:p>
      <w:pPr>
        <w:pStyle w:val="Penstart"/>
      </w:pPr>
      <w:r>
        <w:tab/>
        <w:t>Penalty: a fine of $20 000.</w:t>
      </w:r>
    </w:p>
    <w:p>
      <w:pPr>
        <w:pStyle w:val="Subsection"/>
      </w:pPr>
      <w:r>
        <w:tab/>
        <w:t>(4)</w:t>
      </w:r>
      <w:r>
        <w:tab/>
        <w:t>A contravention of subsection (3) does not invalidate any right or obligation arising out of the disposition.</w:t>
      </w:r>
    </w:p>
    <w:p>
      <w:pPr>
        <w:pStyle w:val="Subsection"/>
      </w:pPr>
      <w:r>
        <w:tab/>
        <w:t>(5)</w:t>
      </w:r>
      <w:r>
        <w:tab/>
        <w:t xml:space="preserve">It is a defence to a charge of an offence under subsection (1) or (3) to prove that the accused person did not know and could not reasonably have been expected to have known that — </w:t>
      </w:r>
    </w:p>
    <w:p>
      <w:pPr>
        <w:pStyle w:val="Indenta"/>
      </w:pPr>
      <w:r>
        <w:tab/>
        <w:t>(a)</w:t>
      </w:r>
      <w:r>
        <w:tab/>
        <w:t>the transaction was a dutiable transaction; or</w:t>
      </w:r>
    </w:p>
    <w:p>
      <w:pPr>
        <w:pStyle w:val="Indenta"/>
      </w:pPr>
      <w:r>
        <w:tab/>
        <w:t>(b)</w:t>
      </w:r>
      <w:r>
        <w:tab/>
        <w:t>the transaction was not duty endorsed.</w:t>
      </w:r>
    </w:p>
    <w:p>
      <w:pPr>
        <w:pStyle w:val="Heading5"/>
      </w:pPr>
      <w:bookmarkStart w:id="5951" w:name="_Toc104291305"/>
      <w:bookmarkStart w:id="5952" w:name="_Toc531859626"/>
      <w:r>
        <w:rPr>
          <w:rStyle w:val="CharSectno"/>
        </w:rPr>
        <w:t>277</w:t>
      </w:r>
      <w:r>
        <w:t>.</w:t>
      </w:r>
      <w:r>
        <w:tab/>
        <w:t>Business licences not to be registered etc. unless duty endorsed or instrument lodged</w:t>
      </w:r>
      <w:bookmarkEnd w:id="5951"/>
      <w:bookmarkEnd w:id="5952"/>
    </w:p>
    <w:p>
      <w:pPr>
        <w:pStyle w:val="Subsection"/>
      </w:pPr>
      <w:r>
        <w:tab/>
        <w:t>(1)</w:t>
      </w:r>
      <w:r>
        <w:tab/>
        <w:t>In this section —</w:t>
      </w:r>
      <w:ins w:id="5953" w:author="Master Repository Process" w:date="2022-05-27T14:27:00Z">
        <w:r>
          <w:t xml:space="preserve"> </w:t>
        </w:r>
      </w:ins>
    </w:p>
    <w:p>
      <w:pPr>
        <w:pStyle w:val="Defstart"/>
        <w:rPr>
          <w:ins w:id="5954" w:author="Master Repository Process" w:date="2022-05-27T14:27:00Z"/>
        </w:rPr>
      </w:pPr>
      <w:r>
        <w:tab/>
      </w:r>
      <w:ins w:id="5955" w:author="Master Repository Process" w:date="2022-05-27T14:27:00Z">
        <w:r>
          <w:rPr>
            <w:rStyle w:val="CharDefText"/>
          </w:rPr>
          <w:t>relevant licence</w:t>
        </w:r>
        <w:r>
          <w:t xml:space="preserve"> means — </w:t>
        </w:r>
      </w:ins>
    </w:p>
    <w:p>
      <w:pPr>
        <w:pStyle w:val="Defpara"/>
      </w:pPr>
      <w:ins w:id="5956" w:author="Master Repository Process" w:date="2022-05-27T14:27:00Z">
        <w:r>
          <w:tab/>
          <w:t>(a)</w:t>
        </w:r>
        <w:r>
          <w:tab/>
          <w:t xml:space="preserve">a </w:t>
        </w:r>
      </w:ins>
      <w:r>
        <w:t xml:space="preserve">business licence </w:t>
      </w:r>
      <w:del w:id="5957" w:author="Master Repository Process" w:date="2022-05-27T14:27:00Z">
        <w:r>
          <w:delText xml:space="preserve">has the meaning given </w:delText>
        </w:r>
      </w:del>
      <w:ins w:id="5958" w:author="Master Repository Process" w:date="2022-05-27T14:27:00Z">
        <w:r>
          <w:t xml:space="preserve">(as defined </w:t>
        </w:r>
      </w:ins>
      <w:r>
        <w:t>in section 79</w:t>
      </w:r>
      <w:del w:id="5959" w:author="Master Repository Process" w:date="2022-05-27T14:27:00Z">
        <w:r>
          <w:delText>.</w:delText>
        </w:r>
      </w:del>
      <w:ins w:id="5960" w:author="Master Repository Process" w:date="2022-05-27T14:27:00Z">
        <w:r>
          <w:t>) that is issued, granted or given under a law of Western Australia; or</w:t>
        </w:r>
      </w:ins>
    </w:p>
    <w:p>
      <w:pPr>
        <w:pStyle w:val="Defpara"/>
        <w:rPr>
          <w:ins w:id="5961" w:author="Master Repository Process" w:date="2022-05-27T14:27:00Z"/>
        </w:rPr>
      </w:pPr>
      <w:ins w:id="5962" w:author="Master Repository Process" w:date="2022-05-27T14:27:00Z">
        <w:r>
          <w:tab/>
          <w:t>(b)</w:t>
        </w:r>
        <w:r>
          <w:tab/>
          <w:t xml:space="preserve">a fixed infrastructure statutory licence that is issued, granted or given under a law of Western Australia. </w:t>
        </w:r>
      </w:ins>
    </w:p>
    <w:p>
      <w:pPr>
        <w:pStyle w:val="Subsection"/>
      </w:pPr>
      <w:r>
        <w:tab/>
        <w:t>(2)</w:t>
      </w:r>
      <w:r>
        <w:tab/>
        <w:t xml:space="preserve">If a </w:t>
      </w:r>
      <w:del w:id="5963" w:author="Master Repository Process" w:date="2022-05-27T14:27:00Z">
        <w:r>
          <w:delText>business</w:delText>
        </w:r>
      </w:del>
      <w:ins w:id="5964" w:author="Master Repository Process" w:date="2022-05-27T14:27:00Z">
        <w:r>
          <w:t>relevant</w:t>
        </w:r>
      </w:ins>
      <w:r>
        <w:t xml:space="preserve">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w:t>
      </w:r>
      <w:del w:id="5965" w:author="Master Repository Process" w:date="2022-05-27T14:27:00Z">
        <w:r>
          <w:delText>business</w:delText>
        </w:r>
      </w:del>
      <w:ins w:id="5966" w:author="Master Repository Process" w:date="2022-05-27T14:27:00Z">
        <w:r>
          <w:t>relevant</w:t>
        </w:r>
      </w:ins>
      <w:r>
        <w:t xml:space="preserve"> licences,</w:t>
      </w:r>
      <w:del w:id="5967" w:author="Master Repository Process" w:date="2022-05-27T14:27:00Z">
        <w:r>
          <w:delText xml:space="preserve"> </w:delText>
        </w:r>
      </w:del>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 xml:space="preserve">the </w:t>
      </w:r>
      <w:del w:id="5968" w:author="Master Repository Process" w:date="2022-05-27T14:27:00Z">
        <w:r>
          <w:delText>business</w:delText>
        </w:r>
      </w:del>
      <w:ins w:id="5969" w:author="Master Repository Process" w:date="2022-05-27T14:27:00Z">
        <w:r>
          <w:t>relevant</w:t>
        </w:r>
      </w:ins>
      <w:r>
        <w:t xml:space="preserve">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Footnotesection"/>
        <w:keepLines w:val="0"/>
        <w:spacing w:before="80"/>
        <w:ind w:left="890" w:hanging="890"/>
        <w:rPr>
          <w:ins w:id="5970" w:author="Master Repository Process" w:date="2022-05-27T14:27:00Z"/>
        </w:rPr>
      </w:pPr>
      <w:ins w:id="5971" w:author="Master Repository Process" w:date="2022-05-27T14:27:00Z">
        <w:r>
          <w:tab/>
          <w:t>[Section 277 amended: No. 12 of 2019 s. 129.]</w:t>
        </w:r>
      </w:ins>
    </w:p>
    <w:p>
      <w:pPr>
        <w:pStyle w:val="Heading5"/>
      </w:pPr>
      <w:bookmarkStart w:id="5972" w:name="_Toc104291306"/>
      <w:bookmarkStart w:id="5973" w:name="_Toc531859627"/>
      <w:r>
        <w:rPr>
          <w:rStyle w:val="CharSectno"/>
        </w:rPr>
        <w:t>278</w:t>
      </w:r>
      <w:r>
        <w:t>.</w:t>
      </w:r>
      <w:r>
        <w:tab/>
        <w:t>Caveat as to dutiable transaction not to be registered unless transaction is duty endorsed or lodged</w:t>
      </w:r>
      <w:bookmarkEnd w:id="5972"/>
      <w:bookmarkEnd w:id="5973"/>
    </w:p>
    <w:p>
      <w:pPr>
        <w:pStyle w:val="Subsection"/>
      </w:pPr>
      <w:r>
        <w:tab/>
        <w:t>(1)</w:t>
      </w:r>
      <w:r>
        <w:tab/>
        <w:t xml:space="preserve">In this section — </w:t>
      </w:r>
    </w:p>
    <w:p>
      <w:pPr>
        <w:pStyle w:val="Defstart"/>
      </w:pPr>
      <w:r>
        <w:tab/>
      </w:r>
      <w:r>
        <w:rPr>
          <w:rStyle w:val="CharDefText"/>
        </w:rPr>
        <w:t>caveat</w:t>
      </w:r>
      <w:r>
        <w:t xml:space="preserve"> means a caveat lodged under the </w:t>
      </w:r>
      <w:r>
        <w:rPr>
          <w:i/>
        </w:rPr>
        <w:t>Mining Act 1978</w:t>
      </w:r>
      <w:r>
        <w:t>;</w:t>
      </w:r>
    </w:p>
    <w:p>
      <w:pPr>
        <w:pStyle w:val="Defstart"/>
      </w:pPr>
      <w:r>
        <w:tab/>
      </w:r>
      <w:r>
        <w:rPr>
          <w:rStyle w:val="CharDefText"/>
        </w:rPr>
        <w:t>registrar</w:t>
      </w:r>
      <w:r>
        <w:t xml:space="preserve"> means a mining registrar as defined in the </w:t>
      </w:r>
      <w:r>
        <w:rPr>
          <w:i/>
        </w:rPr>
        <w:t>Mining Act 1978</w:t>
      </w:r>
      <w:r>
        <w:t xml:space="preserve"> section 8(1).</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Footnotesection"/>
        <w:spacing w:before="100"/>
        <w:ind w:left="890" w:hanging="890"/>
      </w:pPr>
      <w:r>
        <w:tab/>
        <w:t>[Section 278 amended: No. 2 of 2014 s. 55.]</w:t>
      </w:r>
    </w:p>
    <w:p>
      <w:pPr>
        <w:pStyle w:val="Heading5"/>
      </w:pPr>
      <w:bookmarkStart w:id="5974" w:name="_Toc104291307"/>
      <w:bookmarkStart w:id="5975" w:name="_Toc531859628"/>
      <w:r>
        <w:rPr>
          <w:rStyle w:val="CharSectno"/>
        </w:rPr>
        <w:t>279</w:t>
      </w:r>
      <w:r>
        <w:t>.</w:t>
      </w:r>
      <w:r>
        <w:tab/>
        <w:t>Use of transaction records in civil proceedings</w:t>
      </w:r>
      <w:bookmarkEnd w:id="5974"/>
      <w:bookmarkEnd w:id="5975"/>
    </w:p>
    <w:p>
      <w:pPr>
        <w:pStyle w:val="Subsection"/>
      </w:pPr>
      <w:r>
        <w:tab/>
        <w:t>(1)</w:t>
      </w:r>
      <w:r>
        <w:tab/>
        <w:t>Unless a transaction record for a dutiable transaction is duty endorsed, then, other than in respect of criminal proceedings, the transaction record is not available for use in any proceedings before a court or tribunal.</w:t>
      </w:r>
    </w:p>
    <w:p>
      <w:pPr>
        <w:pStyle w:val="Subsection"/>
        <w:keepNext/>
      </w:pPr>
      <w:r>
        <w:tab/>
        <w:t>(2)</w:t>
      </w:r>
      <w:r>
        <w:tab/>
        <w:t xml:space="preserve">Subsection (1) does not apply to a transaction record — </w:t>
      </w:r>
    </w:p>
    <w:p>
      <w:pPr>
        <w:pStyle w:val="Indenta"/>
      </w:pPr>
      <w:r>
        <w:tab/>
        <w:t>(a)</w:t>
      </w:r>
      <w:r>
        <w:tab/>
        <w:t xml:space="preserve">where the person that produces the transaction record is the person liable to pay the duty — </w:t>
      </w:r>
    </w:p>
    <w:p>
      <w:pPr>
        <w:pStyle w:val="Indenti"/>
      </w:pPr>
      <w:r>
        <w:tab/>
        <w:t>(i)</w:t>
      </w:r>
      <w:r>
        <w:tab/>
        <w:t>if the transaction record has been transmitted to the Commissioner; or</w:t>
      </w:r>
    </w:p>
    <w:p>
      <w:pPr>
        <w:pStyle w:val="Indenti"/>
        <w:spacing w:before="100"/>
      </w:pPr>
      <w:r>
        <w:tab/>
        <w:t>(ii)</w:t>
      </w:r>
      <w:r>
        <w:tab/>
        <w:t>if the court or tribunal is satisfied that the transaction record will be transmitted to the Commissioner in accordance with arrangements approved by the court or tribunal;</w:t>
      </w:r>
    </w:p>
    <w:p>
      <w:pPr>
        <w:pStyle w:val="Indenta"/>
        <w:spacing w:before="100"/>
      </w:pPr>
      <w:r>
        <w:tab/>
      </w:r>
      <w:r>
        <w:tab/>
        <w:t>or</w:t>
      </w:r>
    </w:p>
    <w:p>
      <w:pPr>
        <w:pStyle w:val="Indenta"/>
        <w:spacing w:before="100"/>
      </w:pPr>
      <w:r>
        <w:tab/>
        <w:t>(b)</w:t>
      </w:r>
      <w:r>
        <w:tab/>
        <w:t xml:space="preserve">where the person that produces the transaction record is not the person liable to pay the duty — </w:t>
      </w:r>
    </w:p>
    <w:p>
      <w:pPr>
        <w:pStyle w:val="Indenti"/>
        <w:spacing w:before="100"/>
      </w:pPr>
      <w:r>
        <w:tab/>
        <w:t>(i)</w:t>
      </w:r>
      <w:r>
        <w:tab/>
        <w:t>if the name and address of the person so liable and the transaction record have been transmitted to the Commissioner; or</w:t>
      </w:r>
    </w:p>
    <w:p>
      <w:pPr>
        <w:pStyle w:val="Indenti"/>
        <w:spacing w:before="100"/>
      </w:pPr>
      <w:r>
        <w:tab/>
        <w:t>(ii)</w:t>
      </w:r>
      <w:r>
        <w:tab/>
        <w:t>if the court or tribunal is satisfied that the name and address of the person so liable and the transaction record will be transmitted to the Commissioner in accordance with arrangements approved by the court or tribunal.</w:t>
      </w:r>
    </w:p>
    <w:p>
      <w:pPr>
        <w:pStyle w:val="Subsection"/>
        <w:spacing w:before="180"/>
      </w:pPr>
      <w:r>
        <w:tab/>
        <w:t>(3)</w:t>
      </w:r>
      <w:r>
        <w:tab/>
        <w:t xml:space="preserve">Subsection (1) does not apply to — </w:t>
      </w:r>
    </w:p>
    <w:p>
      <w:pPr>
        <w:pStyle w:val="Indenta"/>
      </w:pPr>
      <w:r>
        <w:tab/>
        <w:t>(a)</w:t>
      </w:r>
      <w:r>
        <w:tab/>
        <w:t>a duty endorsed duplicate of a transaction record for a dutiable transaction; or</w:t>
      </w:r>
    </w:p>
    <w:p>
      <w:pPr>
        <w:pStyle w:val="Indenta"/>
      </w:pPr>
      <w:r>
        <w:tab/>
        <w:t>(b)</w:t>
      </w:r>
      <w:r>
        <w:tab/>
        <w:t>an unexecuted copy of an instrument that effects a dutiable transaction or an instrument that evidences a dutiable transaction if a court or tribunal is satisfied that a transaction record for the dutiable transaction is duty endorsed.</w:t>
      </w:r>
    </w:p>
    <w:p>
      <w:pPr>
        <w:pStyle w:val="Footnotesection"/>
      </w:pPr>
      <w:r>
        <w:tab/>
        <w:t>[Section 279 inserted: No. 29 of 2012 s. 8.]</w:t>
      </w:r>
    </w:p>
    <w:p>
      <w:pPr>
        <w:pStyle w:val="Heading5"/>
        <w:spacing w:before="240"/>
      </w:pPr>
      <w:bookmarkStart w:id="5976" w:name="_Toc104291308"/>
      <w:bookmarkStart w:id="5977" w:name="_Toc531859629"/>
      <w:r>
        <w:rPr>
          <w:rStyle w:val="CharSectno"/>
        </w:rPr>
        <w:t>280</w:t>
      </w:r>
      <w:r>
        <w:t>.</w:t>
      </w:r>
      <w:r>
        <w:tab/>
        <w:t>Unlodged instruments, duty of non</w:t>
      </w:r>
      <w:r>
        <w:noBreakHyphen/>
        <w:t>party to lodge</w:t>
      </w:r>
      <w:bookmarkEnd w:id="5976"/>
      <w:bookmarkEnd w:id="5977"/>
    </w:p>
    <w:p>
      <w:pPr>
        <w:pStyle w:val="Subsection"/>
        <w:spacing w:before="180"/>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spacing w:before="200"/>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5978" w:name="_Toc37947114"/>
      <w:bookmarkStart w:id="5979" w:name="_Toc37947714"/>
      <w:bookmarkStart w:id="5980" w:name="_Toc38031778"/>
      <w:bookmarkStart w:id="5981" w:name="_Toc93310287"/>
      <w:bookmarkStart w:id="5982" w:name="_Toc104291309"/>
      <w:bookmarkStart w:id="5983" w:name="_Toc530491944"/>
      <w:bookmarkStart w:id="5984" w:name="_Toc530492404"/>
      <w:bookmarkStart w:id="5985" w:name="_Toc530493414"/>
      <w:bookmarkStart w:id="5986" w:name="_Toc530556549"/>
      <w:bookmarkStart w:id="5987" w:name="_Toc531692458"/>
      <w:bookmarkStart w:id="5988" w:name="_Toc531856363"/>
      <w:bookmarkStart w:id="5989" w:name="_Toc531859091"/>
      <w:bookmarkStart w:id="5990" w:name="_Toc531859630"/>
      <w:r>
        <w:rPr>
          <w:rStyle w:val="CharDivNo"/>
          <w:sz w:val="28"/>
        </w:rPr>
        <w:t>Part 3</w:t>
      </w:r>
      <w:r>
        <w:rPr>
          <w:sz w:val="28"/>
        </w:rPr>
        <w:t> — </w:t>
      </w:r>
      <w:r>
        <w:rPr>
          <w:rStyle w:val="CharDivText"/>
          <w:sz w:val="28"/>
        </w:rPr>
        <w:t>Miscellaneous</w:t>
      </w:r>
      <w:bookmarkEnd w:id="5978"/>
      <w:bookmarkEnd w:id="5979"/>
      <w:bookmarkEnd w:id="5980"/>
      <w:bookmarkEnd w:id="5981"/>
      <w:bookmarkEnd w:id="5982"/>
      <w:bookmarkEnd w:id="5983"/>
      <w:bookmarkEnd w:id="5984"/>
      <w:bookmarkEnd w:id="5985"/>
      <w:bookmarkEnd w:id="5986"/>
      <w:bookmarkEnd w:id="5987"/>
      <w:bookmarkEnd w:id="5988"/>
      <w:bookmarkEnd w:id="5989"/>
      <w:bookmarkEnd w:id="5990"/>
    </w:p>
    <w:p>
      <w:pPr>
        <w:pStyle w:val="Heading5"/>
      </w:pPr>
      <w:bookmarkStart w:id="5991" w:name="_Toc104291310"/>
      <w:bookmarkStart w:id="5992" w:name="_Toc531859631"/>
      <w:r>
        <w:rPr>
          <w:rStyle w:val="CharSectno"/>
        </w:rPr>
        <w:t>281</w:t>
      </w:r>
      <w:r>
        <w:t>.</w:t>
      </w:r>
      <w:r>
        <w:tab/>
        <w:t>Transaction records etc., Commissioner’s power to destroy</w:t>
      </w:r>
      <w:bookmarkEnd w:id="5991"/>
      <w:bookmarkEnd w:id="5992"/>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5993" w:name="_Toc104291311"/>
      <w:bookmarkStart w:id="5994" w:name="_Toc531859632"/>
      <w:r>
        <w:rPr>
          <w:rStyle w:val="CharSectno"/>
        </w:rPr>
        <w:t>282</w:t>
      </w:r>
      <w:r>
        <w:t>.</w:t>
      </w:r>
      <w:r>
        <w:tab/>
        <w:t>Correction of errors</w:t>
      </w:r>
      <w:bookmarkEnd w:id="5993"/>
      <w:bookmarkEnd w:id="5994"/>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PermNoteHeading"/>
      </w:pPr>
      <w:r>
        <w:tab/>
        <w:t>Note for this section:</w:t>
      </w:r>
    </w:p>
    <w:p>
      <w:pPr>
        <w:pStyle w:val="PermNoteText"/>
      </w:pPr>
      <w:r>
        <w:tab/>
      </w:r>
      <w:r>
        <w:tab/>
        <w:t>The following are examples of clerical errors in an instrument that effects or evidences a dutiable transaction —</w:t>
      </w:r>
    </w:p>
    <w:p>
      <w:pPr>
        <w:pStyle w:val="PermNotePara"/>
      </w:pPr>
      <w:r>
        <w:tab/>
        <w:t>(a)</w:t>
      </w:r>
      <w:r>
        <w:tab/>
        <w:t>an accidental misdescription of property;</w:t>
      </w:r>
    </w:p>
    <w:p>
      <w:pPr>
        <w:pStyle w:val="PermNotePara"/>
      </w:pPr>
      <w:r>
        <w:tab/>
        <w:t>(b)</w:t>
      </w:r>
      <w:r>
        <w:tab/>
        <w:t>an accidental misdescription of a party to the transaction.</w:t>
      </w:r>
    </w:p>
    <w:p>
      <w:pPr>
        <w:pStyle w:val="Heading5"/>
        <w:spacing w:before="180"/>
        <w:rPr>
          <w:snapToGrid w:val="0"/>
        </w:rPr>
      </w:pPr>
      <w:bookmarkStart w:id="5995" w:name="_Toc104291312"/>
      <w:bookmarkStart w:id="5996" w:name="_Toc531859633"/>
      <w:r>
        <w:rPr>
          <w:rStyle w:val="CharSectno"/>
        </w:rPr>
        <w:t>283</w:t>
      </w:r>
      <w:r>
        <w:t>.</w:t>
      </w:r>
      <w:r>
        <w:tab/>
      </w:r>
      <w:r>
        <w:rPr>
          <w:snapToGrid w:val="0"/>
        </w:rPr>
        <w:t>Amounts expressed in foreign currency</w:t>
      </w:r>
      <w:bookmarkEnd w:id="5995"/>
      <w:bookmarkEnd w:id="5996"/>
    </w:p>
    <w:p>
      <w:pPr>
        <w:pStyle w:val="Subsection"/>
        <w:rPr>
          <w:snapToGrid w:val="0"/>
        </w:rPr>
      </w:pPr>
      <w:r>
        <w:rPr>
          <w:snapToGrid w:val="0"/>
        </w:rPr>
        <w:tab/>
      </w:r>
      <w:r>
        <w:rPr>
          <w:snapToGrid w:val="0"/>
        </w:rPr>
        <w:tab/>
        <w:t xml:space="preserve">If an amount by reference to which duty has to be calculated is expressed in a currency other than the currency of Australia, the amount is the amount expressed in Australian currency according to the buy rate of exchange reported by the Reserve Bank of Australia and applicable in Australia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if the rate is not obtainable for Australia on that day — the last earlier day on which the rate was obtainable for Australia.</w:t>
      </w:r>
    </w:p>
    <w:p>
      <w:pPr>
        <w:pStyle w:val="Heading5"/>
        <w:spacing w:before="180"/>
      </w:pPr>
      <w:bookmarkStart w:id="5997" w:name="_Toc104291313"/>
      <w:bookmarkStart w:id="5998" w:name="_Toc531859634"/>
      <w:r>
        <w:rPr>
          <w:rStyle w:val="CharSectno"/>
        </w:rPr>
        <w:t>284</w:t>
      </w:r>
      <w:r>
        <w:t>.</w:t>
      </w:r>
      <w:r>
        <w:tab/>
        <w:t>Application of Corporations Act s. 1070A(1)(a) limited</w:t>
      </w:r>
      <w:bookmarkEnd w:id="5997"/>
      <w:bookmarkEnd w:id="5998"/>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spacing w:before="180"/>
      </w:pPr>
      <w:bookmarkStart w:id="5999" w:name="_Toc104291314"/>
      <w:bookmarkStart w:id="6000" w:name="_Toc531859635"/>
      <w:r>
        <w:rPr>
          <w:rStyle w:val="CharSectno"/>
        </w:rPr>
        <w:t>285</w:t>
      </w:r>
      <w:r>
        <w:t>.</w:t>
      </w:r>
      <w:r>
        <w:tab/>
        <w:t>Regulations</w:t>
      </w:r>
      <w:bookmarkEnd w:id="5999"/>
      <w:bookmarkEnd w:id="6000"/>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6001" w:name="_Toc104291315"/>
      <w:bookmarkStart w:id="6002" w:name="_Toc531859636"/>
      <w:r>
        <w:rPr>
          <w:rStyle w:val="CharSectno"/>
        </w:rPr>
        <w:t>286</w:t>
      </w:r>
      <w:r>
        <w:t>.</w:t>
      </w:r>
      <w:r>
        <w:tab/>
        <w:t>Transitional provisions (Sch. 3)</w:t>
      </w:r>
      <w:bookmarkEnd w:id="6001"/>
      <w:bookmarkEnd w:id="6002"/>
    </w:p>
    <w:p>
      <w:pPr>
        <w:pStyle w:val="Subsection"/>
      </w:pPr>
      <w:r>
        <w:tab/>
      </w:r>
      <w:r>
        <w:tab/>
        <w:t>Schedule 3 sets out transitional provisions.</w:t>
      </w:r>
    </w:p>
    <w:p>
      <w:pPr>
        <w:pStyle w:val="Subsection"/>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6003" w:name="_Toc37947121"/>
      <w:bookmarkStart w:id="6004" w:name="_Toc37947721"/>
      <w:bookmarkStart w:id="6005" w:name="_Toc38031785"/>
      <w:bookmarkStart w:id="6006" w:name="_Toc93310294"/>
      <w:bookmarkStart w:id="6007" w:name="_Toc104291316"/>
      <w:bookmarkStart w:id="6008" w:name="_Toc530491951"/>
      <w:bookmarkStart w:id="6009" w:name="_Toc530492411"/>
      <w:bookmarkStart w:id="6010" w:name="_Toc530493421"/>
      <w:bookmarkStart w:id="6011" w:name="_Toc530556556"/>
      <w:bookmarkStart w:id="6012" w:name="_Toc531692465"/>
      <w:bookmarkStart w:id="6013" w:name="_Toc531856370"/>
      <w:bookmarkStart w:id="6014" w:name="_Toc531859098"/>
      <w:bookmarkStart w:id="6015" w:name="_Toc531859637"/>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6003"/>
      <w:bookmarkEnd w:id="6004"/>
      <w:bookmarkEnd w:id="6005"/>
      <w:bookmarkEnd w:id="6006"/>
      <w:bookmarkEnd w:id="6007"/>
      <w:bookmarkEnd w:id="6008"/>
      <w:bookmarkEnd w:id="6009"/>
      <w:bookmarkEnd w:id="6010"/>
      <w:bookmarkEnd w:id="6011"/>
      <w:bookmarkEnd w:id="6012"/>
      <w:bookmarkEnd w:id="6013"/>
      <w:bookmarkEnd w:id="6014"/>
      <w:bookmarkEnd w:id="6015"/>
    </w:p>
    <w:p>
      <w:pPr>
        <w:pStyle w:val="yShoulderClause"/>
        <w:spacing w:after="120"/>
      </w:pPr>
      <w:r>
        <w:t>[s. 19 and 20]</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4"/>
        <w:gridCol w:w="1745"/>
        <w:gridCol w:w="1854"/>
        <w:gridCol w:w="1745"/>
      </w:tblGrid>
      <w:tr>
        <w:trPr>
          <w:cantSplit/>
          <w:tblHeader/>
        </w:trPr>
        <w:tc>
          <w:tcPr>
            <w:tcW w:w="1744" w:type="dxa"/>
            <w:tcBorders>
              <w:left w:val="nil"/>
              <w:bottom w:val="single" w:sz="4" w:space="0" w:color="auto"/>
              <w:right w:val="nil"/>
            </w:tcBorders>
          </w:tcPr>
          <w:p>
            <w:pPr>
              <w:pStyle w:val="yTableNAm"/>
              <w:rPr>
                <w:b/>
              </w:rPr>
            </w:pPr>
            <w:r>
              <w:rPr>
                <w:b/>
              </w:rPr>
              <w:t>Column 1</w:t>
            </w:r>
          </w:p>
          <w:p>
            <w:pPr>
              <w:pStyle w:val="yTableNAm"/>
              <w:rPr>
                <w:b/>
              </w:rPr>
            </w:pPr>
            <w:r>
              <w:rPr>
                <w:b/>
              </w:rPr>
              <w:t>Provision of section 11</w:t>
            </w:r>
          </w:p>
        </w:tc>
        <w:tc>
          <w:tcPr>
            <w:tcW w:w="1745" w:type="dxa"/>
            <w:tcBorders>
              <w:left w:val="nil"/>
              <w:bottom w:val="single" w:sz="4" w:space="0" w:color="auto"/>
              <w:right w:val="nil"/>
            </w:tcBorders>
          </w:tcPr>
          <w:p>
            <w:pPr>
              <w:pStyle w:val="yTableNAm"/>
              <w:rPr>
                <w:b/>
              </w:rPr>
            </w:pPr>
            <w:r>
              <w:rPr>
                <w:b/>
              </w:rPr>
              <w:t>Column 2</w:t>
            </w:r>
          </w:p>
          <w:p>
            <w:pPr>
              <w:pStyle w:val="yTableNAm"/>
              <w:rPr>
                <w:b/>
              </w:rPr>
            </w:pPr>
            <w:r>
              <w:rPr>
                <w:b/>
              </w:rPr>
              <w:t>Dutiable transaction</w:t>
            </w:r>
          </w:p>
        </w:tc>
        <w:tc>
          <w:tcPr>
            <w:tcW w:w="1854" w:type="dxa"/>
            <w:tcBorders>
              <w:left w:val="nil"/>
              <w:bottom w:val="single" w:sz="4" w:space="0" w:color="auto"/>
              <w:right w:val="nil"/>
            </w:tcBorders>
          </w:tcPr>
          <w:p>
            <w:pPr>
              <w:pStyle w:val="yTableNAm"/>
              <w:rPr>
                <w:b/>
              </w:rPr>
            </w:pPr>
            <w:r>
              <w:rPr>
                <w:b/>
              </w:rPr>
              <w:t>Column 3</w:t>
            </w:r>
          </w:p>
          <w:p>
            <w:pPr>
              <w:pStyle w:val="yTableNAm"/>
              <w:rPr>
                <w:b/>
              </w:rPr>
            </w:pPr>
            <w:r>
              <w:rPr>
                <w:b/>
              </w:rPr>
              <w:t>When liability for transfer duty arises</w:t>
            </w:r>
          </w:p>
        </w:tc>
        <w:tc>
          <w:tcPr>
            <w:tcW w:w="1745" w:type="dxa"/>
            <w:tcBorders>
              <w:left w:val="nil"/>
              <w:bottom w:val="single" w:sz="4" w:space="0" w:color="auto"/>
              <w:right w:val="nil"/>
            </w:tcBorders>
          </w:tcPr>
          <w:p>
            <w:pPr>
              <w:pStyle w:val="yTableNAm"/>
              <w:rPr>
                <w:b/>
              </w:rPr>
            </w:pPr>
            <w:r>
              <w:rPr>
                <w:b/>
              </w:rPr>
              <w:t>Column 4</w:t>
            </w:r>
          </w:p>
          <w:p>
            <w:pPr>
              <w:pStyle w:val="yTableNAm"/>
              <w:rPr>
                <w:b/>
              </w:rPr>
            </w:pPr>
            <w:r>
              <w:rPr>
                <w:b/>
              </w:rPr>
              <w:t>Person liable to pay transfer duty</w:t>
            </w:r>
          </w:p>
        </w:tc>
      </w:tr>
      <w:tr>
        <w:trPr>
          <w:cantSplit/>
        </w:trPr>
        <w:tc>
          <w:tcPr>
            <w:tcW w:w="1744" w:type="dxa"/>
            <w:tcBorders>
              <w:top w:val="nil"/>
              <w:left w:val="nil"/>
              <w:bottom w:val="nil"/>
              <w:right w:val="nil"/>
            </w:tcBorders>
          </w:tcPr>
          <w:p>
            <w:pPr>
              <w:pStyle w:val="yTableNAm"/>
            </w:pPr>
            <w:r>
              <w:t>s. 11(1)(a)</w:t>
            </w:r>
          </w:p>
        </w:tc>
        <w:tc>
          <w:tcPr>
            <w:tcW w:w="1745" w:type="dxa"/>
            <w:tcBorders>
              <w:top w:val="nil"/>
              <w:left w:val="nil"/>
              <w:bottom w:val="nil"/>
              <w:right w:val="nil"/>
            </w:tcBorders>
          </w:tcPr>
          <w:p>
            <w:pPr>
              <w:pStyle w:val="yTableNAm"/>
            </w:pPr>
            <w:r>
              <w:t>Transfer</w:t>
            </w:r>
          </w:p>
        </w:tc>
        <w:tc>
          <w:tcPr>
            <w:tcW w:w="1854" w:type="dxa"/>
            <w:tcBorders>
              <w:top w:val="nil"/>
              <w:left w:val="nil"/>
              <w:bottom w:val="nil"/>
              <w:right w:val="nil"/>
            </w:tcBorders>
          </w:tcPr>
          <w:p>
            <w:pPr>
              <w:pStyle w:val="yTableNAm"/>
            </w:pPr>
            <w:r>
              <w:t xml:space="preserve">When the property is transferred </w:t>
            </w:r>
          </w:p>
        </w:tc>
        <w:tc>
          <w:tcPr>
            <w:tcW w:w="1745" w:type="dxa"/>
            <w:tcBorders>
              <w:top w:val="nil"/>
              <w:left w:val="nil"/>
              <w:bottom w:val="nil"/>
              <w:right w:val="nil"/>
            </w:tcBorders>
          </w:tcPr>
          <w:p>
            <w:pPr>
              <w:pStyle w:val="yTableNAm"/>
            </w:pPr>
            <w:r>
              <w:t>Transferee</w:t>
            </w:r>
          </w:p>
        </w:tc>
      </w:tr>
      <w:tr>
        <w:trPr>
          <w:cantSplit/>
        </w:trPr>
        <w:tc>
          <w:tcPr>
            <w:tcW w:w="1744" w:type="dxa"/>
            <w:tcBorders>
              <w:top w:val="nil"/>
              <w:left w:val="nil"/>
              <w:bottom w:val="nil"/>
              <w:right w:val="nil"/>
            </w:tcBorders>
          </w:tcPr>
          <w:p>
            <w:pPr>
              <w:pStyle w:val="yTableNAm"/>
            </w:pPr>
            <w:r>
              <w:t>s. 11(1)(b)</w:t>
            </w:r>
          </w:p>
        </w:tc>
        <w:tc>
          <w:tcPr>
            <w:tcW w:w="1745" w:type="dxa"/>
            <w:tcBorders>
              <w:top w:val="nil"/>
              <w:left w:val="nil"/>
              <w:bottom w:val="nil"/>
              <w:right w:val="nil"/>
            </w:tcBorders>
          </w:tcPr>
          <w:p>
            <w:pPr>
              <w:pStyle w:val="yTableNAm"/>
            </w:pPr>
            <w:r>
              <w:t>Agreement for transfer</w:t>
            </w:r>
          </w:p>
        </w:tc>
        <w:tc>
          <w:tcPr>
            <w:tcW w:w="1854" w:type="dxa"/>
            <w:tcBorders>
              <w:top w:val="nil"/>
              <w:left w:val="nil"/>
              <w:bottom w:val="nil"/>
              <w:right w:val="nil"/>
            </w:tcBorders>
          </w:tcPr>
          <w:p>
            <w:pPr>
              <w:pStyle w:val="yTableNAm"/>
            </w:pPr>
            <w:r>
              <w:t>When the agreement is made</w:t>
            </w:r>
          </w:p>
        </w:tc>
        <w:tc>
          <w:tcPr>
            <w:tcW w:w="1745" w:type="dxa"/>
            <w:tcBorders>
              <w:top w:val="nil"/>
              <w:left w:val="nil"/>
              <w:bottom w:val="nil"/>
              <w:right w:val="nil"/>
            </w:tcBorders>
          </w:tcPr>
          <w:p>
            <w:pPr>
              <w:pStyle w:val="yTableNAm"/>
            </w:pPr>
            <w:r>
              <w:t>Purchaser or transferee</w:t>
            </w:r>
          </w:p>
        </w:tc>
      </w:tr>
      <w:tr>
        <w:trPr>
          <w:cantSplit/>
        </w:trPr>
        <w:tc>
          <w:tcPr>
            <w:tcW w:w="1744" w:type="dxa"/>
            <w:tcBorders>
              <w:top w:val="nil"/>
              <w:left w:val="nil"/>
              <w:bottom w:val="nil"/>
              <w:right w:val="nil"/>
            </w:tcBorders>
          </w:tcPr>
          <w:p>
            <w:pPr>
              <w:pStyle w:val="yTableNAm"/>
            </w:pPr>
            <w:r>
              <w:t>s. 11(1)(c)</w:t>
            </w:r>
          </w:p>
        </w:tc>
        <w:tc>
          <w:tcPr>
            <w:tcW w:w="1745" w:type="dxa"/>
            <w:tcBorders>
              <w:top w:val="nil"/>
              <w:left w:val="nil"/>
              <w:bottom w:val="nil"/>
              <w:right w:val="nil"/>
            </w:tcBorders>
          </w:tcPr>
          <w:p>
            <w:pPr>
              <w:pStyle w:val="yTableNAm"/>
            </w:pPr>
            <w:r>
              <w:t>Declaration of trust</w:t>
            </w:r>
          </w:p>
        </w:tc>
        <w:tc>
          <w:tcPr>
            <w:tcW w:w="1854" w:type="dxa"/>
            <w:tcBorders>
              <w:top w:val="nil"/>
              <w:left w:val="nil"/>
              <w:bottom w:val="nil"/>
              <w:right w:val="nil"/>
            </w:tcBorders>
          </w:tcPr>
          <w:p>
            <w:pPr>
              <w:pStyle w:val="yTableNAm"/>
            </w:pPr>
            <w:r>
              <w:t>When the declaration is made</w:t>
            </w:r>
          </w:p>
        </w:tc>
        <w:tc>
          <w:tcPr>
            <w:tcW w:w="1745" w:type="dxa"/>
            <w:tcBorders>
              <w:top w:val="nil"/>
              <w:left w:val="nil"/>
              <w:bottom w:val="nil"/>
              <w:right w:val="nil"/>
            </w:tcBorders>
          </w:tcPr>
          <w:p>
            <w:pPr>
              <w:pStyle w:val="yTableNAm"/>
            </w:pPr>
            <w:r>
              <w:t>Person making the declaration</w:t>
            </w:r>
          </w:p>
        </w:tc>
      </w:tr>
      <w:tr>
        <w:trPr>
          <w:cantSplit/>
        </w:trPr>
        <w:tc>
          <w:tcPr>
            <w:tcW w:w="1744" w:type="dxa"/>
            <w:tcBorders>
              <w:top w:val="nil"/>
              <w:left w:val="nil"/>
              <w:bottom w:val="nil"/>
              <w:right w:val="nil"/>
            </w:tcBorders>
          </w:tcPr>
          <w:p>
            <w:pPr>
              <w:pStyle w:val="yTableNAm"/>
            </w:pPr>
            <w:r>
              <w:t>s. 11(1)(d)(i)</w:t>
            </w:r>
          </w:p>
        </w:tc>
        <w:tc>
          <w:tcPr>
            <w:tcW w:w="1745" w:type="dxa"/>
            <w:tcBorders>
              <w:top w:val="nil"/>
              <w:left w:val="nil"/>
              <w:bottom w:val="nil"/>
              <w:right w:val="nil"/>
            </w:tcBorders>
          </w:tcPr>
          <w:p>
            <w:pPr>
              <w:pStyle w:val="yTableNAm"/>
            </w:pPr>
            <w:r>
              <w:t>Vesting by statute law</w:t>
            </w:r>
          </w:p>
        </w:tc>
        <w:tc>
          <w:tcPr>
            <w:tcW w:w="1854" w:type="dxa"/>
            <w:tcBorders>
              <w:top w:val="nil"/>
              <w:left w:val="nil"/>
              <w:bottom w:val="nil"/>
              <w:right w:val="nil"/>
            </w:tcBorders>
          </w:tcPr>
          <w:p>
            <w:pPr>
              <w:pStyle w:val="yTableNAm"/>
            </w:pPr>
            <w:r>
              <w:t>When the vesting takes place</w:t>
            </w:r>
          </w:p>
        </w:tc>
        <w:tc>
          <w:tcPr>
            <w:tcW w:w="1745" w:type="dxa"/>
            <w:tcBorders>
              <w:top w:val="nil"/>
              <w:left w:val="nil"/>
              <w:bottom w:val="nil"/>
              <w:right w:val="nil"/>
            </w:tcBorders>
          </w:tcPr>
          <w:p>
            <w:pPr>
              <w:pStyle w:val="yTableNAm"/>
            </w:pPr>
            <w:r>
              <w:t>Person in whom the property is vested</w:t>
            </w:r>
          </w:p>
        </w:tc>
      </w:tr>
      <w:tr>
        <w:trPr>
          <w:cantSplit/>
        </w:trPr>
        <w:tc>
          <w:tcPr>
            <w:tcW w:w="1744" w:type="dxa"/>
            <w:tcBorders>
              <w:top w:val="nil"/>
              <w:left w:val="nil"/>
              <w:bottom w:val="nil"/>
              <w:right w:val="nil"/>
            </w:tcBorders>
          </w:tcPr>
          <w:p>
            <w:pPr>
              <w:pStyle w:val="yTableNAm"/>
            </w:pPr>
            <w:r>
              <w:t>s. 11(1)(d)(ii)</w:t>
            </w:r>
          </w:p>
        </w:tc>
        <w:tc>
          <w:tcPr>
            <w:tcW w:w="1745" w:type="dxa"/>
            <w:tcBorders>
              <w:top w:val="nil"/>
              <w:left w:val="nil"/>
              <w:bottom w:val="nil"/>
              <w:right w:val="nil"/>
            </w:tcBorders>
          </w:tcPr>
          <w:p>
            <w:pPr>
              <w:pStyle w:val="yTableNAm"/>
            </w:pPr>
            <w:r>
              <w:t>Vesting by court order</w:t>
            </w:r>
          </w:p>
        </w:tc>
        <w:tc>
          <w:tcPr>
            <w:tcW w:w="1854" w:type="dxa"/>
            <w:tcBorders>
              <w:top w:val="nil"/>
              <w:left w:val="nil"/>
              <w:bottom w:val="nil"/>
              <w:right w:val="nil"/>
            </w:tcBorders>
          </w:tcPr>
          <w:p>
            <w:pPr>
              <w:pStyle w:val="yTableNAm"/>
            </w:pPr>
            <w:r>
              <w:t>When the order is made</w:t>
            </w:r>
          </w:p>
        </w:tc>
        <w:tc>
          <w:tcPr>
            <w:tcW w:w="1745" w:type="dxa"/>
            <w:tcBorders>
              <w:top w:val="nil"/>
              <w:left w:val="nil"/>
              <w:bottom w:val="nil"/>
              <w:right w:val="nil"/>
            </w:tcBorders>
          </w:tcPr>
          <w:p>
            <w:pPr>
              <w:pStyle w:val="yTableNAm"/>
            </w:pPr>
            <w:r>
              <w:t>Person in whom the property is vested</w:t>
            </w:r>
          </w:p>
        </w:tc>
      </w:tr>
      <w:tr>
        <w:trPr>
          <w:cantSplit/>
        </w:trPr>
        <w:tc>
          <w:tcPr>
            <w:tcW w:w="1744" w:type="dxa"/>
            <w:tcBorders>
              <w:top w:val="nil"/>
              <w:left w:val="nil"/>
              <w:bottom w:val="nil"/>
              <w:right w:val="nil"/>
            </w:tcBorders>
          </w:tcPr>
          <w:p>
            <w:pPr>
              <w:pStyle w:val="yTableNAm"/>
            </w:pPr>
            <w:r>
              <w:t>s. 11(1)(e)</w:t>
            </w:r>
          </w:p>
        </w:tc>
        <w:tc>
          <w:tcPr>
            <w:tcW w:w="1745" w:type="dxa"/>
            <w:tcBorders>
              <w:top w:val="nil"/>
              <w:left w:val="nil"/>
              <w:bottom w:val="nil"/>
              <w:right w:val="nil"/>
            </w:tcBorders>
          </w:tcPr>
          <w:p>
            <w:pPr>
              <w:pStyle w:val="yTableNAm"/>
            </w:pPr>
            <w:r>
              <w:t>Foreclosure of mortgage</w:t>
            </w:r>
          </w:p>
        </w:tc>
        <w:tc>
          <w:tcPr>
            <w:tcW w:w="1854" w:type="dxa"/>
            <w:tcBorders>
              <w:top w:val="nil"/>
              <w:left w:val="nil"/>
              <w:bottom w:val="nil"/>
              <w:right w:val="nil"/>
            </w:tcBorders>
          </w:tcPr>
          <w:p>
            <w:pPr>
              <w:pStyle w:val="yTableNAm"/>
            </w:pPr>
            <w:r>
              <w:t>When the foreclosure order is made</w:t>
            </w:r>
          </w:p>
        </w:tc>
        <w:tc>
          <w:tcPr>
            <w:tcW w:w="1745" w:type="dxa"/>
            <w:tcBorders>
              <w:top w:val="nil"/>
              <w:left w:val="nil"/>
              <w:bottom w:val="nil"/>
              <w:right w:val="nil"/>
            </w:tcBorders>
          </w:tcPr>
          <w:p>
            <w:pPr>
              <w:pStyle w:val="yTableNAm"/>
            </w:pPr>
            <w:r>
              <w:t>Mortgagee</w:t>
            </w:r>
          </w:p>
        </w:tc>
      </w:tr>
      <w:tr>
        <w:trPr>
          <w:cantSplit/>
          <w:trHeight w:val="1508"/>
        </w:trPr>
        <w:tc>
          <w:tcPr>
            <w:tcW w:w="1744" w:type="dxa"/>
            <w:tcBorders>
              <w:top w:val="nil"/>
              <w:left w:val="nil"/>
              <w:bottom w:val="nil"/>
              <w:right w:val="nil"/>
            </w:tcBorders>
          </w:tcPr>
          <w:p>
            <w:pPr>
              <w:pStyle w:val="yTableNAm"/>
            </w:pPr>
            <w:r>
              <w:t>s. 11(1)(f)</w:t>
            </w:r>
          </w:p>
        </w:tc>
        <w:tc>
          <w:tcPr>
            <w:tcW w:w="1745" w:type="dxa"/>
            <w:tcBorders>
              <w:top w:val="nil"/>
              <w:left w:val="nil"/>
              <w:bottom w:val="nil"/>
              <w:right w:val="nil"/>
            </w:tcBorders>
          </w:tcPr>
          <w:p>
            <w:pPr>
              <w:pStyle w:val="yTableNAm"/>
            </w:pPr>
            <w:r>
              <w:t>Acquisition of new dutiable property</w:t>
            </w:r>
          </w:p>
        </w:tc>
        <w:tc>
          <w:tcPr>
            <w:tcW w:w="1854"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property is </w:t>
            </w:r>
            <w:r>
              <w:tab/>
              <w:t>acquired; or</w:t>
            </w:r>
          </w:p>
        </w:tc>
        <w:tc>
          <w:tcPr>
            <w:tcW w:w="1745" w:type="dxa"/>
            <w:tcBorders>
              <w:top w:val="nil"/>
              <w:left w:val="nil"/>
              <w:bottom w:val="nil"/>
              <w:right w:val="nil"/>
            </w:tcBorders>
          </w:tcPr>
          <w:p>
            <w:pPr>
              <w:pStyle w:val="yTableNAm"/>
            </w:pPr>
            <w:r>
              <w:t>Person that acquires the property</w:t>
            </w:r>
          </w:p>
        </w:tc>
      </w:tr>
      <w:tr>
        <w:trPr>
          <w:cantSplit/>
          <w:trHeight w:val="1869"/>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r>
              <w:t>(b)</w:t>
            </w:r>
            <w:r>
              <w:tab/>
              <w:t xml:space="preserve">if an </w:t>
            </w:r>
            <w:r>
              <w:tab/>
              <w:t xml:space="preserve">instrument </w:t>
            </w:r>
            <w:r>
              <w:tab/>
              <w:t xml:space="preserve">evidences </w:t>
            </w:r>
            <w:r>
              <w:tab/>
              <w:t xml:space="preserve">the </w:t>
            </w:r>
            <w:r>
              <w:tab/>
              <w:t xml:space="preserve">acquisition, </w:t>
            </w:r>
            <w:r>
              <w:tab/>
              <w:t xml:space="preserve">when the </w:t>
            </w:r>
            <w:r>
              <w:tab/>
              <w:t xml:space="preserve">instrument </w:t>
            </w:r>
            <w:r>
              <w:tab/>
              <w:t>is executed</w:t>
            </w:r>
          </w:p>
        </w:tc>
        <w:tc>
          <w:tcPr>
            <w:tcW w:w="1745" w:type="dxa"/>
            <w:tcBorders>
              <w:top w:val="nil"/>
              <w:left w:val="nil"/>
              <w:bottom w:val="nil"/>
              <w:right w:val="nil"/>
            </w:tcBorders>
          </w:tcPr>
          <w:p>
            <w:pPr>
              <w:pStyle w:val="yTableNAm"/>
            </w:pPr>
          </w:p>
        </w:tc>
      </w:tr>
      <w:tr>
        <w:trPr>
          <w:cantSplit/>
        </w:trPr>
        <w:tc>
          <w:tcPr>
            <w:tcW w:w="1744" w:type="dxa"/>
            <w:tcBorders>
              <w:top w:val="nil"/>
              <w:left w:val="nil"/>
              <w:bottom w:val="nil"/>
              <w:right w:val="nil"/>
            </w:tcBorders>
          </w:tcPr>
          <w:p>
            <w:pPr>
              <w:pStyle w:val="yTableNAm"/>
            </w:pPr>
            <w:r>
              <w:t>s. 11(1)(g)</w:t>
            </w:r>
          </w:p>
        </w:tc>
        <w:tc>
          <w:tcPr>
            <w:tcW w:w="1745" w:type="dxa"/>
            <w:tcBorders>
              <w:top w:val="nil"/>
              <w:left w:val="nil"/>
              <w:bottom w:val="nil"/>
              <w:right w:val="nil"/>
            </w:tcBorders>
          </w:tcPr>
          <w:p>
            <w:pPr>
              <w:pStyle w:val="yTableNAm"/>
            </w:pPr>
            <w:r>
              <w:t>Surrender of special dutiable property</w:t>
            </w:r>
          </w:p>
        </w:tc>
        <w:tc>
          <w:tcPr>
            <w:tcW w:w="1854" w:type="dxa"/>
            <w:tcBorders>
              <w:top w:val="nil"/>
              <w:left w:val="nil"/>
              <w:bottom w:val="nil"/>
              <w:right w:val="nil"/>
            </w:tcBorders>
          </w:tcPr>
          <w:p>
            <w:pPr>
              <w:pStyle w:val="yTableNAm"/>
            </w:pPr>
            <w:r>
              <w:t>When the surrender takes place</w:t>
            </w:r>
          </w:p>
        </w:tc>
        <w:tc>
          <w:tcPr>
            <w:tcW w:w="1745" w:type="dxa"/>
            <w:tcBorders>
              <w:top w:val="nil"/>
              <w:left w:val="nil"/>
              <w:bottom w:val="nil"/>
              <w:right w:val="nil"/>
            </w:tcBorders>
          </w:tcPr>
          <w:p>
            <w:pPr>
              <w:pStyle w:val="yTableNAm"/>
            </w:pPr>
            <w:r>
              <w:t>Person to whom the interest is surrendered; or</w:t>
            </w:r>
          </w:p>
        </w:tc>
      </w:tr>
      <w:tr>
        <w:trPr>
          <w:cantSplit/>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r>
              <w:t>in the case of a surrender referred to in section 18(f), the person to whom the mining tenement is granted in accordance with the agreement; or</w:t>
            </w:r>
          </w:p>
        </w:tc>
      </w:tr>
      <w:tr>
        <w:trPr>
          <w:cantSplit/>
        </w:trPr>
        <w:tc>
          <w:tcPr>
            <w:tcW w:w="174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p>
        </w:tc>
        <w:tc>
          <w:tcPr>
            <w:tcW w:w="1854" w:type="dxa"/>
            <w:tcBorders>
              <w:top w:val="nil"/>
              <w:left w:val="nil"/>
              <w:bottom w:val="nil"/>
              <w:right w:val="nil"/>
            </w:tcBorders>
          </w:tcPr>
          <w:p>
            <w:pPr>
              <w:pStyle w:val="yTableNAm"/>
            </w:pPr>
          </w:p>
        </w:tc>
        <w:tc>
          <w:tcPr>
            <w:tcW w:w="1745" w:type="dxa"/>
            <w:tcBorders>
              <w:top w:val="nil"/>
              <w:left w:val="nil"/>
              <w:bottom w:val="nil"/>
              <w:right w:val="nil"/>
            </w:tcBorders>
          </w:tcPr>
          <w:p>
            <w:pPr>
              <w:pStyle w:val="yTableNAm"/>
            </w:pPr>
            <w:r>
              <w:t xml:space="preserve">in the case of a surrender referred to in section 18(g), </w:t>
            </w:r>
            <w:ins w:id="6016" w:author="Master Repository Process" w:date="2022-05-27T14:27:00Z">
              <w:r>
                <w:t xml:space="preserve">(ga), (gb) or (gc), </w:t>
              </w:r>
            </w:ins>
            <w:r>
              <w:t>the person that paid the consideration for the surrender</w:t>
            </w:r>
          </w:p>
        </w:tc>
      </w:tr>
      <w:tr>
        <w:trPr>
          <w:cantSplit/>
        </w:trPr>
        <w:tc>
          <w:tcPr>
            <w:tcW w:w="1744" w:type="dxa"/>
            <w:tcBorders>
              <w:top w:val="nil"/>
              <w:left w:val="nil"/>
              <w:bottom w:val="nil"/>
              <w:right w:val="nil"/>
            </w:tcBorders>
          </w:tcPr>
          <w:p>
            <w:pPr>
              <w:pStyle w:val="yTableNAm"/>
            </w:pPr>
            <w:r>
              <w:t xml:space="preserve">s. 11(1)(h) </w:t>
            </w:r>
          </w:p>
        </w:tc>
        <w:tc>
          <w:tcPr>
            <w:tcW w:w="1745" w:type="dxa"/>
            <w:tcBorders>
              <w:top w:val="nil"/>
              <w:left w:val="nil"/>
              <w:bottom w:val="nil"/>
              <w:right w:val="nil"/>
            </w:tcBorders>
          </w:tcPr>
          <w:p>
            <w:pPr>
              <w:pStyle w:val="yTableNAm"/>
            </w:pPr>
            <w:r>
              <w:t xml:space="preserve">A trust acquisition or trust surrender </w:t>
            </w:r>
          </w:p>
        </w:tc>
        <w:tc>
          <w:tcPr>
            <w:tcW w:w="1854" w:type="dxa"/>
            <w:tcBorders>
              <w:top w:val="nil"/>
              <w:left w:val="nil"/>
              <w:bottom w:val="nil"/>
              <w:right w:val="nil"/>
            </w:tcBorders>
          </w:tcPr>
          <w:p>
            <w:pPr>
              <w:pStyle w:val="yTableNAm"/>
            </w:pPr>
            <w:r>
              <w:t>When the interest in the trust is acquired or surrendered</w:t>
            </w:r>
          </w:p>
        </w:tc>
        <w:tc>
          <w:tcPr>
            <w:tcW w:w="1745" w:type="dxa"/>
            <w:tcBorders>
              <w:top w:val="nil"/>
              <w:left w:val="nil"/>
              <w:bottom w:val="nil"/>
              <w:right w:val="nil"/>
            </w:tcBorders>
          </w:tcPr>
          <w:p>
            <w:pPr>
              <w:pStyle w:val="yTableNAm"/>
            </w:pPr>
            <w:r>
              <w:t>Person that is the trustee of the discretionary trust</w:t>
            </w:r>
          </w:p>
        </w:tc>
      </w:tr>
      <w:tr>
        <w:trPr>
          <w:cantSplit/>
        </w:trPr>
        <w:tc>
          <w:tcPr>
            <w:tcW w:w="1744" w:type="dxa"/>
            <w:tcBorders>
              <w:top w:val="nil"/>
              <w:left w:val="nil"/>
              <w:bottom w:val="nil"/>
              <w:right w:val="nil"/>
            </w:tcBorders>
          </w:tcPr>
          <w:p>
            <w:pPr>
              <w:pStyle w:val="yTableNAm"/>
            </w:pPr>
            <w:r>
              <w:t>s. 11(1)(i)</w:t>
            </w:r>
          </w:p>
        </w:tc>
        <w:tc>
          <w:tcPr>
            <w:tcW w:w="1745" w:type="dxa"/>
            <w:tcBorders>
              <w:top w:val="nil"/>
              <w:left w:val="nil"/>
              <w:bottom w:val="nil"/>
              <w:right w:val="nil"/>
            </w:tcBorders>
          </w:tcPr>
          <w:p>
            <w:pPr>
              <w:pStyle w:val="yTableNAm"/>
            </w:pPr>
            <w:r>
              <w:t>A partnership acquisition</w:t>
            </w:r>
          </w:p>
        </w:tc>
        <w:tc>
          <w:tcPr>
            <w:tcW w:w="1854" w:type="dxa"/>
            <w:tcBorders>
              <w:top w:val="nil"/>
              <w:left w:val="nil"/>
              <w:bottom w:val="nil"/>
              <w:right w:val="nil"/>
            </w:tcBorders>
          </w:tcPr>
          <w:p>
            <w:pPr>
              <w:pStyle w:val="yTableNAm"/>
            </w:pPr>
            <w:r>
              <w:t xml:space="preserve">The earlier of the following — </w:t>
            </w:r>
          </w:p>
          <w:p>
            <w:pPr>
              <w:pStyle w:val="yTableNAm"/>
            </w:pPr>
            <w:r>
              <w:t>(a)</w:t>
            </w:r>
            <w:r>
              <w:tab/>
              <w:t xml:space="preserve">when the </w:t>
            </w:r>
            <w:r>
              <w:tab/>
              <w:t xml:space="preserve">partnership </w:t>
            </w:r>
            <w:r>
              <w:tab/>
              <w:t xml:space="preserve">interest is </w:t>
            </w:r>
            <w:r>
              <w:tab/>
              <w:t>acquired; or</w:t>
            </w:r>
          </w:p>
          <w:p>
            <w:pPr>
              <w:pStyle w:val="yTableNAm"/>
            </w:pPr>
            <w:r>
              <w:t>(b)</w:t>
            </w:r>
            <w:r>
              <w:tab/>
              <w:t xml:space="preserve">if the </w:t>
            </w:r>
            <w:r>
              <w:tab/>
              <w:t xml:space="preserve">acquisition </w:t>
            </w:r>
            <w:r>
              <w:tab/>
              <w:t xml:space="preserve">is </w:t>
            </w:r>
            <w:r>
              <w:tab/>
              <w:t xml:space="preserve">evidenced </w:t>
            </w:r>
            <w:r>
              <w:tab/>
              <w:t xml:space="preserve">by an </w:t>
            </w:r>
            <w:r>
              <w:tab/>
              <w:t xml:space="preserve">instrument, </w:t>
            </w:r>
            <w:r>
              <w:tab/>
              <w:t xml:space="preserve">when the </w:t>
            </w:r>
            <w:r>
              <w:tab/>
              <w:t xml:space="preserve">instrument </w:t>
            </w:r>
            <w:r>
              <w:tab/>
              <w:t>is executed</w:t>
            </w:r>
          </w:p>
        </w:tc>
        <w:tc>
          <w:tcPr>
            <w:tcW w:w="1745" w:type="dxa"/>
            <w:tcBorders>
              <w:top w:val="nil"/>
              <w:left w:val="nil"/>
              <w:bottom w:val="nil"/>
              <w:right w:val="nil"/>
            </w:tcBorders>
          </w:tcPr>
          <w:p>
            <w:pPr>
              <w:pStyle w:val="yTableNAm"/>
            </w:pPr>
            <w:r>
              <w:t>Person that acquires the partnership interest</w:t>
            </w:r>
          </w:p>
        </w:tc>
      </w:tr>
      <w:tr>
        <w:trPr>
          <w:cantSplit/>
        </w:trPr>
        <w:tc>
          <w:tcPr>
            <w:tcW w:w="1744" w:type="dxa"/>
            <w:tcBorders>
              <w:top w:val="nil"/>
              <w:left w:val="nil"/>
              <w:bottom w:val="single" w:sz="4" w:space="0" w:color="auto"/>
              <w:right w:val="nil"/>
            </w:tcBorders>
          </w:tcPr>
          <w:p>
            <w:pPr>
              <w:pStyle w:val="yTableNAm"/>
            </w:pPr>
            <w:r>
              <w:t>s. 11(1)(j)</w:t>
            </w:r>
          </w:p>
        </w:tc>
        <w:tc>
          <w:tcPr>
            <w:tcW w:w="1745" w:type="dxa"/>
            <w:tcBorders>
              <w:top w:val="nil"/>
              <w:left w:val="nil"/>
              <w:bottom w:val="single" w:sz="4" w:space="0" w:color="auto"/>
              <w:right w:val="nil"/>
            </w:tcBorders>
          </w:tcPr>
          <w:p>
            <w:pPr>
              <w:pStyle w:val="yTableNAm"/>
            </w:pPr>
            <w:r>
              <w:t>A farm</w:t>
            </w:r>
            <w:r>
              <w:noBreakHyphen/>
              <w:t>in agreement</w:t>
            </w:r>
          </w:p>
        </w:tc>
        <w:tc>
          <w:tcPr>
            <w:tcW w:w="1854" w:type="dxa"/>
            <w:tcBorders>
              <w:top w:val="nil"/>
              <w:left w:val="nil"/>
              <w:bottom w:val="single" w:sz="4" w:space="0" w:color="auto"/>
              <w:right w:val="nil"/>
            </w:tcBorders>
          </w:tcPr>
          <w:p>
            <w:pPr>
              <w:pStyle w:val="yTableNAm"/>
            </w:pPr>
            <w:r>
              <w:t>When the agreement is made</w:t>
            </w:r>
          </w:p>
        </w:tc>
        <w:tc>
          <w:tcPr>
            <w:tcW w:w="1745" w:type="dxa"/>
            <w:tcBorders>
              <w:top w:val="nil"/>
              <w:left w:val="nil"/>
              <w:bottom w:val="single" w:sz="4" w:space="0" w:color="auto"/>
              <w:right w:val="nil"/>
            </w:tcBorders>
          </w:tcPr>
          <w:p>
            <w:pPr>
              <w:pStyle w:val="yTableNAm"/>
            </w:pPr>
            <w:r>
              <w:t>Person referred to in section 13(1)(b)</w:t>
            </w:r>
          </w:p>
        </w:tc>
      </w:tr>
    </w:tbl>
    <w:p>
      <w:pPr>
        <w:pStyle w:val="yFootnotesection"/>
        <w:rPr>
          <w:ins w:id="6017" w:author="Master Repository Process" w:date="2022-05-27T14:27:00Z"/>
        </w:rPr>
      </w:pPr>
      <w:ins w:id="6018" w:author="Master Repository Process" w:date="2022-05-27T14:27:00Z">
        <w:r>
          <w:tab/>
          <w:t>[Schedule 1 amended: No. 12 of 2019 s. 130.]</w:t>
        </w:r>
      </w:ins>
    </w:p>
    <w:p>
      <w:p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6020" w:name="_Toc37947122"/>
      <w:bookmarkStart w:id="6021" w:name="_Toc37947722"/>
      <w:bookmarkStart w:id="6022" w:name="_Toc38031786"/>
      <w:bookmarkStart w:id="6023" w:name="_Toc93310295"/>
      <w:bookmarkStart w:id="6024" w:name="_Toc104291317"/>
      <w:bookmarkStart w:id="6025" w:name="_Toc530491952"/>
      <w:bookmarkStart w:id="6026" w:name="_Toc530492412"/>
      <w:bookmarkStart w:id="6027" w:name="_Toc530493422"/>
      <w:bookmarkStart w:id="6028" w:name="_Toc530556557"/>
      <w:bookmarkStart w:id="6029" w:name="_Toc531692466"/>
      <w:bookmarkStart w:id="6030" w:name="_Toc531856371"/>
      <w:bookmarkStart w:id="6031" w:name="_Toc531859099"/>
      <w:bookmarkStart w:id="6032" w:name="_Toc531859638"/>
      <w:r>
        <w:rPr>
          <w:rStyle w:val="CharSchNo"/>
        </w:rPr>
        <w:t>Schedule 2</w:t>
      </w:r>
      <w:r>
        <w:t> — </w:t>
      </w:r>
      <w:r>
        <w:rPr>
          <w:rStyle w:val="CharSchText"/>
        </w:rPr>
        <w:t>Rates of transfer duty</w:t>
      </w:r>
      <w:bookmarkEnd w:id="6020"/>
      <w:bookmarkEnd w:id="6021"/>
      <w:bookmarkEnd w:id="6022"/>
      <w:bookmarkEnd w:id="6023"/>
      <w:bookmarkEnd w:id="6024"/>
      <w:bookmarkEnd w:id="6025"/>
      <w:bookmarkEnd w:id="6026"/>
      <w:bookmarkEnd w:id="6027"/>
      <w:bookmarkEnd w:id="6028"/>
      <w:bookmarkEnd w:id="6029"/>
      <w:bookmarkEnd w:id="6030"/>
      <w:bookmarkEnd w:id="6031"/>
      <w:bookmarkEnd w:id="6032"/>
    </w:p>
    <w:p>
      <w:pPr>
        <w:pStyle w:val="yHeading3"/>
      </w:pPr>
      <w:bookmarkStart w:id="6033" w:name="_Toc37947123"/>
      <w:bookmarkStart w:id="6034" w:name="_Toc37947723"/>
      <w:bookmarkStart w:id="6035" w:name="_Toc38031787"/>
      <w:bookmarkStart w:id="6036" w:name="_Toc93310296"/>
      <w:bookmarkStart w:id="6037" w:name="_Toc104291318"/>
      <w:bookmarkStart w:id="6038" w:name="_Toc530491953"/>
      <w:bookmarkStart w:id="6039" w:name="_Toc530492413"/>
      <w:bookmarkStart w:id="6040" w:name="_Toc530493423"/>
      <w:bookmarkStart w:id="6041" w:name="_Toc530556558"/>
      <w:bookmarkStart w:id="6042" w:name="_Toc531692467"/>
      <w:bookmarkStart w:id="6043" w:name="_Toc531856372"/>
      <w:bookmarkStart w:id="6044" w:name="_Toc531859100"/>
      <w:bookmarkStart w:id="6045" w:name="_Toc531859639"/>
      <w:r>
        <w:rPr>
          <w:rStyle w:val="CharSDivNo"/>
        </w:rPr>
        <w:t>Division 1</w:t>
      </w:r>
      <w:r>
        <w:t> — </w:t>
      </w:r>
      <w:r>
        <w:rPr>
          <w:rStyle w:val="CharSDivText"/>
        </w:rPr>
        <w:t>General rate</w:t>
      </w:r>
      <w:bookmarkEnd w:id="6033"/>
      <w:bookmarkEnd w:id="6034"/>
      <w:bookmarkEnd w:id="6035"/>
      <w:bookmarkEnd w:id="6036"/>
      <w:bookmarkEnd w:id="6037"/>
      <w:bookmarkEnd w:id="6038"/>
      <w:bookmarkEnd w:id="6039"/>
      <w:bookmarkEnd w:id="6040"/>
      <w:bookmarkEnd w:id="6041"/>
      <w:bookmarkEnd w:id="6042"/>
      <w:bookmarkEnd w:id="6043"/>
      <w:bookmarkEnd w:id="6044"/>
      <w:bookmarkEnd w:id="6045"/>
    </w:p>
    <w:p>
      <w:pPr>
        <w:pStyle w:val="yShoulderClause"/>
        <w:spacing w:after="120"/>
      </w:pPr>
      <w:r>
        <w:t>[s. 26 and 184]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0"/>
        <w:gridCol w:w="4179"/>
      </w:tblGrid>
      <w:tr>
        <w:tc>
          <w:tcPr>
            <w:tcW w:w="2835" w:type="dxa"/>
            <w:tcBorders>
              <w:left w:val="nil"/>
              <w:bottom w:val="single" w:sz="4" w:space="0" w:color="auto"/>
              <w:right w:val="nil"/>
            </w:tcBorders>
          </w:tcPr>
          <w:p>
            <w:pPr>
              <w:pStyle w:val="yTableNAm"/>
              <w:rPr>
                <w:b/>
              </w:rPr>
            </w:pPr>
            <w:r>
              <w:rPr>
                <w:b/>
              </w:rPr>
              <w:t>Dutiable value</w:t>
            </w:r>
          </w:p>
        </w:tc>
        <w:tc>
          <w:tcPr>
            <w:tcW w:w="4253" w:type="dxa"/>
            <w:tcBorders>
              <w:left w:val="nil"/>
              <w:bottom w:val="single" w:sz="4" w:space="0" w:color="auto"/>
              <w:right w:val="nil"/>
            </w:tcBorders>
          </w:tcPr>
          <w:p>
            <w:pPr>
              <w:pStyle w:val="yTableNAm"/>
              <w:rPr>
                <w:b/>
              </w:rPr>
            </w:pPr>
            <w:r>
              <w:rPr>
                <w:b/>
              </w:rPr>
              <w:t>General rate of duty</w:t>
            </w:r>
          </w:p>
        </w:tc>
      </w:tr>
      <w:tr>
        <w:tc>
          <w:tcPr>
            <w:tcW w:w="2835" w:type="dxa"/>
            <w:tcBorders>
              <w:left w:val="nil"/>
              <w:bottom w:val="nil"/>
              <w:right w:val="nil"/>
            </w:tcBorders>
          </w:tcPr>
          <w:p>
            <w:pPr>
              <w:pStyle w:val="yTableNAm"/>
            </w:pPr>
            <w:r>
              <w:t>$ 0 — $80 000</w:t>
            </w:r>
          </w:p>
        </w:tc>
        <w:tc>
          <w:tcPr>
            <w:tcW w:w="4253" w:type="dxa"/>
            <w:tcBorders>
              <w:left w:val="nil"/>
              <w:bottom w:val="nil"/>
              <w:right w:val="nil"/>
            </w:tcBorders>
          </w:tcPr>
          <w:p>
            <w:pPr>
              <w:pStyle w:val="yTableNAm"/>
            </w:pPr>
            <w:r>
              <w:t>$1.90 per $100.00 or part of $100.00</w:t>
            </w:r>
          </w:p>
        </w:tc>
      </w:tr>
      <w:tr>
        <w:tc>
          <w:tcPr>
            <w:tcW w:w="2835" w:type="dxa"/>
            <w:tcBorders>
              <w:top w:val="nil"/>
              <w:left w:val="nil"/>
              <w:bottom w:val="nil"/>
              <w:right w:val="nil"/>
            </w:tcBorders>
          </w:tcPr>
          <w:p>
            <w:pPr>
              <w:pStyle w:val="yTableNAm"/>
            </w:pPr>
            <w:r>
              <w:t>$80 001 — $100 000</w:t>
            </w:r>
          </w:p>
        </w:tc>
        <w:tc>
          <w:tcPr>
            <w:tcW w:w="4253" w:type="dxa"/>
            <w:tcBorders>
              <w:top w:val="nil"/>
              <w:left w:val="nil"/>
              <w:bottom w:val="nil"/>
              <w:right w:val="nil"/>
            </w:tcBorders>
          </w:tcPr>
          <w:p>
            <w:pPr>
              <w:pStyle w:val="yTableNAm"/>
            </w:pPr>
            <w:r>
              <w:t>$1 520 + $2.85 per $100.00 or part of $100.00 above $80 000</w:t>
            </w:r>
          </w:p>
        </w:tc>
      </w:tr>
      <w:tr>
        <w:tc>
          <w:tcPr>
            <w:tcW w:w="2835" w:type="dxa"/>
            <w:tcBorders>
              <w:top w:val="nil"/>
              <w:left w:val="nil"/>
              <w:bottom w:val="nil"/>
              <w:right w:val="nil"/>
            </w:tcBorders>
          </w:tcPr>
          <w:p>
            <w:pPr>
              <w:pStyle w:val="yTableNAm"/>
            </w:pPr>
            <w:r>
              <w:t>$100 001 — $250 000</w:t>
            </w:r>
          </w:p>
        </w:tc>
        <w:tc>
          <w:tcPr>
            <w:tcW w:w="4253" w:type="dxa"/>
            <w:tcBorders>
              <w:top w:val="nil"/>
              <w:left w:val="nil"/>
              <w:bottom w:val="nil"/>
              <w:right w:val="nil"/>
            </w:tcBorders>
          </w:tcPr>
          <w:p>
            <w:pPr>
              <w:pStyle w:val="yTableNAm"/>
            </w:pPr>
            <w:r>
              <w:t>$2 090 + $3.80 per $100.00 or part of $100.00 above $100 000</w:t>
            </w:r>
          </w:p>
        </w:tc>
      </w:tr>
      <w:tr>
        <w:tc>
          <w:tcPr>
            <w:tcW w:w="2835" w:type="dxa"/>
            <w:tcBorders>
              <w:top w:val="nil"/>
              <w:left w:val="nil"/>
              <w:bottom w:val="nil"/>
              <w:right w:val="nil"/>
            </w:tcBorders>
          </w:tcPr>
          <w:p>
            <w:pPr>
              <w:pStyle w:val="yTableNAm"/>
            </w:pPr>
            <w:r>
              <w:t>$250 001 — $500 000</w:t>
            </w:r>
          </w:p>
        </w:tc>
        <w:tc>
          <w:tcPr>
            <w:tcW w:w="4253" w:type="dxa"/>
            <w:tcBorders>
              <w:top w:val="nil"/>
              <w:left w:val="nil"/>
              <w:bottom w:val="nil"/>
              <w:right w:val="nil"/>
            </w:tcBorders>
          </w:tcPr>
          <w:p>
            <w:pPr>
              <w:pStyle w:val="yTableNAm"/>
            </w:pPr>
            <w:r>
              <w:t>$7 790 + $4.75 per $100.00 or part of $100.00 above $250 000</w:t>
            </w:r>
          </w:p>
        </w:tc>
      </w:tr>
      <w:tr>
        <w:tc>
          <w:tcPr>
            <w:tcW w:w="2835" w:type="dxa"/>
            <w:tcBorders>
              <w:top w:val="nil"/>
              <w:left w:val="nil"/>
              <w:bottom w:val="single" w:sz="4" w:space="0" w:color="auto"/>
              <w:right w:val="nil"/>
            </w:tcBorders>
          </w:tcPr>
          <w:p>
            <w:pPr>
              <w:pStyle w:val="yTableNAm"/>
            </w:pPr>
            <w:r>
              <w:t>$500 001 and upwards</w:t>
            </w:r>
          </w:p>
        </w:tc>
        <w:tc>
          <w:tcPr>
            <w:tcW w:w="4253" w:type="dxa"/>
            <w:tcBorders>
              <w:top w:val="nil"/>
              <w:left w:val="nil"/>
              <w:bottom w:val="single" w:sz="4" w:space="0" w:color="auto"/>
              <w:right w:val="nil"/>
            </w:tcBorders>
          </w:tcPr>
          <w:p>
            <w:pPr>
              <w:pStyle w:val="yTableNAm"/>
            </w:pPr>
            <w:r>
              <w:t>$19 665 + $5.15 per $100.00 or part of $100.00 above $500 000</w:t>
            </w:r>
          </w:p>
        </w:tc>
      </w:tr>
    </w:tbl>
    <w:p>
      <w:pPr>
        <w:pStyle w:val="yHeading3"/>
      </w:pPr>
      <w:bookmarkStart w:id="6046" w:name="_Toc37947124"/>
      <w:bookmarkStart w:id="6047" w:name="_Toc37947724"/>
      <w:bookmarkStart w:id="6048" w:name="_Toc38031788"/>
      <w:bookmarkStart w:id="6049" w:name="_Toc93310297"/>
      <w:bookmarkStart w:id="6050" w:name="_Toc104291319"/>
      <w:bookmarkStart w:id="6051" w:name="_Toc530491954"/>
      <w:bookmarkStart w:id="6052" w:name="_Toc530492414"/>
      <w:bookmarkStart w:id="6053" w:name="_Toc530493424"/>
      <w:bookmarkStart w:id="6054" w:name="_Toc530556559"/>
      <w:bookmarkStart w:id="6055" w:name="_Toc531692468"/>
      <w:bookmarkStart w:id="6056" w:name="_Toc531856373"/>
      <w:bookmarkStart w:id="6057" w:name="_Toc531859101"/>
      <w:bookmarkStart w:id="6058" w:name="_Toc531859640"/>
      <w:r>
        <w:rPr>
          <w:rStyle w:val="CharSDivNo"/>
        </w:rPr>
        <w:t>Division 2</w:t>
      </w:r>
      <w:r>
        <w:t> — </w:t>
      </w:r>
      <w:r>
        <w:rPr>
          <w:rStyle w:val="CharSDivText"/>
        </w:rPr>
        <w:t>Concessional rates</w:t>
      </w:r>
      <w:bookmarkEnd w:id="6046"/>
      <w:bookmarkEnd w:id="6047"/>
      <w:bookmarkEnd w:id="6048"/>
      <w:bookmarkEnd w:id="6049"/>
      <w:bookmarkEnd w:id="6050"/>
      <w:bookmarkEnd w:id="6051"/>
      <w:bookmarkEnd w:id="6052"/>
      <w:bookmarkEnd w:id="6053"/>
      <w:bookmarkEnd w:id="6054"/>
      <w:bookmarkEnd w:id="6055"/>
      <w:bookmarkEnd w:id="6056"/>
      <w:bookmarkEnd w:id="6057"/>
      <w:bookmarkEnd w:id="6058"/>
    </w:p>
    <w:p>
      <w:pPr>
        <w:pStyle w:val="yShoulderClause"/>
        <w:spacing w:after="120"/>
      </w:pPr>
      <w:r>
        <w:t>[Chapter 2 Part 6 Divisions 3, 4A and 4]</w:t>
      </w:r>
    </w:p>
    <w:p>
      <w:pPr>
        <w:pStyle w:val="Footnoteheading"/>
        <w:spacing w:after="160"/>
      </w:pPr>
      <w:r>
        <w:tab/>
        <w:t>[Heading amended: No. 30 of 2008 s. 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4"/>
        <w:gridCol w:w="2242"/>
        <w:gridCol w:w="2353"/>
      </w:tblGrid>
      <w:tr>
        <w:trPr>
          <w:cantSplit/>
          <w:tblHeader/>
        </w:trPr>
        <w:tc>
          <w:tcPr>
            <w:tcW w:w="2410" w:type="dxa"/>
            <w:tcBorders>
              <w:left w:val="nil"/>
              <w:bottom w:val="single" w:sz="4" w:space="0" w:color="auto"/>
              <w:right w:val="nil"/>
            </w:tcBorders>
          </w:tcPr>
          <w:p>
            <w:pPr>
              <w:pStyle w:val="yTableNAm"/>
              <w:rPr>
                <w:b/>
              </w:rPr>
            </w:pPr>
            <w:r>
              <w:rPr>
                <w:b/>
              </w:rPr>
              <w:t>Concessional transaction</w:t>
            </w:r>
          </w:p>
        </w:tc>
        <w:tc>
          <w:tcPr>
            <w:tcW w:w="2268" w:type="dxa"/>
            <w:tcBorders>
              <w:left w:val="nil"/>
              <w:bottom w:val="single" w:sz="4" w:space="0" w:color="auto"/>
              <w:right w:val="nil"/>
            </w:tcBorders>
          </w:tcPr>
          <w:p>
            <w:pPr>
              <w:pStyle w:val="yTableNAm"/>
              <w:rPr>
                <w:b/>
              </w:rPr>
            </w:pPr>
            <w:r>
              <w:rPr>
                <w:b/>
              </w:rPr>
              <w:t>Dutiable value</w:t>
            </w:r>
          </w:p>
        </w:tc>
        <w:tc>
          <w:tcPr>
            <w:tcW w:w="2378" w:type="dxa"/>
            <w:tcBorders>
              <w:left w:val="nil"/>
              <w:bottom w:val="single" w:sz="4" w:space="0" w:color="auto"/>
              <w:right w:val="nil"/>
            </w:tcBorders>
          </w:tcPr>
          <w:p>
            <w:pPr>
              <w:pStyle w:val="yTableNAm"/>
              <w:rPr>
                <w:b/>
              </w:rPr>
            </w:pPr>
            <w:r>
              <w:rPr>
                <w:b/>
              </w:rPr>
              <w:t>Concessional rate of duty</w:t>
            </w:r>
          </w:p>
        </w:tc>
      </w:tr>
      <w:tr>
        <w:trPr>
          <w:cantSplit/>
        </w:trPr>
        <w:tc>
          <w:tcPr>
            <w:tcW w:w="2410" w:type="dxa"/>
            <w:tcBorders>
              <w:top w:val="nil"/>
              <w:left w:val="nil"/>
              <w:bottom w:val="nil"/>
              <w:right w:val="nil"/>
            </w:tcBorders>
          </w:tcPr>
          <w:p>
            <w:pPr>
              <w:pStyle w:val="yTableNAm"/>
            </w:pPr>
            <w:r>
              <w:t>s. 143</w:t>
            </w:r>
            <w:r>
              <w:br/>
              <w:t>First home owners</w:t>
            </w:r>
          </w:p>
        </w:tc>
        <w:tc>
          <w:tcPr>
            <w:tcW w:w="2268" w:type="dxa"/>
            <w:tcBorders>
              <w:top w:val="nil"/>
              <w:left w:val="nil"/>
              <w:bottom w:val="nil"/>
              <w:right w:val="nil"/>
            </w:tcBorders>
          </w:tcPr>
          <w:p>
            <w:pPr>
              <w:pStyle w:val="yTableNAm"/>
            </w:pPr>
          </w:p>
        </w:tc>
        <w:tc>
          <w:tcPr>
            <w:tcW w:w="2378" w:type="dxa"/>
            <w:tcBorders>
              <w:top w:val="nil"/>
              <w:left w:val="nil"/>
              <w:bottom w:val="nil"/>
              <w:right w:val="nil"/>
            </w:tcBorders>
          </w:tcPr>
          <w:p>
            <w:pPr>
              <w:pStyle w:val="yTableNAm"/>
            </w:pPr>
          </w:p>
        </w:tc>
      </w:tr>
      <w:tr>
        <w:trPr>
          <w:cantSplit/>
        </w:trPr>
        <w:tc>
          <w:tcPr>
            <w:tcW w:w="2410" w:type="dxa"/>
            <w:tcBorders>
              <w:top w:val="nil"/>
              <w:left w:val="nil"/>
              <w:bottom w:val="nil"/>
              <w:right w:val="nil"/>
            </w:tcBorders>
          </w:tcPr>
          <w:p>
            <w:pPr>
              <w:pStyle w:val="yTableNAm"/>
            </w:pPr>
            <w:r>
              <w:t>If the property includes a home</w:t>
            </w:r>
          </w:p>
        </w:tc>
        <w:tc>
          <w:tcPr>
            <w:tcW w:w="2268" w:type="dxa"/>
            <w:tcBorders>
              <w:top w:val="nil"/>
              <w:left w:val="nil"/>
              <w:bottom w:val="nil"/>
              <w:right w:val="nil"/>
            </w:tcBorders>
          </w:tcPr>
          <w:p>
            <w:pPr>
              <w:pStyle w:val="yTableNAm"/>
            </w:pPr>
            <w:r>
              <w:t>$0 — $430 000</w:t>
            </w:r>
            <w:r>
              <w:br/>
              <w:t>$430 001 — $530 000</w:t>
            </w:r>
          </w:p>
        </w:tc>
        <w:tc>
          <w:tcPr>
            <w:tcW w:w="2378" w:type="dxa"/>
            <w:tcBorders>
              <w:top w:val="nil"/>
              <w:left w:val="nil"/>
              <w:bottom w:val="nil"/>
              <w:right w:val="nil"/>
            </w:tcBorders>
          </w:tcPr>
          <w:p>
            <w:pPr>
              <w:pStyle w:val="yTableNAm"/>
            </w:pPr>
            <w:r>
              <w:t>Nil</w:t>
            </w:r>
            <w:r>
              <w:br/>
              <w:t xml:space="preserve">$19.19 per $100.00 or part of $100.00 above </w:t>
            </w:r>
            <w:r>
              <w:br/>
              <w:t>$430 000</w:t>
            </w:r>
          </w:p>
        </w:tc>
      </w:tr>
      <w:tr>
        <w:trPr>
          <w:cantSplit/>
        </w:trPr>
        <w:tc>
          <w:tcPr>
            <w:tcW w:w="2410" w:type="dxa"/>
            <w:tcBorders>
              <w:top w:val="nil"/>
              <w:left w:val="nil"/>
              <w:bottom w:val="nil"/>
              <w:right w:val="nil"/>
            </w:tcBorders>
          </w:tcPr>
          <w:p>
            <w:pPr>
              <w:pStyle w:val="yTableNAm"/>
            </w:pPr>
            <w:r>
              <w:t>If the property does not include a home</w:t>
            </w:r>
          </w:p>
        </w:tc>
        <w:tc>
          <w:tcPr>
            <w:tcW w:w="2268" w:type="dxa"/>
            <w:tcBorders>
              <w:top w:val="nil"/>
              <w:left w:val="nil"/>
              <w:bottom w:val="nil"/>
              <w:right w:val="nil"/>
            </w:tcBorders>
          </w:tcPr>
          <w:p>
            <w:pPr>
              <w:pStyle w:val="yTableNAm"/>
            </w:pPr>
            <w:r>
              <w:t>$0 — $300 000</w:t>
            </w:r>
            <w:r>
              <w:br/>
              <w:t>$300 001 — $400 000</w:t>
            </w:r>
          </w:p>
        </w:tc>
        <w:tc>
          <w:tcPr>
            <w:tcW w:w="2378" w:type="dxa"/>
            <w:tcBorders>
              <w:top w:val="nil"/>
              <w:left w:val="nil"/>
              <w:bottom w:val="nil"/>
              <w:right w:val="nil"/>
            </w:tcBorders>
          </w:tcPr>
          <w:p>
            <w:pPr>
              <w:pStyle w:val="yTableNAm"/>
            </w:pPr>
            <w:r>
              <w:t>Nil</w:t>
            </w:r>
            <w:r>
              <w:br/>
              <w:t>$13.01 per $100.00 or part of $100.00 above $300 000</w:t>
            </w:r>
          </w:p>
        </w:tc>
      </w:tr>
      <w:tr>
        <w:trPr>
          <w:cantSplit/>
        </w:trPr>
        <w:tc>
          <w:tcPr>
            <w:tcW w:w="2410" w:type="dxa"/>
            <w:tcBorders>
              <w:top w:val="nil"/>
              <w:left w:val="nil"/>
              <w:bottom w:val="nil"/>
              <w:right w:val="nil"/>
            </w:tcBorders>
          </w:tcPr>
          <w:p>
            <w:pPr>
              <w:pStyle w:val="yTableNAm"/>
            </w:pPr>
            <w:r>
              <w:t>s. 147E</w:t>
            </w:r>
            <w:r>
              <w:br/>
              <w:t>Residential land</w:t>
            </w:r>
          </w:p>
        </w:tc>
        <w:tc>
          <w:tcPr>
            <w:tcW w:w="2268" w:type="dxa"/>
            <w:tcBorders>
              <w:top w:val="nil"/>
              <w:left w:val="nil"/>
              <w:bottom w:val="nil"/>
              <w:right w:val="nil"/>
            </w:tcBorders>
          </w:tcPr>
          <w:p>
            <w:pPr>
              <w:pStyle w:val="yTableNAm"/>
            </w:pPr>
            <w:r>
              <w:br/>
              <w:t>$0 — $120 000</w:t>
            </w:r>
            <w:r>
              <w:br/>
            </w:r>
          </w:p>
        </w:tc>
        <w:tc>
          <w:tcPr>
            <w:tcW w:w="2378" w:type="dxa"/>
            <w:tcBorders>
              <w:top w:val="nil"/>
              <w:left w:val="nil"/>
              <w:bottom w:val="nil"/>
              <w:right w:val="nil"/>
            </w:tcBorders>
          </w:tcPr>
          <w:p>
            <w:pPr>
              <w:pStyle w:val="yTableNAm"/>
            </w:pPr>
            <w:r>
              <w:br/>
              <w:t>$1.90 per $100.00 or part of $100.00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$120 001 — $150 000</w:t>
            </w:r>
          </w:p>
        </w:tc>
        <w:tc>
          <w:tcPr>
            <w:tcW w:w="2378" w:type="dxa"/>
            <w:tcBorders>
              <w:top w:val="nil"/>
              <w:left w:val="nil"/>
              <w:bottom w:val="nil"/>
              <w:right w:val="nil"/>
            </w:tcBorders>
          </w:tcPr>
          <w:p>
            <w:pPr>
              <w:pStyle w:val="yTableNAm"/>
            </w:pPr>
            <w:r>
              <w:t>$2 280 + $2.85 per $100.00 or part of $100.00 above $120 000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$150 001 — $360 000</w:t>
            </w:r>
          </w:p>
        </w:tc>
        <w:tc>
          <w:tcPr>
            <w:tcW w:w="2378" w:type="dxa"/>
            <w:tcBorders>
              <w:top w:val="nil"/>
              <w:left w:val="nil"/>
              <w:bottom w:val="nil"/>
              <w:right w:val="nil"/>
            </w:tcBorders>
          </w:tcPr>
          <w:p>
            <w:pPr>
              <w:pStyle w:val="yTableNAm"/>
            </w:pPr>
            <w:r>
              <w:t>$3 135 + $3.80 per $100.00 or part of $100.00 above $150 000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$360 001 — $725 000</w:t>
            </w:r>
          </w:p>
        </w:tc>
        <w:tc>
          <w:tcPr>
            <w:tcW w:w="2378" w:type="dxa"/>
            <w:tcBorders>
              <w:top w:val="nil"/>
              <w:left w:val="nil"/>
              <w:bottom w:val="nil"/>
              <w:right w:val="nil"/>
            </w:tcBorders>
          </w:tcPr>
          <w:p>
            <w:pPr>
              <w:pStyle w:val="yTableNAm"/>
            </w:pPr>
            <w:r>
              <w:t>$11 115 + $4.75 per $100.00 or part of $100.00 above $360 000</w:t>
            </w:r>
          </w:p>
        </w:tc>
      </w:tr>
      <w:tr>
        <w:trPr>
          <w:cantSplit/>
        </w:trPr>
        <w:tc>
          <w:tcPr>
            <w:tcW w:w="2410" w:type="dxa"/>
            <w:tcBorders>
              <w:top w:val="nil"/>
              <w:left w:val="nil"/>
              <w:bottom w:val="nil"/>
              <w:right w:val="nil"/>
            </w:tcBorders>
          </w:tcPr>
          <w:p>
            <w:pPr>
              <w:pStyle w:val="yTableNAm"/>
            </w:pPr>
          </w:p>
        </w:tc>
        <w:tc>
          <w:tcPr>
            <w:tcW w:w="2268" w:type="dxa"/>
            <w:tcBorders>
              <w:top w:val="nil"/>
              <w:left w:val="nil"/>
              <w:bottom w:val="nil"/>
              <w:right w:val="nil"/>
            </w:tcBorders>
          </w:tcPr>
          <w:p>
            <w:pPr>
              <w:pStyle w:val="yTableNAm"/>
            </w:pPr>
            <w:r>
              <w:t>$725 001 and upwards</w:t>
            </w:r>
          </w:p>
        </w:tc>
        <w:tc>
          <w:tcPr>
            <w:tcW w:w="2378" w:type="dxa"/>
            <w:tcBorders>
              <w:top w:val="nil"/>
              <w:left w:val="nil"/>
              <w:bottom w:val="nil"/>
              <w:right w:val="nil"/>
            </w:tcBorders>
          </w:tcPr>
          <w:p>
            <w:pPr>
              <w:pStyle w:val="yTableNAm"/>
            </w:pPr>
            <w:r>
              <w:t>$28 453 + $5.15 per $100.00 or part of $100.00 above $725 000</w:t>
            </w:r>
          </w:p>
        </w:tc>
      </w:tr>
      <w:tr>
        <w:trPr>
          <w:cantSplit/>
        </w:trPr>
        <w:tc>
          <w:tcPr>
            <w:tcW w:w="2410" w:type="dxa"/>
            <w:tcBorders>
              <w:top w:val="nil"/>
              <w:left w:val="nil"/>
              <w:bottom w:val="single" w:sz="4" w:space="0" w:color="auto"/>
              <w:right w:val="nil"/>
            </w:tcBorders>
          </w:tcPr>
          <w:p>
            <w:pPr>
              <w:pStyle w:val="yTableNAm"/>
            </w:pPr>
            <w:r>
              <w:t>s. 147</w:t>
            </w:r>
            <w:r>
              <w:br/>
              <w:t>Residential or business property</w:t>
            </w:r>
          </w:p>
        </w:tc>
        <w:tc>
          <w:tcPr>
            <w:tcW w:w="2268" w:type="dxa"/>
            <w:tcBorders>
              <w:top w:val="nil"/>
              <w:left w:val="nil"/>
              <w:bottom w:val="single" w:sz="4" w:space="0" w:color="auto"/>
              <w:right w:val="nil"/>
            </w:tcBorders>
          </w:tcPr>
          <w:p>
            <w:pPr>
              <w:pStyle w:val="yTableNAm"/>
            </w:pPr>
            <w:r>
              <w:br/>
              <w:t>$0 — $100 000</w:t>
            </w:r>
            <w:r>
              <w:br/>
            </w:r>
          </w:p>
          <w:p>
            <w:pPr>
              <w:pStyle w:val="yTableNAm"/>
            </w:pPr>
            <w:r>
              <w:t>$100 001 — $200 000</w:t>
            </w:r>
          </w:p>
        </w:tc>
        <w:tc>
          <w:tcPr>
            <w:tcW w:w="2378" w:type="dxa"/>
            <w:tcBorders>
              <w:top w:val="nil"/>
              <w:left w:val="nil"/>
              <w:bottom w:val="single" w:sz="4" w:space="0" w:color="auto"/>
              <w:right w:val="nil"/>
            </w:tcBorders>
          </w:tcPr>
          <w:p>
            <w:pPr>
              <w:pStyle w:val="yTableNAm"/>
            </w:pPr>
            <w:r>
              <w:br/>
              <w:t>$1.50 per $100.00 or part of $100.00</w:t>
            </w:r>
          </w:p>
          <w:p>
            <w:pPr>
              <w:pStyle w:val="yTableNAm"/>
            </w:pPr>
            <w:r>
              <w:t>$1 500 + $4.39 per $100.00 or part of $100.00 above $100 000</w:t>
            </w:r>
          </w:p>
        </w:tc>
      </w:tr>
    </w:tbl>
    <w:p>
      <w:pPr>
        <w:pStyle w:val="yFootnotesection"/>
      </w:pPr>
      <w:r>
        <w:tab/>
        <w:t xml:space="preserve">[Division 2 amended: No. 30 of 2008 s. 28; No. 15 of 2014 </w:t>
      </w:r>
      <w:r>
        <w:tab/>
        <w:t>s. 5; No. 24 of 2018 s. 14.]</w:t>
      </w:r>
    </w:p>
    <w:p>
      <w:pPr>
        <w:pStyle w:val="yHeading3"/>
      </w:pPr>
      <w:bookmarkStart w:id="6059" w:name="_Toc37947125"/>
      <w:bookmarkStart w:id="6060" w:name="_Toc37947725"/>
      <w:bookmarkStart w:id="6061" w:name="_Toc38031789"/>
      <w:bookmarkStart w:id="6062" w:name="_Toc93310298"/>
      <w:bookmarkStart w:id="6063" w:name="_Toc104291320"/>
      <w:bookmarkStart w:id="6064" w:name="_Toc530491955"/>
      <w:bookmarkStart w:id="6065" w:name="_Toc530492415"/>
      <w:bookmarkStart w:id="6066" w:name="_Toc530493425"/>
      <w:bookmarkStart w:id="6067" w:name="_Toc530556560"/>
      <w:bookmarkStart w:id="6068" w:name="_Toc531692469"/>
      <w:bookmarkStart w:id="6069" w:name="_Toc531856374"/>
      <w:bookmarkStart w:id="6070" w:name="_Toc531859102"/>
      <w:bookmarkStart w:id="6071" w:name="_Toc531859641"/>
      <w:r>
        <w:rPr>
          <w:rStyle w:val="CharSDivNo"/>
        </w:rPr>
        <w:t>Division 3</w:t>
      </w:r>
      <w:r>
        <w:t> — </w:t>
      </w:r>
      <w:r>
        <w:rPr>
          <w:rStyle w:val="CharSDivText"/>
        </w:rPr>
        <w:t>Nominal duty</w:t>
      </w:r>
      <w:bookmarkEnd w:id="6059"/>
      <w:bookmarkEnd w:id="6060"/>
      <w:bookmarkEnd w:id="6061"/>
      <w:bookmarkEnd w:id="6062"/>
      <w:bookmarkEnd w:id="6063"/>
      <w:bookmarkEnd w:id="6064"/>
      <w:bookmarkEnd w:id="6065"/>
      <w:bookmarkEnd w:id="6066"/>
      <w:bookmarkEnd w:id="6067"/>
      <w:bookmarkEnd w:id="6068"/>
      <w:bookmarkEnd w:id="6069"/>
      <w:bookmarkEnd w:id="6070"/>
      <w:bookmarkEnd w:id="6071"/>
    </w:p>
    <w:p>
      <w:pPr>
        <w:pStyle w:val="ySubsection"/>
      </w:pPr>
      <w:r>
        <w:tab/>
      </w:r>
      <w:r>
        <w:tab/>
        <w:t>The amount of nominal duty is $20.00.</w:t>
      </w:r>
    </w:p>
    <w:p>
      <w:pPr>
        <w:sectPr>
          <w:endnotePr>
            <w:numFmt w:val="decimal"/>
          </w:endnotePr>
          <w:pgSz w:w="11907" w:h="16840" w:code="9"/>
          <w:pgMar w:top="2381" w:right="2410" w:bottom="3544" w:left="2410" w:header="720" w:footer="3380" w:gutter="0"/>
          <w:cols w:space="720"/>
          <w:docGrid w:linePitch="326"/>
        </w:sectPr>
      </w:pPr>
    </w:p>
    <w:p>
      <w:pPr>
        <w:pStyle w:val="yScheduleHeading"/>
      </w:pPr>
      <w:bookmarkStart w:id="6072" w:name="_Toc37947126"/>
      <w:bookmarkStart w:id="6073" w:name="_Toc37947726"/>
      <w:bookmarkStart w:id="6074" w:name="_Toc38031790"/>
      <w:bookmarkStart w:id="6075" w:name="_Toc93310299"/>
      <w:bookmarkStart w:id="6076" w:name="_Toc104291321"/>
      <w:bookmarkStart w:id="6077" w:name="_Toc530491956"/>
      <w:bookmarkStart w:id="6078" w:name="_Toc530492416"/>
      <w:bookmarkStart w:id="6079" w:name="_Toc530493426"/>
      <w:bookmarkStart w:id="6080" w:name="_Toc530556561"/>
      <w:bookmarkStart w:id="6081" w:name="_Toc531692470"/>
      <w:bookmarkStart w:id="6082" w:name="_Toc531856375"/>
      <w:bookmarkStart w:id="6083" w:name="_Toc531859103"/>
      <w:bookmarkStart w:id="6084" w:name="_Toc531859642"/>
      <w:r>
        <w:rPr>
          <w:rStyle w:val="CharSchNo"/>
        </w:rPr>
        <w:t>Schedule 3</w:t>
      </w:r>
      <w:r>
        <w:t> — </w:t>
      </w:r>
      <w:r>
        <w:rPr>
          <w:rStyle w:val="CharSchText"/>
        </w:rPr>
        <w:t>Transitional provisions</w:t>
      </w:r>
      <w:bookmarkEnd w:id="6072"/>
      <w:bookmarkEnd w:id="6073"/>
      <w:bookmarkEnd w:id="6074"/>
      <w:bookmarkEnd w:id="6075"/>
      <w:bookmarkEnd w:id="6076"/>
      <w:bookmarkEnd w:id="6077"/>
      <w:bookmarkEnd w:id="6078"/>
      <w:bookmarkEnd w:id="6079"/>
      <w:bookmarkEnd w:id="6080"/>
      <w:bookmarkEnd w:id="6081"/>
      <w:bookmarkEnd w:id="6082"/>
      <w:bookmarkEnd w:id="6083"/>
      <w:bookmarkEnd w:id="6084"/>
    </w:p>
    <w:p>
      <w:pPr>
        <w:pStyle w:val="yShoulderClause"/>
      </w:pPr>
      <w:r>
        <w:t>[s. 286]</w:t>
      </w:r>
    </w:p>
    <w:p>
      <w:pPr>
        <w:pStyle w:val="yHeading3"/>
      </w:pPr>
      <w:bookmarkStart w:id="6085" w:name="_Toc37947127"/>
      <w:bookmarkStart w:id="6086" w:name="_Toc37947727"/>
      <w:bookmarkStart w:id="6087" w:name="_Toc38031791"/>
      <w:bookmarkStart w:id="6088" w:name="_Toc93310300"/>
      <w:bookmarkStart w:id="6089" w:name="_Toc104291322"/>
      <w:bookmarkStart w:id="6090" w:name="_Toc530491957"/>
      <w:bookmarkStart w:id="6091" w:name="_Toc530492417"/>
      <w:bookmarkStart w:id="6092" w:name="_Toc530493427"/>
      <w:bookmarkStart w:id="6093" w:name="_Toc530556562"/>
      <w:bookmarkStart w:id="6094" w:name="_Toc531692471"/>
      <w:bookmarkStart w:id="6095" w:name="_Toc531856376"/>
      <w:bookmarkStart w:id="6096" w:name="_Toc531859104"/>
      <w:bookmarkStart w:id="6097" w:name="_Toc531859643"/>
      <w:r>
        <w:rPr>
          <w:rStyle w:val="CharSDivNo"/>
        </w:rPr>
        <w:t>Division 1</w:t>
      </w:r>
      <w:r>
        <w:t> — </w:t>
      </w:r>
      <w:r>
        <w:rPr>
          <w:rStyle w:val="CharSDivText"/>
        </w:rPr>
        <w:t xml:space="preserve">Provisions for </w:t>
      </w:r>
      <w:r>
        <w:rPr>
          <w:rStyle w:val="CharSDivText"/>
          <w:i/>
          <w:iCs/>
        </w:rPr>
        <w:t>Duties Act 2008</w:t>
      </w:r>
      <w:bookmarkEnd w:id="6085"/>
      <w:bookmarkEnd w:id="6086"/>
      <w:bookmarkEnd w:id="6087"/>
      <w:bookmarkEnd w:id="6088"/>
      <w:bookmarkEnd w:id="6089"/>
      <w:bookmarkEnd w:id="6090"/>
      <w:bookmarkEnd w:id="6091"/>
      <w:bookmarkEnd w:id="6092"/>
      <w:bookmarkEnd w:id="6093"/>
      <w:bookmarkEnd w:id="6094"/>
      <w:bookmarkEnd w:id="6095"/>
      <w:bookmarkEnd w:id="6096"/>
      <w:bookmarkEnd w:id="6097"/>
    </w:p>
    <w:p>
      <w:pPr>
        <w:pStyle w:val="yHeading4"/>
      </w:pPr>
      <w:bookmarkStart w:id="6098" w:name="_Toc37947128"/>
      <w:bookmarkStart w:id="6099" w:name="_Toc37947728"/>
      <w:bookmarkStart w:id="6100" w:name="_Toc38031792"/>
      <w:bookmarkStart w:id="6101" w:name="_Toc93310301"/>
      <w:bookmarkStart w:id="6102" w:name="_Toc104291323"/>
      <w:bookmarkStart w:id="6103" w:name="_Toc530491958"/>
      <w:bookmarkStart w:id="6104" w:name="_Toc530492418"/>
      <w:bookmarkStart w:id="6105" w:name="_Toc530493428"/>
      <w:bookmarkStart w:id="6106" w:name="_Toc530556563"/>
      <w:bookmarkStart w:id="6107" w:name="_Toc531692472"/>
      <w:bookmarkStart w:id="6108" w:name="_Toc531856377"/>
      <w:bookmarkStart w:id="6109" w:name="_Toc531859105"/>
      <w:bookmarkStart w:id="6110" w:name="_Toc531859644"/>
      <w:r>
        <w:t>Subdivision 1</w:t>
      </w:r>
      <w:r>
        <w:rPr>
          <w:b w:val="0"/>
        </w:rPr>
        <w:t> — </w:t>
      </w:r>
      <w:r>
        <w:t>Preliminary</w:t>
      </w:r>
      <w:bookmarkEnd w:id="6098"/>
      <w:bookmarkEnd w:id="6099"/>
      <w:bookmarkEnd w:id="6100"/>
      <w:bookmarkEnd w:id="6101"/>
      <w:bookmarkEnd w:id="6102"/>
      <w:bookmarkEnd w:id="6103"/>
      <w:bookmarkEnd w:id="6104"/>
      <w:bookmarkEnd w:id="6105"/>
      <w:bookmarkEnd w:id="6106"/>
      <w:bookmarkEnd w:id="6107"/>
      <w:bookmarkEnd w:id="6108"/>
      <w:bookmarkEnd w:id="6109"/>
      <w:bookmarkEnd w:id="6110"/>
    </w:p>
    <w:p>
      <w:pPr>
        <w:pStyle w:val="yHeading5"/>
      </w:pPr>
      <w:bookmarkStart w:id="6111" w:name="_Toc104291324"/>
      <w:bookmarkStart w:id="6112" w:name="_Toc531859645"/>
      <w:r>
        <w:rPr>
          <w:rStyle w:val="CharSClsNo"/>
        </w:rPr>
        <w:t>1</w:t>
      </w:r>
      <w:r>
        <w:t>.</w:t>
      </w:r>
      <w:r>
        <w:tab/>
        <w:t>Terms used</w:t>
      </w:r>
      <w:bookmarkEnd w:id="6111"/>
      <w:bookmarkEnd w:id="6112"/>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w:t>
      </w:r>
      <w:del w:id="6113" w:author="Master Repository Process" w:date="2022-05-27T14:27:00Z">
        <w:r>
          <w:delText>sections 163 and 164</w:delText>
        </w:r>
      </w:del>
      <w:ins w:id="6114" w:author="Master Repository Process" w:date="2022-05-27T14:27:00Z">
        <w:r>
          <w:t>section 148</w:t>
        </w:r>
      </w:ins>
      <w:r>
        <w:t>.</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Footnotesection"/>
        <w:rPr>
          <w:ins w:id="6115" w:author="Master Repository Process" w:date="2022-05-27T14:27:00Z"/>
        </w:rPr>
      </w:pPr>
      <w:ins w:id="6116" w:author="Master Repository Process" w:date="2022-05-27T14:27:00Z">
        <w:r>
          <w:tab/>
          <w:t>[Clause 1 amended: No. 12 of 2019 s. 131.]</w:t>
        </w:r>
      </w:ins>
    </w:p>
    <w:p>
      <w:pPr>
        <w:pStyle w:val="yHeading4"/>
      </w:pPr>
      <w:bookmarkStart w:id="6117" w:name="_Toc37947130"/>
      <w:bookmarkStart w:id="6118" w:name="_Toc37947730"/>
      <w:bookmarkStart w:id="6119" w:name="_Toc38031794"/>
      <w:bookmarkStart w:id="6120" w:name="_Toc93310303"/>
      <w:bookmarkStart w:id="6121" w:name="_Toc104291325"/>
      <w:bookmarkStart w:id="6122" w:name="_Toc530491960"/>
      <w:bookmarkStart w:id="6123" w:name="_Toc530492420"/>
      <w:bookmarkStart w:id="6124" w:name="_Toc530493430"/>
      <w:bookmarkStart w:id="6125" w:name="_Toc530556565"/>
      <w:bookmarkStart w:id="6126" w:name="_Toc531692474"/>
      <w:bookmarkStart w:id="6127" w:name="_Toc531856379"/>
      <w:bookmarkStart w:id="6128" w:name="_Toc531859107"/>
      <w:bookmarkStart w:id="6129" w:name="_Toc531859646"/>
      <w:r>
        <w:t>Subdivision 2</w:t>
      </w:r>
      <w:r>
        <w:rPr>
          <w:b w:val="0"/>
        </w:rPr>
        <w:t> — </w:t>
      </w:r>
      <w:r>
        <w:t>Provisions for Chapter 2</w:t>
      </w:r>
      <w:bookmarkEnd w:id="6117"/>
      <w:bookmarkEnd w:id="6118"/>
      <w:bookmarkEnd w:id="6119"/>
      <w:bookmarkEnd w:id="6120"/>
      <w:bookmarkEnd w:id="6121"/>
      <w:bookmarkEnd w:id="6122"/>
      <w:bookmarkEnd w:id="6123"/>
      <w:bookmarkEnd w:id="6124"/>
      <w:bookmarkEnd w:id="6125"/>
      <w:bookmarkEnd w:id="6126"/>
      <w:bookmarkEnd w:id="6127"/>
      <w:bookmarkEnd w:id="6128"/>
      <w:bookmarkEnd w:id="6129"/>
    </w:p>
    <w:p>
      <w:pPr>
        <w:pStyle w:val="yHeading5"/>
      </w:pPr>
      <w:bookmarkStart w:id="6130" w:name="_Toc104291326"/>
      <w:bookmarkStart w:id="6131" w:name="_Toc531859647"/>
      <w:r>
        <w:rPr>
          <w:rStyle w:val="CharSClsNo"/>
        </w:rPr>
        <w:t>2</w:t>
      </w:r>
      <w:r>
        <w:t>.</w:t>
      </w:r>
      <w:r>
        <w:tab/>
        <w:t>When Ch. 2 starts to apply</w:t>
      </w:r>
      <w:bookmarkEnd w:id="6130"/>
      <w:bookmarkEnd w:id="6131"/>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6132" w:name="_Toc104291327"/>
      <w:bookmarkStart w:id="6133" w:name="_Toc531859648"/>
      <w:r>
        <w:rPr>
          <w:rStyle w:val="CharSClsNo"/>
        </w:rPr>
        <w:t>3</w:t>
      </w:r>
      <w:r>
        <w:t>.</w:t>
      </w:r>
      <w:r>
        <w:tab/>
        <w:t>No double duty</w:t>
      </w:r>
      <w:bookmarkEnd w:id="6132"/>
      <w:bookmarkEnd w:id="6133"/>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6134" w:name="_Toc104291328"/>
      <w:bookmarkStart w:id="6135" w:name="_Toc531859649"/>
      <w:r>
        <w:rPr>
          <w:rStyle w:val="CharSClsNo"/>
        </w:rPr>
        <w:t>4</w:t>
      </w:r>
      <w:r>
        <w:t>.</w:t>
      </w:r>
      <w:r>
        <w:tab/>
        <w:t>Alteration of consideration (s. 31)</w:t>
      </w:r>
      <w:bookmarkEnd w:id="6134"/>
      <w:bookmarkEnd w:id="6135"/>
    </w:p>
    <w:p>
      <w:pPr>
        <w:pStyle w:val="ySubsection"/>
      </w:pPr>
      <w:r>
        <w:tab/>
      </w:r>
      <w:r>
        <w:tab/>
        <w:t xml:space="preserve">Section 31(1) and (3) do not apply if the liability to duty is under the </w:t>
      </w:r>
      <w:r>
        <w:rPr>
          <w:i/>
          <w:iCs/>
        </w:rPr>
        <w:t>Stamp Act 1921</w:t>
      </w:r>
      <w:r>
        <w:t>.</w:t>
      </w:r>
    </w:p>
    <w:p>
      <w:pPr>
        <w:pStyle w:val="yHeading5"/>
      </w:pPr>
      <w:bookmarkStart w:id="6136" w:name="_Toc104291329"/>
      <w:bookmarkStart w:id="6137" w:name="_Toc531859650"/>
      <w:r>
        <w:rPr>
          <w:rStyle w:val="CharSClsNo"/>
        </w:rPr>
        <w:t>5</w:t>
      </w:r>
      <w:r>
        <w:t>.</w:t>
      </w:r>
      <w:r>
        <w:tab/>
        <w:t>Aggregation (s. 37)</w:t>
      </w:r>
      <w:bookmarkEnd w:id="6136"/>
      <w:bookmarkEnd w:id="6137"/>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spacing w:before="120"/>
      </w:pPr>
      <w:r>
        <w:tab/>
      </w:r>
      <w:r>
        <w:tab/>
        <w:t>whichever is greater.</w:t>
      </w:r>
    </w:p>
    <w:p>
      <w:pPr>
        <w:pStyle w:val="ySubsection"/>
        <w:spacing w:before="120"/>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spacing w:before="120"/>
      </w:pPr>
      <w:r>
        <w:tab/>
      </w:r>
      <w:r>
        <w:tab/>
        <w:t>a reference in section 37(7) to duty paid on the transaction is a reference to that stamp duty.</w:t>
      </w:r>
    </w:p>
    <w:p>
      <w:pPr>
        <w:pStyle w:val="yHeading5"/>
        <w:spacing w:before="180"/>
      </w:pPr>
      <w:bookmarkStart w:id="6138" w:name="_Toc104291330"/>
      <w:bookmarkStart w:id="6139" w:name="_Toc531859651"/>
      <w:r>
        <w:rPr>
          <w:rStyle w:val="CharSClsNo"/>
        </w:rPr>
        <w:t>6</w:t>
      </w:r>
      <w:r>
        <w:t>.</w:t>
      </w:r>
      <w:r>
        <w:tab/>
        <w:t>Exchanges (s. 40)</w:t>
      </w:r>
      <w:bookmarkEnd w:id="6138"/>
      <w:bookmarkEnd w:id="6139"/>
    </w:p>
    <w:p>
      <w:pPr>
        <w:pStyle w:val="ySubsection"/>
        <w:spacing w:before="120"/>
      </w:pPr>
      <w:r>
        <w:tab/>
      </w:r>
      <w:r>
        <w:tab/>
        <w:t>Without limiting clause 2, if any of the dutiable transactions referred to in section 40 took place before 1 July 2008, transfer duty is not chargeable on that transaction.</w:t>
      </w:r>
    </w:p>
    <w:p>
      <w:pPr>
        <w:pStyle w:val="yHeading5"/>
        <w:spacing w:before="180"/>
      </w:pPr>
      <w:bookmarkStart w:id="6140" w:name="_Toc104291331"/>
      <w:bookmarkStart w:id="6141" w:name="_Toc531859652"/>
      <w:r>
        <w:rPr>
          <w:rStyle w:val="CharSClsNo"/>
        </w:rPr>
        <w:t>7</w:t>
      </w:r>
      <w:r>
        <w:t>.</w:t>
      </w:r>
      <w:r>
        <w:tab/>
        <w:t>Exempt bodies (s. 92)</w:t>
      </w:r>
      <w:bookmarkEnd w:id="6140"/>
      <w:bookmarkEnd w:id="6141"/>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6142" w:name="_Toc104291332"/>
      <w:bookmarkStart w:id="6143" w:name="_Toc531859653"/>
      <w:r>
        <w:rPr>
          <w:rStyle w:val="CharSClsNo"/>
        </w:rPr>
        <w:t>8</w:t>
      </w:r>
      <w:r>
        <w:t>.</w:t>
      </w:r>
      <w:r>
        <w:tab/>
        <w:t>Family farm transactions (s. 104 and 105)</w:t>
      </w:r>
      <w:bookmarkEnd w:id="6142"/>
      <w:bookmarkEnd w:id="6143"/>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spacing w:before="180"/>
      </w:pPr>
      <w:bookmarkStart w:id="6144" w:name="_Toc104291333"/>
      <w:bookmarkStart w:id="6145" w:name="_Toc531859654"/>
      <w:r>
        <w:rPr>
          <w:rStyle w:val="CharSClsNo"/>
        </w:rPr>
        <w:t>9</w:t>
      </w:r>
      <w:r>
        <w:t>.</w:t>
      </w:r>
      <w:r>
        <w:tab/>
        <w:t>Matrimonial and de facto relationship instruments (s. 129, 130)</w:t>
      </w:r>
      <w:bookmarkEnd w:id="6144"/>
      <w:bookmarkEnd w:id="6145"/>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spacing w:before="180"/>
      </w:pPr>
      <w:bookmarkStart w:id="6146" w:name="_Toc104291334"/>
      <w:bookmarkStart w:id="6147" w:name="_Toc531859655"/>
      <w:r>
        <w:rPr>
          <w:rStyle w:val="CharSClsNo"/>
        </w:rPr>
        <w:t>10</w:t>
      </w:r>
      <w:r>
        <w:t>.</w:t>
      </w:r>
      <w:r>
        <w:tab/>
        <w:t>First home owners (Part 6 Div. 3)</w:t>
      </w:r>
      <w:bookmarkEnd w:id="6146"/>
      <w:bookmarkEnd w:id="6147"/>
    </w:p>
    <w:p>
      <w:pPr>
        <w:pStyle w:val="ySubsection"/>
      </w:pPr>
      <w:r>
        <w:tab/>
        <w:t>(1)</w:t>
      </w:r>
      <w:r>
        <w:tab/>
        <w:t xml:space="preserve">In determining the meaning of the term further concessional transaction for the purposes of Chapter 2 Part 6 Division 3, the transaction referred to in section 142(2) as the first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Footnotesection"/>
      </w:pPr>
      <w:r>
        <w:tab/>
        <w:t>[Clause 10 amended: No. 27 of 2015 s. 15.]</w:t>
      </w:r>
    </w:p>
    <w:p>
      <w:pPr>
        <w:pStyle w:val="yHeading5"/>
        <w:spacing w:before="180"/>
      </w:pPr>
      <w:bookmarkStart w:id="6148" w:name="_Toc104291335"/>
      <w:bookmarkStart w:id="6149" w:name="_Toc531859656"/>
      <w:r>
        <w:rPr>
          <w:rStyle w:val="CharSClsNo"/>
        </w:rPr>
        <w:t>11A</w:t>
      </w:r>
      <w:r>
        <w:t>.</w:t>
      </w:r>
      <w:r>
        <w:rPr>
          <w:b w:val="0"/>
        </w:rPr>
        <w:tab/>
      </w:r>
      <w:r>
        <w:t>Residential concession (Part 6 Div. 4A)</w:t>
      </w:r>
      <w:bookmarkEnd w:id="6148"/>
      <w:bookmarkEnd w:id="6149"/>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pPr>
      <w:r>
        <w:tab/>
        <w:t>(2)</w:t>
      </w:r>
      <w:r>
        <w:tab/>
        <w:t>Section 147C(2) applies as long as the concessional transaction mentioned in it (or at least one of them, if there are 2 or more) takes place on or after 1 July 2008.</w:t>
      </w:r>
    </w:p>
    <w:p>
      <w:pPr>
        <w:pStyle w:val="yFootnotesection"/>
        <w:spacing w:before="80"/>
      </w:pPr>
      <w:r>
        <w:tab/>
        <w:t>[Clause 11A inserted: No. 30 of 2008 s. 29.]</w:t>
      </w:r>
    </w:p>
    <w:p>
      <w:pPr>
        <w:pStyle w:val="yHeading4"/>
      </w:pPr>
      <w:bookmarkStart w:id="6150" w:name="_Toc37947141"/>
      <w:bookmarkStart w:id="6151" w:name="_Toc37947741"/>
      <w:bookmarkStart w:id="6152" w:name="_Toc38031805"/>
      <w:bookmarkStart w:id="6153" w:name="_Toc93310314"/>
      <w:bookmarkStart w:id="6154" w:name="_Toc104291336"/>
      <w:bookmarkStart w:id="6155" w:name="_Toc530491971"/>
      <w:bookmarkStart w:id="6156" w:name="_Toc530492431"/>
      <w:bookmarkStart w:id="6157" w:name="_Toc530493441"/>
      <w:bookmarkStart w:id="6158" w:name="_Toc530556576"/>
      <w:bookmarkStart w:id="6159" w:name="_Toc531692485"/>
      <w:bookmarkStart w:id="6160" w:name="_Toc531856390"/>
      <w:bookmarkStart w:id="6161" w:name="_Toc531859118"/>
      <w:bookmarkStart w:id="6162" w:name="_Toc531859657"/>
      <w:r>
        <w:t>Subdivision 3</w:t>
      </w:r>
      <w:r>
        <w:rPr>
          <w:b w:val="0"/>
        </w:rPr>
        <w:t> — </w:t>
      </w:r>
      <w:r>
        <w:t>Provisions for Chapter 3</w:t>
      </w:r>
      <w:bookmarkEnd w:id="6150"/>
      <w:bookmarkEnd w:id="6151"/>
      <w:bookmarkEnd w:id="6152"/>
      <w:bookmarkEnd w:id="6153"/>
      <w:bookmarkEnd w:id="6154"/>
      <w:bookmarkEnd w:id="6155"/>
      <w:bookmarkEnd w:id="6156"/>
      <w:bookmarkEnd w:id="6157"/>
      <w:bookmarkEnd w:id="6158"/>
      <w:bookmarkEnd w:id="6159"/>
      <w:bookmarkEnd w:id="6160"/>
      <w:bookmarkEnd w:id="6161"/>
      <w:bookmarkEnd w:id="6162"/>
    </w:p>
    <w:p>
      <w:pPr>
        <w:pStyle w:val="yHeading5"/>
      </w:pPr>
      <w:bookmarkStart w:id="6163" w:name="_Toc104291337"/>
      <w:bookmarkStart w:id="6164" w:name="_Toc531859658"/>
      <w:r>
        <w:rPr>
          <w:rStyle w:val="CharSClsNo"/>
        </w:rPr>
        <w:t>11</w:t>
      </w:r>
      <w:r>
        <w:t>.</w:t>
      </w:r>
      <w:r>
        <w:tab/>
        <w:t>When Ch. 3 starts to apply</w:t>
      </w:r>
      <w:bookmarkEnd w:id="6163"/>
      <w:bookmarkEnd w:id="6164"/>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6165" w:name="_Toc104291338"/>
      <w:bookmarkStart w:id="6166" w:name="_Toc531859659"/>
      <w:r>
        <w:rPr>
          <w:rStyle w:val="CharSClsNo"/>
        </w:rPr>
        <w:t>12</w:t>
      </w:r>
      <w:r>
        <w:t>.</w:t>
      </w:r>
      <w:r>
        <w:tab/>
        <w:t>Acquisitions under an agreement made before 1 July 2008</w:t>
      </w:r>
      <w:bookmarkEnd w:id="6165"/>
      <w:bookmarkEnd w:id="6166"/>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Ednotesection"/>
      </w:pPr>
      <w:r>
        <w:t>[</w:t>
      </w:r>
      <w:r>
        <w:rPr>
          <w:b/>
        </w:rPr>
        <w:t>13.</w:t>
      </w:r>
      <w:r>
        <w:rPr>
          <w:b/>
        </w:rPr>
        <w:tab/>
      </w:r>
      <w:r>
        <w:t>Deleted: No. 32 of 2012 s. 25.]</w:t>
      </w:r>
    </w:p>
    <w:p>
      <w:pPr>
        <w:pStyle w:val="yHeading4"/>
      </w:pPr>
      <w:bookmarkStart w:id="6167" w:name="_Toc37947144"/>
      <w:bookmarkStart w:id="6168" w:name="_Toc37947744"/>
      <w:bookmarkStart w:id="6169" w:name="_Toc38031808"/>
      <w:bookmarkStart w:id="6170" w:name="_Toc93310317"/>
      <w:bookmarkStart w:id="6171" w:name="_Toc104291339"/>
      <w:bookmarkStart w:id="6172" w:name="_Toc530491974"/>
      <w:bookmarkStart w:id="6173" w:name="_Toc530492434"/>
      <w:bookmarkStart w:id="6174" w:name="_Toc530493444"/>
      <w:bookmarkStart w:id="6175" w:name="_Toc530556579"/>
      <w:bookmarkStart w:id="6176" w:name="_Toc531692488"/>
      <w:bookmarkStart w:id="6177" w:name="_Toc531856393"/>
      <w:bookmarkStart w:id="6178" w:name="_Toc531859121"/>
      <w:bookmarkStart w:id="6179" w:name="_Toc531859660"/>
      <w:r>
        <w:t>Subdivision 4</w:t>
      </w:r>
      <w:r>
        <w:rPr>
          <w:b w:val="0"/>
        </w:rPr>
        <w:t> — </w:t>
      </w:r>
      <w:r>
        <w:t>Provisions for Chapter 4</w:t>
      </w:r>
      <w:bookmarkEnd w:id="6167"/>
      <w:bookmarkEnd w:id="6168"/>
      <w:bookmarkEnd w:id="6169"/>
      <w:bookmarkEnd w:id="6170"/>
      <w:bookmarkEnd w:id="6171"/>
      <w:bookmarkEnd w:id="6172"/>
      <w:bookmarkEnd w:id="6173"/>
      <w:bookmarkEnd w:id="6174"/>
      <w:bookmarkEnd w:id="6175"/>
      <w:bookmarkEnd w:id="6176"/>
      <w:bookmarkEnd w:id="6177"/>
      <w:bookmarkEnd w:id="6178"/>
      <w:bookmarkEnd w:id="6179"/>
    </w:p>
    <w:p>
      <w:pPr>
        <w:pStyle w:val="yHeading5"/>
      </w:pPr>
      <w:bookmarkStart w:id="6180" w:name="_Toc104291340"/>
      <w:bookmarkStart w:id="6181" w:name="_Toc531859661"/>
      <w:r>
        <w:rPr>
          <w:rStyle w:val="CharSClsNo"/>
        </w:rPr>
        <w:t>14</w:t>
      </w:r>
      <w:r>
        <w:t>.</w:t>
      </w:r>
      <w:r>
        <w:tab/>
        <w:t>Terms used</w:t>
      </w:r>
      <w:bookmarkEnd w:id="6180"/>
      <w:bookmarkEnd w:id="6181"/>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6182" w:name="_Toc104291341"/>
      <w:bookmarkStart w:id="6183" w:name="_Toc531859662"/>
      <w:r>
        <w:rPr>
          <w:rStyle w:val="CharSClsNo"/>
        </w:rPr>
        <w:t>15</w:t>
      </w:r>
      <w:r>
        <w:t>.</w:t>
      </w:r>
      <w:r>
        <w:tab/>
        <w:t>When Ch. 4 starts to apply</w:t>
      </w:r>
      <w:bookmarkEnd w:id="6182"/>
      <w:bookmarkEnd w:id="6183"/>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6184" w:name="_Toc104291342"/>
      <w:bookmarkStart w:id="6185" w:name="_Toc531859663"/>
      <w:r>
        <w:rPr>
          <w:rStyle w:val="CharSClsNo"/>
        </w:rPr>
        <w:t>16</w:t>
      </w:r>
      <w:r>
        <w:t>.</w:t>
      </w:r>
      <w:r>
        <w:tab/>
        <w:t>Registration</w:t>
      </w:r>
      <w:bookmarkEnd w:id="6184"/>
      <w:bookmarkEnd w:id="6185"/>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6186" w:name="_Toc37947148"/>
      <w:bookmarkStart w:id="6187" w:name="_Toc37947748"/>
      <w:bookmarkStart w:id="6188" w:name="_Toc38031812"/>
      <w:bookmarkStart w:id="6189" w:name="_Toc93310321"/>
      <w:bookmarkStart w:id="6190" w:name="_Toc104291343"/>
      <w:bookmarkStart w:id="6191" w:name="_Toc530491978"/>
      <w:bookmarkStart w:id="6192" w:name="_Toc530492438"/>
      <w:bookmarkStart w:id="6193" w:name="_Toc530493448"/>
      <w:bookmarkStart w:id="6194" w:name="_Toc530556583"/>
      <w:bookmarkStart w:id="6195" w:name="_Toc531692492"/>
      <w:bookmarkStart w:id="6196" w:name="_Toc531856397"/>
      <w:bookmarkStart w:id="6197" w:name="_Toc531859125"/>
      <w:bookmarkStart w:id="6198" w:name="_Toc531859664"/>
      <w:r>
        <w:t>Subdivision 5</w:t>
      </w:r>
      <w:r>
        <w:rPr>
          <w:b w:val="0"/>
        </w:rPr>
        <w:t> — </w:t>
      </w:r>
      <w:r>
        <w:t>Provisions for Chapter 5</w:t>
      </w:r>
      <w:bookmarkEnd w:id="6186"/>
      <w:bookmarkEnd w:id="6187"/>
      <w:bookmarkEnd w:id="6188"/>
      <w:bookmarkEnd w:id="6189"/>
      <w:bookmarkEnd w:id="6190"/>
      <w:bookmarkEnd w:id="6191"/>
      <w:bookmarkEnd w:id="6192"/>
      <w:bookmarkEnd w:id="6193"/>
      <w:bookmarkEnd w:id="6194"/>
      <w:bookmarkEnd w:id="6195"/>
      <w:bookmarkEnd w:id="6196"/>
      <w:bookmarkEnd w:id="6197"/>
      <w:bookmarkEnd w:id="6198"/>
    </w:p>
    <w:p>
      <w:pPr>
        <w:pStyle w:val="yHeading5"/>
      </w:pPr>
      <w:bookmarkStart w:id="6199" w:name="_Toc104291344"/>
      <w:bookmarkStart w:id="6200" w:name="_Toc531859665"/>
      <w:r>
        <w:rPr>
          <w:rStyle w:val="CharSClsNo"/>
        </w:rPr>
        <w:t>17</w:t>
      </w:r>
      <w:r>
        <w:t>.</w:t>
      </w:r>
      <w:r>
        <w:tab/>
        <w:t>Terms used</w:t>
      </w:r>
      <w:bookmarkEnd w:id="6199"/>
      <w:bookmarkEnd w:id="6200"/>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6201" w:name="_Toc104291345"/>
      <w:bookmarkStart w:id="6202" w:name="_Toc531859666"/>
      <w:r>
        <w:rPr>
          <w:rStyle w:val="CharSClsNo"/>
        </w:rPr>
        <w:t>18</w:t>
      </w:r>
      <w:r>
        <w:t>.</w:t>
      </w:r>
      <w:r>
        <w:tab/>
        <w:t>When Ch. 5 starts to apply</w:t>
      </w:r>
      <w:bookmarkEnd w:id="6201"/>
      <w:bookmarkEnd w:id="6202"/>
    </w:p>
    <w:p>
      <w:pPr>
        <w:pStyle w:val="ySubsection"/>
      </w:pPr>
      <w:r>
        <w:tab/>
        <w:t>(1)</w:t>
      </w:r>
      <w:r>
        <w:tab/>
        <w:t>Chapter 5 applies to and in relation to the grant or transfer of a licence the application for which was made on or after 1 July 2008.</w:t>
      </w:r>
    </w:p>
    <w:p>
      <w:pPr>
        <w:pStyle w:val="ySubsection"/>
      </w:pPr>
      <w:r>
        <w:tab/>
        <w:t>(2)</w:t>
      </w:r>
      <w:r>
        <w:tab/>
        <w:t>Despite subclause (1), section 242(3) does not apply in respect of the grant of a licence if the vehicle was licensed or registered outside of Western Australia before 1 July 2008.</w:t>
      </w:r>
    </w:p>
    <w:p>
      <w:pPr>
        <w:pStyle w:val="yHeading5"/>
      </w:pPr>
      <w:bookmarkStart w:id="6203" w:name="_Toc104291346"/>
      <w:bookmarkStart w:id="6204" w:name="_Toc531859667"/>
      <w:r>
        <w:rPr>
          <w:rStyle w:val="CharSClsNo"/>
        </w:rPr>
        <w:t>19</w:t>
      </w:r>
      <w:r>
        <w:t>.</w:t>
      </w:r>
      <w:r>
        <w:tab/>
        <w:t>New vehicles (s. 228)</w:t>
      </w:r>
      <w:bookmarkEnd w:id="6203"/>
      <w:bookmarkEnd w:id="6204"/>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6205" w:name="_Toc104291347"/>
      <w:bookmarkStart w:id="6206" w:name="_Toc531859668"/>
      <w:r>
        <w:rPr>
          <w:rStyle w:val="CharSClsNo"/>
        </w:rPr>
        <w:t>20</w:t>
      </w:r>
      <w:r>
        <w:t>.</w:t>
      </w:r>
      <w:r>
        <w:tab/>
        <w:t>Specialised vehicles (s. 239)</w:t>
      </w:r>
      <w:bookmarkEnd w:id="6205"/>
      <w:bookmarkEnd w:id="6206"/>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6207" w:name="_Toc104291348"/>
      <w:bookmarkStart w:id="6208" w:name="_Toc531859669"/>
      <w:r>
        <w:rPr>
          <w:rStyle w:val="CharSClsNo"/>
        </w:rPr>
        <w:t>21</w:t>
      </w:r>
      <w:r>
        <w:t>.</w:t>
      </w:r>
      <w:r>
        <w:tab/>
        <w:t>Approval of philanthropic purposes (s. 247)</w:t>
      </w:r>
      <w:bookmarkEnd w:id="6207"/>
      <w:bookmarkEnd w:id="6208"/>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6209" w:name="_Toc104291349"/>
      <w:bookmarkStart w:id="6210" w:name="_Toc531859670"/>
      <w:r>
        <w:rPr>
          <w:rStyle w:val="CharSClsNo"/>
        </w:rPr>
        <w:t>22</w:t>
      </w:r>
      <w:r>
        <w:t>.</w:t>
      </w:r>
      <w:r>
        <w:tab/>
        <w:t>Transfer of vehicles, nominal duty on (s. 250)</w:t>
      </w:r>
      <w:bookmarkEnd w:id="6209"/>
      <w:bookmarkEnd w:id="6210"/>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6211" w:name="_Toc104291350"/>
      <w:bookmarkStart w:id="6212" w:name="_Toc531859671"/>
      <w:r>
        <w:rPr>
          <w:rStyle w:val="CharSClsNo"/>
        </w:rPr>
        <w:t>23</w:t>
      </w:r>
      <w:r>
        <w:t>.</w:t>
      </w:r>
      <w:r>
        <w:tab/>
        <w:t xml:space="preserve">Statements made under </w:t>
      </w:r>
      <w:r>
        <w:rPr>
          <w:i/>
          <w:iCs/>
        </w:rPr>
        <w:t>Stamp Act 1921</w:t>
      </w:r>
      <w:r>
        <w:t xml:space="preserve"> s. 76H (s. 252)</w:t>
      </w:r>
      <w:bookmarkEnd w:id="6211"/>
      <w:bookmarkEnd w:id="6212"/>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6213" w:name="_Toc37947156"/>
      <w:bookmarkStart w:id="6214" w:name="_Toc37947756"/>
      <w:bookmarkStart w:id="6215" w:name="_Toc38031820"/>
      <w:bookmarkStart w:id="6216" w:name="_Toc93310329"/>
      <w:bookmarkStart w:id="6217" w:name="_Toc104291351"/>
      <w:bookmarkStart w:id="6218" w:name="_Toc530491986"/>
      <w:bookmarkStart w:id="6219" w:name="_Toc530492446"/>
      <w:bookmarkStart w:id="6220" w:name="_Toc530493456"/>
      <w:bookmarkStart w:id="6221" w:name="_Toc530556591"/>
      <w:bookmarkStart w:id="6222" w:name="_Toc531692500"/>
      <w:bookmarkStart w:id="6223" w:name="_Toc531856405"/>
      <w:bookmarkStart w:id="6224" w:name="_Toc531859133"/>
      <w:bookmarkStart w:id="6225" w:name="_Toc531859672"/>
      <w:r>
        <w:t>Subdivision 6</w:t>
      </w:r>
      <w:r>
        <w:rPr>
          <w:b w:val="0"/>
        </w:rPr>
        <w:t> — </w:t>
      </w:r>
      <w:r>
        <w:t>Provisions for Chapter 7</w:t>
      </w:r>
      <w:bookmarkEnd w:id="6213"/>
      <w:bookmarkEnd w:id="6214"/>
      <w:bookmarkEnd w:id="6215"/>
      <w:bookmarkEnd w:id="6216"/>
      <w:bookmarkEnd w:id="6217"/>
      <w:bookmarkEnd w:id="6218"/>
      <w:bookmarkEnd w:id="6219"/>
      <w:bookmarkEnd w:id="6220"/>
      <w:bookmarkEnd w:id="6221"/>
      <w:bookmarkEnd w:id="6222"/>
      <w:bookmarkEnd w:id="6223"/>
      <w:bookmarkEnd w:id="6224"/>
      <w:bookmarkEnd w:id="6225"/>
    </w:p>
    <w:p>
      <w:pPr>
        <w:pStyle w:val="yHeading5"/>
      </w:pPr>
      <w:bookmarkStart w:id="6226" w:name="_Toc104291352"/>
      <w:bookmarkStart w:id="6227" w:name="_Toc531859673"/>
      <w:r>
        <w:rPr>
          <w:rStyle w:val="CharSClsNo"/>
        </w:rPr>
        <w:t>24</w:t>
      </w:r>
      <w:r>
        <w:t>.</w:t>
      </w:r>
      <w:r>
        <w:tab/>
        <w:t>When Ch. 7 starts to apply</w:t>
      </w:r>
      <w:bookmarkEnd w:id="6226"/>
      <w:bookmarkEnd w:id="6227"/>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6228" w:name="_Toc37947158"/>
      <w:bookmarkStart w:id="6229" w:name="_Toc37947758"/>
      <w:bookmarkStart w:id="6230" w:name="_Toc38031822"/>
      <w:bookmarkStart w:id="6231" w:name="_Toc93310331"/>
      <w:bookmarkStart w:id="6232" w:name="_Toc104291353"/>
      <w:bookmarkStart w:id="6233" w:name="_Toc530491988"/>
      <w:bookmarkStart w:id="6234" w:name="_Toc530492448"/>
      <w:bookmarkStart w:id="6235" w:name="_Toc530493458"/>
      <w:bookmarkStart w:id="6236" w:name="_Toc530556593"/>
      <w:bookmarkStart w:id="6237" w:name="_Toc531692502"/>
      <w:bookmarkStart w:id="6238" w:name="_Toc531856407"/>
      <w:bookmarkStart w:id="6239" w:name="_Toc531859135"/>
      <w:bookmarkStart w:id="6240" w:name="_Toc531859674"/>
      <w:r>
        <w:t>Subdivision 7</w:t>
      </w:r>
      <w:r>
        <w:rPr>
          <w:b w:val="0"/>
        </w:rPr>
        <w:t> — </w:t>
      </w:r>
      <w:r>
        <w:t>General</w:t>
      </w:r>
      <w:bookmarkEnd w:id="6228"/>
      <w:bookmarkEnd w:id="6229"/>
      <w:bookmarkEnd w:id="6230"/>
      <w:bookmarkEnd w:id="6231"/>
      <w:bookmarkEnd w:id="6232"/>
      <w:bookmarkEnd w:id="6233"/>
      <w:bookmarkEnd w:id="6234"/>
      <w:bookmarkEnd w:id="6235"/>
      <w:bookmarkEnd w:id="6236"/>
      <w:bookmarkEnd w:id="6237"/>
      <w:bookmarkEnd w:id="6238"/>
      <w:bookmarkEnd w:id="6239"/>
      <w:bookmarkEnd w:id="6240"/>
    </w:p>
    <w:p>
      <w:pPr>
        <w:pStyle w:val="yHeading5"/>
      </w:pPr>
      <w:bookmarkStart w:id="6241" w:name="_Toc104291354"/>
      <w:bookmarkStart w:id="6242" w:name="_Toc531859675"/>
      <w:r>
        <w:rPr>
          <w:rStyle w:val="CharSClsNo"/>
        </w:rPr>
        <w:t>25</w:t>
      </w:r>
      <w:r>
        <w:t>.</w:t>
      </w:r>
      <w:r>
        <w:tab/>
        <w:t>Some references to duty include stamp duty</w:t>
      </w:r>
      <w:bookmarkEnd w:id="6241"/>
      <w:bookmarkEnd w:id="6242"/>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spacing w:before="180"/>
      </w:pPr>
      <w:bookmarkStart w:id="6243" w:name="_Toc104291355"/>
      <w:bookmarkStart w:id="6244" w:name="_Toc531859676"/>
      <w:r>
        <w:rPr>
          <w:rStyle w:val="CharSClsNo"/>
        </w:rPr>
        <w:t>26</w:t>
      </w:r>
      <w:r>
        <w:t>.</w:t>
      </w:r>
      <w:r>
        <w:tab/>
        <w:t>Application of some Ch. 8 provisions</w:t>
      </w:r>
      <w:bookmarkEnd w:id="6243"/>
      <w:bookmarkEnd w:id="6244"/>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spacing w:before="180"/>
      </w:pPr>
      <w:bookmarkStart w:id="6245" w:name="_Toc104291356"/>
      <w:bookmarkStart w:id="6246" w:name="_Toc531859677"/>
      <w:r>
        <w:rPr>
          <w:rStyle w:val="CharSClsNo"/>
        </w:rPr>
        <w:t>27</w:t>
      </w:r>
      <w:r>
        <w:t>.</w:t>
      </w:r>
      <w:r>
        <w:tab/>
        <w:t>Regulations</w:t>
      </w:r>
      <w:bookmarkEnd w:id="6245"/>
      <w:bookmarkEnd w:id="6246"/>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6247" w:name="_Toc104291357"/>
      <w:bookmarkStart w:id="6248" w:name="_Toc531859678"/>
      <w:r>
        <w:rPr>
          <w:rStyle w:val="CharSClsNo"/>
        </w:rPr>
        <w:t>28</w:t>
      </w:r>
      <w:r>
        <w:t>.</w:t>
      </w:r>
      <w:r>
        <w:tab/>
      </w:r>
      <w:r>
        <w:rPr>
          <w:i/>
          <w:iCs/>
        </w:rPr>
        <w:t>Stamp Act 1921</w:t>
      </w:r>
      <w:r>
        <w:rPr>
          <w:iCs/>
        </w:rPr>
        <w:t>, references to</w:t>
      </w:r>
      <w:bookmarkEnd w:id="6247"/>
      <w:bookmarkEnd w:id="6248"/>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No. 30 of 2008 s. 4.]</w:t>
      </w:r>
    </w:p>
    <w:p>
      <w:pPr>
        <w:pStyle w:val="yEdnotedivision"/>
      </w:pPr>
      <w:r>
        <w:t>[Division 3 (cl. 30) deleted: No. 5 of 2013 s. 7.]</w:t>
      </w:r>
    </w:p>
    <w:p>
      <w:pPr>
        <w:pStyle w:val="yHeading3"/>
      </w:pPr>
      <w:bookmarkStart w:id="6249" w:name="_Toc37947163"/>
      <w:bookmarkStart w:id="6250" w:name="_Toc37947763"/>
      <w:bookmarkStart w:id="6251" w:name="_Toc38031827"/>
      <w:bookmarkStart w:id="6252" w:name="_Toc93310336"/>
      <w:bookmarkStart w:id="6253" w:name="_Toc104291358"/>
      <w:bookmarkStart w:id="6254" w:name="_Toc530491993"/>
      <w:bookmarkStart w:id="6255" w:name="_Toc530492453"/>
      <w:bookmarkStart w:id="6256" w:name="_Toc530493463"/>
      <w:bookmarkStart w:id="6257" w:name="_Toc530556598"/>
      <w:bookmarkStart w:id="6258" w:name="_Toc531692507"/>
      <w:bookmarkStart w:id="6259" w:name="_Toc531856412"/>
      <w:bookmarkStart w:id="6260" w:name="_Toc531859140"/>
      <w:bookmarkStart w:id="6261" w:name="_Toc531859679"/>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6249"/>
      <w:bookmarkEnd w:id="6250"/>
      <w:bookmarkEnd w:id="6251"/>
      <w:bookmarkEnd w:id="6252"/>
      <w:bookmarkEnd w:id="6253"/>
      <w:bookmarkEnd w:id="6254"/>
      <w:bookmarkEnd w:id="6255"/>
      <w:bookmarkEnd w:id="6256"/>
      <w:bookmarkEnd w:id="6257"/>
      <w:bookmarkEnd w:id="6258"/>
      <w:bookmarkEnd w:id="6259"/>
      <w:bookmarkEnd w:id="6260"/>
      <w:bookmarkEnd w:id="6261"/>
    </w:p>
    <w:p>
      <w:pPr>
        <w:pStyle w:val="yFootnoteheading"/>
      </w:pPr>
      <w:r>
        <w:tab/>
        <w:t>[Heading inserted: No. 9 of 2010 s. 6.]</w:t>
      </w:r>
    </w:p>
    <w:p>
      <w:pPr>
        <w:pStyle w:val="yHeading5"/>
      </w:pPr>
      <w:bookmarkStart w:id="6262" w:name="_Toc104291359"/>
      <w:bookmarkStart w:id="6263" w:name="_Toc531859680"/>
      <w:r>
        <w:rPr>
          <w:rStyle w:val="CharSClsNo"/>
        </w:rPr>
        <w:t>31</w:t>
      </w:r>
      <w:r>
        <w:t>.</w:t>
      </w:r>
      <w:r>
        <w:rPr>
          <w:b w:val="0"/>
        </w:rPr>
        <w:tab/>
      </w:r>
      <w:r>
        <w:rPr>
          <w:bCs/>
        </w:rPr>
        <w:t>Terms used</w:t>
      </w:r>
      <w:bookmarkEnd w:id="6262"/>
      <w:bookmarkEnd w:id="6263"/>
    </w:p>
    <w:p>
      <w:pPr>
        <w:pStyle w:val="ySubsection"/>
      </w:pPr>
      <w:r>
        <w:tab/>
      </w:r>
      <w:r>
        <w:tab/>
        <w:t>When this Division uses a term that is used in Chapter 6, the term has the same meaning in this Division as it has in Chapter 6.</w:t>
      </w:r>
    </w:p>
    <w:p>
      <w:pPr>
        <w:pStyle w:val="yFootnotesection"/>
      </w:pPr>
      <w:r>
        <w:tab/>
        <w:t>[Clause 31 inserted: No. 9 of 2010 s. 6.]</w:t>
      </w:r>
    </w:p>
    <w:p>
      <w:pPr>
        <w:pStyle w:val="yHeading5"/>
      </w:pPr>
      <w:bookmarkStart w:id="6264" w:name="_Toc104291360"/>
      <w:bookmarkStart w:id="6265" w:name="_Toc531859681"/>
      <w:r>
        <w:rPr>
          <w:rStyle w:val="CharSClsNo"/>
        </w:rPr>
        <w:t>32</w:t>
      </w:r>
      <w:r>
        <w:t>.</w:t>
      </w:r>
      <w:r>
        <w:rPr>
          <w:b w:val="0"/>
        </w:rPr>
        <w:tab/>
      </w:r>
      <w:r>
        <w:rPr>
          <w:bCs/>
        </w:rPr>
        <w:t>Certain relevant reconstruction transactions</w:t>
      </w:r>
      <w:bookmarkEnd w:id="6264"/>
      <w:bookmarkEnd w:id="6265"/>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No. 9 of 2010 s. 6.]</w:t>
      </w:r>
    </w:p>
    <w:p>
      <w:pPr>
        <w:pStyle w:val="yHeading3"/>
      </w:pPr>
      <w:bookmarkStart w:id="6266" w:name="_Toc37947166"/>
      <w:bookmarkStart w:id="6267" w:name="_Toc37947766"/>
      <w:bookmarkStart w:id="6268" w:name="_Toc38031830"/>
      <w:bookmarkStart w:id="6269" w:name="_Toc93310339"/>
      <w:bookmarkStart w:id="6270" w:name="_Toc104291361"/>
      <w:bookmarkStart w:id="6271" w:name="_Toc530491996"/>
      <w:bookmarkStart w:id="6272" w:name="_Toc530492456"/>
      <w:bookmarkStart w:id="6273" w:name="_Toc530493466"/>
      <w:bookmarkStart w:id="6274" w:name="_Toc530556601"/>
      <w:bookmarkStart w:id="6275" w:name="_Toc531692510"/>
      <w:bookmarkStart w:id="6276" w:name="_Toc531856415"/>
      <w:bookmarkStart w:id="6277" w:name="_Toc531859143"/>
      <w:bookmarkStart w:id="6278" w:name="_Toc531859682"/>
      <w:r>
        <w:rPr>
          <w:rStyle w:val="CharSDivNo"/>
        </w:rPr>
        <w:t>Division 5</w:t>
      </w:r>
      <w:r>
        <w:rPr>
          <w:b w:val="0"/>
        </w:rPr>
        <w:t> — </w:t>
      </w:r>
      <w:r>
        <w:rPr>
          <w:rStyle w:val="CharSDivText"/>
        </w:rPr>
        <w:t xml:space="preserve">Provisions for </w:t>
      </w:r>
      <w:r>
        <w:rPr>
          <w:rStyle w:val="CharSDivText"/>
          <w:i/>
        </w:rPr>
        <w:t>Duties Amendment Act (No. 2) 2011</w:t>
      </w:r>
      <w:bookmarkEnd w:id="6266"/>
      <w:bookmarkEnd w:id="6267"/>
      <w:bookmarkEnd w:id="6268"/>
      <w:bookmarkEnd w:id="6269"/>
      <w:bookmarkEnd w:id="6270"/>
      <w:bookmarkEnd w:id="6271"/>
      <w:bookmarkEnd w:id="6272"/>
      <w:bookmarkEnd w:id="6273"/>
      <w:bookmarkEnd w:id="6274"/>
      <w:bookmarkEnd w:id="6275"/>
      <w:bookmarkEnd w:id="6276"/>
      <w:bookmarkEnd w:id="6277"/>
      <w:bookmarkEnd w:id="6278"/>
    </w:p>
    <w:p>
      <w:pPr>
        <w:pStyle w:val="yFootnoteheading"/>
      </w:pPr>
      <w:r>
        <w:tab/>
        <w:t>[Heading inserted: No. 33 of 2011 s. 6.]</w:t>
      </w:r>
    </w:p>
    <w:p>
      <w:pPr>
        <w:pStyle w:val="yHeading5"/>
      </w:pPr>
      <w:bookmarkStart w:id="6279" w:name="_Toc104291362"/>
      <w:bookmarkStart w:id="6280" w:name="_Toc531859683"/>
      <w:r>
        <w:rPr>
          <w:rStyle w:val="CharSClsNo"/>
        </w:rPr>
        <w:t>33</w:t>
      </w:r>
      <w:r>
        <w:t>.</w:t>
      </w:r>
      <w:r>
        <w:rPr>
          <w:b w:val="0"/>
        </w:rPr>
        <w:tab/>
      </w:r>
      <w:r>
        <w:t>Term used: relevant period</w:t>
      </w:r>
      <w:bookmarkEnd w:id="6279"/>
      <w:bookmarkEnd w:id="6280"/>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r>
        <w:tab/>
        <w:t>[Clause 33 inserted: No. 33 of 2011 s. 6.]</w:t>
      </w:r>
    </w:p>
    <w:p>
      <w:pPr>
        <w:pStyle w:val="yHeading5"/>
      </w:pPr>
      <w:bookmarkStart w:id="6281" w:name="_Toc104291363"/>
      <w:bookmarkStart w:id="6282" w:name="_Toc531859684"/>
      <w:r>
        <w:rPr>
          <w:rStyle w:val="CharSClsNo"/>
        </w:rPr>
        <w:t>34</w:t>
      </w:r>
      <w:r>
        <w:t>.</w:t>
      </w:r>
      <w:r>
        <w:rPr>
          <w:b w:val="0"/>
        </w:rPr>
        <w:tab/>
      </w:r>
      <w:r>
        <w:t>When transfer duty deemed to arise in certain cases</w:t>
      </w:r>
      <w:bookmarkEnd w:id="6281"/>
      <w:bookmarkEnd w:id="6282"/>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34 inserted: No. 33 of 2011 s. 6.]</w:t>
      </w:r>
    </w:p>
    <w:p>
      <w:pPr>
        <w:pStyle w:val="yHeading5"/>
        <w:spacing w:before="180"/>
      </w:pPr>
      <w:bookmarkStart w:id="6283" w:name="_Toc104291364"/>
      <w:bookmarkStart w:id="6284" w:name="_Toc531859685"/>
      <w:r>
        <w:rPr>
          <w:rStyle w:val="CharSClsNo"/>
        </w:rPr>
        <w:t>35</w:t>
      </w:r>
      <w:r>
        <w:t>.</w:t>
      </w:r>
      <w:r>
        <w:rPr>
          <w:b w:val="0"/>
        </w:rPr>
        <w:tab/>
      </w:r>
      <w:r>
        <w:t>When landholder duty deemed to arise in certain cases</w:t>
      </w:r>
      <w:bookmarkEnd w:id="6283"/>
      <w:bookmarkEnd w:id="6284"/>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35 inserted: No. 33 of 2011 s. 6.]</w:t>
      </w:r>
    </w:p>
    <w:p>
      <w:pPr>
        <w:pStyle w:val="yHeading3"/>
      </w:pPr>
      <w:bookmarkStart w:id="6285" w:name="_Toc37947170"/>
      <w:bookmarkStart w:id="6286" w:name="_Toc37947770"/>
      <w:bookmarkStart w:id="6287" w:name="_Toc38031834"/>
      <w:bookmarkStart w:id="6288" w:name="_Toc93310343"/>
      <w:bookmarkStart w:id="6289" w:name="_Toc104291365"/>
      <w:bookmarkStart w:id="6290" w:name="_Toc530492000"/>
      <w:bookmarkStart w:id="6291" w:name="_Toc530492460"/>
      <w:bookmarkStart w:id="6292" w:name="_Toc530493470"/>
      <w:bookmarkStart w:id="6293" w:name="_Toc530556605"/>
      <w:bookmarkStart w:id="6294" w:name="_Toc531692514"/>
      <w:bookmarkStart w:id="6295" w:name="_Toc531856419"/>
      <w:bookmarkStart w:id="6296" w:name="_Toc531859147"/>
      <w:bookmarkStart w:id="6297" w:name="_Toc531859686"/>
      <w:r>
        <w:rPr>
          <w:rStyle w:val="CharSDivNo"/>
        </w:rPr>
        <w:t>Division 6</w:t>
      </w:r>
      <w:r>
        <w:rPr>
          <w:b w:val="0"/>
        </w:rPr>
        <w:t> — </w:t>
      </w:r>
      <w:r>
        <w:rPr>
          <w:rStyle w:val="CharSDivText"/>
        </w:rPr>
        <w:t xml:space="preserve">Provisions for </w:t>
      </w:r>
      <w:r>
        <w:rPr>
          <w:rStyle w:val="CharSDivText"/>
          <w:i/>
        </w:rPr>
        <w:t>Revenue Laws Amendment Act 2013</w:t>
      </w:r>
      <w:r>
        <w:rPr>
          <w:rStyle w:val="CharSDivText"/>
        </w:rPr>
        <w:t xml:space="preserve"> Part 2</w:t>
      </w:r>
      <w:bookmarkEnd w:id="6285"/>
      <w:bookmarkEnd w:id="6286"/>
      <w:bookmarkEnd w:id="6287"/>
      <w:bookmarkEnd w:id="6288"/>
      <w:bookmarkEnd w:id="6289"/>
      <w:bookmarkEnd w:id="6290"/>
      <w:bookmarkEnd w:id="6291"/>
      <w:bookmarkEnd w:id="6292"/>
      <w:bookmarkEnd w:id="6293"/>
      <w:bookmarkEnd w:id="6294"/>
      <w:bookmarkEnd w:id="6295"/>
      <w:bookmarkEnd w:id="6296"/>
      <w:bookmarkEnd w:id="6297"/>
    </w:p>
    <w:p>
      <w:pPr>
        <w:pStyle w:val="yFootnoteheading"/>
      </w:pPr>
      <w:r>
        <w:tab/>
        <w:t>[Heading inserted: No. 10 of 2013 s. 9.]</w:t>
      </w:r>
    </w:p>
    <w:p>
      <w:pPr>
        <w:pStyle w:val="yHeading5"/>
      </w:pPr>
      <w:bookmarkStart w:id="6298" w:name="_Toc104291366"/>
      <w:bookmarkStart w:id="6299" w:name="_Toc531859687"/>
      <w:r>
        <w:rPr>
          <w:rStyle w:val="CharSClsNo"/>
        </w:rPr>
        <w:t>36</w:t>
      </w:r>
      <w:r>
        <w:t>.</w:t>
      </w:r>
      <w:r>
        <w:tab/>
        <w:t>Interim assessments</w:t>
      </w:r>
      <w:bookmarkEnd w:id="6298"/>
      <w:bookmarkEnd w:id="6299"/>
    </w:p>
    <w:p>
      <w:pPr>
        <w:pStyle w:val="ySubsection"/>
        <w:rPr>
          <w:snapToGrid w:val="0"/>
        </w:rPr>
      </w:pPr>
      <w:r>
        <w:tab/>
      </w:r>
      <w:r>
        <w:tab/>
        <w:t xml:space="preserve">The Commissioner may make an interim assessment of duty payable under Chapter 2 on a dutiable transaction, or under Chapter 3 in respect of a relevant acquisition, that occurred before the day on which the </w:t>
      </w:r>
      <w:r>
        <w:rPr>
          <w:i/>
          <w:snapToGrid w:val="0"/>
        </w:rPr>
        <w:t>Revenue Laws Amendment Act 2013</w:t>
      </w:r>
      <w:r>
        <w:rPr>
          <w:snapToGrid w:val="0"/>
        </w:rPr>
        <w:t xml:space="preserve"> Part 2 came into operation.</w:t>
      </w:r>
    </w:p>
    <w:p>
      <w:pPr>
        <w:pStyle w:val="yFootnotesection"/>
      </w:pPr>
      <w:r>
        <w:tab/>
        <w:t>[Clause 36 inserted: No. 10 of 2013 s. 9.]</w:t>
      </w:r>
    </w:p>
    <w:p>
      <w:pPr>
        <w:pStyle w:val="yHeading3"/>
        <w:rPr>
          <w:i/>
        </w:rPr>
      </w:pPr>
      <w:bookmarkStart w:id="6300" w:name="_Toc37947172"/>
      <w:bookmarkStart w:id="6301" w:name="_Toc37947772"/>
      <w:bookmarkStart w:id="6302" w:name="_Toc38031836"/>
      <w:bookmarkStart w:id="6303" w:name="_Toc93310345"/>
      <w:bookmarkStart w:id="6304" w:name="_Toc104291367"/>
      <w:bookmarkStart w:id="6305" w:name="_Toc530492002"/>
      <w:bookmarkStart w:id="6306" w:name="_Toc530492462"/>
      <w:bookmarkStart w:id="6307" w:name="_Toc530493472"/>
      <w:bookmarkStart w:id="6308" w:name="_Toc530556607"/>
      <w:bookmarkStart w:id="6309" w:name="_Toc531692516"/>
      <w:bookmarkStart w:id="6310" w:name="_Toc531856421"/>
      <w:bookmarkStart w:id="6311" w:name="_Toc531859149"/>
      <w:bookmarkStart w:id="6312" w:name="_Toc531859688"/>
      <w:r>
        <w:rPr>
          <w:rStyle w:val="CharSDivNo"/>
        </w:rPr>
        <w:t>Division 7</w:t>
      </w:r>
      <w:r>
        <w:t> — </w:t>
      </w:r>
      <w:r>
        <w:rPr>
          <w:rStyle w:val="CharSDivText"/>
        </w:rPr>
        <w:t xml:space="preserve">Provisions for </w:t>
      </w:r>
      <w:r>
        <w:rPr>
          <w:rStyle w:val="CharSDivText"/>
          <w:i/>
        </w:rPr>
        <w:t>Taxation Legislation Amendment Act 2015</w:t>
      </w:r>
      <w:bookmarkEnd w:id="6300"/>
      <w:bookmarkEnd w:id="6301"/>
      <w:bookmarkEnd w:id="6302"/>
      <w:bookmarkEnd w:id="6303"/>
      <w:bookmarkEnd w:id="6304"/>
      <w:bookmarkEnd w:id="6305"/>
      <w:bookmarkEnd w:id="6306"/>
      <w:bookmarkEnd w:id="6307"/>
      <w:bookmarkEnd w:id="6308"/>
      <w:bookmarkEnd w:id="6309"/>
      <w:bookmarkEnd w:id="6310"/>
      <w:bookmarkEnd w:id="6311"/>
      <w:bookmarkEnd w:id="6312"/>
    </w:p>
    <w:p>
      <w:pPr>
        <w:pStyle w:val="yFootnoteheading"/>
      </w:pPr>
      <w:r>
        <w:tab/>
        <w:t>[Heading inserted: No. 1 of 2015 s. 28.]</w:t>
      </w:r>
    </w:p>
    <w:p>
      <w:pPr>
        <w:pStyle w:val="yHeading5"/>
      </w:pPr>
      <w:bookmarkStart w:id="6313" w:name="_Toc104291368"/>
      <w:bookmarkStart w:id="6314" w:name="_Toc531859689"/>
      <w:r>
        <w:rPr>
          <w:rStyle w:val="CharSClsNo"/>
        </w:rPr>
        <w:t>37</w:t>
      </w:r>
      <w:r>
        <w:t>.</w:t>
      </w:r>
      <w:r>
        <w:tab/>
        <w:t>Terms used</w:t>
      </w:r>
      <w:bookmarkEnd w:id="6313"/>
      <w:bookmarkEnd w:id="6314"/>
    </w:p>
    <w:p>
      <w:pPr>
        <w:pStyle w:val="ySubsection"/>
      </w:pPr>
      <w:r>
        <w:tab/>
      </w:r>
      <w:r>
        <w:tab/>
        <w:t xml:space="preserve">In this Division — </w:t>
      </w:r>
    </w:p>
    <w:p>
      <w:pPr>
        <w:pStyle w:val="yDefstart"/>
      </w:pPr>
      <w:r>
        <w:tab/>
      </w:r>
      <w:r>
        <w:rPr>
          <w:rStyle w:val="CharDefText"/>
        </w:rPr>
        <w:t>amended provisions</w:t>
      </w:r>
      <w:r>
        <w:t xml:space="preserve"> means sections 156(8)(b) and 195(2)(a) as in force immediately after commencement;</w:t>
      </w:r>
    </w:p>
    <w:p>
      <w:pPr>
        <w:pStyle w:val="yDefstart"/>
      </w:pPr>
      <w:r>
        <w:tab/>
      </w:r>
      <w:r>
        <w:rPr>
          <w:rStyle w:val="CharDefText"/>
        </w:rPr>
        <w:t>commencement</w:t>
      </w:r>
      <w:r>
        <w:t xml:space="preserve"> means the day on which the </w:t>
      </w:r>
      <w:r>
        <w:rPr>
          <w:i/>
        </w:rPr>
        <w:t>Taxation Legislation Amendment Act 2015</w:t>
      </w:r>
      <w:r>
        <w:t xml:space="preserve"> Part 4 comes into operation;</w:t>
      </w:r>
    </w:p>
    <w:p>
      <w:pPr>
        <w:pStyle w:val="yDefstart"/>
      </w:pPr>
      <w:r>
        <w:tab/>
      </w:r>
      <w:r>
        <w:rPr>
          <w:rStyle w:val="CharDefText"/>
        </w:rPr>
        <w:t xml:space="preserve">relevant acquisition </w:t>
      </w:r>
      <w:r>
        <w:t>means a relevant acquisition that occurred on or after 1 July 2008 but before commencement.</w:t>
      </w:r>
    </w:p>
    <w:p>
      <w:pPr>
        <w:pStyle w:val="yFootnotesection"/>
      </w:pPr>
      <w:r>
        <w:tab/>
        <w:t>[Clause 37 inserted: No. 1 of 2015 s. 28.]</w:t>
      </w:r>
    </w:p>
    <w:p>
      <w:pPr>
        <w:pStyle w:val="yHeading5"/>
      </w:pPr>
      <w:bookmarkStart w:id="6315" w:name="_Toc104291369"/>
      <w:bookmarkStart w:id="6316" w:name="_Toc531859690"/>
      <w:r>
        <w:rPr>
          <w:rStyle w:val="CharSClsNo"/>
        </w:rPr>
        <w:t>38</w:t>
      </w:r>
      <w:r>
        <w:t>.</w:t>
      </w:r>
      <w:r>
        <w:tab/>
        <w:t>Duty on certain relevant acquisitions</w:t>
      </w:r>
      <w:bookmarkEnd w:id="6315"/>
      <w:bookmarkEnd w:id="6316"/>
      <w:r>
        <w:t xml:space="preserve"> </w:t>
      </w:r>
    </w:p>
    <w:p>
      <w:pPr>
        <w:pStyle w:val="ySubsection"/>
      </w:pPr>
      <w:r>
        <w:tab/>
        <w:t>(1)</w:t>
      </w:r>
      <w:r>
        <w:tab/>
        <w:t xml:space="preserve">The amended provisions apply, and are to be taken to have always applied, for the purposes of — </w:t>
      </w:r>
    </w:p>
    <w:p>
      <w:pPr>
        <w:pStyle w:val="yIndenta"/>
      </w:pPr>
      <w:r>
        <w:tab/>
        <w:t>(a)</w:t>
      </w:r>
      <w:r>
        <w:tab/>
        <w:t>assessing duty in respect of a relevant acquisition; and</w:t>
      </w:r>
    </w:p>
    <w:p>
      <w:pPr>
        <w:pStyle w:val="yIndenta"/>
      </w:pPr>
      <w:r>
        <w:tab/>
        <w:t>(b)</w:t>
      </w:r>
      <w:r>
        <w:tab/>
        <w:t xml:space="preserve">reassessing duty in respect of a relevant acquisition on an application made under section 195(3)(b) before whichever is the later of the following — </w:t>
      </w:r>
    </w:p>
    <w:p>
      <w:pPr>
        <w:pStyle w:val="yIndenti0"/>
      </w:pPr>
      <w:r>
        <w:tab/>
        <w:t>(i)</w:t>
      </w:r>
      <w:r>
        <w:tab/>
        <w:t>5 years after the original assessment was made;</w:t>
      </w:r>
    </w:p>
    <w:p>
      <w:pPr>
        <w:pStyle w:val="yIndenti0"/>
      </w:pPr>
      <w:r>
        <w:tab/>
        <w:t>(ii)</w:t>
      </w:r>
      <w:r>
        <w:tab/>
        <w:t>12 months after commencement.</w:t>
      </w:r>
    </w:p>
    <w:p>
      <w:pPr>
        <w:pStyle w:val="ySubsection"/>
      </w:pPr>
      <w:r>
        <w:tab/>
        <w:t>(2)</w:t>
      </w:r>
      <w:r>
        <w:tab/>
        <w:t xml:space="preserve">Subclause (1)(b) applies despite the </w:t>
      </w:r>
      <w:r>
        <w:rPr>
          <w:i/>
        </w:rPr>
        <w:t>Taxation Administration Act 2003</w:t>
      </w:r>
      <w:r>
        <w:t xml:space="preserve"> section 17(4).</w:t>
      </w:r>
    </w:p>
    <w:p>
      <w:pPr>
        <w:pStyle w:val="yFootnotesection"/>
      </w:pPr>
      <w:r>
        <w:tab/>
        <w:t>[Clause 38 inserted: No. 1 of 2015 s. 28.]</w:t>
      </w:r>
    </w:p>
    <w:p>
      <w:pPr>
        <w:pStyle w:val="yHeading3"/>
      </w:pPr>
      <w:bookmarkStart w:id="6317" w:name="_Toc37947175"/>
      <w:bookmarkStart w:id="6318" w:name="_Toc37947775"/>
      <w:bookmarkStart w:id="6319" w:name="_Toc38031839"/>
      <w:bookmarkStart w:id="6320" w:name="_Toc93310348"/>
      <w:bookmarkStart w:id="6321" w:name="_Toc104291370"/>
      <w:bookmarkStart w:id="6322" w:name="_Toc513472063"/>
      <w:bookmarkStart w:id="6323" w:name="_Toc513472157"/>
      <w:bookmarkStart w:id="6324" w:name="_Toc515352307"/>
      <w:bookmarkStart w:id="6325" w:name="_Toc516044973"/>
      <w:bookmarkStart w:id="6326" w:name="_Toc516238718"/>
      <w:bookmarkStart w:id="6327" w:name="_Toc516239093"/>
      <w:bookmarkStart w:id="6328" w:name="_Toc516240280"/>
      <w:bookmarkStart w:id="6329" w:name="_Toc526928473"/>
      <w:bookmarkStart w:id="6330" w:name="_Toc527633817"/>
      <w:bookmarkStart w:id="6331" w:name="_Toc527637315"/>
      <w:bookmarkStart w:id="6332" w:name="_Toc531692519"/>
      <w:bookmarkStart w:id="6333" w:name="_Toc531856424"/>
      <w:bookmarkStart w:id="6334" w:name="_Toc531859152"/>
      <w:bookmarkStart w:id="6335" w:name="_Toc531859691"/>
      <w:r>
        <w:rPr>
          <w:rStyle w:val="CharSDivNo"/>
        </w:rPr>
        <w:t>Division 8</w:t>
      </w:r>
      <w:r>
        <w:rPr>
          <w:sz w:val="26"/>
          <w:szCs w:val="26"/>
        </w:rPr>
        <w:t> — </w:t>
      </w:r>
      <w:r>
        <w:rPr>
          <w:rStyle w:val="CharSDivText"/>
        </w:rPr>
        <w:t xml:space="preserve">Provisions for </w:t>
      </w:r>
      <w:r>
        <w:rPr>
          <w:rStyle w:val="CharSDivText"/>
          <w:i/>
        </w:rPr>
        <w:t>Duties Amendment (Additional Duty for Foreign Persons) Act 2018</w:t>
      </w:r>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p>
    <w:p>
      <w:pPr>
        <w:pStyle w:val="Footnoteheading"/>
      </w:pPr>
      <w:r>
        <w:tab/>
        <w:t>[Heading inserted: No. 24 of 2018 s. 15.]</w:t>
      </w:r>
    </w:p>
    <w:p>
      <w:pPr>
        <w:pStyle w:val="yHeading5"/>
      </w:pPr>
      <w:bookmarkStart w:id="6336" w:name="_Toc104291371"/>
      <w:bookmarkStart w:id="6337" w:name="_Toc527633818"/>
      <w:bookmarkStart w:id="6338" w:name="_Toc527637316"/>
      <w:bookmarkStart w:id="6339" w:name="_Toc531859692"/>
      <w:r>
        <w:rPr>
          <w:rStyle w:val="CharSClsNo"/>
        </w:rPr>
        <w:t>39</w:t>
      </w:r>
      <w:r>
        <w:t>.</w:t>
      </w:r>
      <w:r>
        <w:rPr>
          <w:b w:val="0"/>
        </w:rPr>
        <w:tab/>
      </w:r>
      <w:r>
        <w:t>Terms used</w:t>
      </w:r>
      <w:bookmarkEnd w:id="6336"/>
      <w:bookmarkEnd w:id="6337"/>
      <w:bookmarkEnd w:id="6338"/>
      <w:bookmarkEnd w:id="6339"/>
    </w:p>
    <w:p>
      <w:pPr>
        <w:pStyle w:val="ySubsection"/>
        <w:spacing w:before="200"/>
      </w:pPr>
      <w:r>
        <w:tab/>
      </w:r>
      <w:r>
        <w:tab/>
        <w:t>When this Division uses a term that is used in Chapter 3A, the term has the same meaning in this Division as it has in Chapter 3A.</w:t>
      </w:r>
    </w:p>
    <w:p>
      <w:pPr>
        <w:pStyle w:val="yFootnotesection"/>
      </w:pPr>
      <w:r>
        <w:tab/>
        <w:t>[Clause 39 inserted: No. 24 of 2018 s. 15.]</w:t>
      </w:r>
    </w:p>
    <w:p>
      <w:pPr>
        <w:pStyle w:val="yHeading5"/>
      </w:pPr>
      <w:bookmarkStart w:id="6340" w:name="_Toc104291372"/>
      <w:bookmarkStart w:id="6341" w:name="_Toc527633819"/>
      <w:bookmarkStart w:id="6342" w:name="_Toc527637317"/>
      <w:bookmarkStart w:id="6343" w:name="_Toc531859693"/>
      <w:r>
        <w:rPr>
          <w:rStyle w:val="CharSClsNo"/>
        </w:rPr>
        <w:t>40</w:t>
      </w:r>
      <w:r>
        <w:t>.</w:t>
      </w:r>
      <w:r>
        <w:tab/>
        <w:t>When Ch. 3A Pt. 2 starts to apply</w:t>
      </w:r>
      <w:bookmarkEnd w:id="6340"/>
      <w:bookmarkEnd w:id="6341"/>
      <w:bookmarkEnd w:id="6342"/>
      <w:bookmarkEnd w:id="6343"/>
    </w:p>
    <w:p>
      <w:pPr>
        <w:pStyle w:val="ySubsection"/>
        <w:spacing w:before="200"/>
      </w:pPr>
      <w:r>
        <w:tab/>
      </w:r>
      <w:r>
        <w:tab/>
        <w:t>Chapter 3A Part 2 applies in relation to the imposition of foreign transfer duty on a foreign dutiable transaction only if that transaction takes place on or after 1 January 2019.</w:t>
      </w:r>
    </w:p>
    <w:p>
      <w:pPr>
        <w:pStyle w:val="yFootnotesection"/>
      </w:pPr>
      <w:bookmarkStart w:id="6344" w:name="_Toc527633820"/>
      <w:bookmarkStart w:id="6345" w:name="_Toc527637318"/>
      <w:r>
        <w:tab/>
        <w:t>[Clause 40 inserted: No. 24 of 2018 s. 15.]</w:t>
      </w:r>
    </w:p>
    <w:p>
      <w:pPr>
        <w:pStyle w:val="yHeading5"/>
      </w:pPr>
      <w:bookmarkStart w:id="6346" w:name="_Toc104291373"/>
      <w:bookmarkStart w:id="6347" w:name="_Toc531859694"/>
      <w:r>
        <w:rPr>
          <w:rStyle w:val="CharSClsNo"/>
        </w:rPr>
        <w:t>41</w:t>
      </w:r>
      <w:r>
        <w:t>.</w:t>
      </w:r>
      <w:r>
        <w:tab/>
        <w:t>Agreements entered into before 1 January 2019</w:t>
      </w:r>
      <w:bookmarkEnd w:id="6346"/>
      <w:bookmarkEnd w:id="6344"/>
      <w:bookmarkEnd w:id="6345"/>
      <w:bookmarkEnd w:id="6347"/>
    </w:p>
    <w:p>
      <w:pPr>
        <w:pStyle w:val="ySubsection"/>
        <w:spacing w:before="200"/>
      </w:pPr>
      <w:r>
        <w:tab/>
        <w:t>(1)</w:t>
      </w:r>
      <w:r>
        <w:tab/>
        <w:t>Foreign transfer duty is not chargeable on a transfer of residential property to a transferee in conformity with an agreement for the transfer of residential property if the agreement is entered into before 1 January 2019.</w:t>
      </w:r>
    </w:p>
    <w:p>
      <w:pPr>
        <w:pStyle w:val="ySubsection"/>
        <w:spacing w:before="200"/>
      </w:pPr>
      <w:r>
        <w:tab/>
        <w:t>(2)</w:t>
      </w:r>
      <w:r>
        <w:tab/>
        <w:t>If an agreement for the transfer of residential property is entered into before 1 January 2019, foreign transfer duty is not chargeable on the subsequent transfer of the property if, when liability for transfer duty on the agreement arose, the person named in the instrument effecting, or evidencing, the agreement as the purchaser was acting as the agent of the transferee of the subsequent transfer.</w:t>
      </w:r>
    </w:p>
    <w:p>
      <w:pPr>
        <w:pStyle w:val="yFootnotesection"/>
      </w:pPr>
      <w:bookmarkStart w:id="6348" w:name="_Toc527633821"/>
      <w:bookmarkStart w:id="6349" w:name="_Toc527637319"/>
      <w:r>
        <w:tab/>
        <w:t>[Clause 41 inserted: No. 24 of 2018 s. 15.]</w:t>
      </w:r>
    </w:p>
    <w:p>
      <w:pPr>
        <w:pStyle w:val="yHeading5"/>
      </w:pPr>
      <w:bookmarkStart w:id="6350" w:name="_Toc104291374"/>
      <w:bookmarkStart w:id="6351" w:name="_Toc531859695"/>
      <w:r>
        <w:rPr>
          <w:rStyle w:val="CharSClsNo"/>
        </w:rPr>
        <w:t>42</w:t>
      </w:r>
      <w:r>
        <w:t>.</w:t>
      </w:r>
      <w:r>
        <w:tab/>
        <w:t>Declaration of trusts made before 1 January 2019</w:t>
      </w:r>
      <w:bookmarkEnd w:id="6350"/>
      <w:bookmarkEnd w:id="6348"/>
      <w:bookmarkEnd w:id="6349"/>
      <w:bookmarkEnd w:id="6351"/>
    </w:p>
    <w:p>
      <w:pPr>
        <w:pStyle w:val="ySubsection"/>
      </w:pPr>
      <w:r>
        <w:tab/>
        <w:t>(1)</w:t>
      </w:r>
      <w:r>
        <w:tab/>
        <w:t>Foreign transfer duty is not chargeable on a transfer to a trustee of residential property subject to a declaration of trust in respect of the same residential property if the declaration of trust was made before 1 January 2019.</w:t>
      </w:r>
    </w:p>
    <w:p>
      <w:pPr>
        <w:pStyle w:val="ySubsection"/>
      </w:pPr>
      <w:r>
        <w:tab/>
        <w:t>(2)</w:t>
      </w:r>
      <w:r>
        <w:tab/>
        <w:t>Foreign transfer duty is not chargeable on a declaration of trust that declares the same trusts as those upon and subject to which the same residential property was transferred, or agreed to be transferred, to the person declaring the trust if the transfer, or agreement, was made before 1 January 2019.</w:t>
      </w:r>
    </w:p>
    <w:p>
      <w:pPr>
        <w:pStyle w:val="ySubsection"/>
      </w:pPr>
      <w:r>
        <w:tab/>
        <w:t>(3)</w:t>
      </w:r>
      <w:r>
        <w:tab/>
        <w:t xml:space="preserve">Foreign transfer duty is not chargeable on a declaration of trust if — </w:t>
      </w:r>
    </w:p>
    <w:p>
      <w:pPr>
        <w:pStyle w:val="yIndenta"/>
      </w:pPr>
      <w:r>
        <w:tab/>
        <w:t>(a)</w:t>
      </w:r>
      <w:r>
        <w:tab/>
        <w:t>the declaration of trust supersedes another declaration of trust which was made before 1 January 2019 and declares the same trusts as were declared under the superseded declaration of trust; and</w:t>
      </w:r>
    </w:p>
    <w:p>
      <w:pPr>
        <w:pStyle w:val="yIndenta"/>
      </w:pPr>
      <w:r>
        <w:tab/>
        <w:t>(b)</w:t>
      </w:r>
      <w:r>
        <w:tab/>
        <w:t>the beneficiary under the declaration of trust is the same as under the superseded declaration of trust; and</w:t>
      </w:r>
    </w:p>
    <w:p>
      <w:pPr>
        <w:pStyle w:val="yIndenta"/>
      </w:pPr>
      <w:r>
        <w:tab/>
        <w:t>(c)</w:t>
      </w:r>
      <w:r>
        <w:tab/>
        <w:t xml:space="preserve">the residential property subject to the declaration of trust — </w:t>
      </w:r>
    </w:p>
    <w:p>
      <w:pPr>
        <w:pStyle w:val="yIndenti0"/>
      </w:pPr>
      <w:r>
        <w:tab/>
        <w:t>(i)</w:t>
      </w:r>
      <w:r>
        <w:tab/>
        <w:t>is wholly or substantially the same as the property that was the subject of the superseded declaration of trust at the time of the declaration of the superseded declaration of trust; or</w:t>
      </w:r>
    </w:p>
    <w:p>
      <w:pPr>
        <w:pStyle w:val="yIndenti0"/>
      </w:pPr>
      <w:r>
        <w:tab/>
        <w:t>(ii)</w:t>
      </w:r>
      <w:r>
        <w:tab/>
        <w:t>represents the proceeds of re</w:t>
      </w:r>
      <w:r>
        <w:noBreakHyphen/>
        <w:t>investment of property that was the subject of the superseded declaration of trust at the time of the declaration of the superseded declaration of trust; or</w:t>
      </w:r>
    </w:p>
    <w:p>
      <w:pPr>
        <w:pStyle w:val="yIndenti0"/>
      </w:pPr>
      <w:r>
        <w:tab/>
        <w:t>(iii)</w:t>
      </w:r>
      <w:r>
        <w:tab/>
        <w:t>is property to which both subparagraphs (i) and (ii) apply.</w:t>
      </w:r>
    </w:p>
    <w:p>
      <w:pPr>
        <w:pStyle w:val="yFootnotesection"/>
      </w:pPr>
      <w:bookmarkStart w:id="6352" w:name="_Toc527633822"/>
      <w:bookmarkStart w:id="6353" w:name="_Toc527637320"/>
      <w:r>
        <w:tab/>
        <w:t>[Clause 42 inserted: No. 24 of 2018 s. 15.]</w:t>
      </w:r>
    </w:p>
    <w:p>
      <w:pPr>
        <w:pStyle w:val="yHeading5"/>
      </w:pPr>
      <w:bookmarkStart w:id="6354" w:name="_Toc104291375"/>
      <w:bookmarkStart w:id="6355" w:name="_Toc531859696"/>
      <w:r>
        <w:rPr>
          <w:rStyle w:val="CharSClsNo"/>
        </w:rPr>
        <w:t>43</w:t>
      </w:r>
      <w:r>
        <w:t>.</w:t>
      </w:r>
      <w:r>
        <w:tab/>
        <w:t>Other transactions before 1 January 2019</w:t>
      </w:r>
      <w:bookmarkEnd w:id="6354"/>
      <w:bookmarkEnd w:id="6352"/>
      <w:bookmarkEnd w:id="6353"/>
      <w:bookmarkEnd w:id="6355"/>
    </w:p>
    <w:p>
      <w:pPr>
        <w:pStyle w:val="ySubsection"/>
      </w:pPr>
      <w:r>
        <w:tab/>
        <w:t>(1)</w:t>
      </w:r>
      <w:r>
        <w:tab/>
        <w:t>Foreign transfer duty is not chargeable on a transfer of residential property resulting from a foreign dutiable transaction referred to in section 205H(1)(d) if the vesting of the residential property was made before 1 January 2019.</w:t>
      </w:r>
    </w:p>
    <w:p>
      <w:pPr>
        <w:pStyle w:val="ySubsection"/>
      </w:pPr>
      <w:r>
        <w:tab/>
        <w:t>(2)</w:t>
      </w:r>
      <w:r>
        <w:tab/>
        <w:t>Foreign transfer duty is not chargeable on a transfer of residential property in accordance with a foreclosure order if the foreclosure order was made before 1 January 2019.</w:t>
      </w:r>
    </w:p>
    <w:p>
      <w:pPr>
        <w:pStyle w:val="ySubsection"/>
      </w:pPr>
      <w:r>
        <w:tab/>
        <w:t>(3)</w:t>
      </w:r>
      <w:r>
        <w:tab/>
        <w:t>Foreign transfer duty is not chargeable on a transfer of residential property in accordance with a residential partnership acquisition if the residential partnership acquisition was made before 1 January 2019.</w:t>
      </w:r>
    </w:p>
    <w:p>
      <w:pPr>
        <w:pStyle w:val="ySubsection"/>
      </w:pPr>
      <w:r>
        <w:tab/>
        <w:t>(4)</w:t>
      </w:r>
      <w:r>
        <w:tab/>
        <w:t xml:space="preserve">Foreign transfer duty is not chargeable on a foreign dutiable transaction if — </w:t>
      </w:r>
    </w:p>
    <w:p>
      <w:pPr>
        <w:pStyle w:val="yIndenta"/>
      </w:pPr>
      <w:r>
        <w:tab/>
        <w:t>(a)</w:t>
      </w:r>
      <w:r>
        <w:tab/>
        <w:t>section 97 applies to the transaction and the person from whom the property is transferred or agreed to be transferred acquired the property before 1 January 2019; or</w:t>
      </w:r>
    </w:p>
    <w:p>
      <w:pPr>
        <w:pStyle w:val="yIndenta"/>
      </w:pPr>
      <w:r>
        <w:tab/>
        <w:t>(b)</w:t>
      </w:r>
      <w:r>
        <w:tab/>
        <w:t>section 114, 115 or 116 applies to the transaction and the trustee acquired the property before 1 January 2019; or</w:t>
      </w:r>
    </w:p>
    <w:p>
      <w:pPr>
        <w:pStyle w:val="yIndenta"/>
      </w:pPr>
      <w:r>
        <w:tab/>
        <w:t>(c)</w:t>
      </w:r>
      <w:r>
        <w:tab/>
        <w:t>section 117(1)(a) or (b) applies to the transaction and the apparent purchaser acquired the property before 1 January 2019.</w:t>
      </w:r>
    </w:p>
    <w:p>
      <w:pPr>
        <w:pStyle w:val="yFootnotesection"/>
      </w:pPr>
      <w:bookmarkStart w:id="6356" w:name="_Toc527633823"/>
      <w:bookmarkStart w:id="6357" w:name="_Toc527637321"/>
      <w:r>
        <w:tab/>
        <w:t>[Clause 43 inserted: No. 24 of 2018 s. 15.]</w:t>
      </w:r>
    </w:p>
    <w:p>
      <w:pPr>
        <w:pStyle w:val="yHeading5"/>
      </w:pPr>
      <w:bookmarkStart w:id="6358" w:name="_Toc104291376"/>
      <w:bookmarkStart w:id="6359" w:name="_Toc531859697"/>
      <w:r>
        <w:rPr>
          <w:rStyle w:val="CharSClsNo"/>
        </w:rPr>
        <w:t>44</w:t>
      </w:r>
      <w:r>
        <w:t>.</w:t>
      </w:r>
      <w:r>
        <w:tab/>
        <w:t>When Ch. 3A Pt. 3 starts to apply</w:t>
      </w:r>
      <w:bookmarkEnd w:id="6358"/>
      <w:bookmarkEnd w:id="6356"/>
      <w:bookmarkEnd w:id="6357"/>
      <w:bookmarkEnd w:id="6359"/>
    </w:p>
    <w:p>
      <w:pPr>
        <w:pStyle w:val="ySubsection"/>
        <w:keepNext/>
      </w:pPr>
      <w:r>
        <w:tab/>
        <w:t>(1)</w:t>
      </w:r>
      <w:r>
        <w:tab/>
        <w:t>Chapter 3A Part 3 applies in relation to the imposition of foreign landholder duty on a foreign landholder acquisition only if that acquisition occurs on or after 1 January 2019.</w:t>
      </w:r>
    </w:p>
    <w:p>
      <w:pPr>
        <w:pStyle w:val="ySubsection"/>
      </w:pPr>
      <w:r>
        <w:tab/>
        <w:t>(2)</w:t>
      </w:r>
      <w:r>
        <w:tab/>
        <w:t>For the purposes of subsection (1), when an acquisition of an interest in a residential landholder occurs is to be determined under section 176 as applied by section 205ZE(1).</w:t>
      </w:r>
    </w:p>
    <w:p>
      <w:pPr>
        <w:pStyle w:val="yFootnotesection"/>
        <w:keepLines w:val="0"/>
      </w:pPr>
      <w:bookmarkStart w:id="6360" w:name="_Toc527633824"/>
      <w:bookmarkStart w:id="6361" w:name="_Toc527637322"/>
      <w:r>
        <w:tab/>
        <w:t>[Clause 44 inserted: No. 24 of 2018 s. 15.]</w:t>
      </w:r>
    </w:p>
    <w:p>
      <w:pPr>
        <w:pStyle w:val="yHeading5"/>
      </w:pPr>
      <w:bookmarkStart w:id="6362" w:name="_Toc104291377"/>
      <w:bookmarkStart w:id="6363" w:name="_Toc531859698"/>
      <w:r>
        <w:rPr>
          <w:rStyle w:val="CharSClsNo"/>
        </w:rPr>
        <w:t>45</w:t>
      </w:r>
      <w:r>
        <w:t>.</w:t>
      </w:r>
      <w:r>
        <w:tab/>
        <w:t>Application of some Ch. 8 provisions</w:t>
      </w:r>
      <w:bookmarkEnd w:id="6362"/>
      <w:bookmarkEnd w:id="6360"/>
      <w:bookmarkEnd w:id="6361"/>
      <w:bookmarkEnd w:id="6363"/>
    </w:p>
    <w:p>
      <w:pPr>
        <w:pStyle w:val="ySubsection"/>
        <w:keepNext/>
        <w:keepLines/>
      </w:pPr>
      <w:r>
        <w:tab/>
        <w:t>(1)</w:t>
      </w:r>
      <w:r>
        <w:tab/>
        <w:t xml:space="preserve">Sections 272(2) and 273 as in force before the commencement of the </w:t>
      </w:r>
      <w:r>
        <w:rPr>
          <w:i/>
        </w:rPr>
        <w:t>Duties Amendment (Additional Duty for Foreign Persons) Act 2018</w:t>
      </w:r>
      <w:r>
        <w:t xml:space="preserve"> section 15 apply in relation to a dutiable transaction that takes place before 1 January 2019.</w:t>
      </w:r>
    </w:p>
    <w:p>
      <w:pPr>
        <w:pStyle w:val="ySubsection"/>
      </w:pPr>
      <w:r>
        <w:tab/>
        <w:t>(2)</w:t>
      </w:r>
      <w:r>
        <w:tab/>
        <w:t>Section 273(2A) applies in relation to a foreign dutiable transaction only if that transaction takes place on or after 1 January 2019.</w:t>
      </w:r>
    </w:p>
    <w:p>
      <w:pPr>
        <w:pStyle w:val="yFootnotesection"/>
      </w:pPr>
      <w:r>
        <w:tab/>
        <w:t>[Clause 45 inserted: No. 24 of 2018 s. 15.]</w:t>
      </w:r>
    </w:p>
    <w:p>
      <w:pPr>
        <w:pStyle w:val="yHeading3"/>
        <w:rPr>
          <w:ins w:id="6364" w:author="Master Repository Process" w:date="2022-05-27T14:27:00Z"/>
        </w:rPr>
      </w:pPr>
      <w:bookmarkStart w:id="6365" w:name="_Toc37947183"/>
      <w:bookmarkStart w:id="6366" w:name="_Toc37947783"/>
      <w:bookmarkStart w:id="6367" w:name="_Toc38031847"/>
      <w:bookmarkStart w:id="6368" w:name="_Toc93310356"/>
      <w:bookmarkStart w:id="6369" w:name="_Toc104291378"/>
      <w:ins w:id="6370" w:author="Master Repository Process" w:date="2022-05-27T14:27:00Z">
        <w:r>
          <w:rPr>
            <w:rStyle w:val="CharSDivNo"/>
          </w:rPr>
          <w:t>Division 9</w:t>
        </w:r>
        <w:r>
          <w:t> — </w:t>
        </w:r>
        <w:r>
          <w:rPr>
            <w:rStyle w:val="CharSDivText"/>
          </w:rPr>
          <w:t>Provisions for Revenue Laws Amendment Act 2019</w:t>
        </w:r>
        <w:bookmarkEnd w:id="6365"/>
        <w:bookmarkEnd w:id="6366"/>
        <w:bookmarkEnd w:id="6367"/>
        <w:bookmarkEnd w:id="6368"/>
        <w:bookmarkEnd w:id="6369"/>
      </w:ins>
    </w:p>
    <w:p>
      <w:pPr>
        <w:pStyle w:val="Footnoteheading"/>
        <w:rPr>
          <w:ins w:id="6371" w:author="Master Repository Process" w:date="2022-05-27T14:27:00Z"/>
        </w:rPr>
      </w:pPr>
      <w:ins w:id="6372" w:author="Master Repository Process" w:date="2022-05-27T14:27:00Z">
        <w:r>
          <w:tab/>
          <w:t>[Heading inserted: No. 12 of 2019 s. 132.]</w:t>
        </w:r>
      </w:ins>
    </w:p>
    <w:p>
      <w:pPr>
        <w:pStyle w:val="yHeading5"/>
        <w:rPr>
          <w:ins w:id="6373" w:author="Master Repository Process" w:date="2022-05-27T14:27:00Z"/>
        </w:rPr>
      </w:pPr>
      <w:bookmarkStart w:id="6374" w:name="_Toc104291379"/>
      <w:ins w:id="6375" w:author="Master Repository Process" w:date="2022-05-27T14:27:00Z">
        <w:r>
          <w:rPr>
            <w:rStyle w:val="CharSClsNo"/>
          </w:rPr>
          <w:t>46</w:t>
        </w:r>
        <w:r>
          <w:t>.</w:t>
        </w:r>
        <w:r>
          <w:tab/>
          <w:t>Terms used</w:t>
        </w:r>
        <w:bookmarkEnd w:id="6374"/>
      </w:ins>
    </w:p>
    <w:p>
      <w:pPr>
        <w:pStyle w:val="ySubsection"/>
        <w:rPr>
          <w:ins w:id="6376" w:author="Master Repository Process" w:date="2022-05-27T14:27:00Z"/>
        </w:rPr>
      </w:pPr>
      <w:ins w:id="6377" w:author="Master Repository Process" w:date="2022-05-27T14:27:00Z">
        <w:r>
          <w:tab/>
          <w:t>(1)</w:t>
        </w:r>
        <w:r>
          <w:tab/>
          <w:t xml:space="preserve">In this Division — </w:t>
        </w:r>
      </w:ins>
    </w:p>
    <w:p>
      <w:pPr>
        <w:pStyle w:val="yDefstart"/>
        <w:rPr>
          <w:ins w:id="6378" w:author="Master Repository Process" w:date="2022-05-27T14:27:00Z"/>
        </w:rPr>
      </w:pPr>
      <w:ins w:id="6379" w:author="Master Repository Process" w:date="2022-05-27T14:27:00Z">
        <w:r>
          <w:tab/>
        </w:r>
        <w:r>
          <w:rPr>
            <w:rStyle w:val="CharDefText"/>
          </w:rPr>
          <w:t xml:space="preserve">commencement day </w:t>
        </w:r>
        <w:r>
          <w:t xml:space="preserve">means the day on which the </w:t>
        </w:r>
        <w:r>
          <w:rPr>
            <w:i/>
          </w:rPr>
          <w:t>Revenue Laws Amendment Act 2019</w:t>
        </w:r>
        <w:r>
          <w:t xml:space="preserve"> Part 2 comes into operation;</w:t>
        </w:r>
      </w:ins>
    </w:p>
    <w:p>
      <w:pPr>
        <w:pStyle w:val="yDefstart"/>
        <w:rPr>
          <w:ins w:id="6380" w:author="Master Repository Process" w:date="2022-05-27T14:27:00Z"/>
        </w:rPr>
      </w:pPr>
      <w:ins w:id="6381" w:author="Master Repository Process" w:date="2022-05-27T14:27:00Z">
        <w:r>
          <w:tab/>
        </w:r>
        <w:r>
          <w:rPr>
            <w:rStyle w:val="CharDefText"/>
          </w:rPr>
          <w:t>transaction</w:t>
        </w:r>
        <w:r>
          <w:t xml:space="preserve"> means any transaction, transfer, acquisition or other matter of a kind on which duty is or may be chargeable under this Act and includes the following — </w:t>
        </w:r>
      </w:ins>
    </w:p>
    <w:p>
      <w:pPr>
        <w:pStyle w:val="yDefpara"/>
        <w:rPr>
          <w:ins w:id="6382" w:author="Master Repository Process" w:date="2022-05-27T14:27:00Z"/>
        </w:rPr>
      </w:pPr>
      <w:ins w:id="6383" w:author="Master Repository Process" w:date="2022-05-27T14:27:00Z">
        <w:r>
          <w:tab/>
          <w:t>(a)</w:t>
        </w:r>
        <w:r>
          <w:tab/>
          <w:t>a transaction of a kind referred to in section 11 (including a transaction that would be a dutiable transaction if it related to dutiable property, new dutiable property or special dutiable property);</w:t>
        </w:r>
      </w:ins>
    </w:p>
    <w:p>
      <w:pPr>
        <w:pStyle w:val="yDefpara"/>
        <w:rPr>
          <w:ins w:id="6384" w:author="Master Repository Process" w:date="2022-05-27T14:27:00Z"/>
        </w:rPr>
      </w:pPr>
      <w:ins w:id="6385" w:author="Master Repository Process" w:date="2022-05-27T14:27:00Z">
        <w:r>
          <w:tab/>
          <w:t>(b)</w:t>
        </w:r>
        <w:r>
          <w:tab/>
          <w:t>an acquisition of an interest in an entity for the purposes of Chapter 3 or Chapter 3A Part 3;</w:t>
        </w:r>
      </w:ins>
    </w:p>
    <w:p>
      <w:pPr>
        <w:pStyle w:val="yDefpara"/>
        <w:rPr>
          <w:ins w:id="6386" w:author="Master Repository Process" w:date="2022-05-27T14:27:00Z"/>
        </w:rPr>
      </w:pPr>
      <w:ins w:id="6387" w:author="Master Repository Process" w:date="2022-05-27T14:27:00Z">
        <w:r>
          <w:tab/>
          <w:t>(c)</w:t>
        </w:r>
        <w:r>
          <w:tab/>
          <w:t>a transaction of a kind referred to in section 205H (including a transaction that would be a foreign dutiable transaction if it related to residential property, special residential property or new residential property);</w:t>
        </w:r>
      </w:ins>
    </w:p>
    <w:p>
      <w:pPr>
        <w:pStyle w:val="yDefpara"/>
        <w:rPr>
          <w:ins w:id="6388" w:author="Master Repository Process" w:date="2022-05-27T14:27:00Z"/>
        </w:rPr>
      </w:pPr>
      <w:ins w:id="6389" w:author="Master Repository Process" w:date="2022-05-27T14:27:00Z">
        <w:r>
          <w:tab/>
          <w:t>(d)</w:t>
        </w:r>
        <w:r>
          <w:tab/>
          <w:t>the grant or transfer of a licence for a vehicle for the purposes of Chapter 5.</w:t>
        </w:r>
      </w:ins>
    </w:p>
    <w:p>
      <w:pPr>
        <w:pStyle w:val="ySubsection"/>
        <w:rPr>
          <w:ins w:id="6390" w:author="Master Repository Process" w:date="2022-05-27T14:27:00Z"/>
        </w:rPr>
      </w:pPr>
      <w:ins w:id="6391" w:author="Master Repository Process" w:date="2022-05-27T14:27:00Z">
        <w:r>
          <w:tab/>
          <w:t>(2)</w:t>
        </w:r>
        <w:r>
          <w:tab/>
          <w:t>In this Division a reference to doing anything includes omitting to do anything.</w:t>
        </w:r>
      </w:ins>
    </w:p>
    <w:p>
      <w:pPr>
        <w:pStyle w:val="ySubsection"/>
        <w:rPr>
          <w:ins w:id="6392" w:author="Master Repository Process" w:date="2022-05-27T14:27:00Z"/>
        </w:rPr>
      </w:pPr>
      <w:ins w:id="6393" w:author="Master Repository Process" w:date="2022-05-27T14:27:00Z">
        <w:r>
          <w:tab/>
          <w:t>(3)</w:t>
        </w:r>
        <w:r>
          <w:tab/>
          <w:t xml:space="preserve">For the purposes of this Division — </w:t>
        </w:r>
      </w:ins>
    </w:p>
    <w:p>
      <w:pPr>
        <w:pStyle w:val="yIndenta"/>
        <w:rPr>
          <w:ins w:id="6394" w:author="Master Repository Process" w:date="2022-05-27T14:27:00Z"/>
        </w:rPr>
      </w:pPr>
      <w:ins w:id="6395" w:author="Master Repository Process" w:date="2022-05-27T14:27:00Z">
        <w:r>
          <w:tab/>
          <w:t>(a)</w:t>
        </w:r>
        <w:r>
          <w:tab/>
          <w:t>when an acquisition of an interest in an entity for the purposes of Chapter 3 occurs is to be determined under section 176; and</w:t>
        </w:r>
      </w:ins>
    </w:p>
    <w:p>
      <w:pPr>
        <w:pStyle w:val="yIndenta"/>
        <w:rPr>
          <w:ins w:id="6396" w:author="Master Repository Process" w:date="2022-05-27T14:27:00Z"/>
        </w:rPr>
      </w:pPr>
      <w:ins w:id="6397" w:author="Master Repository Process" w:date="2022-05-27T14:27:00Z">
        <w:r>
          <w:tab/>
          <w:t>(b)</w:t>
        </w:r>
        <w:r>
          <w:tab/>
          <w:t>when an acquisition of an interest in an entity for the purposes of Chapter 3A Part 3 occurs is to be determined under section 176 as applied by section 205ZE(1).</w:t>
        </w:r>
      </w:ins>
    </w:p>
    <w:p>
      <w:pPr>
        <w:pStyle w:val="yFootnotesection"/>
        <w:rPr>
          <w:ins w:id="6398" w:author="Master Repository Process" w:date="2022-05-27T14:27:00Z"/>
        </w:rPr>
      </w:pPr>
      <w:ins w:id="6399" w:author="Master Repository Process" w:date="2022-05-27T14:27:00Z">
        <w:r>
          <w:tab/>
          <w:t>[Clause 46 inserted: No. 12 of 2019 s. 132.]</w:t>
        </w:r>
      </w:ins>
    </w:p>
    <w:p>
      <w:pPr>
        <w:pStyle w:val="yHeading5"/>
        <w:rPr>
          <w:ins w:id="6400" w:author="Master Repository Process" w:date="2022-05-27T14:27:00Z"/>
        </w:rPr>
      </w:pPr>
      <w:bookmarkStart w:id="6401" w:name="_Toc104291380"/>
      <w:ins w:id="6402" w:author="Master Repository Process" w:date="2022-05-27T14:27:00Z">
        <w:r>
          <w:rPr>
            <w:rStyle w:val="CharSClsNo"/>
          </w:rPr>
          <w:t>47</w:t>
        </w:r>
        <w:r>
          <w:t>.</w:t>
        </w:r>
        <w:r>
          <w:tab/>
          <w:t xml:space="preserve">Application of amendments made by </w:t>
        </w:r>
        <w:r>
          <w:rPr>
            <w:i/>
          </w:rPr>
          <w:t>Revenue Laws Amendment Act 2019</w:t>
        </w:r>
        <w:bookmarkEnd w:id="6401"/>
      </w:ins>
    </w:p>
    <w:p>
      <w:pPr>
        <w:pStyle w:val="ySubsection"/>
        <w:rPr>
          <w:ins w:id="6403" w:author="Master Repository Process" w:date="2022-05-27T14:27:00Z"/>
        </w:rPr>
      </w:pPr>
      <w:ins w:id="6404" w:author="Master Repository Process" w:date="2022-05-27T14:27:00Z">
        <w:r>
          <w:tab/>
          <w:t>(1)</w:t>
        </w:r>
        <w:r>
          <w:tab/>
          <w:t xml:space="preserve">The amendments made by the </w:t>
        </w:r>
        <w:r>
          <w:rPr>
            <w:i/>
          </w:rPr>
          <w:t>Revenue Laws Amendment Act 2019</w:t>
        </w:r>
        <w:r>
          <w:t xml:space="preserve"> apply in relation to the imposition of duty on transactions that occur on or after commencement day.</w:t>
        </w:r>
      </w:ins>
    </w:p>
    <w:p>
      <w:pPr>
        <w:pStyle w:val="ySubsection"/>
        <w:rPr>
          <w:ins w:id="6405" w:author="Master Repository Process" w:date="2022-05-27T14:27:00Z"/>
        </w:rPr>
      </w:pPr>
      <w:ins w:id="6406" w:author="Master Repository Process" w:date="2022-05-27T14:27:00Z">
        <w:r>
          <w:tab/>
          <w:t>(2)</w:t>
        </w:r>
        <w:r>
          <w:tab/>
          <w:t>Sections 155(4), 156A, 204D(2)(d) and 204F (including sections 156A and 204F as applied by section 205ZE(1)) do not apply in relation to acquisitions that together form, evidence, give effect to or arise from what is, substantially one arrangement unless each of those acquisitions occurs on or after commencement day.</w:t>
        </w:r>
      </w:ins>
    </w:p>
    <w:p>
      <w:pPr>
        <w:pStyle w:val="ySubsection"/>
        <w:rPr>
          <w:ins w:id="6407" w:author="Master Repository Process" w:date="2022-05-27T14:27:00Z"/>
        </w:rPr>
      </w:pPr>
      <w:ins w:id="6408" w:author="Master Repository Process" w:date="2022-05-27T14:27:00Z">
        <w:r>
          <w:tab/>
          <w:t>(3)</w:t>
        </w:r>
        <w:r>
          <w:tab/>
          <w:t>Section 91C(3) does not apply in relation to transactions that together form, evidence, give effect to, or arise from what is, substantially one arrangement unless each of those transactions occurs on or after commencement day.</w:t>
        </w:r>
      </w:ins>
    </w:p>
    <w:p>
      <w:pPr>
        <w:pStyle w:val="ySubsection"/>
        <w:rPr>
          <w:ins w:id="6409" w:author="Master Repository Process" w:date="2022-05-27T14:27:00Z"/>
        </w:rPr>
      </w:pPr>
      <w:ins w:id="6410" w:author="Master Repository Process" w:date="2022-05-27T14:27:00Z">
        <w:r>
          <w:tab/>
          <w:t>(4)</w:t>
        </w:r>
        <w:r>
          <w:tab/>
          <w:t xml:space="preserve">Sections 14(3) and 91C(4) do not apply in relation to a transaction and an acquisition or agreement that together form, evidence, give effect to, or arise from what is, substantially one arrangement unless each of the transaction and the acquisition or agreement occurs on or after commencement day. </w:t>
        </w:r>
      </w:ins>
    </w:p>
    <w:p>
      <w:pPr>
        <w:pStyle w:val="ySubsection"/>
        <w:rPr>
          <w:ins w:id="6411" w:author="Master Repository Process" w:date="2022-05-27T14:27:00Z"/>
        </w:rPr>
      </w:pPr>
      <w:ins w:id="6412" w:author="Master Repository Process" w:date="2022-05-27T14:27:00Z">
        <w:r>
          <w:tab/>
          <w:t>(5)</w:t>
        </w:r>
        <w:r>
          <w:tab/>
          <w:t>This clause has effect subject to the other provisions of this Division.</w:t>
        </w:r>
      </w:ins>
    </w:p>
    <w:p>
      <w:pPr>
        <w:pStyle w:val="yFootnotesection"/>
        <w:rPr>
          <w:ins w:id="6413" w:author="Master Repository Process" w:date="2022-05-27T14:27:00Z"/>
        </w:rPr>
      </w:pPr>
      <w:ins w:id="6414" w:author="Master Repository Process" w:date="2022-05-27T14:27:00Z">
        <w:r>
          <w:tab/>
          <w:t>[Clause 47 inserted: No. 12 of 2019 s. 132.]</w:t>
        </w:r>
      </w:ins>
    </w:p>
    <w:p>
      <w:pPr>
        <w:pStyle w:val="yHeading5"/>
        <w:rPr>
          <w:ins w:id="6415" w:author="Master Repository Process" w:date="2022-05-27T14:27:00Z"/>
        </w:rPr>
      </w:pPr>
      <w:bookmarkStart w:id="6416" w:name="_Toc104291381"/>
      <w:ins w:id="6417" w:author="Master Repository Process" w:date="2022-05-27T14:27:00Z">
        <w:r>
          <w:rPr>
            <w:rStyle w:val="CharSClsNo"/>
          </w:rPr>
          <w:t>48</w:t>
        </w:r>
        <w:r>
          <w:t>.</w:t>
        </w:r>
        <w:r>
          <w:tab/>
          <w:t xml:space="preserve">Definition of </w:t>
        </w:r>
        <w:r>
          <w:rPr>
            <w:i/>
          </w:rPr>
          <w:t>land</w:t>
        </w:r>
        <w:r>
          <w:t xml:space="preserve"> taken always to have included pastoral leases</w:t>
        </w:r>
        <w:bookmarkEnd w:id="6416"/>
      </w:ins>
    </w:p>
    <w:p>
      <w:pPr>
        <w:pStyle w:val="ySubsection"/>
        <w:rPr>
          <w:ins w:id="6418" w:author="Master Repository Process" w:date="2022-05-27T14:27:00Z"/>
        </w:rPr>
      </w:pPr>
      <w:ins w:id="6419" w:author="Master Repository Process" w:date="2022-05-27T14:27:00Z">
        <w:r>
          <w:tab/>
          <w:t>(1)</w:t>
        </w:r>
        <w:r>
          <w:tab/>
          <w:t xml:space="preserve">In this clause — </w:t>
        </w:r>
      </w:ins>
    </w:p>
    <w:p>
      <w:pPr>
        <w:pStyle w:val="yDefstart"/>
        <w:rPr>
          <w:ins w:id="6420" w:author="Master Repository Process" w:date="2022-05-27T14:27:00Z"/>
        </w:rPr>
      </w:pPr>
      <w:ins w:id="6421" w:author="Master Repository Process" w:date="2022-05-27T14:27:00Z">
        <w:r>
          <w:tab/>
        </w:r>
        <w:r>
          <w:rPr>
            <w:rStyle w:val="CharDefText"/>
          </w:rPr>
          <w:t>pre</w:t>
        </w:r>
        <w:r>
          <w:rPr>
            <w:rStyle w:val="CharDefText"/>
          </w:rPr>
          <w:noBreakHyphen/>
          <w:t>commencement period</w:t>
        </w:r>
        <w:r>
          <w:t xml:space="preserve"> means the period beginning on 1 July 2008 and ending immediately before commencement day.</w:t>
        </w:r>
      </w:ins>
    </w:p>
    <w:p>
      <w:pPr>
        <w:pStyle w:val="ySubsection"/>
        <w:rPr>
          <w:ins w:id="6422" w:author="Master Repository Process" w:date="2022-05-27T14:27:00Z"/>
        </w:rPr>
      </w:pPr>
      <w:ins w:id="6423" w:author="Master Repository Process" w:date="2022-05-27T14:27:00Z">
        <w:r>
          <w:tab/>
          <w:t>(2)</w:t>
        </w:r>
        <w:r>
          <w:tab/>
          <w:t>This Act is taken, for all purposes, to have applied during the pre</w:t>
        </w:r>
        <w:r>
          <w:noBreakHyphen/>
          <w:t xml:space="preserve">commencement period as if the definition of </w:t>
        </w:r>
        <w:r>
          <w:rPr>
            <w:rStyle w:val="CharDefText"/>
          </w:rPr>
          <w:t>land</w:t>
        </w:r>
        <w:r>
          <w:rPr>
            <w:b/>
          </w:rPr>
          <w:t xml:space="preserve"> </w:t>
        </w:r>
        <w:r>
          <w:t>in force for the purposes of this Act had, at all times during the pre</w:t>
        </w:r>
        <w:r>
          <w:noBreakHyphen/>
          <w:t xml:space="preserve">commencement period, included an express statement that </w:t>
        </w:r>
        <w:r>
          <w:rPr>
            <w:rStyle w:val="CharDefText"/>
          </w:rPr>
          <w:t>land</w:t>
        </w:r>
        <w:r>
          <w:rPr>
            <w:b/>
          </w:rPr>
          <w:t xml:space="preserve"> </w:t>
        </w:r>
        <w:r>
          <w:t>includes a pastoral lease and an interest of a pastoral lessee under a pastoral lease.</w:t>
        </w:r>
      </w:ins>
    </w:p>
    <w:p>
      <w:pPr>
        <w:pStyle w:val="ySubsection"/>
        <w:rPr>
          <w:ins w:id="6424" w:author="Master Repository Process" w:date="2022-05-27T14:27:00Z"/>
        </w:rPr>
      </w:pPr>
      <w:ins w:id="6425" w:author="Master Repository Process" w:date="2022-05-27T14:27:00Z">
        <w:r>
          <w:tab/>
          <w:t>(3)</w:t>
        </w:r>
        <w:r>
          <w:tab/>
          <w:t>Without limiting subclause (2), an assessment of duty chargeable under this Act made, or purported to be made, in the pre</w:t>
        </w:r>
        <w:r>
          <w:noBreakHyphen/>
          <w:t xml:space="preserve">commencement period is, and is taken to have always been, as valid and effective as it would have been if, when the liability for duty arose, the definition of </w:t>
        </w:r>
        <w:r>
          <w:rPr>
            <w:rStyle w:val="CharDefText"/>
          </w:rPr>
          <w:t>land</w:t>
        </w:r>
        <w:r>
          <w:rPr>
            <w:b/>
          </w:rPr>
          <w:t xml:space="preserve"> </w:t>
        </w:r>
        <w:r>
          <w:t>in force for the purposes of this Act had included the statement referred to in subclause (2).</w:t>
        </w:r>
      </w:ins>
    </w:p>
    <w:p>
      <w:pPr>
        <w:pStyle w:val="ySubsection"/>
        <w:rPr>
          <w:ins w:id="6426" w:author="Master Repository Process" w:date="2022-05-27T14:27:00Z"/>
        </w:rPr>
      </w:pPr>
      <w:ins w:id="6427" w:author="Master Repository Process" w:date="2022-05-27T14:27:00Z">
        <w:r>
          <w:tab/>
          <w:t>(4)</w:t>
        </w:r>
        <w:r>
          <w:tab/>
          <w:t>Without limiting subclause (2), if a transaction occurred during the pre</w:t>
        </w:r>
        <w:r>
          <w:noBreakHyphen/>
          <w:t xml:space="preserve">commencement period, but an assessment of duty in relation to the transaction was not made before commencement day, an assessment of duty made on or after commencement day in relation to the transaction is to be made as if, when the transaction occurred, the definition of </w:t>
        </w:r>
        <w:r>
          <w:rPr>
            <w:rStyle w:val="CharDefText"/>
          </w:rPr>
          <w:t>land</w:t>
        </w:r>
        <w:r>
          <w:rPr>
            <w:b/>
          </w:rPr>
          <w:t xml:space="preserve"> </w:t>
        </w:r>
        <w:r>
          <w:t>in force for the purposes of this Act had included the statement referred to in subclause (2).</w:t>
        </w:r>
      </w:ins>
    </w:p>
    <w:p>
      <w:pPr>
        <w:pStyle w:val="yFootnotesection"/>
        <w:rPr>
          <w:ins w:id="6428" w:author="Master Repository Process" w:date="2022-05-27T14:27:00Z"/>
        </w:rPr>
      </w:pPr>
      <w:ins w:id="6429" w:author="Master Repository Process" w:date="2022-05-27T14:27:00Z">
        <w:r>
          <w:tab/>
          <w:t>[Clause 48 inserted: No. 12 of 2019 s. 132.]</w:t>
        </w:r>
      </w:ins>
    </w:p>
    <w:p>
      <w:pPr>
        <w:pStyle w:val="yHeading5"/>
        <w:rPr>
          <w:ins w:id="6430" w:author="Master Repository Process" w:date="2022-05-27T14:27:00Z"/>
        </w:rPr>
      </w:pPr>
      <w:bookmarkStart w:id="6431" w:name="_Toc104291382"/>
      <w:ins w:id="6432" w:author="Master Repository Process" w:date="2022-05-27T14:27:00Z">
        <w:r>
          <w:rPr>
            <w:rStyle w:val="CharSClsNo"/>
          </w:rPr>
          <w:t>49</w:t>
        </w:r>
        <w:r>
          <w:t>.</w:t>
        </w:r>
        <w:r>
          <w:tab/>
          <w:t>Validation of administration agreements entered into before commencement day</w:t>
        </w:r>
        <w:bookmarkEnd w:id="6431"/>
      </w:ins>
    </w:p>
    <w:p>
      <w:pPr>
        <w:pStyle w:val="ySubsection"/>
        <w:rPr>
          <w:ins w:id="6433" w:author="Master Repository Process" w:date="2022-05-27T14:27:00Z"/>
        </w:rPr>
      </w:pPr>
      <w:ins w:id="6434" w:author="Master Repository Process" w:date="2022-05-27T14:27:00Z">
        <w:r>
          <w:tab/>
          <w:t>(1)</w:t>
        </w:r>
        <w:r>
          <w:tab/>
          <w:t xml:space="preserve">In this clause — </w:t>
        </w:r>
      </w:ins>
    </w:p>
    <w:p>
      <w:pPr>
        <w:pStyle w:val="yDefstart"/>
        <w:rPr>
          <w:ins w:id="6435" w:author="Master Repository Process" w:date="2022-05-27T14:27:00Z"/>
        </w:rPr>
      </w:pPr>
      <w:ins w:id="6436" w:author="Master Repository Process" w:date="2022-05-27T14:27:00Z">
        <w:r>
          <w:tab/>
        </w:r>
        <w:r>
          <w:rPr>
            <w:rStyle w:val="CharDefText"/>
          </w:rPr>
          <w:t>previous administration agreement</w:t>
        </w:r>
        <w:r>
          <w:t xml:space="preserve"> means an administration agreement entered into under the </w:t>
        </w:r>
        <w:r>
          <w:rPr>
            <w:i/>
          </w:rPr>
          <w:t>First Home Owner Grant Act 2000</w:t>
        </w:r>
        <w:r>
          <w:t xml:space="preserve"> section 37 on or after 3 October 2015 and before commencement day.</w:t>
        </w:r>
      </w:ins>
    </w:p>
    <w:p>
      <w:pPr>
        <w:pStyle w:val="ySubsection"/>
        <w:rPr>
          <w:ins w:id="6437" w:author="Master Repository Process" w:date="2022-05-27T14:27:00Z"/>
        </w:rPr>
      </w:pPr>
      <w:ins w:id="6438" w:author="Master Repository Process" w:date="2022-05-27T14:27:00Z">
        <w:r>
          <w:tab/>
          <w:t>(2)</w:t>
        </w:r>
        <w:r>
          <w:tab/>
          <w:t xml:space="preserve">A previous administration agreement entered into, or purported to be entered into, is, and is taken to have always been, as valid and effective as it would have been if the amendment made by the </w:t>
        </w:r>
        <w:r>
          <w:rPr>
            <w:i/>
          </w:rPr>
          <w:t>Revenue Laws Amendment Act 2019</w:t>
        </w:r>
        <w:r>
          <w:t> section 52 had been in force when the agreement was entered into.</w:t>
        </w:r>
      </w:ins>
    </w:p>
    <w:p>
      <w:pPr>
        <w:pStyle w:val="yFootnotesection"/>
        <w:rPr>
          <w:ins w:id="6439" w:author="Master Repository Process" w:date="2022-05-27T14:27:00Z"/>
        </w:rPr>
      </w:pPr>
      <w:ins w:id="6440" w:author="Master Repository Process" w:date="2022-05-27T14:27:00Z">
        <w:r>
          <w:tab/>
          <w:t>[Clause 49 inserted: No. 12 of 2019 s. 132.]</w:t>
        </w:r>
      </w:ins>
    </w:p>
    <w:p>
      <w:pPr>
        <w:pStyle w:val="yHeading5"/>
        <w:rPr>
          <w:ins w:id="6441" w:author="Master Repository Process" w:date="2022-05-27T14:27:00Z"/>
        </w:rPr>
      </w:pPr>
      <w:bookmarkStart w:id="6442" w:name="_Toc104291383"/>
      <w:ins w:id="6443" w:author="Master Repository Process" w:date="2022-05-27T14:27:00Z">
        <w:r>
          <w:rPr>
            <w:rStyle w:val="CharSClsNo"/>
          </w:rPr>
          <w:t>50</w:t>
        </w:r>
        <w:r>
          <w:t>.</w:t>
        </w:r>
        <w:r>
          <w:tab/>
          <w:t>Transfers of vehicle licences between spouses between 1 July 2014 and commencement day</w:t>
        </w:r>
        <w:bookmarkEnd w:id="6442"/>
      </w:ins>
    </w:p>
    <w:p>
      <w:pPr>
        <w:pStyle w:val="ySubsection"/>
        <w:rPr>
          <w:ins w:id="6444" w:author="Master Repository Process" w:date="2022-05-27T14:27:00Z"/>
        </w:rPr>
      </w:pPr>
      <w:ins w:id="6445" w:author="Master Repository Process" w:date="2022-05-27T14:27:00Z">
        <w:r>
          <w:tab/>
          <w:t>(1)</w:t>
        </w:r>
        <w:r>
          <w:tab/>
          <w:t xml:space="preserve">In this clause — </w:t>
        </w:r>
      </w:ins>
    </w:p>
    <w:p>
      <w:pPr>
        <w:pStyle w:val="yDefstart"/>
        <w:rPr>
          <w:ins w:id="6446" w:author="Master Repository Process" w:date="2022-05-27T14:27:00Z"/>
        </w:rPr>
      </w:pPr>
      <w:ins w:id="6447" w:author="Master Repository Process" w:date="2022-05-27T14:27:00Z">
        <w:r>
          <w:tab/>
        </w:r>
        <w:r>
          <w:rPr>
            <w:rStyle w:val="CharDefText"/>
          </w:rPr>
          <w:t>amended section 244A</w:t>
        </w:r>
        <w:r>
          <w:t xml:space="preserve"> means section 244A as in force immediately after the coming into operation of the </w:t>
        </w:r>
        <w:r>
          <w:rPr>
            <w:i/>
          </w:rPr>
          <w:t>Revenue Laws Amendment Act 2019</w:t>
        </w:r>
        <w:r>
          <w:t xml:space="preserve"> section 117;</w:t>
        </w:r>
      </w:ins>
    </w:p>
    <w:p>
      <w:pPr>
        <w:pStyle w:val="yDefstart"/>
        <w:rPr>
          <w:ins w:id="6448" w:author="Master Repository Process" w:date="2022-05-27T14:27:00Z"/>
        </w:rPr>
      </w:pPr>
      <w:ins w:id="6449" w:author="Master Repository Process" w:date="2022-05-27T14:27:00Z">
        <w:r>
          <w:tab/>
        </w:r>
        <w:r>
          <w:rPr>
            <w:rStyle w:val="CharDefText"/>
          </w:rPr>
          <w:t>relevant vehicle licence transfer</w:t>
        </w:r>
        <w:r>
          <w:t xml:space="preserve"> means the transfer of a licence for a vehicle if — </w:t>
        </w:r>
      </w:ins>
    </w:p>
    <w:p>
      <w:pPr>
        <w:pStyle w:val="yDefpara"/>
        <w:rPr>
          <w:ins w:id="6450" w:author="Master Repository Process" w:date="2022-05-27T14:27:00Z"/>
        </w:rPr>
      </w:pPr>
      <w:ins w:id="6451" w:author="Master Repository Process" w:date="2022-05-27T14:27:00Z">
        <w:r>
          <w:tab/>
          <w:t>(a)</w:t>
        </w:r>
        <w:r>
          <w:tab/>
          <w:t>the transfer occurred during the period beginning on 1 July 2014 and ending immediately before commencement day; and</w:t>
        </w:r>
      </w:ins>
    </w:p>
    <w:p>
      <w:pPr>
        <w:pStyle w:val="yDefpara"/>
        <w:rPr>
          <w:ins w:id="6452" w:author="Master Repository Process" w:date="2022-05-27T14:27:00Z"/>
        </w:rPr>
      </w:pPr>
      <w:ins w:id="6453" w:author="Master Repository Process" w:date="2022-05-27T14:27:00Z">
        <w:r>
          <w:tab/>
          <w:t>(b)</w:t>
        </w:r>
        <w:r>
          <w:tab/>
          <w:t>the person from whom, and the person to whom, the licence was transferred were married to each other or de facto partners of 2 years when the transfer occurred.</w:t>
        </w:r>
      </w:ins>
    </w:p>
    <w:p>
      <w:pPr>
        <w:pStyle w:val="ySubsection"/>
        <w:rPr>
          <w:ins w:id="6454" w:author="Master Repository Process" w:date="2022-05-27T14:27:00Z"/>
        </w:rPr>
      </w:pPr>
      <w:ins w:id="6455" w:author="Master Repository Process" w:date="2022-05-27T14:27:00Z">
        <w:r>
          <w:tab/>
          <w:t>(2)</w:t>
        </w:r>
        <w:r>
          <w:tab/>
          <w:t>When this clause uses a term that is used in Chapter 5, the term has the same meaning in this clause as it has in that Chapter.</w:t>
        </w:r>
      </w:ins>
    </w:p>
    <w:p>
      <w:pPr>
        <w:pStyle w:val="ySubsection"/>
        <w:rPr>
          <w:ins w:id="6456" w:author="Master Repository Process" w:date="2022-05-27T14:27:00Z"/>
        </w:rPr>
      </w:pPr>
      <w:ins w:id="6457" w:author="Master Repository Process" w:date="2022-05-27T14:27:00Z">
        <w:r>
          <w:tab/>
          <w:t>(3)</w:t>
        </w:r>
        <w:r>
          <w:tab/>
          <w:t>An assessment made, or purported to be made, before commencement day that no duty was chargeable on a relevant vehicle licence transfer is, and is taken to have always been, as valid and effective as it would have been if amended section 244A had been in force when the transfer occurred.</w:t>
        </w:r>
      </w:ins>
    </w:p>
    <w:p>
      <w:pPr>
        <w:pStyle w:val="ySubsection"/>
        <w:rPr>
          <w:ins w:id="6458" w:author="Master Repository Process" w:date="2022-05-27T14:27:00Z"/>
        </w:rPr>
      </w:pPr>
      <w:ins w:id="6459" w:author="Master Repository Process" w:date="2022-05-27T14:27:00Z">
        <w:r>
          <w:tab/>
          <w:t>(4)</w:t>
        </w:r>
        <w:r>
          <w:tab/>
          <w:t>If no assessment of vehicle licence duty on a relevant vehicle licence transfer was made before commencement day, an assessment of vehicle licence duty on the transfer made after commencement day must be made as if amended section 244A had been in force when the transfer occurred.</w:t>
        </w:r>
      </w:ins>
    </w:p>
    <w:p>
      <w:pPr>
        <w:pStyle w:val="ySubsection"/>
        <w:rPr>
          <w:ins w:id="6460" w:author="Master Repository Process" w:date="2022-05-27T14:27:00Z"/>
        </w:rPr>
      </w:pPr>
      <w:ins w:id="6461" w:author="Master Repository Process" w:date="2022-05-27T14:27:00Z">
        <w:r>
          <w:tab/>
          <w:t>(5)</w:t>
        </w:r>
        <w:r>
          <w:tab/>
          <w:t>If an assessment that vehicle licence duty was chargeable on a relevant vehicle licence transfer was made before commencement day, and vehicle licence duty would not have been chargeable on the transfer if amended section 244A had been in force when the transfer occurred, the Commissioner must, on application by the transferee, make a reassessment of the liability for vehicle licence duty as if amended section 244A had been in force at that time.</w:t>
        </w:r>
      </w:ins>
    </w:p>
    <w:p>
      <w:pPr>
        <w:pStyle w:val="ySubsection"/>
        <w:keepNext/>
        <w:keepLines/>
        <w:rPr>
          <w:ins w:id="6462" w:author="Master Repository Process" w:date="2022-05-27T14:27:00Z"/>
        </w:rPr>
      </w:pPr>
      <w:ins w:id="6463" w:author="Master Repository Process" w:date="2022-05-27T14:27:00Z">
        <w:r>
          <w:tab/>
          <w:t>(6)</w:t>
        </w:r>
        <w:r>
          <w:tab/>
          <w:t xml:space="preserve">The limitations as to time in the Taxation Administration Act section 17 do not apply in respect of a reassessment under subclause (5), but an application for reassessment under that subclause must be made on or before the later of — </w:t>
        </w:r>
      </w:ins>
    </w:p>
    <w:p>
      <w:pPr>
        <w:pStyle w:val="yIndenta"/>
        <w:rPr>
          <w:ins w:id="6464" w:author="Master Repository Process" w:date="2022-05-27T14:27:00Z"/>
        </w:rPr>
      </w:pPr>
      <w:ins w:id="6465" w:author="Master Repository Process" w:date="2022-05-27T14:27:00Z">
        <w:r>
          <w:tab/>
          <w:t>(a)</w:t>
        </w:r>
        <w:r>
          <w:tab/>
          <w:t>the day that is 5 years after the day on which the original assessment was made; or</w:t>
        </w:r>
      </w:ins>
    </w:p>
    <w:p>
      <w:pPr>
        <w:pStyle w:val="yIndenta"/>
        <w:rPr>
          <w:ins w:id="6466" w:author="Master Repository Process" w:date="2022-05-27T14:27:00Z"/>
        </w:rPr>
      </w:pPr>
      <w:ins w:id="6467" w:author="Master Repository Process" w:date="2022-05-27T14:27:00Z">
        <w:r>
          <w:tab/>
          <w:t>(b)</w:t>
        </w:r>
        <w:r>
          <w:tab/>
          <w:t>the day that is 12 months after commencement day.</w:t>
        </w:r>
      </w:ins>
    </w:p>
    <w:p>
      <w:pPr>
        <w:pStyle w:val="yFootnotesection"/>
        <w:rPr>
          <w:ins w:id="6468" w:author="Master Repository Process" w:date="2022-05-27T14:27:00Z"/>
        </w:rPr>
      </w:pPr>
      <w:ins w:id="6469" w:author="Master Repository Process" w:date="2022-05-27T14:27:00Z">
        <w:r>
          <w:tab/>
          <w:t>[Clause 50 inserted: No. 12 of 2019 s. 132.]</w:t>
        </w:r>
      </w:ins>
    </w:p>
    <w:p>
      <w:pPr>
        <w:pStyle w:val="yHeading5"/>
        <w:rPr>
          <w:ins w:id="6470" w:author="Master Repository Process" w:date="2022-05-27T14:27:00Z"/>
        </w:rPr>
      </w:pPr>
      <w:bookmarkStart w:id="6471" w:name="_Toc104291384"/>
      <w:ins w:id="6472" w:author="Master Repository Process" w:date="2022-05-27T14:27:00Z">
        <w:r>
          <w:rPr>
            <w:rStyle w:val="CharSClsNo"/>
          </w:rPr>
          <w:t>51</w:t>
        </w:r>
        <w:r>
          <w:t>.</w:t>
        </w:r>
        <w:r>
          <w:tab/>
          <w:t>Provisions relating to exemptions for connected entities</w:t>
        </w:r>
        <w:bookmarkEnd w:id="6471"/>
      </w:ins>
    </w:p>
    <w:p>
      <w:pPr>
        <w:pStyle w:val="ySubsection"/>
        <w:rPr>
          <w:ins w:id="6473" w:author="Master Repository Process" w:date="2022-05-27T14:27:00Z"/>
        </w:rPr>
      </w:pPr>
      <w:ins w:id="6474" w:author="Master Repository Process" w:date="2022-05-27T14:27:00Z">
        <w:r>
          <w:tab/>
          <w:t>(1)</w:t>
        </w:r>
        <w:r>
          <w:tab/>
          <w:t xml:space="preserve">The amendments to Chapter 6 made by the </w:t>
        </w:r>
        <w:r>
          <w:rPr>
            <w:i/>
          </w:rPr>
          <w:t xml:space="preserve">Revenue Laws Amendment Act 2019 </w:t>
        </w:r>
        <w:r>
          <w:t>sections 118 to 128 apply in relation to an exemption if the application for the exemption is made on or after commencement day, whether the transaction occurred before or after commencement day.</w:t>
        </w:r>
      </w:ins>
    </w:p>
    <w:p>
      <w:pPr>
        <w:pStyle w:val="ySubsection"/>
        <w:rPr>
          <w:ins w:id="6475" w:author="Master Repository Process" w:date="2022-05-27T14:27:00Z"/>
        </w:rPr>
      </w:pPr>
      <w:ins w:id="6476" w:author="Master Repository Process" w:date="2022-05-27T14:27:00Z">
        <w:r>
          <w:tab/>
          <w:t>(2)</w:t>
        </w:r>
        <w:r>
          <w:tab/>
          <w:t>Despite subclause (1), section 263(4)(a) and (b) (as in force on commencement day), section 264A and sections 266A to 266D do not apply in relation to a relevant transaction that occurred before commencement day.</w:t>
        </w:r>
      </w:ins>
    </w:p>
    <w:p>
      <w:pPr>
        <w:pStyle w:val="ySubsection"/>
        <w:rPr>
          <w:ins w:id="6477" w:author="Master Repository Process" w:date="2022-05-27T14:27:00Z"/>
        </w:rPr>
      </w:pPr>
      <w:ins w:id="6478" w:author="Master Repository Process" w:date="2022-05-27T14:27:00Z">
        <w:r>
          <w:tab/>
          <w:t>(3)</w:t>
        </w:r>
        <w:r>
          <w:tab/>
          <w:t xml:space="preserve">Subclause (4) applies if — </w:t>
        </w:r>
      </w:ins>
    </w:p>
    <w:p>
      <w:pPr>
        <w:pStyle w:val="yIndenta"/>
        <w:rPr>
          <w:ins w:id="6479" w:author="Master Repository Process" w:date="2022-05-27T14:27:00Z"/>
        </w:rPr>
      </w:pPr>
      <w:ins w:id="6480" w:author="Master Repository Process" w:date="2022-05-27T14:27:00Z">
        <w:r>
          <w:tab/>
          <w:t>(a)</w:t>
        </w:r>
        <w:r>
          <w:tab/>
          <w:t>before commencement day, the Commissioner makes a decision under section 261 on a pre</w:t>
        </w:r>
        <w:r>
          <w:noBreakHyphen/>
          <w:t>transaction decision request made under section 261(2) or (3) (as in force immediately before commencement day) in relation to a proposed relevant transaction; and</w:t>
        </w:r>
      </w:ins>
    </w:p>
    <w:p>
      <w:pPr>
        <w:pStyle w:val="yIndenta"/>
        <w:rPr>
          <w:ins w:id="6481" w:author="Master Repository Process" w:date="2022-05-27T14:27:00Z"/>
        </w:rPr>
      </w:pPr>
      <w:ins w:id="6482" w:author="Master Repository Process" w:date="2022-05-27T14:27:00Z">
        <w:r>
          <w:tab/>
          <w:t>(b)</w:t>
        </w:r>
        <w:r>
          <w:tab/>
          <w:t xml:space="preserve">the decision is — </w:t>
        </w:r>
      </w:ins>
    </w:p>
    <w:p>
      <w:pPr>
        <w:pStyle w:val="yIndenti0"/>
        <w:rPr>
          <w:ins w:id="6483" w:author="Master Repository Process" w:date="2022-05-27T14:27:00Z"/>
        </w:rPr>
      </w:pPr>
      <w:ins w:id="6484" w:author="Master Repository Process" w:date="2022-05-27T14:27:00Z">
        <w:r>
          <w:tab/>
          <w:t>(i)</w:t>
        </w:r>
        <w:r>
          <w:tab/>
          <w:t>in relation to a request made under section 261(2) — that if the transaction were entered into it would be exempted; or</w:t>
        </w:r>
      </w:ins>
    </w:p>
    <w:p>
      <w:pPr>
        <w:pStyle w:val="yIndenti0"/>
        <w:rPr>
          <w:ins w:id="6485" w:author="Master Repository Process" w:date="2022-05-27T14:27:00Z"/>
        </w:rPr>
      </w:pPr>
      <w:ins w:id="6486" w:author="Master Repository Process" w:date="2022-05-27T14:27:00Z">
        <w:r>
          <w:tab/>
          <w:t>(ii)</w:t>
        </w:r>
        <w:r>
          <w:tab/>
          <w:t>in relation to a request made under section 261(3) — that if the transaction were entered into and exempted, the exemption would not be revoked under section 265;</w:t>
        </w:r>
      </w:ins>
    </w:p>
    <w:p>
      <w:pPr>
        <w:pStyle w:val="yIndenta"/>
        <w:rPr>
          <w:ins w:id="6487" w:author="Master Repository Process" w:date="2022-05-27T14:27:00Z"/>
        </w:rPr>
      </w:pPr>
      <w:ins w:id="6488" w:author="Master Repository Process" w:date="2022-05-27T14:27:00Z">
        <w:r>
          <w:tab/>
        </w:r>
        <w:r>
          <w:tab/>
          <w:t>and</w:t>
        </w:r>
      </w:ins>
    </w:p>
    <w:p>
      <w:pPr>
        <w:pStyle w:val="yIndenta"/>
        <w:rPr>
          <w:ins w:id="6489" w:author="Master Repository Process" w:date="2022-05-27T14:27:00Z"/>
        </w:rPr>
      </w:pPr>
      <w:ins w:id="6490" w:author="Master Repository Process" w:date="2022-05-27T14:27:00Z">
        <w:r>
          <w:tab/>
          <w:t>(c)</w:t>
        </w:r>
        <w:r>
          <w:tab/>
          <w:t>the transaction is not entered into before commencement day.</w:t>
        </w:r>
      </w:ins>
    </w:p>
    <w:p>
      <w:pPr>
        <w:pStyle w:val="ySubsection"/>
        <w:rPr>
          <w:ins w:id="6491" w:author="Master Repository Process" w:date="2022-05-27T14:27:00Z"/>
        </w:rPr>
      </w:pPr>
      <w:ins w:id="6492" w:author="Master Repository Process" w:date="2022-05-27T14:27:00Z">
        <w:r>
          <w:tab/>
          <w:t>(4)</w:t>
        </w:r>
        <w:r>
          <w:tab/>
          <w:t>Despite section 261(10), the Commissioner is not bound by the pre</w:t>
        </w:r>
        <w:r>
          <w:noBreakHyphen/>
          <w:t xml:space="preserve">transaction decision request if the Commissioner would have made a different decision on the request if the amendments made by the </w:t>
        </w:r>
        <w:r>
          <w:rPr>
            <w:i/>
          </w:rPr>
          <w:t>Revenue Laws Amendment Act 2019</w:t>
        </w:r>
        <w:r>
          <w:t xml:space="preserve"> sections 123 to 126 had been in force when the decision was made.</w:t>
        </w:r>
      </w:ins>
    </w:p>
    <w:p>
      <w:pPr>
        <w:pStyle w:val="ySubsection"/>
        <w:rPr>
          <w:ins w:id="6493" w:author="Master Repository Process" w:date="2022-05-27T14:27:00Z"/>
        </w:rPr>
      </w:pPr>
      <w:ins w:id="6494" w:author="Master Repository Process" w:date="2022-05-27T14:27:00Z">
        <w:r>
          <w:tab/>
          <w:t>(5)</w:t>
        </w:r>
        <w:r>
          <w:tab/>
          <w:t>Section 261(7)(b) does not apply to a pre</w:t>
        </w:r>
        <w:r>
          <w:noBreakHyphen/>
          <w:t>transaction decision request if the pre</w:t>
        </w:r>
        <w:r>
          <w:noBreakHyphen/>
          <w:t>transaction decision request that was made previously referred to in that section was made before commencement day.</w:t>
        </w:r>
      </w:ins>
    </w:p>
    <w:p>
      <w:pPr>
        <w:pStyle w:val="yFootnotesection"/>
        <w:rPr>
          <w:ins w:id="6495" w:author="Master Repository Process" w:date="2022-05-27T14:27:00Z"/>
        </w:rPr>
      </w:pPr>
      <w:ins w:id="6496" w:author="Master Repository Process" w:date="2022-05-27T14:27:00Z">
        <w:r>
          <w:tab/>
          <w:t>[Clause 51 inserted: No. 12 of 2019 s. 132.]</w:t>
        </w:r>
      </w:ins>
    </w:p>
    <w:p>
      <w:pPr>
        <w:pStyle w:val="yHeading5"/>
        <w:rPr>
          <w:ins w:id="6497" w:author="Master Repository Process" w:date="2022-05-27T14:27:00Z"/>
        </w:rPr>
      </w:pPr>
      <w:bookmarkStart w:id="6498" w:name="_Toc104291385"/>
      <w:ins w:id="6499" w:author="Master Repository Process" w:date="2022-05-27T14:27:00Z">
        <w:r>
          <w:rPr>
            <w:rStyle w:val="CharSClsNo"/>
          </w:rPr>
          <w:t>52</w:t>
        </w:r>
        <w:r>
          <w:t>.</w:t>
        </w:r>
        <w:r>
          <w:tab/>
          <w:t>Provisions about validated assessments</w:t>
        </w:r>
        <w:bookmarkEnd w:id="6498"/>
      </w:ins>
    </w:p>
    <w:p>
      <w:pPr>
        <w:pStyle w:val="ySubsection"/>
        <w:rPr>
          <w:ins w:id="6500" w:author="Master Repository Process" w:date="2022-05-27T14:27:00Z"/>
        </w:rPr>
      </w:pPr>
      <w:ins w:id="6501" w:author="Master Repository Process" w:date="2022-05-27T14:27:00Z">
        <w:r>
          <w:tab/>
          <w:t>(1)</w:t>
        </w:r>
        <w:r>
          <w:tab/>
          <w:t xml:space="preserve">In this clause — </w:t>
        </w:r>
      </w:ins>
    </w:p>
    <w:p>
      <w:pPr>
        <w:pStyle w:val="yDefstart"/>
        <w:rPr>
          <w:ins w:id="6502" w:author="Master Repository Process" w:date="2022-05-27T14:27:00Z"/>
        </w:rPr>
      </w:pPr>
      <w:ins w:id="6503" w:author="Master Repository Process" w:date="2022-05-27T14:27:00Z">
        <w:r>
          <w:tab/>
        </w:r>
        <w:r>
          <w:rPr>
            <w:rStyle w:val="CharDefText"/>
          </w:rPr>
          <w:t>previous assessment</w:t>
        </w:r>
        <w:r>
          <w:t xml:space="preserve"> means an assessment to which clause 48(3) or 50(3) applies.</w:t>
        </w:r>
      </w:ins>
    </w:p>
    <w:p>
      <w:pPr>
        <w:pStyle w:val="ySubsection"/>
        <w:rPr>
          <w:ins w:id="6504" w:author="Master Repository Process" w:date="2022-05-27T14:27:00Z"/>
        </w:rPr>
      </w:pPr>
      <w:ins w:id="6505" w:author="Master Repository Process" w:date="2022-05-27T14:27:00Z">
        <w:r>
          <w:tab/>
          <w:t>(2)</w:t>
        </w:r>
        <w:r>
          <w:tab/>
          <w:t>The rights, obligations and liabilities of all persons are taken to be, and to have always been, the same as if a previous assessment had been validly made.</w:t>
        </w:r>
      </w:ins>
    </w:p>
    <w:p>
      <w:pPr>
        <w:pStyle w:val="ySubsection"/>
        <w:rPr>
          <w:ins w:id="6506" w:author="Master Repository Process" w:date="2022-05-27T14:27:00Z"/>
        </w:rPr>
      </w:pPr>
      <w:ins w:id="6507" w:author="Master Repository Process" w:date="2022-05-27T14:27:00Z">
        <w:r>
          <w:tab/>
          <w:t>(3)</w:t>
        </w:r>
        <w:r>
          <w:tab/>
          <w:t>Anything done, or purportedly done, before commencement day is as valid and effective, and is to be taken to have always been as valid and effective, as it would have been if a previous assessment had been validly made.</w:t>
        </w:r>
      </w:ins>
    </w:p>
    <w:p>
      <w:pPr>
        <w:pStyle w:val="yFootnotesection"/>
        <w:rPr>
          <w:ins w:id="6508" w:author="Master Repository Process" w:date="2022-05-27T14:27:00Z"/>
        </w:rPr>
      </w:pPr>
      <w:ins w:id="6509" w:author="Master Repository Process" w:date="2022-05-27T14:27:00Z">
        <w:r>
          <w:tab/>
          <w:t>[Clause 52 inserted: No. 12 of 2019 s. 132.]</w:t>
        </w:r>
      </w:ins>
    </w:p>
    <w:p>
      <w:pPr>
        <w:pStyle w:val="yHeading5"/>
        <w:rPr>
          <w:ins w:id="6510" w:author="Master Repository Process" w:date="2022-05-27T14:27:00Z"/>
        </w:rPr>
      </w:pPr>
      <w:bookmarkStart w:id="6511" w:name="_Toc104291386"/>
      <w:ins w:id="6512" w:author="Master Repository Process" w:date="2022-05-27T14:27:00Z">
        <w:r>
          <w:rPr>
            <w:rStyle w:val="CharSClsNo"/>
          </w:rPr>
          <w:t>53</w:t>
        </w:r>
        <w:r>
          <w:t>.</w:t>
        </w:r>
        <w:r>
          <w:tab/>
          <w:t>Application of s. 195B and 195 to acquisitions before commencement day</w:t>
        </w:r>
        <w:bookmarkEnd w:id="6511"/>
      </w:ins>
    </w:p>
    <w:p>
      <w:pPr>
        <w:pStyle w:val="ySubsection"/>
        <w:rPr>
          <w:ins w:id="6513" w:author="Master Repository Process" w:date="2022-05-27T14:27:00Z"/>
        </w:rPr>
      </w:pPr>
      <w:ins w:id="6514" w:author="Master Repository Process" w:date="2022-05-27T14:27:00Z">
        <w:r>
          <w:tab/>
        </w:r>
        <w:r>
          <w:tab/>
          <w:t xml:space="preserve">Section 195B applies in relation to a main acquisition referred to in section 195B(1) or (3) that occurred before commencement day, and section 195 applies in relation to a relevant acquisition referred to in section 195(1) or (3) that occurred before commencement day, as if — </w:t>
        </w:r>
      </w:ins>
    </w:p>
    <w:p>
      <w:pPr>
        <w:pStyle w:val="yIndenta"/>
        <w:rPr>
          <w:ins w:id="6515" w:author="Master Repository Process" w:date="2022-05-27T14:27:00Z"/>
        </w:rPr>
      </w:pPr>
      <w:ins w:id="6516" w:author="Master Repository Process" w:date="2022-05-27T14:27:00Z">
        <w:r>
          <w:tab/>
          <w:t>(a)</w:t>
        </w:r>
        <w:r>
          <w:tab/>
          <w:t>a reference to section 154B(a) included a reference to section 156(8)(a) as in force immediately before commencement day; and</w:t>
        </w:r>
      </w:ins>
    </w:p>
    <w:p>
      <w:pPr>
        <w:pStyle w:val="yIndenta"/>
        <w:rPr>
          <w:ins w:id="6517" w:author="Master Repository Process" w:date="2022-05-27T14:27:00Z"/>
        </w:rPr>
      </w:pPr>
      <w:ins w:id="6518" w:author="Master Repository Process" w:date="2022-05-27T14:27:00Z">
        <w:r>
          <w:tab/>
          <w:t>(b)</w:t>
        </w:r>
        <w:r>
          <w:tab/>
          <w:t>a reference to section 154B(b) included a reference to section 156(8)(b) as in force immediately before commencement day.</w:t>
        </w:r>
      </w:ins>
    </w:p>
    <w:p>
      <w:pPr>
        <w:pStyle w:val="yFootnotesection"/>
        <w:rPr>
          <w:ins w:id="6519" w:author="Master Repository Process" w:date="2022-05-27T14:27:00Z"/>
        </w:rPr>
      </w:pPr>
      <w:ins w:id="6520" w:author="Master Repository Process" w:date="2022-05-27T14:27:00Z">
        <w:r>
          <w:tab/>
          <w:t>[Clause 53 inserted: No. 12 of 2019 s. 132.]</w:t>
        </w:r>
      </w:ins>
    </w:p>
    <w:p>
      <w:pPr>
        <w:pStyle w:val="yEdnotesection"/>
        <w:rPr>
          <w:ins w:id="6521" w:author="Master Repository Process" w:date="2022-05-27T14:27:00Z"/>
        </w:rPr>
      </w:pPr>
      <w:ins w:id="6522" w:author="Master Repository Process" w:date="2022-05-27T14:27:00Z">
        <w:r>
          <w:t>[Clause 54 inserted: No. 16 of 2022 s. 27</w:t>
        </w:r>
        <w:r>
          <w:rPr>
            <w:vertAlign w:val="superscript"/>
          </w:rPr>
          <w:t> 7</w:t>
        </w:r>
        <w:r>
          <w:t>.]</w:t>
        </w:r>
      </w:ins>
    </w:p>
    <w:p>
      <w:pPr>
        <w:pStyle w:val="CentredBaseLine"/>
        <w:jc w:val="center"/>
        <w:rPr>
          <w:noProof/>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7" w:h="16840" w:code="9"/>
          <w:pgMar w:top="2381" w:right="2410" w:bottom="3544" w:left="2410" w:header="720" w:footer="3380" w:gutter="0"/>
          <w:cols w:space="720"/>
          <w:docGrid w:linePitch="326"/>
        </w:sectPr>
      </w:pPr>
    </w:p>
    <w:p>
      <w:pPr>
        <w:pStyle w:val="nHeading2"/>
      </w:pPr>
      <w:bookmarkStart w:id="6523" w:name="_Toc37947192"/>
      <w:bookmarkStart w:id="6524" w:name="_Toc37947792"/>
      <w:bookmarkStart w:id="6525" w:name="_Toc38031856"/>
      <w:bookmarkStart w:id="6526" w:name="_Toc93310365"/>
      <w:bookmarkStart w:id="6527" w:name="_Toc104291387"/>
      <w:bookmarkStart w:id="6528" w:name="_Toc530492005"/>
      <w:bookmarkStart w:id="6529" w:name="_Toc530492465"/>
      <w:bookmarkStart w:id="6530" w:name="_Toc530493475"/>
      <w:bookmarkStart w:id="6531" w:name="_Toc530556610"/>
      <w:bookmarkStart w:id="6532" w:name="_Toc531692527"/>
      <w:bookmarkStart w:id="6533" w:name="_Toc531856432"/>
      <w:bookmarkStart w:id="6534" w:name="_Toc531859160"/>
      <w:bookmarkStart w:id="6535" w:name="_Toc531859699"/>
      <w:r>
        <w:t>Notes</w:t>
      </w:r>
      <w:bookmarkEnd w:id="6523"/>
      <w:bookmarkEnd w:id="6524"/>
      <w:bookmarkEnd w:id="6525"/>
      <w:bookmarkEnd w:id="6526"/>
      <w:bookmarkEnd w:id="6527"/>
      <w:bookmarkEnd w:id="6528"/>
      <w:bookmarkEnd w:id="6529"/>
      <w:bookmarkEnd w:id="6530"/>
      <w:bookmarkEnd w:id="6531"/>
      <w:bookmarkEnd w:id="6532"/>
      <w:bookmarkEnd w:id="6533"/>
      <w:bookmarkEnd w:id="6534"/>
      <w:bookmarkEnd w:id="6535"/>
    </w:p>
    <w:p>
      <w:pPr>
        <w:pStyle w:val="nStatement"/>
      </w:pPr>
      <w:del w:id="6536" w:author="Master Repository Process" w:date="2022-05-27T14:27:00Z">
        <w:r>
          <w:rPr>
            <w:vertAlign w:val="superscript"/>
          </w:rPr>
          <w:delText>1</w:delText>
        </w:r>
        <w:r>
          <w:tab/>
        </w:r>
      </w:del>
      <w:r>
        <w:t xml:space="preserve">This is a compilation of the </w:t>
      </w:r>
      <w:r>
        <w:rPr>
          <w:i/>
          <w:noProof/>
        </w:rPr>
        <w:t>Duties Act</w:t>
      </w:r>
      <w:del w:id="6537" w:author="Master Repository Process" w:date="2022-05-27T14:27:00Z">
        <w:r>
          <w:rPr>
            <w:i/>
            <w:noProof/>
          </w:rPr>
          <w:delText xml:space="preserve"> </w:delText>
        </w:r>
      </w:del>
      <w:ins w:id="6538" w:author="Master Repository Process" w:date="2022-05-27T14:27:00Z">
        <w:r>
          <w:rPr>
            <w:i/>
            <w:noProof/>
          </w:rPr>
          <w:t> </w:t>
        </w:r>
      </w:ins>
      <w:r>
        <w:rPr>
          <w:i/>
          <w:noProof/>
        </w:rPr>
        <w:t>2008</w:t>
      </w:r>
      <w:r>
        <w:t xml:space="preserve"> and includes </w:t>
      </w:r>
      <w:del w:id="6539" w:author="Master Repository Process" w:date="2022-05-27T14:27:00Z">
        <w:r>
          <w:delText xml:space="preserve">the </w:delText>
        </w:r>
      </w:del>
      <w:r>
        <w:t>amendments made by</w:t>
      </w:r>
      <w:del w:id="6540" w:author="Master Repository Process" w:date="2022-05-27T14:27:00Z">
        <w:r>
          <w:delText xml:space="preserve"> the</w:delText>
        </w:r>
      </w:del>
      <w:r>
        <w:t xml:space="preserve"> other written laws</w:t>
      </w:r>
      <w:del w:id="6541" w:author="Master Repository Process" w:date="2022-05-27T14:27:00Z">
        <w:r>
          <w:delText xml:space="preserve"> referred to in the following table </w:delText>
        </w:r>
        <w:r>
          <w:rPr>
            <w:vertAlign w:val="superscript"/>
          </w:rPr>
          <w:delText>1a</w:delText>
        </w:r>
        <w:r>
          <w:delText>.  The table also contains</w:delText>
        </w:r>
      </w:del>
      <w:ins w:id="6542" w:author="Master Repository Process" w:date="2022-05-27T14:27:00Z">
        <w:r>
          <w:t>. For provisions that have come into operation, and for</w:t>
        </w:r>
      </w:ins>
      <w:r>
        <w:t xml:space="preserve"> information about any </w:t>
      </w:r>
      <w:del w:id="6543" w:author="Master Repository Process" w:date="2022-05-27T14:27:00Z">
        <w:r>
          <w:delText>reprint</w:delText>
        </w:r>
      </w:del>
      <w:ins w:id="6544" w:author="Master Repository Process" w:date="2022-05-27T14:27:00Z">
        <w:r>
          <w:t>reprints, see the compilation table. For provisions that have not yet come into operation see the uncommenced provisions table</w:t>
        </w:r>
      </w:ins>
      <w:r>
        <w:t>.</w:t>
      </w:r>
    </w:p>
    <w:p>
      <w:pPr>
        <w:pStyle w:val="nHeading3"/>
      </w:pPr>
      <w:bookmarkStart w:id="6545" w:name="_Toc104291388"/>
      <w:bookmarkStart w:id="6546" w:name="_Toc531859700"/>
      <w:r>
        <w:t>Compilation table</w:t>
      </w:r>
      <w:bookmarkEnd w:id="6545"/>
      <w:bookmarkEnd w:id="654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6547" w:author="Master Repository Process" w:date="2022-05-27T14:27:00Z">
              <w:r>
                <w:rPr>
                  <w:b/>
                </w:rPr>
                <w:delText xml:space="preserve"> </w:delText>
              </w:r>
            </w:del>
            <w:ins w:id="6548" w:author="Master Repository Process" w:date="2022-05-27T14:27: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rPr>
                <w:iCs/>
              </w:rPr>
            </w:pPr>
            <w:r>
              <w:rPr>
                <w:i/>
                <w:noProof/>
                <w:snapToGrid w:val="0"/>
              </w:rPr>
              <w:t>Duties Act 2008 </w:t>
            </w:r>
            <w:del w:id="6549" w:author="Master Repository Process" w:date="2022-05-27T14:27:00Z">
              <w:r>
                <w:rPr>
                  <w:noProof/>
                  <w:snapToGrid w:val="0"/>
                  <w:vertAlign w:val="superscript"/>
                </w:rPr>
                <w:delText>5</w:delText>
              </w:r>
            </w:del>
            <w:ins w:id="6550" w:author="Master Repository Process" w:date="2022-05-27T14:27:00Z">
              <w:r>
                <w:rPr>
                  <w:noProof/>
                  <w:snapToGrid w:val="0"/>
                  <w:vertAlign w:val="superscript"/>
                </w:rPr>
                <w:t>4</w:t>
              </w:r>
            </w:ins>
          </w:p>
        </w:tc>
        <w:tc>
          <w:tcPr>
            <w:tcW w:w="1134" w:type="dxa"/>
            <w:tcBorders>
              <w:top w:val="single" w:sz="8" w:space="0" w:color="auto"/>
              <w:bottom w:val="nil"/>
            </w:tcBorders>
          </w:tcPr>
          <w:p>
            <w:pPr>
              <w:pStyle w:val="nTable"/>
              <w:spacing w:after="40"/>
            </w:pPr>
            <w:r>
              <w:t>11 of 2008</w:t>
            </w:r>
          </w:p>
        </w:tc>
        <w:tc>
          <w:tcPr>
            <w:tcW w:w="1134" w:type="dxa"/>
            <w:tcBorders>
              <w:top w:val="single" w:sz="8" w:space="0" w:color="auto"/>
              <w:bottom w:val="nil"/>
            </w:tcBorders>
          </w:tcPr>
          <w:p>
            <w:pPr>
              <w:pStyle w:val="nTable"/>
              <w:spacing w:after="40"/>
            </w:pPr>
            <w:r>
              <w:t>14 Apr 2008</w:t>
            </w:r>
          </w:p>
        </w:tc>
        <w:tc>
          <w:tcPr>
            <w:tcW w:w="2552" w:type="dxa"/>
            <w:tcBorders>
              <w:top w:val="single" w:sz="8" w:space="0" w:color="auto"/>
              <w:bottom w:val="nil"/>
            </w:tcBorders>
          </w:tcPr>
          <w:p>
            <w:pPr>
              <w:pStyle w:val="nTable"/>
              <w:spacing w:after="40"/>
            </w:pPr>
            <w:r>
              <w:t xml:space="preserve">s. 1 and 2: 14 Apr 2008 </w:t>
            </w:r>
            <w:r>
              <w:rPr>
                <w:snapToGrid w:val="0"/>
              </w:rPr>
              <w:t>(see s. 2(a));</w:t>
            </w:r>
            <w:r>
              <w:rPr>
                <w:snapToGrid w:val="0"/>
              </w:rPr>
              <w:br/>
              <w:t>Act other than s. 1 and 2 and Sch. 3 Div.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Duties Legislation Amendment Act 2008</w:t>
            </w:r>
            <w:r>
              <w:rPr>
                <w:iCs/>
                <w:noProof/>
                <w:snapToGrid w:val="0"/>
              </w:rPr>
              <w:t xml:space="preserve"> Pt. 2 Div. 2 </w:t>
            </w:r>
            <w:r>
              <w:rPr>
                <w:snapToGrid w:val="0"/>
              </w:rPr>
              <w:t>Subdiv. 1 and 2 </w:t>
            </w:r>
            <w:del w:id="6551" w:author="Master Repository Process" w:date="2022-05-27T14:27:00Z">
              <w:r>
                <w:rPr>
                  <w:snapToGrid w:val="0"/>
                  <w:vertAlign w:val="superscript"/>
                </w:rPr>
                <w:delText>6</w:delText>
              </w:r>
            </w:del>
            <w:ins w:id="6552" w:author="Master Repository Process" w:date="2022-05-27T14:27:00Z">
              <w:r>
                <w:rPr>
                  <w:snapToGrid w:val="0"/>
                  <w:vertAlign w:val="superscript"/>
                </w:rPr>
                <w:t>5</w:t>
              </w:r>
            </w:ins>
          </w:p>
        </w:tc>
        <w:tc>
          <w:tcPr>
            <w:tcW w:w="1134" w:type="dxa"/>
          </w:tcPr>
          <w:p>
            <w:pPr>
              <w:pStyle w:val="nTable"/>
              <w:spacing w:after="40"/>
            </w:pPr>
            <w:r>
              <w:t>12 of 2008 (as amended by No. 30 of 2008 s. 3)</w:t>
            </w:r>
          </w:p>
        </w:tc>
        <w:tc>
          <w:tcPr>
            <w:tcW w:w="1134" w:type="dxa"/>
          </w:tcPr>
          <w:p>
            <w:pPr>
              <w:pStyle w:val="nTable"/>
              <w:spacing w:after="40"/>
            </w:pPr>
            <w:r>
              <w:t>14 Apr 2008</w:t>
            </w:r>
          </w:p>
        </w:tc>
        <w:tc>
          <w:tcPr>
            <w:tcW w:w="2552" w:type="dxa"/>
          </w:tcPr>
          <w:p>
            <w:pPr>
              <w:pStyle w:val="nTable"/>
              <w:spacing w:after="40"/>
              <w:rPr>
                <w:snapToGrid w:val="0"/>
              </w:rPr>
            </w:pPr>
            <w:r>
              <w:rPr>
                <w:snapToGrid w:val="0"/>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rPr>
            </w:pPr>
            <w:r>
              <w:rPr>
                <w:i/>
                <w:noProof/>
                <w:snapToGrid w:val="0"/>
              </w:rPr>
              <w:t>Revenue Laws Amendment Act 2008</w:t>
            </w:r>
            <w:r>
              <w:rPr>
                <w:iCs/>
                <w:noProof/>
                <w:snapToGrid w:val="0"/>
              </w:rPr>
              <w:t xml:space="preserve"> s. 4 and Pt. 7 </w:t>
            </w:r>
          </w:p>
        </w:tc>
        <w:tc>
          <w:tcPr>
            <w:tcW w:w="1134" w:type="dxa"/>
          </w:tcPr>
          <w:p>
            <w:pPr>
              <w:pStyle w:val="nTable"/>
              <w:spacing w:after="40"/>
            </w:pPr>
            <w:r>
              <w:t>30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s. 4: 27 Jun 2008 (see s. 2(2)(a));</w:t>
            </w:r>
            <w:r>
              <w:rPr>
                <w:snapToGrid w:val="0"/>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 xml:space="preserve">Revenue Laws Amendment Act (No. 2) 2008 </w:t>
            </w:r>
            <w:r>
              <w:rPr>
                <w:iCs/>
                <w:noProof/>
                <w:snapToGrid w:val="0"/>
              </w:rPr>
              <w:t>s. 32</w:t>
            </w:r>
          </w:p>
        </w:tc>
        <w:tc>
          <w:tcPr>
            <w:tcW w:w="1134" w:type="dxa"/>
          </w:tcPr>
          <w:p>
            <w:pPr>
              <w:pStyle w:val="nTable"/>
              <w:spacing w:after="40"/>
            </w:pPr>
            <w:r>
              <w:t>31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vertAlign w:val="superscript"/>
              </w:rPr>
            </w:pPr>
            <w:r>
              <w:rPr>
                <w:i/>
                <w:noProof/>
                <w:snapToGrid w:val="0"/>
              </w:rPr>
              <w:t>Revenue Laws Amendment Act 2010</w:t>
            </w:r>
            <w:r>
              <w:rPr>
                <w:iCs/>
                <w:noProof/>
                <w:snapToGrid w:val="0"/>
              </w:rPr>
              <w:t xml:space="preserve"> Pt. 2 and Pt. 3 Div. 2 </w:t>
            </w:r>
            <w:del w:id="6553" w:author="Master Repository Process" w:date="2022-05-27T14:27:00Z">
              <w:r>
                <w:rPr>
                  <w:iCs/>
                  <w:noProof/>
                  <w:snapToGrid w:val="0"/>
                  <w:vertAlign w:val="superscript"/>
                </w:rPr>
                <w:delText>6</w:delText>
              </w:r>
            </w:del>
            <w:ins w:id="6554" w:author="Master Repository Process" w:date="2022-05-27T14:27:00Z">
              <w:r>
                <w:rPr>
                  <w:iCs/>
                  <w:noProof/>
                  <w:snapToGrid w:val="0"/>
                  <w:vertAlign w:val="superscript"/>
                </w:rPr>
                <w:t>5</w:t>
              </w:r>
            </w:ins>
          </w:p>
        </w:tc>
        <w:tc>
          <w:tcPr>
            <w:tcW w:w="1134" w:type="dxa"/>
          </w:tcPr>
          <w:p>
            <w:pPr>
              <w:pStyle w:val="nTable"/>
              <w:spacing w:after="40"/>
            </w:pPr>
            <w:r>
              <w:t>9 of 2010</w:t>
            </w:r>
          </w:p>
        </w:tc>
        <w:tc>
          <w:tcPr>
            <w:tcW w:w="1134" w:type="dxa"/>
          </w:tcPr>
          <w:p>
            <w:pPr>
              <w:pStyle w:val="nTable"/>
              <w:spacing w:after="40"/>
            </w:pPr>
            <w:r>
              <w:t>10 Jun 2010</w:t>
            </w:r>
          </w:p>
        </w:tc>
        <w:tc>
          <w:tcPr>
            <w:tcW w:w="2552" w:type="dxa"/>
          </w:tcPr>
          <w:p>
            <w:pPr>
              <w:pStyle w:val="nTable"/>
              <w:spacing w:after="40"/>
              <w:rPr>
                <w:snapToGrid w:val="0"/>
              </w:rPr>
            </w:pPr>
            <w:r>
              <w:rPr>
                <w:snapToGrid w:val="0"/>
              </w:rPr>
              <w:t>s. 5 and 6: 10 Mar 2010 (see s. 2(d));</w:t>
            </w:r>
            <w:r>
              <w:rPr>
                <w:snapToGrid w:val="0"/>
              </w:rPr>
              <w:br/>
              <w:t>s. 3: 10 Jun 2010 (see s. 2(a));</w:t>
            </w:r>
            <w:r>
              <w:rPr>
                <w:snapToGrid w:val="0"/>
              </w:rPr>
              <w:br/>
              <w:t>Pt. 3 Div. 2: 10 Jun 2010 (see s. 2(b)(i));</w:t>
            </w:r>
            <w:r>
              <w:rPr>
                <w:snapToGrid w:val="0"/>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Revenue Laws Amendment and Repeal Act 2010</w:t>
            </w:r>
            <w:r>
              <w:rPr>
                <w:iCs/>
                <w:noProof/>
                <w:snapToGrid w:val="0"/>
              </w:rPr>
              <w:t xml:space="preserve"> Pt. 2</w:t>
            </w:r>
          </w:p>
        </w:tc>
        <w:tc>
          <w:tcPr>
            <w:tcW w:w="1134" w:type="dxa"/>
          </w:tcPr>
          <w:p>
            <w:pPr>
              <w:pStyle w:val="nTable"/>
              <w:spacing w:after="40"/>
            </w:pPr>
            <w:r>
              <w:t>17 of 2010</w:t>
            </w:r>
          </w:p>
        </w:tc>
        <w:tc>
          <w:tcPr>
            <w:tcW w:w="1134" w:type="dxa"/>
          </w:tcPr>
          <w:p>
            <w:pPr>
              <w:pStyle w:val="nTable"/>
              <w:spacing w:after="40"/>
            </w:pPr>
            <w:r>
              <w:t>25 Jun 2010</w:t>
            </w:r>
          </w:p>
        </w:tc>
        <w:tc>
          <w:tcPr>
            <w:tcW w:w="2552" w:type="dxa"/>
          </w:tcPr>
          <w:p>
            <w:pPr>
              <w:pStyle w:val="nTable"/>
              <w:spacing w:after="40"/>
              <w:rPr>
                <w:snapToGrid w:val="0"/>
              </w:rPr>
            </w:pPr>
            <w:r>
              <w:rPr>
                <w:snapToGrid w:val="0"/>
              </w:rPr>
              <w:t>s. 12: 1 Jul 2008 (see s. 2(c));</w:t>
            </w:r>
            <w:r>
              <w:rPr>
                <w:snapToGrid w:val="0"/>
              </w:rPr>
              <w:br/>
              <w:t>s. 3, 13 and 16: 25 Jun 2010 (see s. 2(a));</w:t>
            </w:r>
            <w:r>
              <w:rPr>
                <w:snapToGrid w:val="0"/>
              </w:rPr>
              <w:br/>
              <w:t>s. 4</w:t>
            </w:r>
            <w:r>
              <w:rPr>
                <w:snapToGrid w:val="0"/>
              </w:rPr>
              <w:noBreakHyphen/>
              <w:t xml:space="preserve">11, 14 and 15: 1 Mar 2011 (see s. 2(d) and </w:t>
            </w:r>
            <w:r>
              <w:rPr>
                <w:i/>
                <w:snapToGrid w:val="0"/>
              </w:rPr>
              <w:t>Gazette</w:t>
            </w:r>
            <w:r>
              <w:rPr>
                <w:snapToGrid w:val="0"/>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noProof/>
                <w:snapToGrid w:val="0"/>
              </w:rPr>
              <w:t>Duties Amendment Act 2011</w:t>
            </w:r>
          </w:p>
        </w:tc>
        <w:tc>
          <w:tcPr>
            <w:tcW w:w="1134" w:type="dxa"/>
          </w:tcPr>
          <w:p>
            <w:pPr>
              <w:pStyle w:val="nTable"/>
              <w:spacing w:after="40"/>
            </w:pPr>
            <w:r>
              <w:t>27 of 2011</w:t>
            </w:r>
          </w:p>
        </w:tc>
        <w:tc>
          <w:tcPr>
            <w:tcW w:w="1134" w:type="dxa"/>
          </w:tcPr>
          <w:p>
            <w:pPr>
              <w:pStyle w:val="nTable"/>
              <w:spacing w:after="40"/>
            </w:pPr>
            <w:r>
              <w:t>11 Jul 2011</w:t>
            </w:r>
          </w:p>
        </w:tc>
        <w:tc>
          <w:tcPr>
            <w:tcW w:w="2552" w:type="dxa"/>
          </w:tcPr>
          <w:p>
            <w:pPr>
              <w:pStyle w:val="nTable"/>
              <w:spacing w:after="40"/>
              <w:rPr>
                <w:snapToGrid w:val="0"/>
              </w:rPr>
            </w:pPr>
            <w:r>
              <w:rPr>
                <w:snapToGrid w:val="0"/>
              </w:rPr>
              <w:t>s. 1 and 2: 11 Jul 2011 (see s. 2(a));</w:t>
            </w:r>
            <w:r>
              <w:rPr>
                <w:snapToGrid w:val="0"/>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snapToGrid w:val="0"/>
              </w:rPr>
              <w:t xml:space="preserve">Reprint 1:  The </w:t>
            </w:r>
            <w:r>
              <w:rPr>
                <w:b/>
                <w:i/>
                <w:snapToGrid w:val="0"/>
              </w:rPr>
              <w:t>Duties Act 2008</w:t>
            </w:r>
            <w:r>
              <w:rPr>
                <w:b/>
                <w:snapToGrid w:val="0"/>
              </w:rPr>
              <w:t xml:space="preserve"> as at 12 Jul 2011</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t>Duties Amendment Act (No. 2) 2011</w:t>
            </w:r>
          </w:p>
        </w:tc>
        <w:tc>
          <w:tcPr>
            <w:tcW w:w="1134" w:type="dxa"/>
          </w:tcPr>
          <w:p>
            <w:pPr>
              <w:pStyle w:val="nTable"/>
              <w:spacing w:after="40"/>
            </w:pPr>
            <w:r>
              <w:t>33 of 2011</w:t>
            </w:r>
          </w:p>
        </w:tc>
        <w:tc>
          <w:tcPr>
            <w:tcW w:w="1134" w:type="dxa"/>
          </w:tcPr>
          <w:p>
            <w:pPr>
              <w:pStyle w:val="nTable"/>
              <w:spacing w:after="40"/>
            </w:pPr>
            <w:r>
              <w:t>12 Sep 2011</w:t>
            </w:r>
          </w:p>
        </w:tc>
        <w:tc>
          <w:tcPr>
            <w:tcW w:w="2552" w:type="dxa"/>
          </w:tcPr>
          <w:p>
            <w:pPr>
              <w:pStyle w:val="nTable"/>
              <w:spacing w:after="40"/>
            </w:pPr>
            <w:r>
              <w:rPr>
                <w:snapToGrid w:val="0"/>
              </w:rPr>
              <w:t>Pt. 2: 24 Dec 2010 (see s.</w:t>
            </w:r>
            <w:r>
              <w:t> 2(b));</w:t>
            </w:r>
            <w:r>
              <w:br/>
              <w:t>Pt. 1: 12 Sep 2011 (see s. 2(a));</w:t>
            </w:r>
            <w:r>
              <w:br/>
              <w:t>Pt. 3: 13 Sep 2011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rPr>
            </w:pPr>
            <w:r>
              <w:rPr>
                <w:i/>
                <w:snapToGrid w:val="0"/>
              </w:rPr>
              <w:t>Inheritance (Family and Dependants Provision) Amendment Act 2011</w:t>
            </w:r>
            <w:r>
              <w:rPr>
                <w:snapToGrid w:val="0"/>
              </w:rPr>
              <w:t xml:space="preserve"> s. 15</w:t>
            </w:r>
          </w:p>
        </w:tc>
        <w:tc>
          <w:tcPr>
            <w:tcW w:w="1134" w:type="dxa"/>
          </w:tcPr>
          <w:p>
            <w:pPr>
              <w:pStyle w:val="nTable"/>
              <w:spacing w:after="40"/>
            </w:pPr>
            <w:r>
              <w:t>48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16 Jan 2013 (see s. 2(b) and </w:t>
            </w:r>
            <w:r>
              <w:rPr>
                <w:i/>
                <w:snapToGrid w:val="0"/>
              </w:rPr>
              <w:t xml:space="preserve">Gazette </w:t>
            </w:r>
            <w:r>
              <w:rPr>
                <w:snapToGrid w:val="0"/>
              </w:rPr>
              <w:t>15 Jan 2013 p. 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18</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Revenue Laws Amendment Act 2012</w:t>
            </w:r>
            <w:r>
              <w:t xml:space="preserve"> Pt. 2</w:t>
            </w:r>
          </w:p>
        </w:tc>
        <w:tc>
          <w:tcPr>
            <w:tcW w:w="1134" w:type="dxa"/>
          </w:tcPr>
          <w:p>
            <w:pPr>
              <w:pStyle w:val="nTable"/>
              <w:spacing w:after="40"/>
            </w:pPr>
            <w:r>
              <w:t>29 of 2012</w:t>
            </w:r>
          </w:p>
        </w:tc>
        <w:tc>
          <w:tcPr>
            <w:tcW w:w="1134" w:type="dxa"/>
          </w:tcPr>
          <w:p>
            <w:pPr>
              <w:pStyle w:val="nTable"/>
              <w:spacing w:after="40"/>
            </w:pPr>
            <w:r>
              <w:t>3 Sep 2012</w:t>
            </w:r>
          </w:p>
        </w:tc>
        <w:tc>
          <w:tcPr>
            <w:tcW w:w="2552" w:type="dxa"/>
          </w:tcPr>
          <w:p>
            <w:pPr>
              <w:pStyle w:val="nTable"/>
              <w:spacing w:after="40"/>
            </w:pPr>
            <w:r>
              <w:t>Heading to Pt. 2, Pt. 2 Div. 1 and 2: 1 Dec 2011 (see s. 2(b));</w:t>
            </w:r>
            <w:r>
              <w:br/>
              <w:t>Pt. 2 Div. 3: 4 Sep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rPr>
            </w:pPr>
            <w:r>
              <w:rPr>
                <w:i/>
                <w:noProof/>
                <w:snapToGrid w:val="0"/>
              </w:rPr>
              <w:t>Revenue Laws Amendment Act (No. 2) 2012</w:t>
            </w:r>
            <w:r>
              <w:rPr>
                <w:noProof/>
                <w:snapToGrid w:val="0"/>
              </w:rPr>
              <w:t> Pt. 2</w:t>
            </w:r>
          </w:p>
        </w:tc>
        <w:tc>
          <w:tcPr>
            <w:tcW w:w="1134" w:type="dxa"/>
          </w:tcPr>
          <w:p>
            <w:pPr>
              <w:pStyle w:val="nTable"/>
              <w:spacing w:after="40"/>
            </w:pPr>
            <w:r>
              <w:t>32 of 2012</w:t>
            </w:r>
          </w:p>
        </w:tc>
        <w:tc>
          <w:tcPr>
            <w:tcW w:w="1134" w:type="dxa"/>
          </w:tcPr>
          <w:p>
            <w:pPr>
              <w:pStyle w:val="nTable"/>
              <w:spacing w:after="40"/>
            </w:pPr>
            <w:r>
              <w:t>8 Oct 2012</w:t>
            </w:r>
          </w:p>
        </w:tc>
        <w:tc>
          <w:tcPr>
            <w:tcW w:w="2552" w:type="dxa"/>
          </w:tcPr>
          <w:p>
            <w:pPr>
              <w:pStyle w:val="nTable"/>
              <w:spacing w:after="40"/>
              <w:rPr>
                <w:snapToGrid w:val="0"/>
              </w:rPr>
            </w:pPr>
            <w:r>
              <w:rPr>
                <w:snapToGrid w:val="0"/>
              </w:rPr>
              <w:t xml:space="preserve">Pt. 2 (other than </w:t>
            </w:r>
            <w:r>
              <w:rPr>
                <w:noProof/>
                <w:snapToGrid w:val="0"/>
              </w:rPr>
              <w:t>s. </w:t>
            </w:r>
            <w:r>
              <w:t>5</w:t>
            </w:r>
            <w:r>
              <w:noBreakHyphen/>
              <w:t>7, 12, 15, 18, 22 and 25:</w:t>
            </w:r>
            <w:r>
              <w:rPr>
                <w:snapToGrid w:val="0"/>
              </w:rPr>
              <w:t xml:space="preserve"> 1 Jul 2008 (see s. 2(b));</w:t>
            </w:r>
            <w:r>
              <w:rPr>
                <w:snapToGrid w:val="0"/>
              </w:rPr>
              <w:br/>
            </w:r>
            <w:r>
              <w:rPr>
                <w:noProof/>
                <w:snapToGrid w:val="0"/>
              </w:rPr>
              <w:t>s. </w:t>
            </w:r>
            <w:r>
              <w:t>5</w:t>
            </w:r>
            <w:r>
              <w:noBreakHyphen/>
              <w:t>7, 12, 15, 18, 22 and 25: 9 Oct 2012 (see s. 2(e))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Duties Legislation Amendment Act 2013</w:t>
            </w:r>
            <w:r>
              <w:t xml:space="preserve"> Pt. 2 Div. 2</w:t>
            </w:r>
            <w:r>
              <w:rPr>
                <w:snapToGrid w:val="0"/>
                <w:vertAlign w:val="superscript"/>
              </w:rPr>
              <w:t> </w:t>
            </w:r>
            <w:del w:id="6555" w:author="Master Repository Process" w:date="2022-05-27T14:27:00Z">
              <w:r>
                <w:rPr>
                  <w:snapToGrid w:val="0"/>
                  <w:vertAlign w:val="superscript"/>
                </w:rPr>
                <w:delText>7</w:delText>
              </w:r>
            </w:del>
            <w:ins w:id="6556" w:author="Master Repository Process" w:date="2022-05-27T14:27:00Z">
              <w:r>
                <w:rPr>
                  <w:snapToGrid w:val="0"/>
                  <w:vertAlign w:val="superscript"/>
                </w:rPr>
                <w:t>6</w:t>
              </w:r>
            </w:ins>
          </w:p>
        </w:tc>
        <w:tc>
          <w:tcPr>
            <w:tcW w:w="1134" w:type="dxa"/>
          </w:tcPr>
          <w:p>
            <w:pPr>
              <w:pStyle w:val="nTable"/>
              <w:spacing w:after="40"/>
            </w:pPr>
            <w:r>
              <w:t>5 of 2013</w:t>
            </w:r>
          </w:p>
        </w:tc>
        <w:tc>
          <w:tcPr>
            <w:tcW w:w="1134" w:type="dxa"/>
          </w:tcPr>
          <w:p>
            <w:pPr>
              <w:pStyle w:val="nTable"/>
              <w:spacing w:after="40"/>
            </w:pPr>
            <w:r>
              <w:t>29 Jun 2013</w:t>
            </w:r>
          </w:p>
        </w:tc>
        <w:tc>
          <w:tcPr>
            <w:tcW w:w="2552" w:type="dxa"/>
          </w:tcPr>
          <w:p>
            <w:pPr>
              <w:pStyle w:val="nTable"/>
              <w:spacing w:after="40"/>
            </w:pPr>
            <w:r>
              <w:rPr>
                <w:snapToGrid w:val="0"/>
              </w:rPr>
              <w:t>29 Jun 2013 (see s. 2(1)(b))</w:t>
            </w:r>
          </w:p>
        </w:tc>
      </w:tr>
      <w:tr>
        <w:trPr>
          <w:cantSplit/>
        </w:trPr>
        <w:tc>
          <w:tcPr>
            <w:tcW w:w="7088" w:type="dxa"/>
            <w:gridSpan w:val="4"/>
            <w:tcBorders>
              <w:top w:val="nil"/>
              <w:bottom w:val="nil"/>
            </w:tcBorders>
          </w:tcPr>
          <w:p>
            <w:pPr>
              <w:pStyle w:val="nTable"/>
              <w:spacing w:after="40"/>
              <w:rPr>
                <w:b/>
              </w:rPr>
            </w:pPr>
            <w:r>
              <w:rPr>
                <w:b/>
              </w:rPr>
              <w:t xml:space="preserve">Reprint 2: The </w:t>
            </w:r>
            <w:r>
              <w:rPr>
                <w:b/>
                <w:i/>
              </w:rPr>
              <w:t xml:space="preserve">Duties Act 2008 </w:t>
            </w:r>
            <w:r>
              <w:rPr>
                <w:b/>
              </w:rPr>
              <w:t xml:space="preserve">as at 9 Aug 2013 </w:t>
            </w:r>
            <w:r>
              <w:t xml:space="preserve">(includes amendments listed above except those in the </w:t>
            </w:r>
            <w:r>
              <w:rPr>
                <w:i/>
                <w:snapToGrid w:val="0"/>
              </w:rPr>
              <w:t>Road Traffic Legislation Amendment Act 2012</w:t>
            </w:r>
            <w:r>
              <w:t>)</w:t>
            </w:r>
          </w:p>
        </w:tc>
      </w:tr>
      <w:tr>
        <w:trPr>
          <w:cantSplit/>
        </w:trPr>
        <w:tc>
          <w:tcPr>
            <w:tcW w:w="2268" w:type="dxa"/>
            <w:tcBorders>
              <w:top w:val="nil"/>
              <w:bottom w:val="nil"/>
            </w:tcBorders>
          </w:tcPr>
          <w:p>
            <w:pPr>
              <w:pStyle w:val="nTable"/>
              <w:spacing w:after="40"/>
            </w:pPr>
            <w:r>
              <w:rPr>
                <w:i/>
              </w:rPr>
              <w:t>Revenue Laws Amendment Act 2013</w:t>
            </w:r>
            <w:r>
              <w:t xml:space="preserve"> Pt. 2 Div. 1</w:t>
            </w:r>
          </w:p>
        </w:tc>
        <w:tc>
          <w:tcPr>
            <w:tcW w:w="1134" w:type="dxa"/>
            <w:tcBorders>
              <w:top w:val="nil"/>
              <w:bottom w:val="nil"/>
            </w:tcBorders>
          </w:tcPr>
          <w:p>
            <w:pPr>
              <w:pStyle w:val="nTable"/>
              <w:spacing w:after="40"/>
            </w:pPr>
            <w:r>
              <w:t>10 of 2013</w:t>
            </w:r>
          </w:p>
        </w:tc>
        <w:tc>
          <w:tcPr>
            <w:tcW w:w="1134" w:type="dxa"/>
            <w:tcBorders>
              <w:top w:val="nil"/>
              <w:bottom w:val="nil"/>
            </w:tcBorders>
          </w:tcPr>
          <w:p>
            <w:pPr>
              <w:pStyle w:val="nTable"/>
              <w:spacing w:after="40"/>
            </w:pPr>
            <w:r>
              <w:t>24 Sep 2013</w:t>
            </w:r>
          </w:p>
        </w:tc>
        <w:tc>
          <w:tcPr>
            <w:tcW w:w="2552" w:type="dxa"/>
            <w:tcBorders>
              <w:top w:val="nil"/>
              <w:bottom w:val="nil"/>
            </w:tcBorders>
          </w:tcPr>
          <w:p>
            <w:pPr>
              <w:pStyle w:val="nTable"/>
              <w:spacing w:after="40"/>
            </w:pPr>
            <w:r>
              <w:rPr>
                <w:snapToGrid w:val="0"/>
              </w:rPr>
              <w:t>25 Sep 2013 (see s. 2(b))</w:t>
            </w:r>
          </w:p>
        </w:tc>
      </w:tr>
      <w:tr>
        <w:trPr>
          <w:cantSplit/>
        </w:trPr>
        <w:tc>
          <w:tcPr>
            <w:tcW w:w="2268" w:type="dxa"/>
            <w:tcBorders>
              <w:top w:val="nil"/>
              <w:bottom w:val="nil"/>
              <w:right w:val="nil"/>
            </w:tcBorders>
            <w:shd w:val="clear" w:color="auto" w:fill="auto"/>
          </w:tcPr>
          <w:p>
            <w:pPr>
              <w:pStyle w:val="nTable"/>
              <w:spacing w:after="40"/>
              <w:rPr>
                <w:i/>
              </w:rPr>
            </w:pPr>
            <w:r>
              <w:rPr>
                <w:i/>
              </w:rPr>
              <w:t xml:space="preserve">Electronic Conveyancing Act 2014 </w:t>
            </w:r>
            <w:r>
              <w:t>Pt. 6</w:t>
            </w:r>
          </w:p>
        </w:tc>
        <w:tc>
          <w:tcPr>
            <w:tcW w:w="1134" w:type="dxa"/>
            <w:tcBorders>
              <w:top w:val="nil"/>
              <w:left w:val="nil"/>
              <w:bottom w:val="nil"/>
              <w:right w:val="nil"/>
            </w:tcBorders>
            <w:shd w:val="clear" w:color="auto" w:fill="auto"/>
          </w:tcPr>
          <w:p>
            <w:pPr>
              <w:pStyle w:val="nTable"/>
              <w:spacing w:after="40"/>
            </w:pPr>
            <w:r>
              <w:t>2 of 2014</w:t>
            </w:r>
          </w:p>
        </w:tc>
        <w:tc>
          <w:tcPr>
            <w:tcW w:w="1134" w:type="dxa"/>
            <w:tcBorders>
              <w:top w:val="nil"/>
              <w:left w:val="nil"/>
              <w:bottom w:val="nil"/>
              <w:right w:val="nil"/>
            </w:tcBorders>
            <w:shd w:val="clear" w:color="auto" w:fill="auto"/>
          </w:tcPr>
          <w:p>
            <w:pPr>
              <w:pStyle w:val="nTable"/>
              <w:spacing w:after="40"/>
            </w:pPr>
            <w:r>
              <w:t>24 Mar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trPr>
          <w:cantSplit/>
        </w:trPr>
        <w:tc>
          <w:tcPr>
            <w:tcW w:w="2268" w:type="dxa"/>
            <w:tcBorders>
              <w:top w:val="nil"/>
              <w:bottom w:val="nil"/>
              <w:right w:val="nil"/>
            </w:tcBorders>
            <w:shd w:val="clear" w:color="auto" w:fill="auto"/>
          </w:tcPr>
          <w:p>
            <w:pPr>
              <w:pStyle w:val="nTable"/>
              <w:spacing w:after="40"/>
            </w:pPr>
            <w:r>
              <w:rPr>
                <w:i/>
              </w:rPr>
              <w:t>Revenue Laws Amendment Act 2014</w:t>
            </w:r>
            <w:r>
              <w:t xml:space="preserve"> Pt. 2</w:t>
            </w:r>
          </w:p>
        </w:tc>
        <w:tc>
          <w:tcPr>
            <w:tcW w:w="1134" w:type="dxa"/>
            <w:tcBorders>
              <w:top w:val="nil"/>
              <w:left w:val="nil"/>
              <w:bottom w:val="nil"/>
              <w:right w:val="nil"/>
            </w:tcBorders>
            <w:shd w:val="clear" w:color="auto" w:fill="auto"/>
          </w:tcPr>
          <w:p>
            <w:pPr>
              <w:pStyle w:val="nTable"/>
              <w:spacing w:after="40"/>
            </w:pPr>
            <w:r>
              <w:t>15 of 2014</w:t>
            </w:r>
          </w:p>
        </w:tc>
        <w:tc>
          <w:tcPr>
            <w:tcW w:w="1134" w:type="dxa"/>
            <w:tcBorders>
              <w:top w:val="nil"/>
              <w:left w:val="nil"/>
              <w:bottom w:val="nil"/>
              <w:right w:val="nil"/>
            </w:tcBorders>
            <w:shd w:val="clear" w:color="auto" w:fill="auto"/>
          </w:tcPr>
          <w:p>
            <w:pPr>
              <w:pStyle w:val="nTable"/>
              <w:spacing w:after="40"/>
            </w:pPr>
            <w:r>
              <w:t>2 Jul 2014</w:t>
            </w:r>
          </w:p>
        </w:tc>
        <w:tc>
          <w:tcPr>
            <w:tcW w:w="2552" w:type="dxa"/>
            <w:tcBorders>
              <w:top w:val="nil"/>
              <w:left w:val="nil"/>
              <w:bottom w:val="nil"/>
            </w:tcBorders>
            <w:shd w:val="clear" w:color="auto" w:fill="auto"/>
          </w:tcPr>
          <w:p>
            <w:pPr>
              <w:pStyle w:val="nTable"/>
              <w:spacing w:after="40"/>
              <w:rPr>
                <w:snapToGrid w:val="0"/>
              </w:rPr>
            </w:pPr>
            <w:r>
              <w:rPr>
                <w:snapToGrid w:val="0"/>
              </w:rPr>
              <w:t>3 Jul 2014 (see s. 2(c)(i))</w:t>
            </w:r>
          </w:p>
        </w:tc>
      </w:tr>
      <w:tr>
        <w:trPr>
          <w:cantSplit/>
        </w:trPr>
        <w:tc>
          <w:tcPr>
            <w:tcW w:w="2268" w:type="dxa"/>
            <w:tcBorders>
              <w:top w:val="nil"/>
              <w:bottom w:val="nil"/>
              <w:right w:val="nil"/>
            </w:tcBorders>
            <w:shd w:val="clear" w:color="auto" w:fill="auto"/>
          </w:tcPr>
          <w:p>
            <w:pPr>
              <w:pStyle w:val="nTable"/>
              <w:spacing w:after="40"/>
            </w:pPr>
            <w:r>
              <w:rPr>
                <w:i/>
              </w:rPr>
              <w:t>Taxation Legislation Amendment Act 2015</w:t>
            </w:r>
            <w:r>
              <w:t xml:space="preserve"> Pt. 2 Div. 2 and Pt. 4</w:t>
            </w:r>
          </w:p>
        </w:tc>
        <w:tc>
          <w:tcPr>
            <w:tcW w:w="1134" w:type="dxa"/>
            <w:tcBorders>
              <w:top w:val="nil"/>
              <w:left w:val="nil"/>
              <w:bottom w:val="nil"/>
              <w:right w:val="nil"/>
            </w:tcBorders>
            <w:shd w:val="clear" w:color="auto" w:fill="auto"/>
          </w:tcPr>
          <w:p>
            <w:pPr>
              <w:pStyle w:val="nTable"/>
              <w:spacing w:after="40"/>
            </w:pPr>
            <w:r>
              <w:t>1 of 2015</w:t>
            </w:r>
          </w:p>
        </w:tc>
        <w:tc>
          <w:tcPr>
            <w:tcW w:w="1134" w:type="dxa"/>
            <w:tcBorders>
              <w:top w:val="nil"/>
              <w:left w:val="nil"/>
              <w:bottom w:val="nil"/>
              <w:right w:val="nil"/>
            </w:tcBorders>
            <w:shd w:val="clear" w:color="auto" w:fill="auto"/>
          </w:tcPr>
          <w:p>
            <w:pPr>
              <w:pStyle w:val="nTable"/>
              <w:spacing w:after="40"/>
            </w:pPr>
            <w:r>
              <w:t>25 Feb 2015</w:t>
            </w:r>
          </w:p>
        </w:tc>
        <w:tc>
          <w:tcPr>
            <w:tcW w:w="2552" w:type="dxa"/>
            <w:tcBorders>
              <w:top w:val="nil"/>
              <w:left w:val="nil"/>
              <w:bottom w:val="nil"/>
            </w:tcBorders>
            <w:shd w:val="clear" w:color="auto" w:fill="auto"/>
          </w:tcPr>
          <w:p>
            <w:pPr>
              <w:pStyle w:val="nTable"/>
              <w:spacing w:after="40"/>
              <w:rPr>
                <w:snapToGrid w:val="0"/>
              </w:rPr>
            </w:pPr>
            <w:r>
              <w:rPr>
                <w:snapToGrid w:val="0"/>
              </w:rPr>
              <w:t>26 Feb 2015 (see s. 2(d))</w:t>
            </w:r>
          </w:p>
        </w:tc>
      </w:tr>
      <w:tr>
        <w:trPr>
          <w:cantSplit/>
        </w:trPr>
        <w:tc>
          <w:tcPr>
            <w:tcW w:w="2268" w:type="dxa"/>
            <w:tcBorders>
              <w:top w:val="nil"/>
              <w:bottom w:val="nil"/>
              <w:right w:val="nil"/>
            </w:tcBorders>
            <w:shd w:val="clear" w:color="auto" w:fill="auto"/>
          </w:tcPr>
          <w:p>
            <w:pPr>
              <w:pStyle w:val="nTable"/>
              <w:spacing w:after="40"/>
            </w:pPr>
            <w:r>
              <w:rPr>
                <w:i/>
              </w:rPr>
              <w:t>Taxation Legislation Amendment Act (No. 2) 2015</w:t>
            </w:r>
            <w:r>
              <w:t xml:space="preserve"> Pt. 2</w:t>
            </w:r>
          </w:p>
        </w:tc>
        <w:tc>
          <w:tcPr>
            <w:tcW w:w="1134" w:type="dxa"/>
            <w:tcBorders>
              <w:top w:val="nil"/>
              <w:left w:val="nil"/>
              <w:bottom w:val="nil"/>
              <w:right w:val="nil"/>
            </w:tcBorders>
            <w:shd w:val="clear" w:color="auto" w:fill="auto"/>
          </w:tcPr>
          <w:p>
            <w:pPr>
              <w:pStyle w:val="nTable"/>
              <w:spacing w:after="40"/>
            </w:pPr>
            <w:r>
              <w:t xml:space="preserve">8 of 2015 </w:t>
            </w:r>
          </w:p>
        </w:tc>
        <w:tc>
          <w:tcPr>
            <w:tcW w:w="1134" w:type="dxa"/>
            <w:tcBorders>
              <w:top w:val="nil"/>
              <w:left w:val="nil"/>
              <w:bottom w:val="nil"/>
              <w:right w:val="nil"/>
            </w:tcBorders>
            <w:shd w:val="clear" w:color="auto" w:fill="auto"/>
          </w:tcPr>
          <w:p>
            <w:pPr>
              <w:pStyle w:val="nTable"/>
              <w:spacing w:after="40"/>
            </w:pPr>
            <w:r>
              <w:t>9 Mar 2015</w:t>
            </w:r>
          </w:p>
        </w:tc>
        <w:tc>
          <w:tcPr>
            <w:tcW w:w="2552" w:type="dxa"/>
            <w:tcBorders>
              <w:top w:val="nil"/>
              <w:left w:val="nil"/>
              <w:bottom w:val="nil"/>
            </w:tcBorders>
            <w:shd w:val="clear" w:color="auto" w:fill="auto"/>
          </w:tcPr>
          <w:p>
            <w:pPr>
              <w:pStyle w:val="nTable"/>
              <w:spacing w:after="40"/>
              <w:rPr>
                <w:snapToGrid w:val="0"/>
              </w:rPr>
            </w:pPr>
            <w:r>
              <w:rPr>
                <w:snapToGrid w:val="0"/>
              </w:rPr>
              <w:t>10 Mar 2015 (see s. 2(b))</w:t>
            </w:r>
          </w:p>
        </w:tc>
      </w:tr>
      <w:tr>
        <w:trPr>
          <w:cantSplit/>
        </w:trPr>
        <w:tc>
          <w:tcPr>
            <w:tcW w:w="2268" w:type="dxa"/>
            <w:tcBorders>
              <w:top w:val="nil"/>
              <w:bottom w:val="nil"/>
              <w:right w:val="nil"/>
            </w:tcBorders>
            <w:shd w:val="clear" w:color="auto" w:fill="auto"/>
          </w:tcPr>
          <w:p>
            <w:pPr>
              <w:pStyle w:val="nTable"/>
              <w:spacing w:after="40"/>
            </w:pPr>
            <w:r>
              <w:rPr>
                <w:i/>
              </w:rPr>
              <w:t xml:space="preserve">Taxation Legislation Amendment Act (No. 3) 2015 </w:t>
            </w:r>
            <w:r>
              <w:t>Pt. 2</w:t>
            </w:r>
          </w:p>
        </w:tc>
        <w:tc>
          <w:tcPr>
            <w:tcW w:w="1134" w:type="dxa"/>
            <w:tcBorders>
              <w:top w:val="nil"/>
              <w:left w:val="nil"/>
              <w:bottom w:val="nil"/>
              <w:right w:val="nil"/>
            </w:tcBorders>
            <w:shd w:val="clear" w:color="auto" w:fill="auto"/>
          </w:tcPr>
          <w:p>
            <w:pPr>
              <w:pStyle w:val="nTable"/>
              <w:spacing w:after="40"/>
            </w:pPr>
            <w:r>
              <w:t>15 of 2015</w:t>
            </w:r>
          </w:p>
        </w:tc>
        <w:tc>
          <w:tcPr>
            <w:tcW w:w="1134" w:type="dxa"/>
            <w:tcBorders>
              <w:top w:val="nil"/>
              <w:left w:val="nil"/>
              <w:bottom w:val="nil"/>
              <w:right w:val="nil"/>
            </w:tcBorders>
            <w:shd w:val="clear" w:color="auto" w:fill="auto"/>
          </w:tcPr>
          <w:p>
            <w:pPr>
              <w:pStyle w:val="nTable"/>
              <w:spacing w:after="40"/>
            </w:pPr>
            <w:r>
              <w:t>26 May 2015</w:t>
            </w:r>
          </w:p>
        </w:tc>
        <w:tc>
          <w:tcPr>
            <w:tcW w:w="2552" w:type="dxa"/>
            <w:tcBorders>
              <w:top w:val="nil"/>
              <w:left w:val="nil"/>
              <w:bottom w:val="nil"/>
            </w:tcBorders>
            <w:shd w:val="clear" w:color="auto" w:fill="auto"/>
          </w:tcPr>
          <w:p>
            <w:pPr>
              <w:pStyle w:val="nTable"/>
              <w:spacing w:after="40"/>
              <w:rPr>
                <w:snapToGrid w:val="0"/>
              </w:rPr>
            </w:pPr>
            <w:r>
              <w:rPr>
                <w:snapToGrid w:val="0"/>
              </w:rPr>
              <w:t>27 May 2015 (see s. 2(c))</w:t>
            </w:r>
          </w:p>
        </w:tc>
      </w:tr>
      <w:tr>
        <w:trPr>
          <w:cantSplit/>
        </w:trPr>
        <w:tc>
          <w:tcPr>
            <w:tcW w:w="2268" w:type="dxa"/>
            <w:tcBorders>
              <w:top w:val="nil"/>
              <w:bottom w:val="nil"/>
              <w:right w:val="nil"/>
            </w:tcBorders>
            <w:shd w:val="clear" w:color="auto" w:fill="auto"/>
          </w:tcPr>
          <w:p>
            <w:pPr>
              <w:pStyle w:val="nTable"/>
              <w:spacing w:after="40"/>
              <w:rPr>
                <w:i/>
              </w:rPr>
            </w:pPr>
            <w:r>
              <w:rPr>
                <w:i/>
              </w:rPr>
              <w:t>Revenue Laws Amendment Act 2015</w:t>
            </w:r>
            <w:r>
              <w:t xml:space="preserve"> Pt. 2 Div. 2</w:t>
            </w:r>
          </w:p>
        </w:tc>
        <w:tc>
          <w:tcPr>
            <w:tcW w:w="1134" w:type="dxa"/>
            <w:tcBorders>
              <w:top w:val="nil"/>
              <w:left w:val="nil"/>
              <w:bottom w:val="nil"/>
              <w:right w:val="nil"/>
            </w:tcBorders>
            <w:shd w:val="clear" w:color="auto" w:fill="auto"/>
          </w:tcPr>
          <w:p>
            <w:pPr>
              <w:pStyle w:val="nTable"/>
              <w:spacing w:after="40"/>
            </w:pPr>
            <w:r>
              <w:t>27 of 2015</w:t>
            </w:r>
          </w:p>
        </w:tc>
        <w:tc>
          <w:tcPr>
            <w:tcW w:w="1134" w:type="dxa"/>
            <w:tcBorders>
              <w:top w:val="nil"/>
              <w:left w:val="nil"/>
              <w:bottom w:val="nil"/>
              <w:right w:val="nil"/>
            </w:tcBorders>
            <w:shd w:val="clear" w:color="auto" w:fill="auto"/>
          </w:tcPr>
          <w:p>
            <w:pPr>
              <w:pStyle w:val="nTable"/>
              <w:spacing w:after="40"/>
            </w:pPr>
            <w:r>
              <w:t>2 Oct 2015</w:t>
            </w:r>
          </w:p>
        </w:tc>
        <w:tc>
          <w:tcPr>
            <w:tcW w:w="2552" w:type="dxa"/>
            <w:tcBorders>
              <w:top w:val="nil"/>
              <w:left w:val="nil"/>
              <w:bottom w:val="nil"/>
            </w:tcBorders>
            <w:shd w:val="clear" w:color="auto" w:fill="auto"/>
          </w:tcPr>
          <w:p>
            <w:pPr>
              <w:pStyle w:val="nTable"/>
              <w:spacing w:after="40"/>
              <w:rPr>
                <w:snapToGrid w:val="0"/>
              </w:rPr>
            </w:pPr>
            <w:r>
              <w:rPr>
                <w:snapToGrid w:val="0"/>
              </w:rPr>
              <w:t>3 Oct 2015 (see s. 2(b))</w:t>
            </w:r>
          </w:p>
        </w:tc>
      </w:tr>
      <w:tr>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Duties Act 2008</w:t>
            </w:r>
            <w:r>
              <w:rPr>
                <w:b/>
                <w:snapToGrid w:val="0"/>
              </w:rPr>
              <w:t xml:space="preserve"> as at 13 Nov 2015</w:t>
            </w:r>
            <w:r>
              <w:rPr>
                <w:snapToGrid w:val="0"/>
              </w:rPr>
              <w:t xml:space="preserve"> (includes amendments listed above)</w:t>
            </w:r>
          </w:p>
        </w:tc>
      </w:tr>
      <w:tr>
        <w:trPr>
          <w:cantSplit/>
        </w:trPr>
        <w:tc>
          <w:tcPr>
            <w:tcW w:w="2268" w:type="dxa"/>
            <w:tcBorders>
              <w:top w:val="nil"/>
              <w:bottom w:val="nil"/>
              <w:right w:val="nil"/>
            </w:tcBorders>
            <w:shd w:val="clear" w:color="auto" w:fill="auto"/>
          </w:tcPr>
          <w:p>
            <w:pPr>
              <w:pStyle w:val="nTable"/>
              <w:spacing w:after="40"/>
              <w:rPr>
                <w:i/>
              </w:rPr>
            </w:pPr>
            <w:r>
              <w:rPr>
                <w:i/>
                <w:snapToGrid w:val="0"/>
              </w:rPr>
              <w:t>Local Government Legislation Amendment Act 2016</w:t>
            </w:r>
            <w:r>
              <w:rPr>
                <w:snapToGrid w:val="0"/>
              </w:rPr>
              <w:t xml:space="preserve"> Pt. 3 Div. 12</w:t>
            </w:r>
          </w:p>
        </w:tc>
        <w:tc>
          <w:tcPr>
            <w:tcW w:w="1134" w:type="dxa"/>
            <w:tcBorders>
              <w:top w:val="nil"/>
              <w:left w:val="nil"/>
              <w:bottom w:val="nil"/>
              <w:right w:val="nil"/>
            </w:tcBorders>
            <w:shd w:val="clear" w:color="auto" w:fill="auto"/>
          </w:tcPr>
          <w:p>
            <w:pPr>
              <w:pStyle w:val="nTable"/>
              <w:spacing w:after="40"/>
            </w:pPr>
            <w:r>
              <w:t>26 of 2016</w:t>
            </w:r>
          </w:p>
        </w:tc>
        <w:tc>
          <w:tcPr>
            <w:tcW w:w="1134" w:type="dxa"/>
            <w:tcBorders>
              <w:top w:val="nil"/>
              <w:left w:val="nil"/>
              <w:bottom w:val="nil"/>
              <w:right w:val="nil"/>
            </w:tcBorders>
            <w:shd w:val="clear" w:color="auto" w:fill="auto"/>
          </w:tcPr>
          <w:p>
            <w:pPr>
              <w:pStyle w:val="nTable"/>
              <w:spacing w:after="40"/>
            </w:pPr>
            <w:r>
              <w:t>21 Sep 2016</w:t>
            </w:r>
          </w:p>
        </w:tc>
        <w:tc>
          <w:tcPr>
            <w:tcW w:w="2552" w:type="dxa"/>
            <w:tcBorders>
              <w:top w:val="nil"/>
              <w:left w:val="nil"/>
              <w:bottom w:val="nil"/>
            </w:tcBorders>
            <w:shd w:val="clear" w:color="auto" w:fill="auto"/>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c>
          <w:tcPr>
            <w:tcW w:w="2268" w:type="dxa"/>
            <w:tcBorders>
              <w:top w:val="nil"/>
              <w:bottom w:val="nil"/>
              <w:right w:val="nil"/>
            </w:tcBorders>
          </w:tcPr>
          <w:p>
            <w:pPr>
              <w:pStyle w:val="nTable"/>
              <w:spacing w:after="40"/>
              <w:rPr>
                <w:snapToGrid w:val="0"/>
                <w:vertAlign w:val="superscript"/>
              </w:rPr>
            </w:pPr>
            <w:r>
              <w:rPr>
                <w:i/>
              </w:rPr>
              <w:t>Duties Amendment (Additional Duty for Foreign Persons) Act 2018</w:t>
            </w:r>
            <w:r>
              <w:t xml:space="preserve"> </w:t>
            </w:r>
          </w:p>
        </w:tc>
        <w:tc>
          <w:tcPr>
            <w:tcW w:w="1134" w:type="dxa"/>
            <w:tcBorders>
              <w:top w:val="nil"/>
              <w:left w:val="nil"/>
              <w:bottom w:val="nil"/>
              <w:right w:val="nil"/>
            </w:tcBorders>
          </w:tcPr>
          <w:p>
            <w:pPr>
              <w:pStyle w:val="nTable"/>
              <w:spacing w:after="40"/>
            </w:pPr>
            <w:r>
              <w:t>24 of 2018</w:t>
            </w:r>
          </w:p>
        </w:tc>
        <w:tc>
          <w:tcPr>
            <w:tcW w:w="1134" w:type="dxa"/>
            <w:tcBorders>
              <w:top w:val="nil"/>
              <w:left w:val="nil"/>
              <w:bottom w:val="nil"/>
              <w:right w:val="nil"/>
            </w:tcBorders>
          </w:tcPr>
          <w:p>
            <w:pPr>
              <w:pStyle w:val="nTable"/>
              <w:spacing w:after="40"/>
            </w:pPr>
            <w:r>
              <w:t>17 Oct 2018</w:t>
            </w:r>
          </w:p>
        </w:tc>
        <w:tc>
          <w:tcPr>
            <w:tcW w:w="2552" w:type="dxa"/>
            <w:tcBorders>
              <w:top w:val="nil"/>
              <w:left w:val="nil"/>
              <w:bottom w:val="nil"/>
            </w:tcBorders>
          </w:tcPr>
          <w:p>
            <w:pPr>
              <w:pStyle w:val="nTable"/>
              <w:spacing w:after="40"/>
              <w:rPr>
                <w:snapToGrid w:val="0"/>
              </w:rPr>
            </w:pPr>
            <w:r>
              <w:rPr>
                <w:snapToGrid w:val="0"/>
              </w:rPr>
              <w:t>s. 1 and 2: 17 Oct 2018 (see s. 2(a));</w:t>
            </w:r>
            <w:r>
              <w:rPr>
                <w:snapToGrid w:val="0"/>
              </w:rPr>
              <w:br/>
              <w:t>Act other than s. 1 and 2: 1 Jan 2019 (see s. 2(b))</w:t>
            </w:r>
          </w:p>
        </w:tc>
      </w:tr>
    </w:tbl>
    <w:p>
      <w:pPr>
        <w:pStyle w:val="nTable"/>
        <w:spacing w:after="40"/>
        <w:rPr>
          <w:del w:id="6557" w:author="Master Repository Process" w:date="2022-05-27T14:27:00Z"/>
          <w:i/>
        </w:rPr>
      </w:pPr>
      <w:del w:id="6558" w:author="Master Repository Process" w:date="2022-05-27T14:27:00Z">
        <w:r>
          <w:rPr>
            <w:vertAlign w:val="superscript"/>
          </w:rPr>
          <w:delText>1a</w:delText>
        </w:r>
        <w:r>
          <w:rPr>
            <w:snapToGrid w:val="0"/>
          </w:rPr>
          <w:tab/>
          <w:delText>On the date as at which this compilation was prepared,</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ins w:id="6559" w:author="Master Repository Process" w:date="2022-05-27T14:27:00Z"/>
        </w:trPr>
        <w:tc>
          <w:tcPr>
            <w:tcW w:w="2268" w:type="dxa"/>
            <w:tcBorders>
              <w:top w:val="nil"/>
              <w:bottom w:val="single" w:sz="4" w:space="0" w:color="auto"/>
              <w:right w:val="nil"/>
            </w:tcBorders>
          </w:tcPr>
          <w:p>
            <w:pPr>
              <w:pStyle w:val="nTable"/>
              <w:spacing w:after="40"/>
              <w:rPr>
                <w:ins w:id="6560" w:author="Master Repository Process" w:date="2022-05-27T14:27:00Z"/>
              </w:rPr>
            </w:pPr>
            <w:ins w:id="6561" w:author="Master Repository Process" w:date="2022-05-27T14:27:00Z">
              <w:r>
                <w:rPr>
                  <w:i/>
                </w:rPr>
                <w:t>Revenue Law Amendment Act 2019</w:t>
              </w:r>
              <w:r>
                <w:t xml:space="preserve"> Pt. 2</w:t>
              </w:r>
            </w:ins>
          </w:p>
        </w:tc>
        <w:tc>
          <w:tcPr>
            <w:tcW w:w="1134" w:type="dxa"/>
            <w:tcBorders>
              <w:top w:val="nil"/>
              <w:left w:val="nil"/>
              <w:bottom w:val="single" w:sz="4" w:space="0" w:color="auto"/>
              <w:right w:val="nil"/>
            </w:tcBorders>
          </w:tcPr>
          <w:p>
            <w:pPr>
              <w:pStyle w:val="nTable"/>
              <w:spacing w:after="40"/>
              <w:rPr>
                <w:ins w:id="6562" w:author="Master Repository Process" w:date="2022-05-27T14:27:00Z"/>
              </w:rPr>
            </w:pPr>
            <w:ins w:id="6563" w:author="Master Repository Process" w:date="2022-05-27T14:27:00Z">
              <w:r>
                <w:t>12 of 2019</w:t>
              </w:r>
            </w:ins>
          </w:p>
        </w:tc>
        <w:tc>
          <w:tcPr>
            <w:tcW w:w="1134" w:type="dxa"/>
            <w:tcBorders>
              <w:top w:val="nil"/>
              <w:left w:val="nil"/>
              <w:bottom w:val="single" w:sz="4" w:space="0" w:color="auto"/>
              <w:right w:val="nil"/>
            </w:tcBorders>
          </w:tcPr>
          <w:p>
            <w:pPr>
              <w:pStyle w:val="nTable"/>
              <w:spacing w:after="40"/>
              <w:rPr>
                <w:ins w:id="6564" w:author="Master Repository Process" w:date="2022-05-27T14:27:00Z"/>
              </w:rPr>
            </w:pPr>
            <w:ins w:id="6565" w:author="Master Repository Process" w:date="2022-05-27T14:27:00Z">
              <w:r>
                <w:t>12 Jun 2019</w:t>
              </w:r>
            </w:ins>
          </w:p>
        </w:tc>
        <w:tc>
          <w:tcPr>
            <w:tcW w:w="2552" w:type="dxa"/>
            <w:tcBorders>
              <w:top w:val="nil"/>
              <w:left w:val="nil"/>
              <w:bottom w:val="single" w:sz="4" w:space="0" w:color="auto"/>
            </w:tcBorders>
          </w:tcPr>
          <w:p>
            <w:pPr>
              <w:pStyle w:val="nTable"/>
              <w:spacing w:after="40"/>
              <w:rPr>
                <w:ins w:id="6566" w:author="Master Repository Process" w:date="2022-05-27T14:27:00Z"/>
                <w:snapToGrid w:val="0"/>
              </w:rPr>
            </w:pPr>
            <w:ins w:id="6567" w:author="Master Repository Process" w:date="2022-05-27T14:27:00Z">
              <w:r>
                <w:rPr>
                  <w:snapToGrid w:val="0"/>
                </w:rPr>
                <w:t>13 Jun 2019 (see s. 2(b)(i))</w:t>
              </w:r>
            </w:ins>
          </w:p>
        </w:tc>
      </w:tr>
    </w:tbl>
    <w:p>
      <w:pPr>
        <w:pStyle w:val="nHeading3"/>
        <w:rPr>
          <w:ins w:id="6568" w:author="Master Repository Process" w:date="2022-05-27T14:27:00Z"/>
        </w:rPr>
      </w:pPr>
      <w:bookmarkStart w:id="6569" w:name="_Toc104291389"/>
      <w:ins w:id="6570" w:author="Master Repository Process" w:date="2022-05-27T14:27:00Z">
        <w:r>
          <w:t>Uncommenced</w:t>
        </w:r>
      </w:ins>
      <w:r>
        <w:t xml:space="preserve"> provisions </w:t>
      </w:r>
      <w:del w:id="6571" w:author="Master Repository Process" w:date="2022-05-27T14:27:00Z">
        <w:r>
          <w:rPr>
            <w:snapToGrid w:val="0"/>
          </w:rPr>
          <w:delText xml:space="preserve">referred to in the following </w:delText>
        </w:r>
      </w:del>
      <w:r>
        <w:t>table</w:t>
      </w:r>
      <w:bookmarkEnd w:id="6569"/>
      <w:del w:id="6572" w:author="Master Repository Process" w:date="2022-05-27T14:27:00Z">
        <w:r>
          <w:rPr>
            <w:snapToGrid w:val="0"/>
          </w:rPr>
          <w:delText xml:space="preserve"> had not come into operation and were therefore not included in this compilation.  For</w:delText>
        </w:r>
      </w:del>
    </w:p>
    <w:p>
      <w:pPr>
        <w:pStyle w:val="nStatement"/>
        <w:keepNext/>
        <w:spacing w:after="240"/>
      </w:pPr>
      <w:ins w:id="6573" w:author="Master Repository Process" w:date="2022-05-27T14:27:00Z">
        <w:r>
          <w:t>To view</w:t>
        </w:r>
      </w:ins>
      <w:r>
        <w:t xml:space="preserve"> the text of the </w:t>
      </w:r>
      <w:ins w:id="6574" w:author="Master Repository Process" w:date="2022-05-27T14:27:00Z">
        <w:r>
          <w:t xml:space="preserve">uncommenced </w:t>
        </w:r>
      </w:ins>
      <w:r>
        <w:t xml:space="preserve">provisions see </w:t>
      </w:r>
      <w:del w:id="6575" w:author="Master Repository Process" w:date="2022-05-27T14:27:00Z">
        <w:r>
          <w:rPr>
            <w:snapToGrid w:val="0"/>
          </w:rPr>
          <w:delText>the endnotes referred to in the table</w:delText>
        </w:r>
      </w:del>
      <w:ins w:id="6576" w:author="Master Repository Process" w:date="2022-05-27T14:27:00Z">
        <w:r>
          <w:rPr>
            <w:i/>
          </w:rPr>
          <w:t>Acts as passed</w:t>
        </w:r>
        <w:r>
          <w:t xml:space="preserve"> on the WA Legislation website</w:t>
        </w:r>
      </w:ins>
      <w:r>
        <w:t>.</w:t>
      </w:r>
    </w:p>
    <w:p>
      <w:pPr>
        <w:pStyle w:val="nHeading3"/>
        <w:rPr>
          <w:del w:id="6577" w:author="Master Repository Process" w:date="2022-05-27T14:27:00Z"/>
        </w:rPr>
      </w:pPr>
      <w:bookmarkStart w:id="6578" w:name="_Toc531859701"/>
      <w:del w:id="6579" w:author="Master Repository Process" w:date="2022-05-27T14:27:00Z">
        <w:r>
          <w:delText>Provisions that have not come into operation</w:delText>
        </w:r>
        <w:bookmarkEnd w:id="6578"/>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nil"/>
              <w:bottom w:val="nil"/>
              <w:right w:val="nil"/>
            </w:tcBorders>
          </w:tcPr>
          <w:p>
            <w:pPr>
              <w:pStyle w:val="nTable"/>
              <w:spacing w:after="40"/>
              <w:rPr>
                <w:i/>
                <w:snapToGrid w:val="0"/>
              </w:rPr>
            </w:pPr>
            <w:r>
              <w:rPr>
                <w:i/>
                <w:snapToGrid w:val="0"/>
              </w:rPr>
              <w:t>Aquatic Resources Management Act 2016</w:t>
            </w:r>
            <w:r>
              <w:rPr>
                <w:snapToGrid w:val="0"/>
              </w:rPr>
              <w:t xml:space="preserve"> s. 377</w:t>
            </w:r>
            <w:del w:id="6580" w:author="Master Repository Process" w:date="2022-05-27T14:27:00Z">
              <w:r>
                <w:rPr>
                  <w:snapToGrid w:val="0"/>
                  <w:szCs w:val="19"/>
                </w:rPr>
                <w:delText> </w:delText>
              </w:r>
              <w:r>
                <w:rPr>
                  <w:snapToGrid w:val="0"/>
                  <w:szCs w:val="19"/>
                  <w:vertAlign w:val="superscript"/>
                </w:rPr>
                <w:delText>9</w:delText>
              </w:r>
            </w:del>
          </w:p>
        </w:tc>
        <w:tc>
          <w:tcPr>
            <w:tcW w:w="1134" w:type="dxa"/>
            <w:tcBorders>
              <w:top w:val="nil"/>
              <w:left w:val="nil"/>
              <w:bottom w:val="nil"/>
              <w:right w:val="nil"/>
            </w:tcBorders>
          </w:tcPr>
          <w:p>
            <w:pPr>
              <w:pStyle w:val="nTable"/>
              <w:spacing w:after="40"/>
            </w:pPr>
            <w:r>
              <w:t>53 of 2016</w:t>
            </w:r>
          </w:p>
        </w:tc>
        <w:tc>
          <w:tcPr>
            <w:tcW w:w="1134" w:type="dxa"/>
            <w:tcBorders>
              <w:top w:val="nil"/>
              <w:left w:val="nil"/>
              <w:bottom w:val="nil"/>
              <w:right w:val="nil"/>
            </w:tcBorders>
          </w:tcPr>
          <w:p>
            <w:pPr>
              <w:pStyle w:val="nTable"/>
              <w:spacing w:after="40"/>
            </w:pPr>
            <w:r>
              <w:t>29 Nov 2016</w:t>
            </w:r>
          </w:p>
        </w:tc>
        <w:tc>
          <w:tcPr>
            <w:tcW w:w="2552" w:type="dxa"/>
            <w:tcBorders>
              <w:top w:val="nil"/>
              <w:left w:val="nil"/>
              <w:bottom w:val="nil"/>
            </w:tcBorders>
          </w:tcPr>
          <w:p>
            <w:pPr>
              <w:pStyle w:val="nTable"/>
              <w:spacing w:after="40"/>
              <w:rPr>
                <w:snapToGrid w:val="0"/>
              </w:rPr>
            </w:pPr>
            <w:r>
              <w:rPr>
                <w:snapToGrid w:val="0"/>
              </w:rPr>
              <w:t>To be proclaimed (see s. 2(b))</w:t>
            </w:r>
          </w:p>
        </w:tc>
      </w:tr>
      <w:tr>
        <w:tc>
          <w:tcPr>
            <w:tcW w:w="2268" w:type="dxa"/>
            <w:tcBorders>
              <w:top w:val="nil"/>
              <w:bottom w:val="nil"/>
              <w:right w:val="nil"/>
            </w:tcBorders>
          </w:tcPr>
          <w:p>
            <w:pPr>
              <w:pStyle w:val="nTable"/>
              <w:spacing w:after="40"/>
              <w:rPr>
                <w:i/>
              </w:rPr>
            </w:pPr>
            <w:r>
              <w:rPr>
                <w:i/>
              </w:rPr>
              <w:t>Strata Titles Amendment Act 2018</w:t>
            </w:r>
            <w:r>
              <w:t xml:space="preserve"> Pt. 3 Div. 5</w:t>
            </w:r>
            <w:del w:id="6581" w:author="Master Repository Process" w:date="2022-05-27T14:27:00Z">
              <w:r>
                <w:rPr>
                  <w:vertAlign w:val="superscript"/>
                </w:rPr>
                <w:delText> 11</w:delText>
              </w:r>
            </w:del>
          </w:p>
        </w:tc>
        <w:tc>
          <w:tcPr>
            <w:tcW w:w="1134" w:type="dxa"/>
            <w:tcBorders>
              <w:top w:val="nil"/>
              <w:left w:val="nil"/>
              <w:bottom w:val="nil"/>
              <w:right w:val="nil"/>
            </w:tcBorders>
          </w:tcPr>
          <w:p>
            <w:pPr>
              <w:pStyle w:val="nTable"/>
              <w:spacing w:after="40"/>
            </w:pPr>
            <w:r>
              <w:t>30 of 2018</w:t>
            </w:r>
          </w:p>
        </w:tc>
        <w:tc>
          <w:tcPr>
            <w:tcW w:w="1134" w:type="dxa"/>
            <w:tcBorders>
              <w:top w:val="nil"/>
              <w:left w:val="nil"/>
              <w:bottom w:val="nil"/>
              <w:right w:val="nil"/>
            </w:tcBorders>
          </w:tcPr>
          <w:p>
            <w:pPr>
              <w:pStyle w:val="nTable"/>
              <w:spacing w:after="40"/>
            </w:pPr>
            <w:r>
              <w:t>19 Nov 2018</w:t>
            </w:r>
          </w:p>
        </w:tc>
        <w:tc>
          <w:tcPr>
            <w:tcW w:w="2552" w:type="dxa"/>
            <w:tcBorders>
              <w:top w:val="nil"/>
              <w:left w:val="nil"/>
              <w:bottom w:val="nil"/>
            </w:tcBorders>
          </w:tcPr>
          <w:p>
            <w:pPr>
              <w:pStyle w:val="nTable"/>
              <w:spacing w:after="40"/>
              <w:rPr>
                <w:snapToGrid w:val="0"/>
              </w:rPr>
            </w:pPr>
            <w:del w:id="6582" w:author="Master Repository Process" w:date="2022-05-27T14:27:00Z">
              <w:r>
                <w:delText>To be proclaimed</w:delText>
              </w:r>
            </w:del>
            <w:ins w:id="6583" w:author="Master Repository Process" w:date="2022-05-27T14:27:00Z">
              <w:r>
                <w:t>1 May 2020</w:t>
              </w:r>
            </w:ins>
            <w:r>
              <w:t xml:space="preserve"> (see s. 2(b</w:t>
            </w:r>
            <w:del w:id="6584" w:author="Master Repository Process" w:date="2022-05-27T14:27:00Z">
              <w:r>
                <w:delText>))</w:delText>
              </w:r>
            </w:del>
            <w:ins w:id="6585" w:author="Master Repository Process" w:date="2022-05-27T14:27:00Z">
              <w:r>
                <w:t>) and SL 2020/39 cl. 2)</w:t>
              </w:r>
            </w:ins>
          </w:p>
        </w:tc>
      </w:tr>
      <w:tr>
        <w:tc>
          <w:tcPr>
            <w:tcW w:w="2268" w:type="dxa"/>
            <w:tcBorders>
              <w:top w:val="nil"/>
              <w:bottom w:val="single" w:sz="8" w:space="0" w:color="auto"/>
              <w:right w:val="nil"/>
            </w:tcBorders>
          </w:tcPr>
          <w:p>
            <w:pPr>
              <w:pStyle w:val="nTable"/>
              <w:spacing w:after="40"/>
              <w:rPr>
                <w:i/>
              </w:rPr>
            </w:pPr>
            <w:r>
              <w:rPr>
                <w:i/>
              </w:rPr>
              <w:t>Community Titles Act 2018</w:t>
            </w:r>
            <w:r>
              <w:t xml:space="preserve"> Pt. 14 Div. 6</w:t>
            </w:r>
            <w:del w:id="6586" w:author="Master Repository Process" w:date="2022-05-27T14:27:00Z">
              <w:r>
                <w:rPr>
                  <w:vertAlign w:val="superscript"/>
                </w:rPr>
                <w:delText> 12</w:delText>
              </w:r>
            </w:del>
          </w:p>
        </w:tc>
        <w:tc>
          <w:tcPr>
            <w:tcW w:w="1134" w:type="dxa"/>
            <w:tcBorders>
              <w:top w:val="nil"/>
              <w:left w:val="nil"/>
              <w:bottom w:val="single" w:sz="8" w:space="0" w:color="auto"/>
              <w:right w:val="nil"/>
            </w:tcBorders>
          </w:tcPr>
          <w:p>
            <w:pPr>
              <w:pStyle w:val="nTable"/>
              <w:spacing w:after="40"/>
            </w:pPr>
            <w:r>
              <w:t>32 of 2018</w:t>
            </w:r>
          </w:p>
        </w:tc>
        <w:tc>
          <w:tcPr>
            <w:tcW w:w="1134" w:type="dxa"/>
            <w:tcBorders>
              <w:top w:val="nil"/>
              <w:left w:val="nil"/>
              <w:bottom w:val="single" w:sz="8" w:space="0" w:color="auto"/>
              <w:right w:val="nil"/>
            </w:tcBorders>
          </w:tcPr>
          <w:p>
            <w:pPr>
              <w:pStyle w:val="nTable"/>
              <w:spacing w:after="40"/>
            </w:pPr>
            <w:r>
              <w:t>19 Nov 2018</w:t>
            </w:r>
          </w:p>
        </w:tc>
        <w:tc>
          <w:tcPr>
            <w:tcW w:w="2552" w:type="dxa"/>
            <w:tcBorders>
              <w:top w:val="nil"/>
              <w:left w:val="nil"/>
              <w:bottom w:val="single" w:sz="8" w:space="0" w:color="auto"/>
            </w:tcBorders>
          </w:tcPr>
          <w:p>
            <w:pPr>
              <w:pStyle w:val="nTable"/>
              <w:spacing w:after="40"/>
            </w:pPr>
            <w:r>
              <w:t>To be proclaimed (see s. 2(b))</w:t>
            </w:r>
          </w:p>
        </w:tc>
      </w:tr>
    </w:tbl>
    <w:p>
      <w:pPr>
        <w:pStyle w:val="nHeading3"/>
        <w:rPr>
          <w:ins w:id="6587" w:author="Master Repository Process" w:date="2022-05-27T14:27:00Z"/>
        </w:rPr>
      </w:pPr>
      <w:bookmarkStart w:id="6588" w:name="_Toc104291390"/>
      <w:del w:id="6589" w:author="Master Repository Process" w:date="2022-05-27T14:27:00Z">
        <w:r>
          <w:rPr>
            <w:snapToGrid w:val="0"/>
            <w:vertAlign w:val="superscript"/>
          </w:rPr>
          <w:delText>2</w:delText>
        </w:r>
      </w:del>
      <w:ins w:id="6590" w:author="Master Repository Process" w:date="2022-05-27T14:27:00Z">
        <w:r>
          <w:t>Other notes</w:t>
        </w:r>
        <w:bookmarkEnd w:id="6588"/>
      </w:ins>
    </w:p>
    <w:p>
      <w:pPr>
        <w:pStyle w:val="nNote"/>
        <w:spacing w:before="200"/>
      </w:pPr>
      <w:ins w:id="6591" w:author="Master Repository Process" w:date="2022-05-27T14:27:00Z">
        <w:r>
          <w:rPr>
            <w:snapToGrid w:val="0"/>
            <w:vertAlign w:val="superscript"/>
          </w:rPr>
          <w:t>1</w:t>
        </w:r>
      </w:ins>
      <w:r>
        <w:rPr>
          <w:snapToGrid w:val="0"/>
          <w:vertAlign w:val="superscript"/>
        </w:rPr>
        <w:tab/>
      </w:r>
      <w:r>
        <w:t xml:space="preserve">The </w:t>
      </w:r>
      <w:r>
        <w:rPr>
          <w:i/>
        </w:rPr>
        <w:t>Mining Act 1904</w:t>
      </w:r>
      <w:r>
        <w:t xml:space="preserve"> was repealed by the </w:t>
      </w:r>
      <w:r>
        <w:rPr>
          <w:i/>
        </w:rPr>
        <w:t>Mining Act 1978</w:t>
      </w:r>
      <w:r>
        <w:t>.</w:t>
      </w:r>
    </w:p>
    <w:p>
      <w:pPr>
        <w:pStyle w:val="nNote"/>
        <w:rPr>
          <w:snapToGrid w:val="0"/>
        </w:rPr>
      </w:pPr>
      <w:bookmarkStart w:id="6592" w:name="_Hlk104381300"/>
      <w:del w:id="6593" w:author="Master Repository Process" w:date="2022-05-27T14:27:00Z">
        <w:r>
          <w:rPr>
            <w:snapToGrid w:val="0"/>
            <w:vertAlign w:val="superscript"/>
          </w:rPr>
          <w:delText>3</w:delText>
        </w:r>
      </w:del>
      <w:ins w:id="6594" w:author="Master Repository Process" w:date="2022-05-27T14:27:00Z">
        <w:r>
          <w:rPr>
            <w:snapToGrid w:val="0"/>
            <w:vertAlign w:val="superscript"/>
          </w:rPr>
          <w:t>2</w:t>
        </w:r>
      </w:ins>
      <w:r>
        <w:rPr>
          <w:snapToGrid w:val="0"/>
        </w:rPr>
        <w:tab/>
        <w:t xml:space="preserve">This section </w:t>
      </w:r>
      <w:del w:id="6595" w:author="Master Repository Process" w:date="2022-05-27T14:27:00Z">
        <w:r>
          <w:rPr>
            <w:snapToGrid w:val="0"/>
          </w:rPr>
          <w:delText>has a retrospective commencement date effective from</w:delText>
        </w:r>
      </w:del>
      <w:ins w:id="6596" w:author="Master Repository Process" w:date="2022-05-27T14:27:00Z">
        <w:r>
          <w:rPr>
            <w:snapToGrid w:val="0"/>
          </w:rPr>
          <w:t>is deemed to have come into operation on</w:t>
        </w:r>
      </w:ins>
      <w:r>
        <w:rPr>
          <w:snapToGrid w:val="0"/>
        </w:rPr>
        <w:t xml:space="preserve"> 1 Dec 2011 (see the </w:t>
      </w:r>
      <w:r>
        <w:rPr>
          <w:i/>
          <w:snapToGrid w:val="0"/>
        </w:rPr>
        <w:t>Revenue Laws Amendment Act 2012</w:t>
      </w:r>
      <w:r>
        <w:rPr>
          <w:snapToGrid w:val="0"/>
        </w:rPr>
        <w:t xml:space="preserve"> </w:t>
      </w:r>
      <w:ins w:id="6597" w:author="Master Repository Process" w:date="2022-05-27T14:27:00Z">
        <w:r>
          <w:rPr>
            <w:snapToGrid w:val="0"/>
          </w:rPr>
          <w:t xml:space="preserve">s. 2(b) and </w:t>
        </w:r>
      </w:ins>
      <w:r>
        <w:rPr>
          <w:snapToGrid w:val="0"/>
        </w:rPr>
        <w:t>Pt. 2 Div. 1 and 2).</w:t>
      </w:r>
    </w:p>
    <w:bookmarkEnd w:id="6592"/>
    <w:p>
      <w:pPr>
        <w:pStyle w:val="nNote"/>
        <w:rPr>
          <w:snapToGrid w:val="0"/>
        </w:rPr>
      </w:pPr>
      <w:del w:id="6598" w:author="Master Repository Process" w:date="2022-05-27T14:27:00Z">
        <w:r>
          <w:rPr>
            <w:snapToGrid w:val="0"/>
            <w:vertAlign w:val="superscript"/>
          </w:rPr>
          <w:delText>4</w:delText>
        </w:r>
      </w:del>
      <w:ins w:id="6599" w:author="Master Repository Process" w:date="2022-05-27T14:27:00Z">
        <w:r>
          <w:rPr>
            <w:snapToGrid w:val="0"/>
            <w:vertAlign w:val="superscript"/>
          </w:rPr>
          <w:t>3</w:t>
        </w:r>
      </w:ins>
      <w:r>
        <w:rPr>
          <w:snapToGrid w:val="0"/>
          <w:vertAlign w:val="superscript"/>
        </w:rPr>
        <w:tab/>
      </w:r>
      <w:r>
        <w:t xml:space="preserve">The </w:t>
      </w:r>
      <w:r>
        <w:rPr>
          <w:i/>
          <w:iCs/>
        </w:rPr>
        <w:t>Acts Amendment (Land Administration) Act 1997</w:t>
      </w:r>
      <w:r>
        <w:rPr>
          <w:iCs/>
        </w:rPr>
        <w:t xml:space="preserve"> commenced </w:t>
      </w:r>
      <w:r>
        <w:rPr>
          <w:color w:val="000000"/>
        </w:rPr>
        <w:t xml:space="preserve">30 Mar 1998 (see </w:t>
      </w:r>
      <w:r>
        <w:rPr>
          <w:i/>
          <w:color w:val="000000"/>
        </w:rPr>
        <w:t>Gazette</w:t>
      </w:r>
      <w:r>
        <w:rPr>
          <w:color w:val="000000"/>
        </w:rPr>
        <w:t xml:space="preserve"> 27 Mar 1998 p. 1765).</w:t>
      </w:r>
    </w:p>
    <w:p>
      <w:pPr>
        <w:pStyle w:val="nNote"/>
        <w:rPr>
          <w:snapToGrid w:val="0"/>
          <w:vertAlign w:val="superscript"/>
        </w:rPr>
      </w:pPr>
      <w:del w:id="6600" w:author="Master Repository Process" w:date="2022-05-27T14:27:00Z">
        <w:r>
          <w:rPr>
            <w:snapToGrid w:val="0"/>
            <w:vertAlign w:val="superscript"/>
          </w:rPr>
          <w:delText>5</w:delText>
        </w:r>
      </w:del>
      <w:ins w:id="6601" w:author="Master Repository Process" w:date="2022-05-27T14:27:00Z">
        <w:r>
          <w:rPr>
            <w:snapToGrid w:val="0"/>
            <w:vertAlign w:val="superscript"/>
          </w:rPr>
          <w:t>4</w:t>
        </w:r>
      </w:ins>
      <w:r>
        <w:rPr>
          <w:snapToGrid w:val="0"/>
          <w:vertAlign w:val="superscript"/>
        </w:rPr>
        <w:tab/>
      </w:r>
      <w:r>
        <w:rPr>
          <w:snapToGrid w:val="0"/>
        </w:rPr>
        <w:t xml:space="preserve">The </w:t>
      </w:r>
      <w:r>
        <w:rPr>
          <w:i/>
          <w:snapToGrid w:val="0"/>
        </w:rPr>
        <w:t>Duties Act 2008</w:t>
      </w:r>
      <w:r>
        <w:rPr>
          <w:snapToGrid w:val="0"/>
        </w:rPr>
        <w:t xml:space="preserve"> Sch. 3 Div. 2 was repealed by the </w:t>
      </w:r>
      <w:r>
        <w:rPr>
          <w:i/>
          <w:snapToGrid w:val="0"/>
        </w:rPr>
        <w:t>Revenue Laws Amendment Act 2008</w:t>
      </w:r>
      <w:r>
        <w:rPr>
          <w:snapToGrid w:val="0"/>
        </w:rPr>
        <w:t xml:space="preserve"> s. 4.</w:t>
      </w:r>
    </w:p>
    <w:p>
      <w:pPr>
        <w:pStyle w:val="nNote"/>
        <w:rPr>
          <w:snapToGrid w:val="0"/>
          <w:vertAlign w:val="superscript"/>
        </w:rPr>
      </w:pPr>
      <w:del w:id="6602" w:author="Master Repository Process" w:date="2022-05-27T14:27:00Z">
        <w:r>
          <w:rPr>
            <w:snapToGrid w:val="0"/>
            <w:vertAlign w:val="superscript"/>
          </w:rPr>
          <w:delText>6</w:delText>
        </w:r>
      </w:del>
      <w:ins w:id="6603" w:author="Master Repository Process" w:date="2022-05-27T14:27:00Z">
        <w:r>
          <w:rPr>
            <w:snapToGrid w:val="0"/>
            <w:vertAlign w:val="superscript"/>
          </w:rPr>
          <w:t>5</w:t>
        </w:r>
      </w:ins>
      <w:r>
        <w:rPr>
          <w:snapToGrid w:val="0"/>
          <w:vertAlign w:val="superscript"/>
        </w:rPr>
        <w:tab/>
      </w:r>
      <w:r>
        <w:rPr>
          <w:snapToGrid w:val="0"/>
        </w:rPr>
        <w:t xml:space="preserve">The </w:t>
      </w:r>
      <w:r>
        <w:rPr>
          <w:i/>
          <w:snapToGrid w:val="0"/>
        </w:rPr>
        <w:t xml:space="preserve">Duties Legislation Amendment Act 2008 </w:t>
      </w:r>
      <w:r>
        <w:rPr>
          <w:iCs/>
          <w:snapToGrid w:val="0"/>
        </w:rPr>
        <w:t xml:space="preserve">Pt. 2 Div. 2 Subdiv. 3 was deleted by the </w:t>
      </w:r>
      <w:r>
        <w:rPr>
          <w:i/>
          <w:iCs/>
          <w:snapToGrid w:val="0"/>
        </w:rPr>
        <w:t>Duties Legislation Amendment Act 2013</w:t>
      </w:r>
      <w:r>
        <w:rPr>
          <w:iCs/>
          <w:snapToGrid w:val="0"/>
        </w:rPr>
        <w:t xml:space="preserve"> s. 5.  The amendments made by the </w:t>
      </w:r>
      <w:r>
        <w:rPr>
          <w:i/>
          <w:iCs/>
          <w:snapToGrid w:val="0"/>
        </w:rPr>
        <w:t xml:space="preserve">Revenue Laws Amendment Act 2010 </w:t>
      </w:r>
      <w:r>
        <w:rPr>
          <w:iCs/>
          <w:snapToGrid w:val="0"/>
        </w:rPr>
        <w:t>Pt. 3 Div. 1 have no effect for the same reason.</w:t>
      </w:r>
      <w:r>
        <w:rPr>
          <w:snapToGrid w:val="0"/>
        </w:rPr>
        <w:t xml:space="preserve"> </w:t>
      </w:r>
    </w:p>
    <w:p>
      <w:pPr>
        <w:pStyle w:val="nNote"/>
        <w:rPr>
          <w:snapToGrid w:val="0"/>
        </w:rPr>
      </w:pPr>
      <w:del w:id="6604" w:author="Master Repository Process" w:date="2022-05-27T14:27:00Z">
        <w:r>
          <w:rPr>
            <w:snapToGrid w:val="0"/>
            <w:vertAlign w:val="superscript"/>
          </w:rPr>
          <w:delText>7</w:delText>
        </w:r>
      </w:del>
      <w:ins w:id="6605" w:author="Master Repository Process" w:date="2022-05-27T14:27:00Z">
        <w:r>
          <w:rPr>
            <w:snapToGrid w:val="0"/>
            <w:vertAlign w:val="superscript"/>
          </w:rPr>
          <w:t>6</w:t>
        </w:r>
      </w:ins>
      <w:r>
        <w:rPr>
          <w:snapToGrid w:val="0"/>
          <w:vertAlign w:val="superscript"/>
        </w:rPr>
        <w:tab/>
      </w:r>
      <w:r>
        <w:rPr>
          <w:snapToGrid w:val="0"/>
        </w:rPr>
        <w:t xml:space="preserve">The </w:t>
      </w:r>
      <w:r>
        <w:rPr>
          <w:i/>
          <w:snapToGrid w:val="0"/>
        </w:rPr>
        <w:t>Duties Legislation Amendment Act 2013</w:t>
      </w:r>
      <w:r>
        <w:rPr>
          <w:snapToGrid w:val="0"/>
        </w:rPr>
        <w:t xml:space="preserve"> Pt. 3 will not come into operation (see s. 2(1)(c) and (2)).</w:t>
      </w:r>
    </w:p>
    <w:p>
      <w:pPr>
        <w:pStyle w:val="nSubsection"/>
        <w:spacing w:before="160"/>
        <w:rPr>
          <w:del w:id="6606" w:author="Master Repository Process" w:date="2022-05-27T14:27:00Z"/>
        </w:rPr>
      </w:pPr>
      <w:del w:id="6607" w:author="Master Repository Process" w:date="2022-05-27T14:27:00Z">
        <w:r>
          <w:rPr>
            <w:snapToGrid w:val="0"/>
            <w:szCs w:val="19"/>
            <w:vertAlign w:val="superscript"/>
          </w:rPr>
          <w:delText>8</w:delText>
        </w:r>
        <w:r>
          <w:rPr>
            <w:snapToGrid w:val="0"/>
            <w:szCs w:val="19"/>
            <w:vertAlign w:val="superscript"/>
          </w:rPr>
          <w:tab/>
        </w:r>
        <w:r>
          <w:rPr>
            <w:snapToGrid w:val="0"/>
            <w:szCs w:val="19"/>
          </w:rPr>
          <w:delText xml:space="preserve">Footnote </w:delText>
        </w:r>
        <w:r>
          <w:delText>no longer applicable.</w:delText>
        </w:r>
      </w:del>
    </w:p>
    <w:p>
      <w:pPr>
        <w:pStyle w:val="nSubsection"/>
        <w:spacing w:before="160"/>
        <w:rPr>
          <w:del w:id="6608" w:author="Master Repository Process" w:date="2022-05-27T14:27:00Z"/>
          <w:snapToGrid w:val="0"/>
        </w:rPr>
      </w:pPr>
      <w:del w:id="6609" w:author="Master Repository Process" w:date="2022-05-27T14:27:00Z">
        <w:r>
          <w:rPr>
            <w:snapToGrid w:val="0"/>
            <w:vertAlign w:val="superscript"/>
          </w:rPr>
          <w:delText>9</w:delText>
        </w:r>
        <w:r>
          <w:rPr>
            <w:snapToGrid w:val="0"/>
          </w:rPr>
          <w:tab/>
        </w:r>
        <w:r>
          <w:delText xml:space="preserve">On the date as at which this compilation was prepared, </w:delText>
        </w:r>
        <w:r>
          <w:rPr>
            <w:snapToGrid w:val="0"/>
          </w:rPr>
          <w:delText xml:space="preserve">the </w:delText>
        </w:r>
        <w:r>
          <w:rPr>
            <w:i/>
            <w:snapToGrid w:val="0"/>
          </w:rPr>
          <w:delText>Aquatic Resources Management Act 2016</w:delText>
        </w:r>
        <w:r>
          <w:rPr>
            <w:iCs/>
            <w:snapToGrid w:val="0"/>
          </w:rPr>
          <w:delText xml:space="preserve"> s. 377 </w:delText>
        </w:r>
        <w:r>
          <w:rPr>
            <w:snapToGrid w:val="0"/>
          </w:rPr>
          <w:delText>had not</w:delText>
        </w:r>
      </w:del>
      <w:bookmarkStart w:id="6610" w:name="_Hlk104381288"/>
      <w:ins w:id="6611" w:author="Master Repository Process" w:date="2022-05-27T14:27:00Z">
        <w:r>
          <w:rPr>
            <w:snapToGrid w:val="0"/>
            <w:vertAlign w:val="superscript"/>
          </w:rPr>
          <w:t>7</w:t>
        </w:r>
        <w:r>
          <w:rPr>
            <w:snapToGrid w:val="0"/>
          </w:rPr>
          <w:tab/>
          <w:t xml:space="preserve">This clause </w:t>
        </w:r>
        <w:bookmarkStart w:id="6612" w:name="_Hlk104381062"/>
        <w:r>
          <w:rPr>
            <w:snapToGrid w:val="0"/>
          </w:rPr>
          <w:t>is deemed to have</w:t>
        </w:r>
      </w:ins>
      <w:r>
        <w:rPr>
          <w:snapToGrid w:val="0"/>
        </w:rPr>
        <w:t xml:space="preserve"> come into operation</w:t>
      </w:r>
      <w:del w:id="6613" w:author="Master Repository Process" w:date="2022-05-27T14:27:00Z">
        <w:r>
          <w:rPr>
            <w:snapToGrid w:val="0"/>
          </w:rPr>
          <w:delText>.  It reads as follows:</w:delText>
        </w:r>
      </w:del>
    </w:p>
    <w:p>
      <w:pPr>
        <w:pStyle w:val="BlankOpen"/>
        <w:rPr>
          <w:del w:id="6614" w:author="Master Repository Process" w:date="2022-05-27T14:27:00Z"/>
        </w:rPr>
      </w:pPr>
    </w:p>
    <w:p>
      <w:pPr>
        <w:pStyle w:val="nzHeading5"/>
        <w:rPr>
          <w:del w:id="6615" w:author="Master Repository Process" w:date="2022-05-27T14:27:00Z"/>
        </w:rPr>
      </w:pPr>
      <w:del w:id="6616" w:author="Master Repository Process" w:date="2022-05-27T14:27:00Z">
        <w:r>
          <w:rPr>
            <w:rStyle w:val="CharSectno"/>
          </w:rPr>
          <w:delText>377</w:delText>
        </w:r>
        <w:r>
          <w:delText>.</w:delText>
        </w:r>
        <w:r>
          <w:tab/>
          <w:delText xml:space="preserve">Various references to </w:delText>
        </w:r>
        <w:r>
          <w:rPr>
            <w:i/>
          </w:rPr>
          <w:delText>Fish Resources Management Act 1994</w:delText>
        </w:r>
        <w:r>
          <w:delText xml:space="preserve"> amended</w:delText>
        </w:r>
      </w:del>
    </w:p>
    <w:p>
      <w:pPr>
        <w:pStyle w:val="nzSubsection"/>
        <w:rPr>
          <w:del w:id="6617" w:author="Master Repository Process" w:date="2022-05-27T14:27:00Z"/>
        </w:rPr>
      </w:pPr>
      <w:del w:id="6618" w:author="Master Repository Process" w:date="2022-05-27T14:27:00Z">
        <w:r>
          <w:tab/>
          <w:delText>(1)</w:delText>
        </w:r>
        <w:r>
          <w:tab/>
          <w:delText>This section amends the Acts listed in the Table.</w:delText>
        </w:r>
      </w:del>
    </w:p>
    <w:p>
      <w:pPr>
        <w:pStyle w:val="nzSubsection"/>
        <w:rPr>
          <w:del w:id="6619" w:author="Master Repository Process" w:date="2022-05-27T14:27:00Z"/>
        </w:rPr>
      </w:pPr>
      <w:del w:id="6620" w:author="Master Repository Process" w:date="2022-05-27T14:27:00Z">
        <w:r>
          <w:tab/>
          <w:delText>(2)</w:delText>
        </w:r>
        <w:r>
          <w:tab/>
          <w:delText>In the provisions listed in the Table delete “</w:delText>
        </w:r>
        <w:r>
          <w:rPr>
            <w:i/>
          </w:rPr>
          <w:delText>Fish Resources Management Act 1994</w:delText>
        </w:r>
        <w:r>
          <w:delText>” and insert:</w:delText>
        </w:r>
      </w:del>
    </w:p>
    <w:p>
      <w:pPr>
        <w:pStyle w:val="BlankOpen"/>
        <w:rPr>
          <w:del w:id="6621" w:author="Master Repository Process" w:date="2022-05-27T14:27:00Z"/>
        </w:rPr>
      </w:pPr>
    </w:p>
    <w:p>
      <w:pPr>
        <w:pStyle w:val="nzSubsection"/>
        <w:rPr>
          <w:del w:id="6622" w:author="Master Repository Process" w:date="2022-05-27T14:27:00Z"/>
        </w:rPr>
      </w:pPr>
      <w:del w:id="6623" w:author="Master Repository Process" w:date="2022-05-27T14:27:00Z">
        <w:r>
          <w:tab/>
        </w:r>
        <w:r>
          <w:tab/>
        </w:r>
        <w:r>
          <w:rPr>
            <w:i/>
            <w:snapToGrid w:val="0"/>
          </w:rPr>
          <w:delText>Aquatic Resources Management Act 2016</w:delText>
        </w:r>
      </w:del>
    </w:p>
    <w:p>
      <w:pPr>
        <w:pStyle w:val="BlankClose"/>
        <w:rPr>
          <w:del w:id="6624" w:author="Master Repository Process" w:date="2022-05-27T14:27:00Z"/>
        </w:rPr>
      </w:pPr>
    </w:p>
    <w:p>
      <w:pPr>
        <w:pStyle w:val="THeading"/>
        <w:rPr>
          <w:del w:id="6625" w:author="Master Repository Process" w:date="2022-05-27T14:27:00Z"/>
        </w:rPr>
      </w:pPr>
      <w:del w:id="6626" w:author="Master Repository Process" w:date="2022-05-27T14:27: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6627" w:author="Master Repository Process" w:date="2022-05-27T14:27:00Z"/>
        </w:trPr>
        <w:tc>
          <w:tcPr>
            <w:tcW w:w="3402" w:type="dxa"/>
          </w:tcPr>
          <w:p>
            <w:pPr>
              <w:pStyle w:val="TableAm"/>
              <w:rPr>
                <w:del w:id="6628" w:author="Master Repository Process" w:date="2022-05-27T14:27:00Z"/>
                <w:iCs/>
              </w:rPr>
            </w:pPr>
            <w:del w:id="6629" w:author="Master Repository Process" w:date="2022-05-27T14:27:00Z">
              <w:r>
                <w:rPr>
                  <w:i/>
                  <w:iCs/>
                </w:rPr>
                <w:delText>Duties Act 2008</w:delText>
              </w:r>
            </w:del>
          </w:p>
        </w:tc>
        <w:tc>
          <w:tcPr>
            <w:tcW w:w="3402" w:type="dxa"/>
          </w:tcPr>
          <w:p>
            <w:pPr>
              <w:pStyle w:val="TableAm"/>
              <w:rPr>
                <w:del w:id="6630" w:author="Master Repository Process" w:date="2022-05-27T14:27:00Z"/>
              </w:rPr>
            </w:pPr>
            <w:del w:id="6631" w:author="Master Repository Process" w:date="2022-05-27T14:27:00Z">
              <w:r>
                <w:delText>s. 136</w:delText>
              </w:r>
            </w:del>
          </w:p>
        </w:tc>
      </w:tr>
    </w:tbl>
    <w:p>
      <w:pPr>
        <w:pStyle w:val="PermNoteHeading"/>
        <w:rPr>
          <w:del w:id="6632" w:author="Master Repository Process" w:date="2022-05-27T14:27:00Z"/>
        </w:rPr>
      </w:pPr>
      <w:del w:id="6633" w:author="Master Repository Process" w:date="2022-05-27T14:27:00Z">
        <w:r>
          <w:tab/>
          <w:delText>Note:</w:delText>
        </w:r>
      </w:del>
    </w:p>
    <w:p>
      <w:pPr>
        <w:pStyle w:val="PermNoteText"/>
        <w:rPr>
          <w:del w:id="6634" w:author="Master Repository Process" w:date="2022-05-27T14:27:00Z"/>
        </w:rPr>
      </w:pPr>
      <w:del w:id="6635" w:author="Master Repository Process" w:date="2022-05-27T14:27:00Z">
        <w:r>
          <w:tab/>
        </w:r>
        <w:r>
          <w:tab/>
          <w:delText xml:space="preserve">In the </w:delText>
        </w:r>
        <w:r>
          <w:rPr>
            <w:i/>
          </w:rPr>
          <w:delText>Duties Act 2008</w:delText>
        </w:r>
        <w:r>
          <w:delText>, the heading to amended section 136 is to read:</w:delText>
        </w:r>
      </w:del>
    </w:p>
    <w:p>
      <w:pPr>
        <w:pStyle w:val="PermNoteText"/>
        <w:rPr>
          <w:del w:id="6636" w:author="Master Repository Process" w:date="2022-05-27T14:27:00Z"/>
        </w:rPr>
      </w:pPr>
      <w:del w:id="6637" w:author="Master Repository Process" w:date="2022-05-27T14:27:00Z">
        <w:r>
          <w:tab/>
        </w:r>
        <w:r>
          <w:tab/>
        </w:r>
        <w:r>
          <w:rPr>
            <w:b/>
          </w:rPr>
          <w:delText xml:space="preserve">Business licences held under </w:delText>
        </w:r>
        <w:r>
          <w:rPr>
            <w:b/>
            <w:i/>
          </w:rPr>
          <w:delText>Aquatic Resources Management Act 2016</w:delText>
        </w:r>
      </w:del>
    </w:p>
    <w:p>
      <w:pPr>
        <w:pStyle w:val="BlankClose"/>
        <w:rPr>
          <w:del w:id="6638" w:author="Master Repository Process" w:date="2022-05-27T14:27:00Z"/>
        </w:rPr>
      </w:pPr>
    </w:p>
    <w:p>
      <w:pPr>
        <w:pStyle w:val="nSubsection"/>
        <w:rPr>
          <w:del w:id="6639" w:author="Master Repository Process" w:date="2022-05-27T14:27:00Z"/>
        </w:rPr>
      </w:pPr>
      <w:del w:id="6640" w:author="Master Repository Process" w:date="2022-05-27T14:27:00Z">
        <w:r>
          <w:rPr>
            <w:vertAlign w:val="superscript"/>
          </w:rPr>
          <w:delText>10</w:delText>
        </w:r>
        <w:r>
          <w:tab/>
          <w:delText>Footnote no longer applicable.</w:delText>
        </w:r>
      </w:del>
    </w:p>
    <w:p>
      <w:pPr>
        <w:pStyle w:val="nSubsection"/>
        <w:rPr>
          <w:del w:id="6641" w:author="Master Repository Process" w:date="2022-05-27T14:27:00Z"/>
        </w:rPr>
      </w:pPr>
      <w:del w:id="6642" w:author="Master Repository Process" w:date="2022-05-27T14:27:00Z">
        <w:r>
          <w:rPr>
            <w:vertAlign w:val="superscript"/>
          </w:rPr>
          <w:delText>11</w:delText>
        </w:r>
        <w:r>
          <w:tab/>
          <w:delText xml:space="preserve">On the date as at which this compilation was prepared, the </w:delText>
        </w:r>
        <w:r>
          <w:rPr>
            <w:i/>
          </w:rPr>
          <w:delText>Strata Titles</w:delText>
        </w:r>
      </w:del>
      <w:ins w:id="6643" w:author="Master Repository Process" w:date="2022-05-27T14:27:00Z">
        <w:r>
          <w:rPr>
            <w:snapToGrid w:val="0"/>
          </w:rPr>
          <w:t xml:space="preserve"> on </w:t>
        </w:r>
        <w:bookmarkEnd w:id="6612"/>
        <w:r>
          <w:rPr>
            <w:snapToGrid w:val="0"/>
          </w:rPr>
          <w:t xml:space="preserve">13 Jun 2019 (see the </w:t>
        </w:r>
        <w:r>
          <w:rPr>
            <w:i/>
            <w:snapToGrid w:val="0"/>
          </w:rPr>
          <w:t>Duties</w:t>
        </w:r>
      </w:ins>
      <w:r>
        <w:rPr>
          <w:i/>
          <w:snapToGrid w:val="0"/>
        </w:rPr>
        <w:t xml:space="preserve"> Amendment</w:t>
      </w:r>
      <w:del w:id="6644" w:author="Master Repository Process" w:date="2022-05-27T14:27:00Z">
        <w:r>
          <w:rPr>
            <w:i/>
          </w:rPr>
          <w:delText> Act 2018</w:delText>
        </w:r>
        <w:r>
          <w:delText xml:space="preserve"> Pt. 3 Div. 5 had not come into operation.  It reads as follows:</w:delText>
        </w:r>
      </w:del>
    </w:p>
    <w:p>
      <w:pPr>
        <w:pStyle w:val="BlankOpen"/>
        <w:rPr>
          <w:del w:id="6645" w:author="Master Repository Process" w:date="2022-05-27T14:27:00Z"/>
        </w:rPr>
      </w:pPr>
    </w:p>
    <w:p>
      <w:pPr>
        <w:pStyle w:val="nzHeading2"/>
        <w:rPr>
          <w:del w:id="6646" w:author="Master Repository Process" w:date="2022-05-27T14:27:00Z"/>
        </w:rPr>
      </w:pPr>
      <w:bookmarkStart w:id="6647" w:name="_Toc517437878"/>
      <w:bookmarkStart w:id="6648" w:name="_Toc517438420"/>
      <w:bookmarkStart w:id="6649" w:name="_Toc517440757"/>
      <w:bookmarkStart w:id="6650" w:name="_Toc517447794"/>
      <w:bookmarkStart w:id="6651" w:name="_Toc517450272"/>
      <w:bookmarkStart w:id="6652" w:name="_Toc517450814"/>
      <w:bookmarkStart w:id="6653" w:name="_Toc517857270"/>
      <w:bookmarkStart w:id="6654" w:name="_Toc518293397"/>
      <w:bookmarkStart w:id="6655" w:name="_Toc522744625"/>
      <w:bookmarkStart w:id="6656" w:name="_Toc522747748"/>
      <w:bookmarkStart w:id="6657" w:name="_Toc529183586"/>
      <w:bookmarkStart w:id="6658" w:name="_Toc529188349"/>
      <w:bookmarkStart w:id="6659" w:name="_Toc529434862"/>
      <w:bookmarkStart w:id="6660" w:name="_Toc529524753"/>
      <w:bookmarkStart w:id="6661" w:name="_Toc530474677"/>
      <w:bookmarkStart w:id="6662" w:name="_Toc530475272"/>
      <w:bookmarkStart w:id="6663" w:name="_Toc517437893"/>
      <w:bookmarkStart w:id="6664" w:name="_Toc517438435"/>
      <w:bookmarkStart w:id="6665" w:name="_Toc517440772"/>
      <w:bookmarkStart w:id="6666" w:name="_Toc517447809"/>
      <w:bookmarkStart w:id="6667" w:name="_Toc517450287"/>
      <w:bookmarkStart w:id="6668" w:name="_Toc517450829"/>
      <w:bookmarkStart w:id="6669" w:name="_Toc517857285"/>
      <w:bookmarkStart w:id="6670" w:name="_Toc518293412"/>
      <w:bookmarkStart w:id="6671" w:name="_Toc522744640"/>
      <w:bookmarkStart w:id="6672" w:name="_Toc522747763"/>
      <w:bookmarkStart w:id="6673" w:name="_Toc529183601"/>
      <w:bookmarkStart w:id="6674" w:name="_Toc529188364"/>
      <w:bookmarkStart w:id="6675" w:name="_Toc529434877"/>
      <w:bookmarkStart w:id="6676" w:name="_Toc529524768"/>
      <w:bookmarkStart w:id="6677" w:name="_Toc530474692"/>
      <w:bookmarkStart w:id="6678" w:name="_Toc530475287"/>
      <w:del w:id="6679" w:author="Master Repository Process" w:date="2022-05-27T14:27:00Z">
        <w:r>
          <w:rPr>
            <w:rStyle w:val="CharPartNo"/>
          </w:rPr>
          <w:delText>Part 3</w:delText>
        </w:r>
        <w:r>
          <w:delText> — </w:delText>
        </w:r>
        <w:r>
          <w:rPr>
            <w:rStyle w:val="CharPartText"/>
          </w:rPr>
          <w:delText>Other Acts amended</w:delText>
        </w:r>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del>
    </w:p>
    <w:p>
      <w:pPr>
        <w:pStyle w:val="nzHeading3"/>
        <w:rPr>
          <w:del w:id="6680" w:author="Master Repository Process" w:date="2022-05-27T14:27:00Z"/>
        </w:rPr>
      </w:pPr>
      <w:del w:id="6681" w:author="Master Repository Process" w:date="2022-05-27T14:27:00Z">
        <w:r>
          <w:rPr>
            <w:rStyle w:val="CharDivNo"/>
          </w:rPr>
          <w:delText>Division 5</w:delText>
        </w:r>
        <w:r>
          <w:delText> — </w:delText>
        </w:r>
        <w:r>
          <w:rPr>
            <w:rStyle w:val="CharDivText"/>
            <w:i/>
          </w:rPr>
          <w:delText>Duties Act 2008</w:delText>
        </w:r>
        <w:r>
          <w:rPr>
            <w:rStyle w:val="CharDivText"/>
          </w:rPr>
          <w:delText xml:space="preserve"> amended</w:delText>
        </w:r>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del>
    </w:p>
    <w:p>
      <w:pPr>
        <w:pStyle w:val="nzHeading5"/>
        <w:rPr>
          <w:del w:id="6682" w:author="Master Repository Process" w:date="2022-05-27T14:27:00Z"/>
          <w:snapToGrid w:val="0"/>
        </w:rPr>
      </w:pPr>
      <w:bookmarkStart w:id="6683" w:name="_Toc530474693"/>
      <w:bookmarkStart w:id="6684" w:name="_Toc530475288"/>
      <w:del w:id="6685" w:author="Master Repository Process" w:date="2022-05-27T14:27:00Z">
        <w:r>
          <w:rPr>
            <w:rStyle w:val="CharSectno"/>
          </w:rPr>
          <w:delText>130</w:delText>
        </w:r>
        <w:r>
          <w:rPr>
            <w:snapToGrid w:val="0"/>
          </w:rPr>
          <w:delText>.</w:delText>
        </w:r>
        <w:r>
          <w:rPr>
            <w:snapToGrid w:val="0"/>
          </w:rPr>
          <w:tab/>
          <w:delText>Act amended</w:delText>
        </w:r>
        <w:bookmarkEnd w:id="6683"/>
        <w:bookmarkEnd w:id="6684"/>
      </w:del>
    </w:p>
    <w:p>
      <w:pPr>
        <w:pStyle w:val="nzSubsection"/>
        <w:rPr>
          <w:del w:id="6686" w:author="Master Repository Process" w:date="2022-05-27T14:27:00Z"/>
        </w:rPr>
      </w:pPr>
      <w:del w:id="6687" w:author="Master Repository Process" w:date="2022-05-27T14:27:00Z">
        <w:r>
          <w:tab/>
        </w:r>
        <w:r>
          <w:tab/>
          <w:delText xml:space="preserve">This Division amends the </w:delText>
        </w:r>
        <w:r>
          <w:rPr>
            <w:i/>
          </w:rPr>
          <w:delText>Duties Act 2008</w:delText>
        </w:r>
        <w:r>
          <w:delText>.</w:delText>
        </w:r>
      </w:del>
    </w:p>
    <w:p>
      <w:pPr>
        <w:pStyle w:val="nzHeading5"/>
        <w:rPr>
          <w:del w:id="6688" w:author="Master Repository Process" w:date="2022-05-27T14:27:00Z"/>
        </w:rPr>
      </w:pPr>
      <w:bookmarkStart w:id="6689" w:name="_Toc530474694"/>
      <w:bookmarkStart w:id="6690" w:name="_Toc530475289"/>
      <w:del w:id="6691" w:author="Master Repository Process" w:date="2022-05-27T14:27:00Z">
        <w:r>
          <w:rPr>
            <w:rStyle w:val="CharSectno"/>
          </w:rPr>
          <w:delText>131</w:delText>
        </w:r>
        <w:r>
          <w:delText>.</w:delText>
        </w:r>
        <w:r>
          <w:tab/>
          <w:delText>Section 3 amended</w:delText>
        </w:r>
        <w:bookmarkEnd w:id="6689"/>
        <w:bookmarkEnd w:id="6690"/>
      </w:del>
    </w:p>
    <w:p>
      <w:pPr>
        <w:pStyle w:val="nzSubsection"/>
        <w:rPr>
          <w:del w:id="6692" w:author="Master Repository Process" w:date="2022-05-27T14:27:00Z"/>
        </w:rPr>
      </w:pPr>
      <w:del w:id="6693" w:author="Master Repository Process" w:date="2022-05-27T14:27:00Z">
        <w:r>
          <w:tab/>
        </w:r>
        <w:r>
          <w:tab/>
          <w:delText>In section 3 insert in alphabetical order:</w:delText>
        </w:r>
      </w:del>
    </w:p>
    <w:p>
      <w:pPr>
        <w:pStyle w:val="BlankOpen"/>
        <w:rPr>
          <w:del w:id="6694" w:author="Master Repository Process" w:date="2022-05-27T14:27:00Z"/>
        </w:rPr>
      </w:pPr>
    </w:p>
    <w:p>
      <w:pPr>
        <w:pStyle w:val="nzDefstart"/>
        <w:rPr>
          <w:del w:id="6695" w:author="Master Repository Process" w:date="2022-05-27T14:27:00Z"/>
        </w:rPr>
      </w:pPr>
      <w:del w:id="6696" w:author="Master Repository Process" w:date="2022-05-27T14:27:00Z">
        <w:r>
          <w:tab/>
        </w:r>
        <w:r>
          <w:rPr>
            <w:rStyle w:val="CharDefText"/>
          </w:rPr>
          <w:delText>lease</w:delText>
        </w:r>
        <w:r>
          <w:delText xml:space="preserve"> does not include a strata lease;</w:delText>
        </w:r>
      </w:del>
    </w:p>
    <w:p>
      <w:pPr>
        <w:pStyle w:val="nzDefstart"/>
        <w:rPr>
          <w:del w:id="6697" w:author="Master Repository Process" w:date="2022-05-27T14:27:00Z"/>
        </w:rPr>
      </w:pPr>
      <w:del w:id="6698" w:author="Master Repository Process" w:date="2022-05-27T14:27:00Z">
        <w:r>
          <w:tab/>
        </w:r>
        <w:r>
          <w:rPr>
            <w:rStyle w:val="CharDefText"/>
          </w:rPr>
          <w:delText>strata lease</w:delText>
        </w:r>
        <w:r>
          <w:delText xml:space="preserve"> has the meaning given in the </w:delText>
        </w:r>
        <w:r>
          <w:rPr>
            <w:i/>
          </w:rPr>
          <w:delText xml:space="preserve">Strata Titles Act 1985 </w:delText>
        </w:r>
        <w:r>
          <w:delText>section 3(1);</w:delText>
        </w:r>
      </w:del>
    </w:p>
    <w:p>
      <w:pPr>
        <w:pStyle w:val="BlankClose"/>
        <w:rPr>
          <w:del w:id="6699" w:author="Master Repository Process" w:date="2022-05-27T14:27:00Z"/>
        </w:rPr>
      </w:pPr>
    </w:p>
    <w:p>
      <w:pPr>
        <w:pStyle w:val="nzHeading5"/>
        <w:rPr>
          <w:del w:id="6700" w:author="Master Repository Process" w:date="2022-05-27T14:27:00Z"/>
        </w:rPr>
      </w:pPr>
      <w:bookmarkStart w:id="6701" w:name="_Toc530474695"/>
      <w:bookmarkStart w:id="6702" w:name="_Toc530475290"/>
      <w:del w:id="6703" w:author="Master Repository Process" w:date="2022-05-27T14:27:00Z">
        <w:r>
          <w:rPr>
            <w:rStyle w:val="CharSectno"/>
          </w:rPr>
          <w:delText>132</w:delText>
        </w:r>
        <w:r>
          <w:delText>.</w:delText>
        </w:r>
        <w:r>
          <w:tab/>
          <w:delText>Section 17 amended</w:delText>
        </w:r>
        <w:bookmarkEnd w:id="6701"/>
        <w:bookmarkEnd w:id="6702"/>
      </w:del>
    </w:p>
    <w:p>
      <w:pPr>
        <w:pStyle w:val="nzSubsection"/>
        <w:rPr>
          <w:del w:id="6704" w:author="Master Repository Process" w:date="2022-05-27T14:27:00Z"/>
        </w:rPr>
      </w:pPr>
      <w:del w:id="6705" w:author="Master Repository Process" w:date="2022-05-27T14:27:00Z">
        <w:r>
          <w:tab/>
          <w:delText>(1)</w:delText>
        </w:r>
        <w:r>
          <w:tab/>
          <w:delText>Before section 17(2)(b) insert:</w:delText>
        </w:r>
      </w:del>
    </w:p>
    <w:p>
      <w:pPr>
        <w:pStyle w:val="BlankOpen"/>
        <w:rPr>
          <w:del w:id="6706" w:author="Master Repository Process" w:date="2022-05-27T14:27:00Z"/>
        </w:rPr>
      </w:pPr>
    </w:p>
    <w:p>
      <w:pPr>
        <w:pStyle w:val="nzIndenta"/>
        <w:rPr>
          <w:del w:id="6707" w:author="Master Repository Process" w:date="2022-05-27T14:27:00Z"/>
        </w:rPr>
      </w:pPr>
      <w:del w:id="6708" w:author="Master Repository Process" w:date="2022-05-27T14:27:00Z">
        <w:r>
          <w:tab/>
          <w:delText>(ac)</w:delText>
        </w:r>
        <w:r>
          <w:tab/>
          <w:delText xml:space="preserve">an estate in land created as a strata lot in a freehold or a leasehold scheme on the registration of the strata titles scheme or an amendment of the strata titles scheme under the </w:delText>
        </w:r>
        <w:r>
          <w:rPr>
            <w:i/>
          </w:rPr>
          <w:delText>Strata Titles Act 1985</w:delText>
        </w:r>
        <w:r>
          <w:delText>;</w:delText>
        </w:r>
      </w:del>
    </w:p>
    <w:p>
      <w:pPr>
        <w:pStyle w:val="nzPermNoteHeading"/>
        <w:rPr>
          <w:del w:id="6709" w:author="Master Repository Process" w:date="2022-05-27T14:27:00Z"/>
        </w:rPr>
      </w:pPr>
      <w:del w:id="6710" w:author="Master Repository Process" w:date="2022-05-27T14:27:00Z">
        <w:r>
          <w:tab/>
          <w:delText>Note for this paragraph:</w:delText>
        </w:r>
      </w:del>
    </w:p>
    <w:p>
      <w:pPr>
        <w:pStyle w:val="nzPermNoteText"/>
        <w:rPr>
          <w:del w:id="6711" w:author="Master Repository Process" w:date="2022-05-27T14:27:00Z"/>
        </w:rPr>
      </w:pPr>
      <w:del w:id="6712" w:author="Master Repository Process" w:date="2022-05-27T14:27:00Z">
        <w:r>
          <w:tab/>
        </w:r>
        <w:r>
          <w:tab/>
          <w:delText>Common property created on the registration or amendment of a strata titles scheme is also not new dutiable property.</w:delText>
        </w:r>
      </w:del>
    </w:p>
    <w:p>
      <w:pPr>
        <w:pStyle w:val="nzIndenta"/>
        <w:rPr>
          <w:del w:id="6713" w:author="Master Repository Process" w:date="2022-05-27T14:27:00Z"/>
        </w:rPr>
      </w:pPr>
      <w:del w:id="6714" w:author="Master Repository Process" w:date="2022-05-27T14:27:00Z">
        <w:r>
          <w:tab/>
          <w:delText>(ad)</w:delText>
        </w:r>
        <w:r>
          <w:tab/>
          <w:delText xml:space="preserve">an estate in land created on termination of a strata titles scheme under the </w:delText>
        </w:r>
        <w:r>
          <w:rPr>
            <w:i/>
          </w:rPr>
          <w:delText>Strata Titles Act 1985</w:delText>
        </w:r>
        <w:r>
          <w:delText>;</w:delText>
        </w:r>
      </w:del>
    </w:p>
    <w:p>
      <w:pPr>
        <w:pStyle w:val="BlankClose"/>
        <w:rPr>
          <w:del w:id="6715" w:author="Master Repository Process" w:date="2022-05-27T14:27:00Z"/>
        </w:rPr>
      </w:pPr>
    </w:p>
    <w:p>
      <w:pPr>
        <w:pStyle w:val="nzSubsection"/>
        <w:rPr>
          <w:del w:id="6716" w:author="Master Repository Process" w:date="2022-05-27T14:27:00Z"/>
        </w:rPr>
      </w:pPr>
      <w:del w:id="6717" w:author="Master Repository Process" w:date="2022-05-27T14:27:00Z">
        <w:r>
          <w:tab/>
          <w:delText>(2)</w:delText>
        </w:r>
        <w:r>
          <w:tab/>
          <w:delText>After section 17(2) insert:</w:delText>
        </w:r>
      </w:del>
    </w:p>
    <w:p>
      <w:pPr>
        <w:pStyle w:val="BlankOpen"/>
        <w:rPr>
          <w:del w:id="6718" w:author="Master Repository Process" w:date="2022-05-27T14:27:00Z"/>
        </w:rPr>
      </w:pPr>
    </w:p>
    <w:p>
      <w:pPr>
        <w:pStyle w:val="nzSubsection"/>
        <w:rPr>
          <w:del w:id="6719" w:author="Master Repository Process" w:date="2022-05-27T14:27:00Z"/>
        </w:rPr>
      </w:pPr>
      <w:del w:id="6720" w:author="Master Repository Process" w:date="2022-05-27T14:27:00Z">
        <w:r>
          <w:tab/>
          <w:delText>(3)</w:delText>
        </w:r>
        <w:r>
          <w:tab/>
          <w:delText xml:space="preserve">Without limiting section 11(1)(f), new dutiable property that is land in Western Australia includes an extension of the term of a strata lease for a lot in a leasehold scheme by the postponement of the expiry day for the scheme as referred to in the </w:delText>
        </w:r>
        <w:r>
          <w:rPr>
            <w:i/>
          </w:rPr>
          <w:delText>Strata Titles Act 1985</w:delText>
        </w:r>
        <w:r>
          <w:delText xml:space="preserve"> section 50(3).</w:delText>
        </w:r>
      </w:del>
    </w:p>
    <w:p>
      <w:pPr>
        <w:pStyle w:val="BlankClose"/>
        <w:rPr>
          <w:del w:id="6721" w:author="Master Repository Process" w:date="2022-05-27T14:27:00Z"/>
        </w:rPr>
      </w:pPr>
    </w:p>
    <w:p>
      <w:pPr>
        <w:pStyle w:val="nzHeading5"/>
        <w:rPr>
          <w:del w:id="6722" w:author="Master Repository Process" w:date="2022-05-27T14:27:00Z"/>
        </w:rPr>
      </w:pPr>
      <w:bookmarkStart w:id="6723" w:name="_Toc530474696"/>
      <w:bookmarkStart w:id="6724" w:name="_Toc530475291"/>
      <w:del w:id="6725" w:author="Master Repository Process" w:date="2022-05-27T14:27:00Z">
        <w:r>
          <w:rPr>
            <w:rStyle w:val="CharSectno"/>
          </w:rPr>
          <w:delText>133</w:delText>
        </w:r>
        <w:r>
          <w:delText>.</w:delText>
        </w:r>
        <w:r>
          <w:tab/>
          <w:delText>Section 18 amended</w:delText>
        </w:r>
        <w:bookmarkEnd w:id="6723"/>
        <w:bookmarkEnd w:id="6724"/>
      </w:del>
    </w:p>
    <w:p>
      <w:pPr>
        <w:pStyle w:val="nzSubsection"/>
        <w:rPr>
          <w:del w:id="6726" w:author="Master Repository Process" w:date="2022-05-27T14:27:00Z"/>
        </w:rPr>
      </w:pPr>
      <w:del w:id="6727" w:author="Master Repository Process" w:date="2022-05-27T14:27:00Z">
        <w:r>
          <w:tab/>
        </w:r>
        <w:r>
          <w:tab/>
          <w:delText>After section 18</w:delText>
        </w:r>
      </w:del>
      <w:ins w:id="6728" w:author="Master Repository Process" w:date="2022-05-27T14:27:00Z">
        <w:r>
          <w:rPr>
            <w:i/>
            <w:snapToGrid w:val="0"/>
          </w:rPr>
          <w:t xml:space="preserve"> Act 2022</w:t>
        </w:r>
        <w:r>
          <w:rPr>
            <w:snapToGrid w:val="0"/>
          </w:rPr>
          <w:t xml:space="preserve"> s. 2</w:t>
        </w:r>
      </w:ins>
      <w:r>
        <w:rPr>
          <w:snapToGrid w:val="0"/>
        </w:rPr>
        <w:t xml:space="preserve">(c) </w:t>
      </w:r>
      <w:del w:id="6729" w:author="Master Repository Process" w:date="2022-05-27T14:27:00Z">
        <w:r>
          <w:delText>insert:</w:delText>
        </w:r>
      </w:del>
    </w:p>
    <w:p>
      <w:pPr>
        <w:pStyle w:val="BlankOpen"/>
        <w:rPr>
          <w:del w:id="6730" w:author="Master Repository Process" w:date="2022-05-27T14:27:00Z"/>
        </w:rPr>
      </w:pPr>
    </w:p>
    <w:p>
      <w:pPr>
        <w:pStyle w:val="nzIndenta"/>
        <w:rPr>
          <w:del w:id="6731" w:author="Master Repository Process" w:date="2022-05-27T14:27:00Z"/>
        </w:rPr>
      </w:pPr>
      <w:del w:id="6732" w:author="Master Repository Process" w:date="2022-05-27T14:27:00Z">
        <w:r>
          <w:tab/>
          <w:delText>(ca)</w:delText>
        </w:r>
        <w:r>
          <w:tab/>
          <w:delText>a strata lease;</w:delText>
        </w:r>
      </w:del>
    </w:p>
    <w:p>
      <w:pPr>
        <w:pStyle w:val="BlankClose"/>
        <w:rPr>
          <w:del w:id="6733" w:author="Master Repository Process" w:date="2022-05-27T14:27:00Z"/>
        </w:rPr>
      </w:pPr>
    </w:p>
    <w:p>
      <w:pPr>
        <w:pStyle w:val="nzHeading5"/>
        <w:rPr>
          <w:del w:id="6734" w:author="Master Repository Process" w:date="2022-05-27T14:27:00Z"/>
        </w:rPr>
      </w:pPr>
      <w:bookmarkStart w:id="6735" w:name="_Toc530474697"/>
      <w:bookmarkStart w:id="6736" w:name="_Toc530475292"/>
      <w:del w:id="6737" w:author="Master Repository Process" w:date="2022-05-27T14:27:00Z">
        <w:r>
          <w:rPr>
            <w:rStyle w:val="CharSectno"/>
          </w:rPr>
          <w:delText>134</w:delText>
        </w:r>
        <w:r>
          <w:delText>.</w:delText>
        </w:r>
        <w:r>
          <w:tab/>
          <w:delText>Section 87 amended</w:delText>
        </w:r>
        <w:bookmarkEnd w:id="6735"/>
        <w:bookmarkEnd w:id="6736"/>
      </w:del>
    </w:p>
    <w:p>
      <w:pPr>
        <w:pStyle w:val="nzSubsection"/>
        <w:rPr>
          <w:del w:id="6738" w:author="Master Repository Process" w:date="2022-05-27T14:27:00Z"/>
        </w:rPr>
      </w:pPr>
      <w:del w:id="6739" w:author="Master Repository Process" w:date="2022-05-27T14:27:00Z">
        <w:r>
          <w:tab/>
        </w:r>
        <w:r>
          <w:tab/>
          <w:delText>In section 87(2)(j)(ii) delete “strata/survey</w:delText>
        </w:r>
        <w:r>
          <w:noBreakHyphen/>
          <w:delText>strata plan” and insert:</w:delText>
        </w:r>
      </w:del>
    </w:p>
    <w:p>
      <w:pPr>
        <w:pStyle w:val="BlankOpen"/>
        <w:rPr>
          <w:del w:id="6740" w:author="Master Repository Process" w:date="2022-05-27T14:27:00Z"/>
        </w:rPr>
      </w:pPr>
    </w:p>
    <w:p>
      <w:pPr>
        <w:pStyle w:val="nzSubsection"/>
        <w:rPr>
          <w:del w:id="6741" w:author="Master Repository Process" w:date="2022-05-27T14:27:00Z"/>
        </w:rPr>
      </w:pPr>
      <w:del w:id="6742" w:author="Master Repository Process" w:date="2022-05-27T14:27:00Z">
        <w:r>
          <w:tab/>
        </w:r>
        <w:r>
          <w:tab/>
          <w:delText>strata titles scheme or an amendment of a strata titles scheme</w:delText>
        </w:r>
      </w:del>
    </w:p>
    <w:p>
      <w:pPr>
        <w:pStyle w:val="BlankClose"/>
        <w:rPr>
          <w:del w:id="6743" w:author="Master Repository Process" w:date="2022-05-27T14:27:00Z"/>
        </w:rPr>
      </w:pPr>
    </w:p>
    <w:p>
      <w:pPr>
        <w:pStyle w:val="nzHeading5"/>
        <w:rPr>
          <w:del w:id="6744" w:author="Master Repository Process" w:date="2022-05-27T14:27:00Z"/>
        </w:rPr>
      </w:pPr>
      <w:bookmarkStart w:id="6745" w:name="_Toc530474698"/>
      <w:bookmarkStart w:id="6746" w:name="_Toc530475293"/>
      <w:del w:id="6747" w:author="Master Repository Process" w:date="2022-05-27T14:27:00Z">
        <w:r>
          <w:rPr>
            <w:rStyle w:val="CharSectno"/>
          </w:rPr>
          <w:delText>135</w:delText>
        </w:r>
        <w:r>
          <w:delText>.</w:delText>
        </w:r>
        <w:r>
          <w:tab/>
          <w:delText>Section 90 amended</w:delText>
        </w:r>
        <w:bookmarkEnd w:id="6745"/>
        <w:bookmarkEnd w:id="6746"/>
      </w:del>
    </w:p>
    <w:p>
      <w:pPr>
        <w:pStyle w:val="nzSubsection"/>
        <w:rPr>
          <w:del w:id="6748" w:author="Master Repository Process" w:date="2022-05-27T14:27:00Z"/>
        </w:rPr>
      </w:pPr>
      <w:del w:id="6749" w:author="Master Repository Process" w:date="2022-05-27T14:27:00Z">
        <w:r>
          <w:tab/>
          <w:delText>(1)</w:delText>
        </w:r>
        <w:r>
          <w:tab/>
          <w:delText>In section 90(b)(i) delete “strata lot; and” and insert:</w:delText>
        </w:r>
      </w:del>
    </w:p>
    <w:p>
      <w:pPr>
        <w:pStyle w:val="BlankOpen"/>
        <w:rPr>
          <w:del w:id="6750" w:author="Master Repository Process" w:date="2022-05-27T14:27:00Z"/>
        </w:rPr>
      </w:pPr>
    </w:p>
    <w:p>
      <w:pPr>
        <w:pStyle w:val="nzIndenta"/>
        <w:rPr>
          <w:del w:id="6751" w:author="Master Repository Process" w:date="2022-05-27T14:27:00Z"/>
        </w:rPr>
      </w:pPr>
      <w:del w:id="6752" w:author="Master Repository Process" w:date="2022-05-27T14:27:00Z">
        <w:r>
          <w:tab/>
        </w:r>
        <w:r>
          <w:tab/>
          <w:delText xml:space="preserve">lot in a strata scheme (within the meaning of the </w:delText>
        </w:r>
        <w:r>
          <w:rPr>
            <w:i/>
          </w:rPr>
          <w:delText>Strata Titles Act 1985</w:delText>
        </w:r>
        <w:r>
          <w:delText>); and</w:delText>
        </w:r>
      </w:del>
    </w:p>
    <w:p>
      <w:pPr>
        <w:pStyle w:val="BlankClose"/>
        <w:keepNext/>
        <w:rPr>
          <w:del w:id="6753" w:author="Master Repository Process" w:date="2022-05-27T14:27:00Z"/>
        </w:rPr>
      </w:pPr>
    </w:p>
    <w:p>
      <w:pPr>
        <w:pStyle w:val="nzSubsection"/>
        <w:rPr>
          <w:del w:id="6754" w:author="Master Repository Process" w:date="2022-05-27T14:27:00Z"/>
        </w:rPr>
      </w:pPr>
      <w:del w:id="6755" w:author="Master Repository Process" w:date="2022-05-27T14:27:00Z">
        <w:r>
          <w:tab/>
          <w:delText>(2)</w:delText>
        </w:r>
        <w:r>
          <w:tab/>
          <w:delText>In section 90(b)(ii) delete “strata”.</w:delText>
        </w:r>
      </w:del>
    </w:p>
    <w:p>
      <w:pPr>
        <w:pStyle w:val="nzHeading5"/>
        <w:rPr>
          <w:del w:id="6756" w:author="Master Repository Process" w:date="2022-05-27T14:27:00Z"/>
        </w:rPr>
      </w:pPr>
      <w:bookmarkStart w:id="6757" w:name="_Toc530474699"/>
      <w:bookmarkStart w:id="6758" w:name="_Toc530475294"/>
      <w:del w:id="6759" w:author="Master Repository Process" w:date="2022-05-27T14:27:00Z">
        <w:r>
          <w:rPr>
            <w:rStyle w:val="CharSectno"/>
          </w:rPr>
          <w:delText>136</w:delText>
        </w:r>
        <w:r>
          <w:delText>.</w:delText>
        </w:r>
        <w:r>
          <w:tab/>
          <w:delText>Section 112 amended</w:delText>
        </w:r>
        <w:bookmarkEnd w:id="6757"/>
        <w:bookmarkEnd w:id="6758"/>
      </w:del>
    </w:p>
    <w:p>
      <w:pPr>
        <w:pStyle w:val="nzSubsection"/>
        <w:rPr>
          <w:del w:id="6760" w:author="Master Repository Process" w:date="2022-05-27T14:27:00Z"/>
        </w:rPr>
      </w:pPr>
      <w:del w:id="6761" w:author="Master Repository Process" w:date="2022-05-27T14:27:00Z">
        <w:r>
          <w:tab/>
          <w:delText>(1)</w:delText>
        </w:r>
        <w:r>
          <w:tab/>
          <w:delText>In section 112(6):</w:delText>
        </w:r>
      </w:del>
    </w:p>
    <w:p>
      <w:pPr>
        <w:pStyle w:val="nzIndenta"/>
        <w:rPr>
          <w:del w:id="6762" w:author="Master Repository Process" w:date="2022-05-27T14:27:00Z"/>
        </w:rPr>
      </w:pPr>
      <w:del w:id="6763" w:author="Master Repository Process" w:date="2022-05-27T14:27:00Z">
        <w:r>
          <w:tab/>
          <w:delText>(a)</w:delText>
        </w:r>
        <w:r>
          <w:tab/>
          <w:delText>in paragraph (a) delete “section 21I or 21M or an order under section 103P of that Act; or” and insert:</w:delText>
        </w:r>
      </w:del>
    </w:p>
    <w:p>
      <w:pPr>
        <w:pStyle w:val="BlankOpen"/>
        <w:rPr>
          <w:del w:id="6764" w:author="Master Repository Process" w:date="2022-05-27T14:27:00Z"/>
        </w:rPr>
      </w:pPr>
    </w:p>
    <w:p>
      <w:pPr>
        <w:pStyle w:val="nzIndenta"/>
        <w:rPr>
          <w:del w:id="6765" w:author="Master Repository Process" w:date="2022-05-27T14:27:00Z"/>
        </w:rPr>
      </w:pPr>
      <w:del w:id="6766" w:author="Master Repository Process" w:date="2022-05-27T14:27:00Z">
        <w:r>
          <w:tab/>
        </w:r>
        <w:r>
          <w:tab/>
          <w:delText>Schedule 2A clause 21I; or</w:delText>
        </w:r>
      </w:del>
    </w:p>
    <w:p>
      <w:pPr>
        <w:pStyle w:val="BlankClose"/>
        <w:rPr>
          <w:del w:id="6767" w:author="Master Repository Process" w:date="2022-05-27T14:27:00Z"/>
        </w:rPr>
      </w:pPr>
    </w:p>
    <w:p>
      <w:pPr>
        <w:pStyle w:val="nzIndenta"/>
        <w:rPr>
          <w:del w:id="6768" w:author="Master Repository Process" w:date="2022-05-27T14:27:00Z"/>
        </w:rPr>
      </w:pPr>
      <w:del w:id="6769" w:author="Master Repository Process" w:date="2022-05-27T14:27:00Z">
        <w:r>
          <w:tab/>
          <w:delText>(b)</w:delText>
        </w:r>
        <w:r>
          <w:tab/>
          <w:delText>delete paragraphs (b) and (c);</w:delText>
        </w:r>
      </w:del>
    </w:p>
    <w:p>
      <w:pPr>
        <w:pStyle w:val="nzIndenta"/>
        <w:rPr>
          <w:del w:id="6770" w:author="Master Repository Process" w:date="2022-05-27T14:27:00Z"/>
        </w:rPr>
      </w:pPr>
      <w:del w:id="6771" w:author="Master Repository Process" w:date="2022-05-27T14:27:00Z">
        <w:r>
          <w:tab/>
          <w:delText>(c)</w:delText>
        </w:r>
        <w:r>
          <w:tab/>
          <w:delText>in paragraph (d) delete “Part II Division 2A or Part III Division 3,” and insert:</w:delText>
        </w:r>
      </w:del>
    </w:p>
    <w:p>
      <w:pPr>
        <w:pStyle w:val="BlankOpen"/>
        <w:rPr>
          <w:del w:id="6772" w:author="Master Repository Process" w:date="2022-05-27T14:27:00Z"/>
        </w:rPr>
      </w:pPr>
    </w:p>
    <w:p>
      <w:pPr>
        <w:pStyle w:val="nNote"/>
        <w:rPr>
          <w:snapToGrid w:val="0"/>
        </w:rPr>
      </w:pPr>
      <w:del w:id="6773" w:author="Master Repository Process" w:date="2022-05-27T14:27:00Z">
        <w:r>
          <w:tab/>
        </w:r>
        <w:r>
          <w:tab/>
          <w:delText>Schedule 2A Part </w:delText>
        </w:r>
      </w:del>
      <w:ins w:id="6774" w:author="Master Repository Process" w:date="2022-05-27T14:27:00Z">
        <w:r>
          <w:rPr>
            <w:snapToGrid w:val="0"/>
          </w:rPr>
          <w:t xml:space="preserve">and Pt. </w:t>
        </w:r>
      </w:ins>
      <w:r>
        <w:rPr>
          <w:snapToGrid w:val="0"/>
        </w:rPr>
        <w:t>4</w:t>
      </w:r>
      <w:del w:id="6775" w:author="Master Repository Process" w:date="2022-05-27T14:27:00Z">
        <w:r>
          <w:delText xml:space="preserve"> Division 1 or 2,</w:delText>
        </w:r>
      </w:del>
      <w:ins w:id="6776" w:author="Master Repository Process" w:date="2022-05-27T14:27:00Z">
        <w:r>
          <w:rPr>
            <w:snapToGrid w:val="0"/>
          </w:rPr>
          <w:t>).</w:t>
        </w:r>
      </w:ins>
    </w:p>
    <w:bookmarkEnd w:id="6610"/>
    <w:p>
      <w:pPr>
        <w:pStyle w:val="BlankClose"/>
        <w:rPr>
          <w:del w:id="6777" w:author="Master Repository Process" w:date="2022-05-27T14:27:00Z"/>
        </w:rPr>
      </w:pPr>
    </w:p>
    <w:p>
      <w:pPr>
        <w:pStyle w:val="nSubsection"/>
        <w:rPr>
          <w:del w:id="6778" w:author="Master Repository Process" w:date="2022-05-27T14:27:00Z"/>
        </w:rPr>
      </w:pPr>
      <w:del w:id="6779" w:author="Master Repository Process" w:date="2022-05-27T14:27:00Z">
        <w:r>
          <w:rPr>
            <w:vertAlign w:val="superscript"/>
          </w:rPr>
          <w:delText>12</w:delText>
        </w:r>
        <w:r>
          <w:tab/>
          <w:delText xml:space="preserve">On the date as at which this compilation was prepared, the </w:delText>
        </w:r>
        <w:r>
          <w:rPr>
            <w:i/>
          </w:rPr>
          <w:delText>Community Titles Act 2018</w:delText>
        </w:r>
        <w:r>
          <w:delText xml:space="preserve"> Pt. 14 Div. 6 had not come into operation.  It reads as follows:</w:delText>
        </w:r>
      </w:del>
    </w:p>
    <w:p>
      <w:pPr>
        <w:pStyle w:val="BlankOpen"/>
        <w:rPr>
          <w:del w:id="6780" w:author="Master Repository Process" w:date="2022-05-27T14:27:00Z"/>
        </w:rPr>
      </w:pPr>
    </w:p>
    <w:p>
      <w:pPr>
        <w:pStyle w:val="nzHeading2"/>
        <w:rPr>
          <w:del w:id="6781" w:author="Master Repository Process" w:date="2022-05-27T14:27:00Z"/>
        </w:rPr>
      </w:pPr>
      <w:bookmarkStart w:id="6782" w:name="_Toc517684206"/>
      <w:bookmarkStart w:id="6783" w:name="_Toc517684547"/>
      <w:bookmarkStart w:id="6784" w:name="_Toc517696497"/>
      <w:bookmarkStart w:id="6785" w:name="_Toc517790969"/>
      <w:bookmarkStart w:id="6786" w:name="_Toc529355691"/>
      <w:bookmarkStart w:id="6787" w:name="_Toc529356368"/>
      <w:bookmarkStart w:id="6788" w:name="_Toc529360169"/>
      <w:bookmarkStart w:id="6789" w:name="_Toc529361409"/>
      <w:bookmarkStart w:id="6790" w:name="_Toc529526534"/>
      <w:bookmarkStart w:id="6791" w:name="_Toc529857039"/>
      <w:bookmarkStart w:id="6792" w:name="_Toc530473550"/>
      <w:bookmarkStart w:id="6793" w:name="_Toc530474909"/>
      <w:bookmarkStart w:id="6794" w:name="_Toc517684224"/>
      <w:bookmarkStart w:id="6795" w:name="_Toc517684565"/>
      <w:bookmarkStart w:id="6796" w:name="_Toc517687564"/>
      <w:bookmarkStart w:id="6797" w:name="_Toc517688796"/>
      <w:bookmarkStart w:id="6798" w:name="_Toc517696515"/>
      <w:bookmarkStart w:id="6799" w:name="_Toc517790987"/>
      <w:bookmarkStart w:id="6800" w:name="_Toc529355709"/>
      <w:bookmarkStart w:id="6801" w:name="_Toc529356386"/>
      <w:bookmarkStart w:id="6802" w:name="_Toc529360187"/>
      <w:bookmarkStart w:id="6803" w:name="_Toc529361427"/>
      <w:bookmarkStart w:id="6804" w:name="_Toc529526552"/>
      <w:bookmarkStart w:id="6805" w:name="_Toc529857057"/>
      <w:bookmarkStart w:id="6806" w:name="_Toc530473568"/>
      <w:bookmarkStart w:id="6807" w:name="_Toc530474927"/>
      <w:del w:id="6808" w:author="Master Repository Process" w:date="2022-05-27T14:27:00Z">
        <w:r>
          <w:rPr>
            <w:rStyle w:val="CharPartNo"/>
          </w:rPr>
          <w:delText>Part 14</w:delText>
        </w:r>
        <w:r>
          <w:delText> — </w:delText>
        </w:r>
        <w:r>
          <w:rPr>
            <w:rStyle w:val="CharPartText"/>
          </w:rPr>
          <w:delText>Other Acts amended</w:delText>
        </w:r>
        <w:bookmarkEnd w:id="6782"/>
        <w:bookmarkEnd w:id="6783"/>
        <w:bookmarkEnd w:id="6784"/>
        <w:bookmarkEnd w:id="6785"/>
        <w:bookmarkEnd w:id="6786"/>
        <w:bookmarkEnd w:id="6787"/>
        <w:bookmarkEnd w:id="6788"/>
        <w:bookmarkEnd w:id="6789"/>
        <w:bookmarkEnd w:id="6790"/>
        <w:bookmarkEnd w:id="6791"/>
        <w:bookmarkEnd w:id="6792"/>
        <w:bookmarkEnd w:id="6793"/>
      </w:del>
    </w:p>
    <w:p>
      <w:pPr>
        <w:pStyle w:val="nzHeading3"/>
        <w:rPr>
          <w:del w:id="6809" w:author="Master Repository Process" w:date="2022-05-27T14:27:00Z"/>
        </w:rPr>
      </w:pPr>
      <w:del w:id="6810" w:author="Master Repository Process" w:date="2022-05-27T14:27:00Z">
        <w:r>
          <w:rPr>
            <w:rStyle w:val="CharDivNo"/>
          </w:rPr>
          <w:delText>Division 6</w:delText>
        </w:r>
        <w:r>
          <w:delText> — </w:delText>
        </w:r>
        <w:r>
          <w:rPr>
            <w:rStyle w:val="CharDivText"/>
            <w:i/>
          </w:rPr>
          <w:delText>Duties Act 2008</w:delText>
        </w:r>
        <w:r>
          <w:rPr>
            <w:rStyle w:val="CharDivText"/>
          </w:rPr>
          <w:delText xml:space="preserve"> amended</w:delText>
        </w:r>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del>
    </w:p>
    <w:p>
      <w:pPr>
        <w:pStyle w:val="nzHeading5"/>
        <w:rPr>
          <w:del w:id="6811" w:author="Master Repository Process" w:date="2022-05-27T14:27:00Z"/>
          <w:snapToGrid w:val="0"/>
        </w:rPr>
      </w:pPr>
      <w:bookmarkStart w:id="6812" w:name="_Toc530473569"/>
      <w:bookmarkStart w:id="6813" w:name="_Toc530474928"/>
      <w:del w:id="6814" w:author="Master Repository Process" w:date="2022-05-27T14:27:00Z">
        <w:r>
          <w:rPr>
            <w:rStyle w:val="CharSectno"/>
          </w:rPr>
          <w:delText>203</w:delText>
        </w:r>
        <w:r>
          <w:rPr>
            <w:snapToGrid w:val="0"/>
          </w:rPr>
          <w:delText>.</w:delText>
        </w:r>
        <w:r>
          <w:rPr>
            <w:snapToGrid w:val="0"/>
          </w:rPr>
          <w:tab/>
          <w:delText>Act amended</w:delText>
        </w:r>
        <w:bookmarkEnd w:id="6812"/>
        <w:bookmarkEnd w:id="6813"/>
      </w:del>
    </w:p>
    <w:p>
      <w:pPr>
        <w:pStyle w:val="nzSubsection"/>
        <w:rPr>
          <w:del w:id="6815" w:author="Master Repository Process" w:date="2022-05-27T14:27:00Z"/>
        </w:rPr>
      </w:pPr>
      <w:del w:id="6816" w:author="Master Repository Process" w:date="2022-05-27T14:27:00Z">
        <w:r>
          <w:tab/>
        </w:r>
        <w:r>
          <w:tab/>
          <w:delText xml:space="preserve">This Division amends the </w:delText>
        </w:r>
        <w:r>
          <w:rPr>
            <w:i/>
          </w:rPr>
          <w:delText>Duties Act 2008</w:delText>
        </w:r>
        <w:r>
          <w:delText>.</w:delText>
        </w:r>
      </w:del>
    </w:p>
    <w:p>
      <w:pPr>
        <w:pStyle w:val="nzHeading5"/>
        <w:rPr>
          <w:del w:id="6817" w:author="Master Repository Process" w:date="2022-05-27T14:27:00Z"/>
        </w:rPr>
      </w:pPr>
      <w:bookmarkStart w:id="6818" w:name="_Toc530473570"/>
      <w:bookmarkStart w:id="6819" w:name="_Toc530474929"/>
      <w:del w:id="6820" w:author="Master Repository Process" w:date="2022-05-27T14:27:00Z">
        <w:r>
          <w:rPr>
            <w:rStyle w:val="CharSectno"/>
          </w:rPr>
          <w:delText>204</w:delText>
        </w:r>
        <w:r>
          <w:delText>.</w:delText>
        </w:r>
        <w:r>
          <w:tab/>
          <w:delText>Section 17 amended</w:delText>
        </w:r>
        <w:bookmarkEnd w:id="6818"/>
        <w:bookmarkEnd w:id="6819"/>
      </w:del>
    </w:p>
    <w:p>
      <w:pPr>
        <w:pStyle w:val="nzSubsection"/>
        <w:rPr>
          <w:del w:id="6821" w:author="Master Repository Process" w:date="2022-05-27T14:27:00Z"/>
        </w:rPr>
      </w:pPr>
      <w:del w:id="6822" w:author="Master Repository Process" w:date="2022-05-27T14:27:00Z">
        <w:r>
          <w:tab/>
        </w:r>
        <w:r>
          <w:tab/>
          <w:delText>After section 17(2)(a) insert:</w:delText>
        </w:r>
      </w:del>
    </w:p>
    <w:p>
      <w:pPr>
        <w:pStyle w:val="BlankOpen"/>
        <w:rPr>
          <w:del w:id="6823" w:author="Master Repository Process" w:date="2022-05-27T14:27:00Z"/>
        </w:rPr>
      </w:pPr>
    </w:p>
    <w:p>
      <w:pPr>
        <w:pStyle w:val="nzIndenta"/>
        <w:rPr>
          <w:del w:id="6824" w:author="Master Repository Process" w:date="2022-05-27T14:27:00Z"/>
        </w:rPr>
      </w:pPr>
      <w:del w:id="6825" w:author="Master Repository Process" w:date="2022-05-27T14:27:00Z">
        <w:r>
          <w:tab/>
          <w:delText>(aa)</w:delText>
        </w:r>
        <w:r>
          <w:tab/>
          <w:delText xml:space="preserve">an estate in land created as a community lot in a community titles scheme on the registration of the community titles scheme or an amendment of the community titles scheme under the </w:delText>
        </w:r>
        <w:r>
          <w:rPr>
            <w:i/>
          </w:rPr>
          <w:delText>Community Titles Act 2018</w:delText>
        </w:r>
        <w:r>
          <w:delText>;</w:delText>
        </w:r>
      </w:del>
    </w:p>
    <w:p>
      <w:pPr>
        <w:pStyle w:val="nzPermNoteHeading"/>
        <w:rPr>
          <w:del w:id="6826" w:author="Master Repository Process" w:date="2022-05-27T14:27:00Z"/>
        </w:rPr>
      </w:pPr>
      <w:del w:id="6827" w:author="Master Repository Process" w:date="2022-05-27T14:27:00Z">
        <w:r>
          <w:tab/>
        </w:r>
        <w:r>
          <w:tab/>
        </w:r>
        <w:r>
          <w:tab/>
          <w:delText>Note for this subparagraph:</w:delText>
        </w:r>
      </w:del>
    </w:p>
    <w:p>
      <w:pPr>
        <w:pStyle w:val="nzPermNoteText"/>
        <w:rPr>
          <w:del w:id="6828" w:author="Master Repository Process" w:date="2022-05-27T14:27:00Z"/>
        </w:rPr>
      </w:pPr>
      <w:del w:id="6829" w:author="Master Repository Process" w:date="2022-05-27T14:27:00Z">
        <w:r>
          <w:tab/>
        </w:r>
        <w:r>
          <w:tab/>
          <w:delText>Common property created on the registration or amendment of a community titles scheme is also not new dutiable property.</w:delText>
        </w:r>
      </w:del>
    </w:p>
    <w:p>
      <w:pPr>
        <w:pStyle w:val="nzIndenta"/>
        <w:rPr>
          <w:del w:id="6830" w:author="Master Repository Process" w:date="2022-05-27T14:27:00Z"/>
        </w:rPr>
      </w:pPr>
      <w:del w:id="6831" w:author="Master Repository Process" w:date="2022-05-27T14:27:00Z">
        <w:r>
          <w:tab/>
          <w:delText>(ab)</w:delText>
        </w:r>
        <w:r>
          <w:tab/>
          <w:delText xml:space="preserve">an estate in land referred to in the </w:delText>
        </w:r>
        <w:r>
          <w:rPr>
            <w:i/>
          </w:rPr>
          <w:delText>Community Titles Act 2018</w:delText>
        </w:r>
        <w:r>
          <w:rPr>
            <w:i/>
            <w:iCs/>
          </w:rPr>
          <w:delText xml:space="preserve"> </w:delText>
        </w:r>
        <w:r>
          <w:delText>section 154(2)(b)(ii), (c)(ii) or (d)(iii) created on termination of a community titles scheme under that Act;</w:delText>
        </w:r>
      </w:del>
    </w:p>
    <w:p>
      <w:pPr>
        <w:pStyle w:val="BlankClose"/>
        <w:rPr>
          <w:del w:id="6832" w:author="Master Repository Process" w:date="2022-05-27T14:27:00Z"/>
        </w:rPr>
      </w:pPr>
    </w:p>
    <w:p>
      <w:pPr>
        <w:pStyle w:val="nzHeading5"/>
        <w:rPr>
          <w:del w:id="6833" w:author="Master Repository Process" w:date="2022-05-27T14:27:00Z"/>
        </w:rPr>
      </w:pPr>
      <w:bookmarkStart w:id="6834" w:name="_Toc530473571"/>
      <w:bookmarkStart w:id="6835" w:name="_Toc530474930"/>
      <w:del w:id="6836" w:author="Master Repository Process" w:date="2022-05-27T14:27:00Z">
        <w:r>
          <w:rPr>
            <w:rStyle w:val="CharSectno"/>
          </w:rPr>
          <w:delText>205</w:delText>
        </w:r>
        <w:r>
          <w:delText>.</w:delText>
        </w:r>
        <w:r>
          <w:tab/>
          <w:delText>Section 87 amended</w:delText>
        </w:r>
        <w:bookmarkEnd w:id="6834"/>
        <w:bookmarkEnd w:id="6835"/>
      </w:del>
    </w:p>
    <w:p>
      <w:pPr>
        <w:pStyle w:val="nzSubsection"/>
        <w:rPr>
          <w:del w:id="6837" w:author="Master Repository Process" w:date="2022-05-27T14:27:00Z"/>
        </w:rPr>
      </w:pPr>
      <w:del w:id="6838" w:author="Master Repository Process" w:date="2022-05-27T14:27:00Z">
        <w:r>
          <w:tab/>
        </w:r>
        <w:r>
          <w:tab/>
          <w:delText>After section 87(2)(j)(i) insert:</w:delText>
        </w:r>
      </w:del>
    </w:p>
    <w:p>
      <w:pPr>
        <w:pStyle w:val="BlankOpen"/>
        <w:rPr>
          <w:del w:id="6839" w:author="Master Repository Process" w:date="2022-05-27T14:27:00Z"/>
        </w:rPr>
      </w:pPr>
    </w:p>
    <w:p>
      <w:pPr>
        <w:pStyle w:val="nzIndenti"/>
        <w:rPr>
          <w:del w:id="6840" w:author="Master Repository Process" w:date="2022-05-27T14:27:00Z"/>
        </w:rPr>
      </w:pPr>
      <w:del w:id="6841" w:author="Master Repository Process" w:date="2022-05-27T14:27:00Z">
        <w:r>
          <w:tab/>
          <w:delText>(ia)</w:delText>
        </w:r>
        <w:r>
          <w:tab/>
          <w:delText xml:space="preserve">the registration of a community titles scheme or an amendment of a community titles scheme under the </w:delText>
        </w:r>
        <w:r>
          <w:rPr>
            <w:i/>
          </w:rPr>
          <w:delText>Community Titles Act 2018</w:delText>
        </w:r>
        <w:r>
          <w:delText>; or</w:delText>
        </w:r>
      </w:del>
    </w:p>
    <w:p>
      <w:pPr>
        <w:pStyle w:val="BlankClose"/>
        <w:rPr>
          <w:del w:id="6842" w:author="Master Repository Process" w:date="2022-05-27T14:27:00Z"/>
        </w:rPr>
      </w:pPr>
    </w:p>
    <w:p>
      <w:pPr>
        <w:pStyle w:val="nzHeading5"/>
        <w:rPr>
          <w:del w:id="6843" w:author="Master Repository Process" w:date="2022-05-27T14:27:00Z"/>
        </w:rPr>
      </w:pPr>
      <w:bookmarkStart w:id="6844" w:name="_Toc530473572"/>
      <w:bookmarkStart w:id="6845" w:name="_Toc530474931"/>
      <w:del w:id="6846" w:author="Master Repository Process" w:date="2022-05-27T14:27:00Z">
        <w:r>
          <w:rPr>
            <w:rStyle w:val="CharSectno"/>
          </w:rPr>
          <w:delText>206</w:delText>
        </w:r>
        <w:r>
          <w:delText>.</w:delText>
        </w:r>
        <w:r>
          <w:tab/>
          <w:delText>Section 90 amended</w:delText>
        </w:r>
        <w:bookmarkEnd w:id="6844"/>
        <w:bookmarkEnd w:id="6845"/>
      </w:del>
    </w:p>
    <w:p>
      <w:pPr>
        <w:pStyle w:val="nzSubsection"/>
        <w:rPr>
          <w:del w:id="6847" w:author="Master Repository Process" w:date="2022-05-27T14:27:00Z"/>
        </w:rPr>
      </w:pPr>
      <w:del w:id="6848" w:author="Master Repository Process" w:date="2022-05-27T14:27:00Z">
        <w:r>
          <w:tab/>
        </w:r>
        <w:r>
          <w:tab/>
          <w:delText>Before section 90(b) insert:</w:delText>
        </w:r>
      </w:del>
    </w:p>
    <w:p>
      <w:pPr>
        <w:pStyle w:val="BlankOpen"/>
        <w:rPr>
          <w:del w:id="6849" w:author="Master Repository Process" w:date="2022-05-27T14:27:00Z"/>
        </w:rPr>
      </w:pPr>
    </w:p>
    <w:p>
      <w:pPr>
        <w:pStyle w:val="nzIndenta"/>
        <w:rPr>
          <w:del w:id="6850" w:author="Master Repository Process" w:date="2022-05-27T14:27:00Z"/>
        </w:rPr>
      </w:pPr>
      <w:del w:id="6851" w:author="Master Repository Process" w:date="2022-05-27T14:27:00Z">
        <w:r>
          <w:tab/>
          <w:delText>(ab)</w:delText>
        </w:r>
        <w:r>
          <w:tab/>
          <w:delText xml:space="preserve">for — </w:delText>
        </w:r>
      </w:del>
    </w:p>
    <w:p>
      <w:pPr>
        <w:pStyle w:val="nzIndenti"/>
        <w:rPr>
          <w:del w:id="6852" w:author="Master Repository Process" w:date="2022-05-27T14:27:00Z"/>
        </w:rPr>
      </w:pPr>
      <w:del w:id="6853" w:author="Master Repository Process" w:date="2022-05-27T14:27:00Z">
        <w:r>
          <w:tab/>
          <w:delText>(i)</w:delText>
        </w:r>
        <w:r>
          <w:tab/>
          <w:delText xml:space="preserve">the sale of a lot in a community titles (building) scheme (within the meaning of the </w:delText>
        </w:r>
        <w:r>
          <w:rPr>
            <w:i/>
          </w:rPr>
          <w:delText>Community Titles Act 2018</w:delText>
        </w:r>
        <w:r>
          <w:delText>); and</w:delText>
        </w:r>
      </w:del>
    </w:p>
    <w:p>
      <w:pPr>
        <w:pStyle w:val="nzIndenti"/>
        <w:rPr>
          <w:del w:id="6854" w:author="Master Repository Process" w:date="2022-05-27T14:27:00Z"/>
        </w:rPr>
      </w:pPr>
      <w:del w:id="6855" w:author="Master Repository Process" w:date="2022-05-27T14:27:00Z">
        <w:r>
          <w:tab/>
          <w:delText>(ii)</w:delText>
        </w:r>
        <w:r>
          <w:tab/>
          <w:delText>the construction on the lot, after liability for duty on the agreement arises, of a building for commercial, residential or mixed use purposes;</w:delText>
        </w:r>
      </w:del>
    </w:p>
    <w:p>
      <w:pPr>
        <w:pStyle w:val="nzIndenta"/>
        <w:rPr>
          <w:del w:id="6856" w:author="Master Repository Process" w:date="2022-05-27T14:27:00Z"/>
        </w:rPr>
      </w:pPr>
      <w:del w:id="6857" w:author="Master Repository Process" w:date="2022-05-27T14:27:00Z">
        <w:r>
          <w:tab/>
        </w:r>
        <w:r>
          <w:tab/>
          <w:delText>or</w:delText>
        </w:r>
      </w:del>
    </w:p>
    <w:p>
      <w:pPr>
        <w:pStyle w:val="BlankClose"/>
        <w:rPr>
          <w:del w:id="6858" w:author="Master Repository Process" w:date="2022-05-27T14:27:00Z"/>
        </w:rPr>
      </w:pPr>
    </w:p>
    <w:p/>
    <w:p>
      <w:pPr>
        <w:sectPr>
          <w:headerReference w:type="even" r:id="rId32"/>
          <w:headerReference w:type="default" r:id="rId33"/>
          <w:pgSz w:w="11907" w:h="16840" w:code="9"/>
          <w:pgMar w:top="2376" w:right="2405" w:bottom="3542" w:left="2405" w:header="706"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Rates of transfer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separate"/>
          </w:r>
          <w:r>
            <w:t>Nominal duty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Duties Act 2008</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859" w:name="Compilation"/>
    <w:bookmarkEnd w:id="6859"/>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860" w:name="Coversheet"/>
    <w:bookmarkEnd w:id="686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283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"Chapter 1</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6019" w:name="Schedule"/>
    <w:bookmarkEnd w:id="601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Duties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Rates of transfer duty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3</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Nominal duty</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64" w:dllVersion="6" w:nlCheck="1" w:checkStyle="1"/>
  <w:activeWritingStyle w:appName="MSWord" w:lang="en-AU" w:vendorID="64" w:dllVersion="5" w:nlCheck="1" w:checkStyle="1"/>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0416155958"/>
    <w:docVar w:name="WAFER_20131218113115" w:val="RemoveTocBookmarks,RemoveUnusedBookmarks,RemoveLanguageTags,UsedStyles,ResetPageSize,UpdateArrangement"/>
    <w:docVar w:name="WAFER_20131218113115_GUID" w:val="d55c374d-c3e6-470b-8af1-a49a812ff5ba"/>
    <w:docVar w:name="WAFER_20140325103122" w:val="RemoveTocBookmarks,RemoveUnusedBookmarks,RemoveLanguageTags,UsedStyles,ResetPageSize,UpdateArrangement"/>
    <w:docVar w:name="WAFER_20140325103122_GUID" w:val="cd25496b-3805-4767-a75d-87ac135718be"/>
    <w:docVar w:name="WAFER_20140527170146" w:val="RemoveTocBookmarks,RemoveUnusedBookmarks,RemoveLanguageTags,UsedStyles,ResetPageSize,UpdateArrangement"/>
    <w:docVar w:name="WAFER_20140527170146_GUID" w:val="569b149c-8581-4042-8c90-b8ab14c0f86c"/>
    <w:docVar w:name="WAFER_20150226172146" w:val="ResetPageSize,UpdateArrangement,UpdateNTable"/>
    <w:docVar w:name="WAFER_20150226172146_GUID" w:val="975d427f-1ce3-49eb-a9ad-4486ad1a7018"/>
    <w:docVar w:name="WAFER_20151002100414" w:val="RemoveTocBookmarks,RemoveUnusedBookmarks,RemoveLanguageTags,RemoveBadVanishTags,RemoveDocumentProtection,RemoveTrackChanges,RemoveCustomizations,ExtractDocX,RunningHeaders"/>
    <w:docVar w:name="WAFER_20151002100414_GUID" w:val="22494d44-1ce7-4fe3-8c3a-84fabfae7914"/>
    <w:docVar w:name="WAFER_20151103102400" w:val="UpdateStyles"/>
    <w:docVar w:name="WAFER_20151103102400_GUID" w:val="0562e29a-8089-4407-8f41-0991bd415a99"/>
    <w:docVar w:name="WAFER_20151103103741" w:val="UsedStyles"/>
    <w:docVar w:name="WAFER_20151103103741_GUID" w:val="73794ea9-0aa2-478a-87b5-8256dd76f439"/>
    <w:docVar w:name="WAFER_20170203152131" w:val="RemoveTocBookmarks,RemoveUnusedBookmarks,RemoveLanguageTags,UpdateStyles,UsedStyles,ResetPageSize"/>
    <w:docVar w:name="WAFER_20170203152131_GUID" w:val="5eaa8ade-72da-4888-aec0-2cfbf7af73bc"/>
    <w:docVar w:name="WAFER_20181120151031" w:val="RemoveTocBookmarks,RemoveUnusedBookmarks,RemoveLanguageTags,UsedStyles,ResetPageSize"/>
    <w:docVar w:name="WAFER_20181120151031_GUID" w:val="862a12b9-6b46-4d68-b47e-2c0372137239"/>
    <w:docVar w:name="WAFER_20190614134952" w:val="RemoveTocBookmarks,RemoveUnusedBookmarks,RemoveLanguageTags,ResetPageSize,RunningHeaders,UpdateStyles,UsedStyles"/>
    <w:docVar w:name="WAFER_20190614134952_GUID" w:val="1bc388d9-46ac-4796-b327-1581e4e02c45"/>
    <w:docVar w:name="WAFER_2020021311084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10844_GUID" w:val="c6e09ab2-19a2-46bd-ae03-d8df75a13f7f"/>
    <w:docVar w:name="WAFER_202004161559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6155958_GUID" w:val="5747c35c-a231-4bbc-8c14-55a0a6d274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A136A44-CBFB-4F23-AA6A-D2E8BE86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Defstart">
    <w:name w:val="nzDefstart"/>
    <w:pPr>
      <w:spacing w:before="40"/>
      <w:ind w:left="1446" w:right="284" w:hanging="879"/>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Indenta">
    <w:name w:val="nzIndent(a)"/>
    <w:basedOn w:val="zIndenta"/>
    <w:pPr>
      <w:spacing w:before="40" w:line="240" w:lineRule="auto"/>
    </w:pPr>
    <w:rPr>
      <w:sz w:val="20"/>
    </w:r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Indenti">
    <w:name w:val="nzIndent(i)"/>
    <w:basedOn w:val="zIndenti"/>
    <w:pPr>
      <w:spacing w:before="40" w:line="240" w:lineRule="auto"/>
    </w:pPr>
    <w:rPr>
      <w:sz w:val="20"/>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200891">
      <w:bodyDiv w:val="1"/>
      <w:marLeft w:val="0"/>
      <w:marRight w:val="0"/>
      <w:marTop w:val="0"/>
      <w:marBottom w:val="0"/>
      <w:divBdr>
        <w:top w:val="none" w:sz="0" w:space="0" w:color="auto"/>
        <w:left w:val="none" w:sz="0" w:space="0" w:color="auto"/>
        <w:bottom w:val="none" w:sz="0" w:space="0" w:color="auto"/>
        <w:right w:val="none" w:sz="0" w:space="0" w:color="auto"/>
      </w:divBdr>
    </w:div>
    <w:div w:id="2021659407">
      <w:bodyDiv w:val="1"/>
      <w:marLeft w:val="0"/>
      <w:marRight w:val="0"/>
      <w:marTop w:val="0"/>
      <w:marBottom w:val="0"/>
      <w:divBdr>
        <w:top w:val="none" w:sz="0" w:space="0" w:color="auto"/>
        <w:left w:val="none" w:sz="0" w:space="0" w:color="auto"/>
        <w:bottom w:val="none" w:sz="0" w:space="0" w:color="auto"/>
        <w:right w:val="none" w:sz="0" w:space="0" w:color="auto"/>
      </w:divBdr>
    </w:div>
    <w:div w:id="210063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footer" Target="footer6.xml"/><Relationship Id="rId39" Type="http://schemas.openxmlformats.org/officeDocument/2006/relationships/footer" Target="footer9.xml"/><Relationship Id="rId21" Type="http://schemas.openxmlformats.org/officeDocument/2006/relationships/header" Target="header4.xml"/><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image" Target="media/image8.pn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eader" Target="header11.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eader" Target="header1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6.xml"/><Relationship Id="rId33" Type="http://schemas.openxmlformats.org/officeDocument/2006/relationships/header" Target="header12.xml"/><Relationship Id="rId38"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5B8EA-3F0F-44C6-B369-19FDA5596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94454</Words>
  <Characters>459051</Characters>
  <Application>Microsoft Office Word</Application>
  <DocSecurity>0</DocSecurity>
  <Lines>12080</Lines>
  <Paragraphs>6589</Paragraphs>
  <ScaleCrop>false</ScaleCrop>
  <HeadingPairs>
    <vt:vector size="2" baseType="variant">
      <vt:variant>
        <vt:lpstr>Title</vt:lpstr>
      </vt:variant>
      <vt:variant>
        <vt:i4>1</vt:i4>
      </vt:variant>
    </vt:vector>
  </HeadingPairs>
  <TitlesOfParts>
    <vt:vector size="1" baseType="lpstr">
      <vt:lpstr>Duties Act 2008</vt:lpstr>
    </vt:vector>
  </TitlesOfParts>
  <Manager/>
  <Company/>
  <LinksUpToDate>false</LinksUpToDate>
  <CharactersWithSpaces>546916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03-g0-02 - 03-h0-04</dc:title>
  <dc:subject/>
  <dc:creator/>
  <cp:keywords/>
  <dc:description/>
  <cp:lastModifiedBy>Master Repository Process</cp:lastModifiedBy>
  <cp:revision>2</cp:revision>
  <cp:lastPrinted>2019-06-17T09:19:00Z</cp:lastPrinted>
  <dcterms:created xsi:type="dcterms:W3CDTF">2022-05-27T06:27:00Z</dcterms:created>
  <dcterms:modified xsi:type="dcterms:W3CDTF">2022-05-27T06:28:00Z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OwlsUID">
    <vt:i4>146657</vt:i4>
  </property>
  <property fmtid="{D5CDD505-2E9C-101B-9397-08002B2CF9AE}" pid="4" name="DocumentType">
    <vt:lpwstr>Act</vt:lpwstr>
  </property>
  <property fmtid="{D5CDD505-2E9C-101B-9397-08002B2CF9AE}" pid="5" name="ReprintedAsAt">
    <vt:filetime>2015-11-12T16:00:00Z</vt:filetime>
  </property>
  <property fmtid="{D5CDD505-2E9C-101B-9397-08002B2CF9AE}" pid="6" name="ReprintNo">
    <vt:lpwstr>3</vt:lpwstr>
  </property>
  <property fmtid="{D5CDD505-2E9C-101B-9397-08002B2CF9AE}" pid="7" name="CommencementDate">
    <vt:lpwstr>20190613</vt:lpwstr>
  </property>
  <property fmtid="{D5CDD505-2E9C-101B-9397-08002B2CF9AE}" pid="8" name="FromSuffix">
    <vt:lpwstr>03-g0-02</vt:lpwstr>
  </property>
  <property fmtid="{D5CDD505-2E9C-101B-9397-08002B2CF9AE}" pid="9" name="FromAsAtDate">
    <vt:lpwstr>01 Jan 2019</vt:lpwstr>
  </property>
  <property fmtid="{D5CDD505-2E9C-101B-9397-08002B2CF9AE}" pid="10" name="ToSuffix">
    <vt:lpwstr>03-h0-04</vt:lpwstr>
  </property>
  <property fmtid="{D5CDD505-2E9C-101B-9397-08002B2CF9AE}" pid="11" name="ToAsAtDate">
    <vt:lpwstr>13 Jun 2019</vt:lpwstr>
  </property>
</Properties>
</file>