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2019</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22 Jul 2019</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School Education Act 1999</w:t>
      </w:r>
    </w:p>
    <w:p>
      <w:pPr>
        <w:pStyle w:val="LongTitle"/>
      </w:pPr>
      <w:r>
        <w:t>A</w:t>
      </w:r>
      <w:bookmarkStart w:id="1" w:name="_GoBack"/>
      <w:bookmarkEnd w:id="1"/>
      <w:r>
        <w:t>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the establishment and administration of student residential colleges;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del w:id="2" w:author="svcMRProcess" w:date="2020-02-25T12:47:00Z">
        <w:r>
          <w:rPr>
            <w:vertAlign w:val="superscript"/>
          </w:rPr>
          <w:delText>2</w:delText>
        </w:r>
      </w:del>
      <w:ins w:id="3" w:author="svcMRProcess" w:date="2020-02-25T12:47:00Z">
        <w:r>
          <w:rPr>
            <w:vertAlign w:val="superscript"/>
          </w:rPr>
          <w:t>1</w:t>
        </w:r>
      </w:ins>
      <w:r>
        <w:t>, and to make related provisions.</w:t>
      </w:r>
    </w:p>
    <w:p>
      <w:pPr>
        <w:pStyle w:val="Footnotelongtitle"/>
      </w:pPr>
      <w:r>
        <w:tab/>
        <w:t>[Long title amended: No. 22 of 2005 s. 14; No. 28 of 2014 s. 22; No  41 of 2016 s. 6.]</w:t>
      </w:r>
    </w:p>
    <w:p>
      <w:pPr>
        <w:pStyle w:val="Heading2"/>
      </w:pPr>
      <w:bookmarkStart w:id="4" w:name="_Toc32411345"/>
      <w:bookmarkStart w:id="5" w:name="_Toc32411759"/>
      <w:bookmarkStart w:id="6" w:name="_Toc486515670"/>
      <w:bookmarkStart w:id="7" w:name="_Toc486516708"/>
      <w:bookmarkStart w:id="8" w:name="_Toc1349419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bookmarkEnd w:id="8"/>
    </w:p>
    <w:p>
      <w:pPr>
        <w:pStyle w:val="PermNoteHeading"/>
        <w:rPr>
          <w:b/>
          <w:bCs/>
        </w:rPr>
      </w:pPr>
      <w:r>
        <w:rPr>
          <w:b/>
          <w:bCs/>
        </w:rPr>
        <w:t>What this Part is about</w:t>
      </w:r>
    </w:p>
    <w:p>
      <w:pPr>
        <w:pStyle w:val="PermNoteText"/>
      </w:pPr>
      <w:r>
        <w:t>This Part provides for some matters that are relevant to the Act generally.</w:t>
      </w:r>
    </w:p>
    <w:p>
      <w:pPr>
        <w:pStyle w:val="PermNoteText"/>
      </w:pPr>
      <w:r>
        <w:t>In particular it deals with —</w:t>
      </w:r>
    </w:p>
    <w:p>
      <w:pPr>
        <w:pStyle w:val="PermNotePara"/>
        <w:numPr>
          <w:ilvl w:val="0"/>
          <w:numId w:val="9"/>
        </w:numPr>
      </w:pPr>
      <w:r>
        <w:t>the commencement of the Act on a day, or of different provisions on different days, fixed by proclamation (section 2);</w:t>
      </w:r>
    </w:p>
    <w:p>
      <w:pPr>
        <w:pStyle w:val="PermNotePara"/>
        <w:numPr>
          <w:ilvl w:val="0"/>
          <w:numId w:val="9"/>
        </w:numPr>
      </w:pPr>
      <w:r>
        <w:t>the objects of the Act (section 3);</w:t>
      </w:r>
    </w:p>
    <w:p>
      <w:pPr>
        <w:pStyle w:val="PermNotePara"/>
        <w:numPr>
          <w:ilvl w:val="0"/>
          <w:numId w:val="9"/>
        </w:numPr>
      </w:pPr>
      <w:r>
        <w:t>the definition of terms used in the Act (section 4) (but where a definition only applies to a particular Part, Division, Subdivision, Schedule or section, it is placed in that Part, Division, Subdivision, Schedule or section);</w:t>
      </w:r>
    </w:p>
    <w:p>
      <w:pPr>
        <w:pStyle w:val="PermNotePara"/>
        <w:numPr>
          <w:ilvl w:val="0"/>
          <w:numId w:val="9"/>
        </w:numPr>
      </w:pPr>
      <w:r>
        <w:t>the meanings of some terms used in the Act which, because of their length, are better placed in separate sections (sections 5, 6 and 7);</w:t>
      </w:r>
    </w:p>
    <w:p>
      <w:pPr>
        <w:pStyle w:val="PermNotePara"/>
        <w:numPr>
          <w:ilvl w:val="0"/>
          <w:numId w:val="9"/>
        </w:numPr>
      </w:pPr>
      <w:r>
        <w:t>the status of notes in the Act (section 8).</w:t>
      </w:r>
    </w:p>
    <w:p>
      <w:pPr>
        <w:pStyle w:val="Heading5"/>
      </w:pPr>
      <w:bookmarkStart w:id="9" w:name="_Toc32411760"/>
      <w:bookmarkStart w:id="10" w:name="_Toc13494193"/>
      <w:r>
        <w:rPr>
          <w:rStyle w:val="CharSectno"/>
        </w:rPr>
        <w:t>1</w:t>
      </w:r>
      <w:r>
        <w:t>.</w:t>
      </w:r>
      <w:r>
        <w:tab/>
        <w:t>Short title</w:t>
      </w:r>
      <w:bookmarkEnd w:id="9"/>
      <w:bookmarkEnd w:id="10"/>
    </w:p>
    <w:p>
      <w:pPr>
        <w:pStyle w:val="Subsection"/>
      </w:pPr>
      <w:r>
        <w:tab/>
      </w:r>
      <w:r>
        <w:tab/>
        <w:t xml:space="preserve">This Act may be cited as the </w:t>
      </w:r>
      <w:r>
        <w:rPr>
          <w:i/>
        </w:rPr>
        <w:t>School Education Act 1999</w:t>
      </w:r>
      <w:del w:id="11" w:author="svcMRProcess" w:date="2020-02-25T12:47:00Z">
        <w:r>
          <w:rPr>
            <w:iCs/>
          </w:rPr>
          <w:delText xml:space="preserve"> </w:delText>
        </w:r>
        <w:r>
          <w:rPr>
            <w:iCs/>
            <w:vertAlign w:val="superscript"/>
          </w:rPr>
          <w:delText>1</w:delText>
        </w:r>
      </w:del>
      <w:r>
        <w:t>.</w:t>
      </w:r>
    </w:p>
    <w:p>
      <w:pPr>
        <w:pStyle w:val="Heading5"/>
      </w:pPr>
      <w:bookmarkStart w:id="12" w:name="_Toc32411761"/>
      <w:bookmarkStart w:id="13" w:name="_Toc13494194"/>
      <w:r>
        <w:rPr>
          <w:rStyle w:val="CharSectno"/>
        </w:rPr>
        <w:t>2</w:t>
      </w:r>
      <w:r>
        <w:t>.</w:t>
      </w:r>
      <w:r>
        <w:tab/>
        <w:t>Commencement</w:t>
      </w:r>
      <w:bookmarkEnd w:id="12"/>
      <w:bookmarkEnd w:id="13"/>
    </w:p>
    <w:p>
      <w:pPr>
        <w:pStyle w:val="Subsection"/>
      </w:pPr>
      <w:r>
        <w:tab/>
      </w:r>
      <w:r>
        <w:tab/>
        <w:t>The provisions of this Act come into operation on such day as is, or days as are respectively, fixed by proclamation</w:t>
      </w:r>
      <w:del w:id="14" w:author="svcMRProcess" w:date="2020-02-25T12:47:00Z">
        <w:r>
          <w:delText xml:space="preserve"> </w:delText>
        </w:r>
        <w:r>
          <w:rPr>
            <w:vertAlign w:val="superscript"/>
          </w:rPr>
          <w:delText>1</w:delText>
        </w:r>
      </w:del>
      <w:r>
        <w:t>.</w:t>
      </w:r>
    </w:p>
    <w:p>
      <w:pPr>
        <w:pStyle w:val="Heading5"/>
      </w:pPr>
      <w:bookmarkStart w:id="15" w:name="_Toc32411762"/>
      <w:bookmarkStart w:id="16" w:name="_Toc13494195"/>
      <w:r>
        <w:rPr>
          <w:rStyle w:val="CharSectno"/>
        </w:rPr>
        <w:t>3</w:t>
      </w:r>
      <w:r>
        <w:t>.</w:t>
      </w:r>
      <w:r>
        <w:tab/>
        <w:t>Objects of Act</w:t>
      </w:r>
      <w:bookmarkEnd w:id="15"/>
      <w:bookmarkEnd w:id="16"/>
    </w:p>
    <w:p>
      <w:pPr>
        <w:pStyle w:val="Subsection"/>
      </w:pPr>
      <w:r>
        <w:tab/>
        <w:t>(1)</w:t>
      </w:r>
      <w:r>
        <w:tab/>
        <w:t>The objects of this Act include the following —</w:t>
      </w:r>
    </w:p>
    <w:p>
      <w:pPr>
        <w:pStyle w:val="Indenta"/>
      </w:pPr>
      <w:r>
        <w:tab/>
        <w:t>(a)</w:t>
      </w:r>
      <w:r>
        <w:tab/>
        <w:t>to recognize the right of every child in the State to receive a school education</w:t>
      </w:r>
      <w:ins w:id="17" w:author="svcMRProcess" w:date="2020-02-25T12:47:00Z">
        <w:r>
          <w:t xml:space="preserve"> during the child’s compulsory education period</w:t>
        </w:r>
      </w:ins>
      <w:r>
        <w:t>;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 and</w:t>
      </w:r>
    </w:p>
    <w:p>
      <w:pPr>
        <w:pStyle w:val="Indenta"/>
      </w:pPr>
      <w:r>
        <w:lastRenderedPageBreak/>
        <w:tab/>
        <w:t>(e)</w:t>
      </w:r>
      <w:r>
        <w:tab/>
        <w:t>to provide for student residential colleges that offer residential accommodation for students to attend, and participate in an educational programme of, a school.</w:t>
      </w:r>
    </w:p>
    <w:p>
      <w:pPr>
        <w:pStyle w:val="Subsection"/>
      </w:pPr>
      <w:r>
        <w:tab/>
        <w:t>(2)</w:t>
      </w:r>
      <w:r>
        <w:tab/>
        <w:t>Any person who has a function under this Act is to seek to ensure that the objects stated in subsection (1) are achieved.</w:t>
      </w:r>
    </w:p>
    <w:p>
      <w:pPr>
        <w:pStyle w:val="Footnotesection"/>
      </w:pPr>
      <w:r>
        <w:tab/>
        <w:t>[Section 3 amended: No. 22 of 2005 s. 15; No. 41 of 2016 s. </w:t>
      </w:r>
      <w:del w:id="18" w:author="svcMRProcess" w:date="2020-02-25T12:47:00Z">
        <w:r>
          <w:delText>7</w:delText>
        </w:r>
      </w:del>
      <w:ins w:id="19" w:author="svcMRProcess" w:date="2020-02-25T12:47:00Z">
        <w:r>
          <w:t>7; No. 14 of 2019 s. 14</w:t>
        </w:r>
      </w:ins>
      <w:r>
        <w:t>.]</w:t>
      </w:r>
    </w:p>
    <w:p>
      <w:pPr>
        <w:pStyle w:val="Heading5"/>
      </w:pPr>
      <w:bookmarkStart w:id="20" w:name="_Toc32411763"/>
      <w:bookmarkStart w:id="21" w:name="_Toc13494196"/>
      <w:r>
        <w:rPr>
          <w:rStyle w:val="CharSectno"/>
        </w:rPr>
        <w:t>4</w:t>
      </w:r>
      <w:r>
        <w:t>.</w:t>
      </w:r>
      <w:r>
        <w:tab/>
        <w:t>Terms used</w:t>
      </w:r>
      <w:bookmarkEnd w:id="20"/>
      <w:bookmarkEnd w:id="21"/>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lastRenderedPageBreak/>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tab/>
      </w:r>
      <w:r>
        <w:rPr>
          <w:rStyle w:val="CharDefText"/>
        </w:rPr>
        <w:t>student residential college</w:t>
      </w:r>
      <w:r>
        <w:t xml:space="preserve"> has the meaning given in section 213A;</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No. 22 of 2005 s. 5 and 16; No. 44 of 2008 s. 61(2); No. 11 of 2012 s. 37; No. 46 of 2012 s. 4; No. 41 of 2016 s. 8.]</w:t>
      </w:r>
    </w:p>
    <w:p>
      <w:pPr>
        <w:pStyle w:val="Heading5"/>
      </w:pPr>
      <w:bookmarkStart w:id="22" w:name="_Toc32411764"/>
      <w:bookmarkStart w:id="23" w:name="_Toc13494197"/>
      <w:r>
        <w:rPr>
          <w:rStyle w:val="CharSectno"/>
        </w:rPr>
        <w:t>5</w:t>
      </w:r>
      <w:r>
        <w:t>.</w:t>
      </w:r>
      <w:r>
        <w:tab/>
        <w:t>Term used: pre</w:t>
      </w:r>
      <w:r>
        <w:noBreakHyphen/>
        <w:t>compulsory education period</w:t>
      </w:r>
      <w:bookmarkEnd w:id="22"/>
      <w:bookmarkEnd w:id="23"/>
    </w:p>
    <w:p>
      <w:pPr>
        <w:pStyle w:val="Subsection"/>
        <w:keepNext/>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No. 46 of 2012 s. 5.]</w:t>
      </w:r>
    </w:p>
    <w:p>
      <w:pPr>
        <w:pStyle w:val="Heading5"/>
      </w:pPr>
      <w:bookmarkStart w:id="24" w:name="_Toc32411765"/>
      <w:bookmarkStart w:id="25" w:name="_Toc13494198"/>
      <w:r>
        <w:rPr>
          <w:rStyle w:val="CharSectno"/>
        </w:rPr>
        <w:t>6</w:t>
      </w:r>
      <w:r>
        <w:t>.</w:t>
      </w:r>
      <w:r>
        <w:tab/>
        <w:t>Term used: compulsory education period</w:t>
      </w:r>
      <w:bookmarkEnd w:id="24"/>
      <w:bookmarkEnd w:id="25"/>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No. 46 of 2012 s. 5.]</w:t>
      </w:r>
    </w:p>
    <w:p>
      <w:pPr>
        <w:pStyle w:val="Ednotesection"/>
        <w:spacing w:before="180"/>
      </w:pPr>
      <w:r>
        <w:t>[</w:t>
      </w:r>
      <w:r>
        <w:rPr>
          <w:b/>
          <w:bCs/>
        </w:rPr>
        <w:t>7.</w:t>
      </w:r>
      <w:r>
        <w:rPr>
          <w:b/>
          <w:bCs/>
        </w:rPr>
        <w:tab/>
      </w:r>
      <w:r>
        <w:t>Deleted: No. 22 of 2005 s. 6.]</w:t>
      </w:r>
    </w:p>
    <w:p>
      <w:pPr>
        <w:pStyle w:val="Heading5"/>
        <w:spacing w:before="180"/>
      </w:pPr>
      <w:bookmarkStart w:id="26" w:name="_Toc32411766"/>
      <w:bookmarkStart w:id="27" w:name="_Toc13494199"/>
      <w:r>
        <w:rPr>
          <w:rStyle w:val="CharSectno"/>
        </w:rPr>
        <w:t>8</w:t>
      </w:r>
      <w:r>
        <w:t>.</w:t>
      </w:r>
      <w:r>
        <w:tab/>
        <w:t>Notes not part of Act</w:t>
      </w:r>
      <w:bookmarkEnd w:id="26"/>
      <w:bookmarkEnd w:id="27"/>
    </w:p>
    <w:p>
      <w:pPr>
        <w:pStyle w:val="Subsection"/>
        <w:spacing w:before="120"/>
      </w:pPr>
      <w:r>
        <w:tab/>
      </w:r>
      <w:r>
        <w:tab/>
        <w:t>Notes in this Act are provided to assist understanding and do not form part of the Act.</w:t>
      </w:r>
    </w:p>
    <w:p>
      <w:pPr>
        <w:pStyle w:val="Heading2"/>
      </w:pPr>
      <w:bookmarkStart w:id="28" w:name="_Toc32411353"/>
      <w:bookmarkStart w:id="29" w:name="_Toc32411767"/>
      <w:bookmarkStart w:id="30" w:name="_Toc429492891"/>
      <w:bookmarkStart w:id="31" w:name="_Toc431830916"/>
      <w:bookmarkStart w:id="32" w:name="_Toc432168375"/>
      <w:bookmarkStart w:id="33" w:name="_Toc432170295"/>
      <w:bookmarkStart w:id="34" w:name="_Toc432763028"/>
      <w:bookmarkStart w:id="35" w:name="_Toc432776596"/>
      <w:bookmarkStart w:id="36" w:name="_Toc433034548"/>
      <w:bookmarkStart w:id="37" w:name="_Toc433035600"/>
      <w:bookmarkStart w:id="38" w:name="_Toc464633885"/>
      <w:bookmarkStart w:id="39" w:name="_Toc464633965"/>
      <w:bookmarkStart w:id="40" w:name="_Toc467148224"/>
      <w:bookmarkStart w:id="41" w:name="_Toc468166523"/>
      <w:bookmarkStart w:id="42" w:name="_Toc468172932"/>
      <w:bookmarkStart w:id="43" w:name="_Toc486515678"/>
      <w:bookmarkStart w:id="44" w:name="_Toc486516716"/>
      <w:bookmarkStart w:id="45" w:name="_Toc13494200"/>
      <w:r>
        <w:rPr>
          <w:rStyle w:val="CharPartNo"/>
        </w:rPr>
        <w:t>Part 2</w:t>
      </w:r>
      <w:r>
        <w:rPr>
          <w:b w:val="0"/>
        </w:rPr>
        <w:t> </w:t>
      </w:r>
      <w:r>
        <w:t>—</w:t>
      </w:r>
      <w:r>
        <w:rPr>
          <w:b w:val="0"/>
        </w:rPr>
        <w:t> </w:t>
      </w:r>
      <w:r>
        <w:rPr>
          <w:rStyle w:val="CharPartText"/>
        </w:rPr>
        <w:t>Education of children during compulsory education period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Footnoteheading"/>
      </w:pPr>
      <w:r>
        <w:tab/>
        <w:t>[Heading inserted: No. 41 of 2016 s. 9.]</w:t>
      </w:r>
    </w:p>
    <w:p>
      <w:pPr>
        <w:pStyle w:val="PermNoteHeading"/>
        <w:rPr>
          <w:b/>
          <w:bCs/>
        </w:rPr>
      </w:pPr>
      <w:r>
        <w:rPr>
          <w:b/>
          <w:bCs/>
        </w:rPr>
        <w:t>What this Part is about</w:t>
      </w:r>
    </w:p>
    <w:p>
      <w:pPr>
        <w:pStyle w:val="PermNoteText"/>
      </w:pPr>
      <w:r>
        <w:t>This Part deals with —</w:t>
      </w:r>
    </w:p>
    <w:p>
      <w:pPr>
        <w:pStyle w:val="PermNotePara"/>
        <w:numPr>
          <w:ilvl w:val="0"/>
          <w:numId w:val="2"/>
        </w:numPr>
      </w:pPr>
      <w:r>
        <w:t>the compulsory enrolment of all children in an educational programme (Division 1);</w:t>
      </w:r>
    </w:p>
    <w:p>
      <w:pPr>
        <w:pStyle w:val="PermNotePara"/>
        <w:numPr>
          <w:ilvl w:val="0"/>
          <w:numId w:val="2"/>
        </w:numPr>
      </w:pPr>
      <w:r>
        <w:t>procedures for the enrolment of children at a government or non</w:t>
      </w:r>
      <w:r>
        <w:noBreakHyphen/>
        <w:t>government school (Division 2);</w:t>
      </w:r>
    </w:p>
    <w:p>
      <w:pPr>
        <w:pStyle w:val="PermNotePara"/>
        <w:numPr>
          <w:ilvl w:val="0"/>
          <w:numId w:val="2"/>
        </w:numPr>
      </w:pPr>
      <w:r>
        <w:t>attendance requirements for students enrolled at a government or a non</w:t>
      </w:r>
      <w:r>
        <w:noBreakHyphen/>
        <w:t>government school (Division 3);</w:t>
      </w:r>
    </w:p>
    <w:p>
      <w:pPr>
        <w:pStyle w:val="PermNotePara"/>
        <w:numPr>
          <w:ilvl w:val="0"/>
          <w:numId w:val="2"/>
        </w:numPr>
      </w:pPr>
      <w:r>
        <w:t>the absence of students from government schools for a religious or cultural observance (Division 4);</w:t>
      </w:r>
    </w:p>
    <w:p>
      <w:pPr>
        <w:pStyle w:val="PermNotePara"/>
        <w:numPr>
          <w:ilvl w:val="0"/>
          <w:numId w:val="2"/>
        </w:numPr>
      </w:pPr>
      <w:r>
        <w:t>absenteeism in relation to both government and non</w:t>
      </w:r>
      <w:r>
        <w:noBreakHyphen/>
        <w:t>government schools (Division 5);</w:t>
      </w:r>
    </w:p>
    <w:p>
      <w:pPr>
        <w:pStyle w:val="PermNotePara"/>
        <w:numPr>
          <w:ilvl w:val="0"/>
          <w:numId w:val="2"/>
        </w:numPr>
      </w:pPr>
      <w:r>
        <w:t>the provision of education by parents to their children in the home (Division 6).</w:t>
      </w:r>
    </w:p>
    <w:p>
      <w:pPr>
        <w:pStyle w:val="Heading3"/>
      </w:pPr>
      <w:bookmarkStart w:id="46" w:name="_Toc32411354"/>
      <w:bookmarkStart w:id="47" w:name="_Toc32411768"/>
      <w:bookmarkStart w:id="48" w:name="_Toc486515679"/>
      <w:bookmarkStart w:id="49" w:name="_Toc486516717"/>
      <w:bookmarkStart w:id="50" w:name="_Toc13494201"/>
      <w:r>
        <w:rPr>
          <w:rStyle w:val="CharDivNo"/>
        </w:rPr>
        <w:t>Division 1</w:t>
      </w:r>
      <w:r>
        <w:t> — </w:t>
      </w:r>
      <w:r>
        <w:rPr>
          <w:rStyle w:val="CharDivText"/>
        </w:rPr>
        <w:t>Compulsory education with alternatives in final years of compulsory education</w:t>
      </w:r>
      <w:bookmarkEnd w:id="46"/>
      <w:bookmarkEnd w:id="47"/>
      <w:bookmarkEnd w:id="48"/>
      <w:bookmarkEnd w:id="49"/>
      <w:bookmarkEnd w:id="50"/>
    </w:p>
    <w:p>
      <w:pPr>
        <w:pStyle w:val="Footnoteheading"/>
      </w:pPr>
      <w:r>
        <w:tab/>
        <w:t>[Heading inserted: No. 46 of 2012 s. 6.]</w:t>
      </w:r>
    </w:p>
    <w:p>
      <w:pPr>
        <w:pStyle w:val="Heading4"/>
      </w:pPr>
      <w:bookmarkStart w:id="51" w:name="_Toc32411355"/>
      <w:bookmarkStart w:id="52" w:name="_Toc32411769"/>
      <w:bookmarkStart w:id="53" w:name="_Toc486515680"/>
      <w:bookmarkStart w:id="54" w:name="_Toc486516718"/>
      <w:bookmarkStart w:id="55" w:name="_Toc13494202"/>
      <w:r>
        <w:t>Subdivision 1 — Enrolment of children of compulsory school age</w:t>
      </w:r>
      <w:bookmarkEnd w:id="51"/>
      <w:bookmarkEnd w:id="52"/>
      <w:bookmarkEnd w:id="53"/>
      <w:bookmarkEnd w:id="54"/>
      <w:bookmarkEnd w:id="55"/>
    </w:p>
    <w:p>
      <w:pPr>
        <w:pStyle w:val="Heading5"/>
      </w:pPr>
      <w:bookmarkStart w:id="56" w:name="_Toc32411770"/>
      <w:bookmarkStart w:id="57" w:name="_Toc13494203"/>
      <w:r>
        <w:rPr>
          <w:rStyle w:val="CharSectno"/>
        </w:rPr>
        <w:t>9</w:t>
      </w:r>
      <w:r>
        <w:t>.</w:t>
      </w:r>
      <w:r>
        <w:tab/>
        <w:t>When enrolment compulsory</w:t>
      </w:r>
      <w:bookmarkEnd w:id="56"/>
      <w:bookmarkEnd w:id="57"/>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No. 84 of 2004 s. 80; No. 22 of 2005 s. 18; No. 28 of 2014 s. 23 and 35.]</w:t>
      </w:r>
    </w:p>
    <w:p>
      <w:pPr>
        <w:pStyle w:val="Heading5"/>
        <w:spacing w:before="240"/>
      </w:pPr>
      <w:bookmarkStart w:id="58" w:name="_Toc32411771"/>
      <w:bookmarkStart w:id="59" w:name="_Toc13494204"/>
      <w:r>
        <w:rPr>
          <w:rStyle w:val="CharSectno"/>
        </w:rPr>
        <w:t>10</w:t>
      </w:r>
      <w:r>
        <w:t>.</w:t>
      </w:r>
      <w:r>
        <w:tab/>
        <w:t>Ways in which s. 9 satisfied</w:t>
      </w:r>
      <w:bookmarkEnd w:id="58"/>
      <w:bookmarkEnd w:id="59"/>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No. 22 of 2005 s. 19; No. 46 of 2012 s. 7.]</w:t>
      </w:r>
    </w:p>
    <w:p>
      <w:pPr>
        <w:pStyle w:val="Heading5"/>
        <w:keepLines w:val="0"/>
        <w:pageBreakBefore/>
        <w:spacing w:before="0"/>
      </w:pPr>
      <w:bookmarkStart w:id="60" w:name="_Toc32411772"/>
      <w:bookmarkStart w:id="61" w:name="_Toc13494205"/>
      <w:r>
        <w:rPr>
          <w:rStyle w:val="CharSectno"/>
        </w:rPr>
        <w:t>11AA</w:t>
      </w:r>
      <w:r>
        <w:t>.</w:t>
      </w:r>
      <w:r>
        <w:tab/>
        <w:t>Proof of enrolment to be provided</w:t>
      </w:r>
      <w:bookmarkEnd w:id="60"/>
      <w:bookmarkEnd w:id="61"/>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No. 28 of 2014 s. 24.]</w:t>
      </w:r>
    </w:p>
    <w:p>
      <w:pPr>
        <w:pStyle w:val="Heading5"/>
      </w:pPr>
      <w:bookmarkStart w:id="62" w:name="_Toc32411773"/>
      <w:bookmarkStart w:id="63" w:name="_Toc13494206"/>
      <w:r>
        <w:rPr>
          <w:rStyle w:val="CharSectno"/>
        </w:rPr>
        <w:t>11</w:t>
      </w:r>
      <w:r>
        <w:t>.</w:t>
      </w:r>
      <w:r>
        <w:tab/>
        <w:t>Exemption from s. 9(1), Minister may grant etc.</w:t>
      </w:r>
      <w:bookmarkEnd w:id="62"/>
      <w:bookmarkEnd w:id="63"/>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64" w:name="_Toc32411360"/>
      <w:bookmarkStart w:id="65" w:name="_Toc32411774"/>
      <w:bookmarkStart w:id="66" w:name="_Toc486515685"/>
      <w:bookmarkStart w:id="67" w:name="_Toc486516723"/>
      <w:bookmarkStart w:id="68" w:name="_Toc13494207"/>
      <w:r>
        <w:t>Subdivision 1A — Alternatives to the operation of section 9 in final years of compulsory education</w:t>
      </w:r>
      <w:bookmarkEnd w:id="64"/>
      <w:bookmarkEnd w:id="65"/>
      <w:bookmarkEnd w:id="66"/>
      <w:bookmarkEnd w:id="67"/>
      <w:bookmarkEnd w:id="68"/>
    </w:p>
    <w:p>
      <w:pPr>
        <w:pStyle w:val="Footnoteheading"/>
      </w:pPr>
      <w:r>
        <w:tab/>
        <w:t>[Heading inserted: No. 46 of 2012 s. 8.]</w:t>
      </w:r>
    </w:p>
    <w:p>
      <w:pPr>
        <w:pStyle w:val="Heading5"/>
      </w:pPr>
      <w:bookmarkStart w:id="69" w:name="_Toc32411775"/>
      <w:bookmarkStart w:id="70" w:name="_Toc13494208"/>
      <w:r>
        <w:rPr>
          <w:rStyle w:val="CharSectno"/>
        </w:rPr>
        <w:t>11A</w:t>
      </w:r>
      <w:r>
        <w:t>.</w:t>
      </w:r>
      <w:r>
        <w:tab/>
        <w:t>Terms used</w:t>
      </w:r>
      <w:bookmarkEnd w:id="69"/>
      <w:bookmarkEnd w:id="70"/>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No. 22 of 2005 s. 20; amended: No. 44 of 2008 s. 61(3).]</w:t>
      </w:r>
    </w:p>
    <w:p>
      <w:pPr>
        <w:pStyle w:val="Heading5"/>
        <w:spacing w:before="240"/>
      </w:pPr>
      <w:bookmarkStart w:id="71" w:name="_Toc32411776"/>
      <w:bookmarkStart w:id="72" w:name="_Toc13494209"/>
      <w:r>
        <w:rPr>
          <w:rStyle w:val="CharSectno"/>
        </w:rPr>
        <w:t>11B</w:t>
      </w:r>
      <w:r>
        <w:t>.</w:t>
      </w:r>
      <w:r>
        <w:tab/>
        <w:t>Options other than school etc. in final 2 years</w:t>
      </w:r>
      <w:bookmarkEnd w:id="71"/>
      <w:bookmarkEnd w:id="72"/>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No. 22 of 2005 s. 20; amended: No. 44 of 2008 s. 61(4); No. 46 of 2012 s. 9.]</w:t>
      </w:r>
    </w:p>
    <w:p>
      <w:pPr>
        <w:pStyle w:val="Heading5"/>
      </w:pPr>
      <w:bookmarkStart w:id="73" w:name="_Toc32411777"/>
      <w:bookmarkStart w:id="74" w:name="_Toc13494210"/>
      <w:r>
        <w:rPr>
          <w:rStyle w:val="CharSectno"/>
        </w:rPr>
        <w:t>11C</w:t>
      </w:r>
      <w:r>
        <w:t>.</w:t>
      </w:r>
      <w:r>
        <w:tab/>
        <w:t>Participation s. 11B option to be full</w:t>
      </w:r>
      <w:r>
        <w:noBreakHyphen/>
        <w:t>time</w:t>
      </w:r>
      <w:bookmarkEnd w:id="73"/>
      <w:bookmarkEnd w:id="74"/>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No. 22 of 2005 s. 20.]</w:t>
      </w:r>
    </w:p>
    <w:p>
      <w:pPr>
        <w:pStyle w:val="Heading5"/>
        <w:spacing w:before="180"/>
      </w:pPr>
      <w:bookmarkStart w:id="75" w:name="_Toc32411778"/>
      <w:bookmarkStart w:id="76" w:name="_Toc13494211"/>
      <w:r>
        <w:rPr>
          <w:rStyle w:val="CharSectno"/>
        </w:rPr>
        <w:t>11D</w:t>
      </w:r>
      <w:r>
        <w:t>.</w:t>
      </w:r>
      <w:r>
        <w:tab/>
        <w:t>Arrangements under s. 11B, parent to notify Minister of etc.</w:t>
      </w:r>
      <w:bookmarkEnd w:id="75"/>
      <w:bookmarkEnd w:id="76"/>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No. 22 of 2005 s. 20; amended: No. 44 of 2008 s. 61(5) and (6).]</w:t>
      </w:r>
    </w:p>
    <w:p>
      <w:pPr>
        <w:pStyle w:val="Heading5"/>
      </w:pPr>
      <w:bookmarkStart w:id="77" w:name="_Toc32411779"/>
      <w:bookmarkStart w:id="78" w:name="_Toc13494212"/>
      <w:r>
        <w:rPr>
          <w:rStyle w:val="CharSectno"/>
        </w:rPr>
        <w:t>11E</w:t>
      </w:r>
      <w:r>
        <w:t>.</w:t>
      </w:r>
      <w:r>
        <w:tab/>
        <w:t>Child enrolled under s. 11B in combination of courses, application of s. 11D to</w:t>
      </w:r>
      <w:bookmarkEnd w:id="77"/>
      <w:bookmarkEnd w:id="78"/>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No. 22 of 2005 s. 20.]</w:t>
      </w:r>
    </w:p>
    <w:p>
      <w:pPr>
        <w:pStyle w:val="Heading5"/>
      </w:pPr>
      <w:bookmarkStart w:id="79" w:name="_Toc32411780"/>
      <w:bookmarkStart w:id="80" w:name="_Toc13494213"/>
      <w:r>
        <w:rPr>
          <w:rStyle w:val="CharSectno"/>
        </w:rPr>
        <w:t>11F</w:t>
      </w:r>
      <w:r>
        <w:t>.</w:t>
      </w:r>
      <w:r>
        <w:tab/>
        <w:t>Notice under s. 11D or 11E, duration and effect of</w:t>
      </w:r>
      <w:bookmarkEnd w:id="79"/>
      <w:bookmarkEnd w:id="80"/>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No. 22 of 2005 s. 20.]</w:t>
      </w:r>
    </w:p>
    <w:p>
      <w:pPr>
        <w:pStyle w:val="Heading5"/>
        <w:spacing w:before="180"/>
      </w:pPr>
      <w:bookmarkStart w:id="81" w:name="_Toc32411781"/>
      <w:bookmarkStart w:id="82" w:name="_Toc13494214"/>
      <w:r>
        <w:rPr>
          <w:rStyle w:val="CharSectno"/>
        </w:rPr>
        <w:t>11G</w:t>
      </w:r>
      <w:r>
        <w:t>.</w:t>
      </w:r>
      <w:r>
        <w:tab/>
        <w:t>Employment for s. 11B(1)(d), Minister’s approval of required etc.</w:t>
      </w:r>
      <w:bookmarkEnd w:id="81"/>
      <w:bookmarkEnd w:id="82"/>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No. 22 of 2005 s. 20.]</w:t>
      </w:r>
    </w:p>
    <w:p>
      <w:pPr>
        <w:pStyle w:val="Heading5"/>
      </w:pPr>
      <w:bookmarkStart w:id="83" w:name="_Toc32411782"/>
      <w:bookmarkStart w:id="84" w:name="_Toc13494215"/>
      <w:r>
        <w:rPr>
          <w:rStyle w:val="CharSectno"/>
        </w:rPr>
        <w:t>11H</w:t>
      </w:r>
      <w:r>
        <w:t>.</w:t>
      </w:r>
      <w:r>
        <w:tab/>
        <w:t>Child employed with s. 11G approval, parent to notify Minister of etc.</w:t>
      </w:r>
      <w:bookmarkEnd w:id="83"/>
      <w:bookmarkEnd w:id="84"/>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No. 22 of 2005 s. 20.]</w:t>
      </w:r>
    </w:p>
    <w:p>
      <w:pPr>
        <w:pStyle w:val="Heading5"/>
      </w:pPr>
      <w:bookmarkStart w:id="85" w:name="_Toc32411783"/>
      <w:bookmarkStart w:id="86" w:name="_Toc13494216"/>
      <w:r>
        <w:rPr>
          <w:rStyle w:val="CharSectno"/>
        </w:rPr>
        <w:t>11I</w:t>
      </w:r>
      <w:r>
        <w:t>.</w:t>
      </w:r>
      <w:r>
        <w:tab/>
        <w:t>Child to participate in options notified under s. 11D, 11E or 11H</w:t>
      </w:r>
      <w:bookmarkEnd w:id="85"/>
      <w:bookmarkEnd w:id="86"/>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No. 22 of 2005 s. 20; amended: No. 44 of 2008 s. 61(7).]</w:t>
      </w:r>
    </w:p>
    <w:p>
      <w:pPr>
        <w:pStyle w:val="Heading5"/>
      </w:pPr>
      <w:bookmarkStart w:id="87" w:name="_Toc32411784"/>
      <w:bookmarkStart w:id="88" w:name="_Toc13494217"/>
      <w:r>
        <w:rPr>
          <w:rStyle w:val="CharSectno"/>
        </w:rPr>
        <w:t>11J</w:t>
      </w:r>
      <w:r>
        <w:t>.</w:t>
      </w:r>
      <w:r>
        <w:tab/>
        <w:t>Participation by child, what constitutes</w:t>
      </w:r>
      <w:bookmarkEnd w:id="87"/>
      <w:bookmarkEnd w:id="88"/>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No. 22 of 2005 s. 20; amended: No. 44 of 2008 s. 61(8)-(10).]</w:t>
      </w:r>
    </w:p>
    <w:p>
      <w:pPr>
        <w:pStyle w:val="Heading5"/>
        <w:spacing w:before="240"/>
      </w:pPr>
      <w:bookmarkStart w:id="89" w:name="_Toc32411785"/>
      <w:bookmarkStart w:id="90" w:name="_Toc13494218"/>
      <w:r>
        <w:rPr>
          <w:rStyle w:val="CharSectno"/>
        </w:rPr>
        <w:t>11K</w:t>
      </w:r>
      <w:r>
        <w:t>.</w:t>
      </w:r>
      <w:r>
        <w:tab/>
        <w:t>Notice etc. by parent under s. 11D, 11G and 11H, Minister’s functions as to</w:t>
      </w:r>
      <w:bookmarkEnd w:id="89"/>
      <w:bookmarkEnd w:id="90"/>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No. 22 of 2005 s. 20.]</w:t>
      </w:r>
    </w:p>
    <w:p>
      <w:pPr>
        <w:pStyle w:val="Heading5"/>
      </w:pPr>
      <w:bookmarkStart w:id="91" w:name="_Toc32411786"/>
      <w:bookmarkStart w:id="92" w:name="_Toc13494219"/>
      <w:r>
        <w:rPr>
          <w:rStyle w:val="CharSectno"/>
        </w:rPr>
        <w:t>11L</w:t>
      </w:r>
      <w:r>
        <w:t>.</w:t>
      </w:r>
      <w:r>
        <w:tab/>
        <w:t>Independent child, designating child to be</w:t>
      </w:r>
      <w:bookmarkEnd w:id="91"/>
      <w:bookmarkEnd w:id="92"/>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del w:id="93" w:author="svcMRProcess" w:date="2020-02-25T12:47:00Z">
        <w:r>
          <w:rPr>
            <w:iCs/>
            <w:vertAlign w:val="superscript"/>
          </w:rPr>
          <w:delText>3</w:delText>
        </w:r>
      </w:del>
      <w:ins w:id="94" w:author="svcMRProcess" w:date="2020-02-25T12:47:00Z">
        <w:r>
          <w:rPr>
            <w:iCs/>
            <w:vertAlign w:val="superscript"/>
          </w:rPr>
          <w:t>2</w:t>
        </w:r>
      </w:ins>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No. 22 of 2005 s. 20.]</w:t>
      </w:r>
    </w:p>
    <w:p>
      <w:pPr>
        <w:pStyle w:val="Heading5"/>
      </w:pPr>
      <w:bookmarkStart w:id="95" w:name="_Toc32411787"/>
      <w:bookmarkStart w:id="96" w:name="_Toc13494220"/>
      <w:r>
        <w:rPr>
          <w:rStyle w:val="CharSectno"/>
        </w:rPr>
        <w:t>11M</w:t>
      </w:r>
      <w:r>
        <w:t>.</w:t>
      </w:r>
      <w:r>
        <w:tab/>
        <w:t>Minister’s functions as to this Subdivision</w:t>
      </w:r>
      <w:bookmarkEnd w:id="95"/>
      <w:bookmarkEnd w:id="96"/>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the Association of Independent Schools of Western Australia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No. 22 of 2005 s. 20; amended: No. 46 of 2012 s. 10; No. 28 of 2014 s. 25.]</w:t>
      </w:r>
    </w:p>
    <w:p>
      <w:pPr>
        <w:pStyle w:val="Heading5"/>
      </w:pPr>
      <w:bookmarkStart w:id="97" w:name="_Toc32411788"/>
      <w:bookmarkStart w:id="98" w:name="_Toc13494221"/>
      <w:r>
        <w:rPr>
          <w:rStyle w:val="CharSectno"/>
        </w:rPr>
        <w:t>11N</w:t>
      </w:r>
      <w:r>
        <w:t>.</w:t>
      </w:r>
      <w:r>
        <w:tab/>
        <w:t>Regulations for this Subdivision</w:t>
      </w:r>
      <w:bookmarkEnd w:id="97"/>
      <w:bookmarkEnd w:id="98"/>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No. 22 of 2005 s. 20.]</w:t>
      </w:r>
    </w:p>
    <w:p>
      <w:pPr>
        <w:pStyle w:val="Heading4"/>
      </w:pPr>
      <w:bookmarkStart w:id="99" w:name="_Toc32411375"/>
      <w:bookmarkStart w:id="100" w:name="_Toc32411789"/>
      <w:bookmarkStart w:id="101" w:name="_Toc486515700"/>
      <w:bookmarkStart w:id="102" w:name="_Toc486516738"/>
      <w:bookmarkStart w:id="103" w:name="_Toc13494222"/>
      <w:r>
        <w:t>Subdivision 2 — Inquiries to check compliance with sections 9 and 11I</w:t>
      </w:r>
      <w:bookmarkEnd w:id="99"/>
      <w:bookmarkEnd w:id="100"/>
      <w:bookmarkEnd w:id="101"/>
      <w:bookmarkEnd w:id="102"/>
      <w:bookmarkEnd w:id="103"/>
    </w:p>
    <w:p>
      <w:pPr>
        <w:pStyle w:val="Footnoteheading"/>
      </w:pPr>
      <w:r>
        <w:tab/>
        <w:t>[Heading amended: No. 22 of 2005 s. 22.]</w:t>
      </w:r>
    </w:p>
    <w:p>
      <w:pPr>
        <w:pStyle w:val="Heading5"/>
      </w:pPr>
      <w:bookmarkStart w:id="104" w:name="_Toc32411790"/>
      <w:bookmarkStart w:id="105" w:name="_Toc13494223"/>
      <w:r>
        <w:rPr>
          <w:rStyle w:val="CharSectno"/>
        </w:rPr>
        <w:t>12</w:t>
      </w:r>
      <w:r>
        <w:t>.</w:t>
      </w:r>
      <w:r>
        <w:tab/>
        <w:t>Authorised persons, authorisation of</w:t>
      </w:r>
      <w:bookmarkEnd w:id="104"/>
      <w:bookmarkEnd w:id="105"/>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106" w:name="_Toc32411791"/>
      <w:bookmarkStart w:id="107" w:name="_Toc13494224"/>
      <w:r>
        <w:rPr>
          <w:rStyle w:val="CharSectno"/>
        </w:rPr>
        <w:t>13</w:t>
      </w:r>
      <w:r>
        <w:t>.</w:t>
      </w:r>
      <w:r>
        <w:tab/>
        <w:t>Authorised person, powers of</w:t>
      </w:r>
      <w:bookmarkEnd w:id="106"/>
      <w:bookmarkEnd w:id="107"/>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No. 22 of 2005 s. 23; No. 28 of 2014 s. 35.]</w:t>
      </w:r>
    </w:p>
    <w:p>
      <w:pPr>
        <w:pStyle w:val="Heading5"/>
        <w:spacing w:before="180"/>
      </w:pPr>
      <w:bookmarkStart w:id="108" w:name="_Toc32411792"/>
      <w:bookmarkStart w:id="109" w:name="_Toc13494225"/>
      <w:r>
        <w:rPr>
          <w:rStyle w:val="CharSectno"/>
        </w:rPr>
        <w:t>14</w:t>
      </w:r>
      <w:r>
        <w:t>.</w:t>
      </w:r>
      <w:r>
        <w:tab/>
        <w:t>Authorised person, certificate of authorisation for</w:t>
      </w:r>
      <w:bookmarkEnd w:id="108"/>
      <w:bookmarkEnd w:id="109"/>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110" w:name="_Toc32411793"/>
      <w:bookmarkStart w:id="111" w:name="_Toc13494226"/>
      <w:r>
        <w:rPr>
          <w:rStyle w:val="CharSectno"/>
        </w:rPr>
        <w:t>15</w:t>
      </w:r>
      <w:r>
        <w:t>.</w:t>
      </w:r>
      <w:r>
        <w:tab/>
        <w:t>Pretending to be authorised person, offence</w:t>
      </w:r>
      <w:bookmarkEnd w:id="110"/>
      <w:bookmarkEnd w:id="111"/>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No. 50 of 2003 s. 94(2); No. 28 of 2014 s. 35.]</w:t>
      </w:r>
    </w:p>
    <w:p>
      <w:pPr>
        <w:pStyle w:val="Heading3"/>
      </w:pPr>
      <w:bookmarkStart w:id="112" w:name="_Toc32411380"/>
      <w:bookmarkStart w:id="113" w:name="_Toc32411794"/>
      <w:bookmarkStart w:id="114" w:name="_Toc486515705"/>
      <w:bookmarkStart w:id="115" w:name="_Toc486516743"/>
      <w:bookmarkStart w:id="116" w:name="_Toc13494227"/>
      <w:r>
        <w:rPr>
          <w:rStyle w:val="CharDivNo"/>
        </w:rPr>
        <w:t>Division 2</w:t>
      </w:r>
      <w:r>
        <w:t xml:space="preserve"> — </w:t>
      </w:r>
      <w:r>
        <w:rPr>
          <w:rStyle w:val="CharDivText"/>
        </w:rPr>
        <w:t>Enrolment, all schools</w:t>
      </w:r>
      <w:bookmarkEnd w:id="112"/>
      <w:bookmarkEnd w:id="113"/>
      <w:bookmarkEnd w:id="114"/>
      <w:bookmarkEnd w:id="115"/>
      <w:bookmarkEnd w:id="116"/>
    </w:p>
    <w:p>
      <w:pPr>
        <w:pStyle w:val="Heading5"/>
      </w:pPr>
      <w:bookmarkStart w:id="117" w:name="_Toc32411795"/>
      <w:bookmarkStart w:id="118" w:name="_Toc13494228"/>
      <w:r>
        <w:rPr>
          <w:rStyle w:val="CharSectno"/>
        </w:rPr>
        <w:t>16</w:t>
      </w:r>
      <w:r>
        <w:t>.</w:t>
      </w:r>
      <w:r>
        <w:tab/>
        <w:t>Information required when applying to enrol</w:t>
      </w:r>
      <w:bookmarkEnd w:id="117"/>
      <w:bookmarkEnd w:id="118"/>
    </w:p>
    <w:p>
      <w:pPr>
        <w:pStyle w:val="Subsection"/>
        <w:rPr>
          <w:ins w:id="119" w:author="svcMRProcess" w:date="2020-02-25T12:47:00Z"/>
        </w:rPr>
      </w:pPr>
      <w:ins w:id="120" w:author="svcMRProcess" w:date="2020-02-25T12:47:00Z">
        <w:r>
          <w:tab/>
          <w:t>(1A)</w:t>
        </w:r>
        <w:r>
          <w:tab/>
          <w:t xml:space="preserve">In this section — </w:t>
        </w:r>
      </w:ins>
    </w:p>
    <w:p>
      <w:pPr>
        <w:pStyle w:val="Defstart"/>
        <w:rPr>
          <w:ins w:id="121" w:author="svcMRProcess" w:date="2020-02-25T12:47:00Z"/>
        </w:rPr>
      </w:pPr>
      <w:ins w:id="122" w:author="svcMRProcess" w:date="2020-02-25T12:47:00Z">
        <w:r>
          <w:tab/>
        </w:r>
        <w:r>
          <w:rPr>
            <w:rStyle w:val="CharDefText"/>
          </w:rPr>
          <w:t>immunisation status</w:t>
        </w:r>
        <w:r>
          <w:t xml:space="preserve"> has the meaning given in the </w:t>
        </w:r>
        <w:r>
          <w:rPr>
            <w:i/>
          </w:rPr>
          <w:t>Public Health Act 2016</w:t>
        </w:r>
        <w:r>
          <w:t xml:space="preserve"> section 141A.</w:t>
        </w:r>
      </w:ins>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the country of citizenship of the enrollee and, where applicable, whether the enrollee has the right to reside in Australia; and</w:t>
      </w:r>
    </w:p>
    <w:p>
      <w:pPr>
        <w:pStyle w:val="Indenta"/>
        <w:rPr>
          <w:del w:id="123" w:author="svcMRProcess" w:date="2020-02-25T12:47:00Z"/>
        </w:rPr>
      </w:pPr>
      <w:del w:id="124" w:author="svcMRProcess" w:date="2020-02-25T12:47:00Z">
        <w:r>
          <w:tab/>
          <w:delText>(f)</w:delText>
        </w:r>
        <w:r>
          <w:tab/>
          <w:delText>the vaccination status of the enrollee; and</w:delText>
        </w:r>
      </w:del>
    </w:p>
    <w:p>
      <w:pPr>
        <w:pStyle w:val="Ednotepara"/>
        <w:rPr>
          <w:ins w:id="125" w:author="svcMRProcess" w:date="2020-02-25T12:47:00Z"/>
        </w:rPr>
      </w:pPr>
      <w:ins w:id="126" w:author="svcMRProcess" w:date="2020-02-25T12:47:00Z">
        <w:r>
          <w:tab/>
          <w:t>[(f)</w:t>
        </w:r>
        <w:r>
          <w:tab/>
          <w:t>deleted]</w:t>
        </w:r>
      </w:ins>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del w:id="127" w:author="svcMRProcess" w:date="2020-02-25T12:47:00Z">
        <w:r>
          <w:delText>.</w:delText>
        </w:r>
      </w:del>
      <w:ins w:id="128" w:author="svcMRProcess" w:date="2020-02-25T12:47:00Z">
        <w:r>
          <w:t xml:space="preserve"> under subsection (1).</w:t>
        </w:r>
      </w:ins>
    </w:p>
    <w:p>
      <w:pPr>
        <w:pStyle w:val="Subsection"/>
        <w:rPr>
          <w:ins w:id="129" w:author="svcMRProcess" w:date="2020-02-25T12:47:00Z"/>
        </w:rPr>
      </w:pPr>
      <w:ins w:id="130" w:author="svcMRProcess" w:date="2020-02-25T12:47:00Z">
        <w:r>
          <w:tab/>
          <w:t>(3)</w:t>
        </w:r>
        <w:r>
          <w:tab/>
          <w:t xml:space="preserve">A person who wishes to make an application for enrolment of a child at a school is to provide the immunisation status of the enrollee in accordance with the </w:t>
        </w:r>
        <w:r>
          <w:rPr>
            <w:i/>
          </w:rPr>
          <w:t>Public Health Act 2016</w:t>
        </w:r>
        <w:r>
          <w:t xml:space="preserve"> section 141B.</w:t>
        </w:r>
      </w:ins>
    </w:p>
    <w:p>
      <w:pPr>
        <w:pStyle w:val="Footnotesection"/>
        <w:rPr>
          <w:ins w:id="131" w:author="svcMRProcess" w:date="2020-02-25T12:47:00Z"/>
        </w:rPr>
      </w:pPr>
      <w:ins w:id="132" w:author="svcMRProcess" w:date="2020-02-25T12:47:00Z">
        <w:r>
          <w:tab/>
          <w:t>[Section 16 amended: No. 14 of 2019 s. 15.]</w:t>
        </w:r>
      </w:ins>
    </w:p>
    <w:p>
      <w:pPr>
        <w:pStyle w:val="Heading5"/>
        <w:spacing w:before="240"/>
      </w:pPr>
      <w:bookmarkStart w:id="133" w:name="_Toc32411796"/>
      <w:bookmarkStart w:id="134" w:name="_Toc13494229"/>
      <w:r>
        <w:rPr>
          <w:rStyle w:val="CharSectno"/>
        </w:rPr>
        <w:t>17</w:t>
      </w:r>
      <w:r>
        <w:t>.</w:t>
      </w:r>
      <w:r>
        <w:tab/>
        <w:t>Change of s. 16 particulars, principal to be notified of</w:t>
      </w:r>
      <w:bookmarkEnd w:id="133"/>
      <w:bookmarkEnd w:id="134"/>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 xml:space="preserve">the particulars referred to in section 16(1)(b), (c) or (g) </w:t>
      </w:r>
      <w:ins w:id="135" w:author="svcMRProcess" w:date="2020-02-25T12:47:00Z">
        <w:r>
          <w:t xml:space="preserve">or section 16(3) </w:t>
        </w:r>
      </w:ins>
      <w:r>
        <w:t>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No. 1 of 2011 s. </w:t>
      </w:r>
      <w:del w:id="136" w:author="svcMRProcess" w:date="2020-02-25T12:47:00Z">
        <w:r>
          <w:delText>8</w:delText>
        </w:r>
      </w:del>
      <w:ins w:id="137" w:author="svcMRProcess" w:date="2020-02-25T12:47:00Z">
        <w:r>
          <w:t>8; No. 14 of 2019 s. 16</w:t>
        </w:r>
      </w:ins>
      <w:r>
        <w:t>.]</w:t>
      </w:r>
    </w:p>
    <w:p>
      <w:pPr>
        <w:pStyle w:val="Heading5"/>
      </w:pPr>
      <w:bookmarkStart w:id="138" w:name="_Toc32411797"/>
      <w:bookmarkStart w:id="139" w:name="_Toc13494230"/>
      <w:r>
        <w:rPr>
          <w:rStyle w:val="CharSectno"/>
        </w:rPr>
        <w:t>18</w:t>
      </w:r>
      <w:r>
        <w:t>.</w:t>
      </w:r>
      <w:r>
        <w:tab/>
        <w:t>Child enrolment application by one parent, principal may act on</w:t>
      </w:r>
      <w:bookmarkEnd w:id="138"/>
      <w:bookmarkEnd w:id="139"/>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40" w:name="_Toc32411798"/>
      <w:bookmarkStart w:id="141" w:name="_Toc13494231"/>
      <w:r>
        <w:rPr>
          <w:rStyle w:val="CharSectno"/>
        </w:rPr>
        <w:t>19</w:t>
      </w:r>
      <w:r>
        <w:t>.</w:t>
      </w:r>
      <w:r>
        <w:tab/>
        <w:t>Enrolment register, principal’s duties as to</w:t>
      </w:r>
      <w:bookmarkEnd w:id="140"/>
      <w:bookmarkEnd w:id="141"/>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42" w:name="_Toc32411799"/>
      <w:bookmarkStart w:id="143" w:name="_Toc13494232"/>
      <w:r>
        <w:rPr>
          <w:rStyle w:val="CharSectno"/>
        </w:rPr>
        <w:t>20</w:t>
      </w:r>
      <w:r>
        <w:t>.</w:t>
      </w:r>
      <w:r>
        <w:tab/>
        <w:t>Cancelling enrolment, principal’s powers as to</w:t>
      </w:r>
      <w:bookmarkEnd w:id="142"/>
      <w:bookmarkEnd w:id="143"/>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144" w:name="_Toc32411800"/>
      <w:bookmarkStart w:id="145" w:name="_Toc13494233"/>
      <w:r>
        <w:rPr>
          <w:rStyle w:val="CharSectno"/>
        </w:rPr>
        <w:t>21</w:t>
      </w:r>
      <w:r>
        <w:t>.</w:t>
      </w:r>
      <w:r>
        <w:tab/>
        <w:t>Removing child from school register, when allowed</w:t>
      </w:r>
      <w:bookmarkEnd w:id="144"/>
      <w:bookmarkEnd w:id="145"/>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146" w:name="_Toc32411387"/>
      <w:bookmarkStart w:id="147" w:name="_Toc32411801"/>
      <w:bookmarkStart w:id="148" w:name="_Toc486515712"/>
      <w:bookmarkStart w:id="149" w:name="_Toc486516750"/>
      <w:bookmarkStart w:id="150" w:name="_Toc13494234"/>
      <w:r>
        <w:rPr>
          <w:rStyle w:val="CharDivNo"/>
        </w:rPr>
        <w:t>Division 3</w:t>
      </w:r>
      <w:r>
        <w:t xml:space="preserve"> — </w:t>
      </w:r>
      <w:r>
        <w:rPr>
          <w:rStyle w:val="CharDivText"/>
        </w:rPr>
        <w:t>Attendance, all schools</w:t>
      </w:r>
      <w:bookmarkEnd w:id="146"/>
      <w:bookmarkEnd w:id="147"/>
      <w:bookmarkEnd w:id="148"/>
      <w:bookmarkEnd w:id="149"/>
      <w:bookmarkEnd w:id="150"/>
    </w:p>
    <w:p>
      <w:pPr>
        <w:pStyle w:val="Heading5"/>
        <w:spacing w:before="180"/>
      </w:pPr>
      <w:bookmarkStart w:id="151" w:name="_Toc32411802"/>
      <w:bookmarkStart w:id="152" w:name="_Toc13494235"/>
      <w:r>
        <w:rPr>
          <w:rStyle w:val="CharSectno"/>
        </w:rPr>
        <w:t>22</w:t>
      </w:r>
      <w:r>
        <w:t>.</w:t>
      </w:r>
      <w:r>
        <w:tab/>
        <w:t>Term used: school</w:t>
      </w:r>
      <w:bookmarkEnd w:id="151"/>
      <w:bookmarkEnd w:id="152"/>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153" w:name="_Toc32411803"/>
      <w:bookmarkStart w:id="154" w:name="_Toc13494236"/>
      <w:r>
        <w:rPr>
          <w:rStyle w:val="CharSectno"/>
        </w:rPr>
        <w:t>23</w:t>
      </w:r>
      <w:r>
        <w:t>.</w:t>
      </w:r>
      <w:r>
        <w:tab/>
        <w:t>Attendance requirements</w:t>
      </w:r>
      <w:bookmarkEnd w:id="153"/>
      <w:bookmarkEnd w:id="154"/>
    </w:p>
    <w:p>
      <w:pPr>
        <w:pStyle w:val="Subsection"/>
      </w:pPr>
      <w:r>
        <w:tab/>
        <w:t>(1)</w:t>
      </w:r>
      <w:r>
        <w:tab/>
        <w:t>A student must</w:t>
      </w:r>
      <w:ins w:id="155" w:author="svcMRProcess" w:date="2020-02-25T12:47:00Z">
        <w:r>
          <w:t>, for every year of the student’s compulsory education period,</w:t>
        </w:r>
      </w:ins>
      <w:r>
        <w:t xml:space="preserve"> on the days on which the school is open for instruction —</w:t>
      </w:r>
    </w:p>
    <w:p>
      <w:pPr>
        <w:pStyle w:val="Indenta"/>
      </w:pPr>
      <w:r>
        <w:tab/>
        <w:t>(a)</w:t>
      </w:r>
      <w:r>
        <w:tab/>
        <w:t>either —</w:t>
      </w:r>
    </w:p>
    <w:p>
      <w:pPr>
        <w:pStyle w:val="Indenti"/>
      </w:pPr>
      <w:r>
        <w:tab/>
        <w:t>(i)</w:t>
      </w:r>
      <w:r>
        <w:tab/>
        <w:t xml:space="preserve">attend the school at which </w:t>
      </w:r>
      <w:del w:id="156" w:author="svcMRProcess" w:date="2020-02-25T12:47:00Z">
        <w:r>
          <w:delText>he or she</w:delText>
        </w:r>
      </w:del>
      <w:ins w:id="157" w:author="svcMRProcess" w:date="2020-02-25T12:47:00Z">
        <w:r>
          <w:t>the student</w:t>
        </w:r>
      </w:ins>
      <w:r>
        <w:t xml:space="preserv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 xml:space="preserve">section 27 (which </w:t>
      </w:r>
      <w:del w:id="158" w:author="svcMRProcess" w:date="2020-02-25T12:47:00Z">
        <w:r>
          <w:delText>enables a principal</w:delText>
        </w:r>
      </w:del>
      <w:ins w:id="159" w:author="svcMRProcess" w:date="2020-02-25T12:47:00Z">
        <w:r>
          <w:t>relates</w:t>
        </w:r>
      </w:ins>
      <w:r>
        <w:t xml:space="preserve"> to </w:t>
      </w:r>
      <w:del w:id="160" w:author="svcMRProcess" w:date="2020-02-25T12:47:00Z">
        <w:r>
          <w:delText xml:space="preserve">require </w:delText>
        </w:r>
      </w:del>
      <w:r>
        <w:t>non</w:t>
      </w:r>
      <w:r>
        <w:noBreakHyphen/>
        <w:t>attendance for</w:t>
      </w:r>
      <w:ins w:id="161" w:author="svcMRProcess" w:date="2020-02-25T12:47:00Z">
        <w:r>
          <w:t xml:space="preserve"> public</w:t>
        </w:r>
      </w:ins>
      <w:r>
        <w:t xml:space="preserve">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No. 22 of 2005 s. </w:t>
      </w:r>
      <w:del w:id="162" w:author="svcMRProcess" w:date="2020-02-25T12:47:00Z">
        <w:r>
          <w:delText>24</w:delText>
        </w:r>
      </w:del>
      <w:ins w:id="163" w:author="svcMRProcess" w:date="2020-02-25T12:47:00Z">
        <w:r>
          <w:t>24; No. 14 of 2019 s. 17</w:t>
        </w:r>
      </w:ins>
      <w:r>
        <w:t>.]</w:t>
      </w:r>
    </w:p>
    <w:p>
      <w:pPr>
        <w:pStyle w:val="Heading5"/>
      </w:pPr>
      <w:bookmarkStart w:id="164" w:name="_Toc32411804"/>
      <w:bookmarkStart w:id="165" w:name="_Toc13494237"/>
      <w:r>
        <w:rPr>
          <w:rStyle w:val="CharSectno"/>
        </w:rPr>
        <w:t>24</w:t>
      </w:r>
      <w:r>
        <w:t>.</w:t>
      </w:r>
      <w:r>
        <w:tab/>
        <w:t>Attendance at place outside school, arrangement for etc.</w:t>
      </w:r>
      <w:bookmarkEnd w:id="164"/>
      <w:bookmarkEnd w:id="165"/>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166" w:name="_Toc32411805"/>
      <w:bookmarkStart w:id="167" w:name="_Toc13494238"/>
      <w:r>
        <w:rPr>
          <w:rStyle w:val="CharSectno"/>
        </w:rPr>
        <w:t>25</w:t>
      </w:r>
      <w:r>
        <w:t>.</w:t>
      </w:r>
      <w:r>
        <w:tab/>
        <w:t>When student excused from attendance</w:t>
      </w:r>
      <w:bookmarkEnd w:id="166"/>
      <w:bookmarkEnd w:id="167"/>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168" w:name="_Toc32411806"/>
      <w:bookmarkStart w:id="169" w:name="_Toc13494239"/>
      <w:r>
        <w:rPr>
          <w:rStyle w:val="CharSectno"/>
        </w:rPr>
        <w:t>26</w:t>
      </w:r>
      <w:r>
        <w:t>.</w:t>
      </w:r>
      <w:r>
        <w:tab/>
        <w:t>Doubtful reasons given for child’s non-attendance, principal may refer to Attendance Panel etc.</w:t>
      </w:r>
      <w:bookmarkEnd w:id="168"/>
      <w:bookmarkEnd w:id="169"/>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No. 22 of 2005 s. 39(1); No. 28 of 2014 s. 26; No. 23 of 2015 s. 19.]</w:t>
      </w:r>
    </w:p>
    <w:p>
      <w:pPr>
        <w:pStyle w:val="Heading5"/>
        <w:rPr>
          <w:ins w:id="170" w:author="svcMRProcess" w:date="2020-02-25T12:47:00Z"/>
        </w:rPr>
      </w:pPr>
      <w:bookmarkStart w:id="171" w:name="_Toc32411807"/>
      <w:bookmarkStart w:id="172" w:name="_Toc13494240"/>
      <w:r>
        <w:rPr>
          <w:rStyle w:val="CharSectno"/>
        </w:rPr>
        <w:t>27</w:t>
      </w:r>
      <w:r>
        <w:t>.</w:t>
      </w:r>
      <w:r>
        <w:tab/>
      </w:r>
      <w:del w:id="173" w:author="svcMRProcess" w:date="2020-02-25T12:47:00Z">
        <w:r>
          <w:delText>Infectious etc.</w:delText>
        </w:r>
      </w:del>
      <w:ins w:id="174" w:author="svcMRProcess" w:date="2020-02-25T12:47:00Z">
        <w:r>
          <w:t>Non attendance of</w:t>
        </w:r>
      </w:ins>
      <w:r>
        <w:t xml:space="preserve"> student</w:t>
      </w:r>
      <w:del w:id="175" w:author="svcMRProcess" w:date="2020-02-25T12:47:00Z">
        <w:r>
          <w:delText>,</w:delText>
        </w:r>
      </w:del>
      <w:ins w:id="176" w:author="svcMRProcess" w:date="2020-02-25T12:47:00Z">
        <w:r>
          <w:t xml:space="preserve"> may be required on public health grounds</w:t>
        </w:r>
        <w:bookmarkEnd w:id="171"/>
      </w:ins>
    </w:p>
    <w:p>
      <w:pPr>
        <w:pStyle w:val="Subsection"/>
        <w:keepNext/>
        <w:rPr>
          <w:ins w:id="177" w:author="svcMRProcess" w:date="2020-02-25T12:47:00Z"/>
        </w:rPr>
      </w:pPr>
      <w:ins w:id="178" w:author="svcMRProcess" w:date="2020-02-25T12:47:00Z">
        <w:r>
          <w:tab/>
          <w:t>(1A)</w:t>
        </w:r>
        <w:r>
          <w:tab/>
          <w:t xml:space="preserve">In this section — </w:t>
        </w:r>
      </w:ins>
    </w:p>
    <w:p>
      <w:pPr>
        <w:pStyle w:val="Defstart"/>
        <w:rPr>
          <w:ins w:id="179" w:author="svcMRProcess" w:date="2020-02-25T12:47:00Z"/>
        </w:rPr>
      </w:pPr>
      <w:ins w:id="180" w:author="svcMRProcess" w:date="2020-02-25T12:47:00Z">
        <w:r>
          <w:tab/>
        </w:r>
        <w:r>
          <w:rPr>
            <w:rStyle w:val="CharDefText"/>
          </w:rPr>
          <w:t>Chief Health Officer</w:t>
        </w:r>
        <w:r>
          <w:t xml:space="preserve"> has the meaning given in the</w:t>
        </w:r>
        <w:r>
          <w:rPr>
            <w:i/>
          </w:rPr>
          <w:t xml:space="preserve"> Public Health Act 2016</w:t>
        </w:r>
        <w:r>
          <w:t xml:space="preserve"> section 4(1).</w:t>
        </w:r>
      </w:ins>
    </w:p>
    <w:p>
      <w:pPr>
        <w:pStyle w:val="Subsection"/>
      </w:pPr>
      <w:ins w:id="181" w:author="svcMRProcess" w:date="2020-02-25T12:47:00Z">
        <w:r>
          <w:tab/>
          <w:t>(1B)</w:t>
        </w:r>
        <w:r>
          <w:tab/>
          <w:t>The</w:t>
        </w:r>
      </w:ins>
      <w:r>
        <w:t xml:space="preserve"> principal </w:t>
      </w:r>
      <w:del w:id="182" w:author="svcMRProcess" w:date="2020-02-25T12:47:00Z">
        <w:r>
          <w:delText>may require non</w:delText>
        </w:r>
        <w:r>
          <w:noBreakHyphen/>
          <w:delText>attendance of</w:delText>
        </w:r>
      </w:del>
      <w:bookmarkEnd w:id="172"/>
      <w:ins w:id="183" w:author="svcMRProcess" w:date="2020-02-25T12:47:00Z">
        <w:r>
          <w:t xml:space="preserve">of a school must comply with a direction given by the Chief Health Officer under regulations made for the purposes of the </w:t>
        </w:r>
        <w:r>
          <w:rPr>
            <w:i/>
          </w:rPr>
          <w:t>Public Health Act 2016</w:t>
        </w:r>
        <w:r>
          <w:t xml:space="preserve"> section 142(1)(d) to not permit a child to attend the school or participate in an educational programme of the school.</w:t>
        </w:r>
      </w:ins>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r>
      <w:del w:id="184" w:author="svcMRProcess" w:date="2020-02-25T12:47:00Z">
        <w:r>
          <w:delText>This section</w:delText>
        </w:r>
      </w:del>
      <w:ins w:id="185" w:author="svcMRProcess" w:date="2020-02-25T12:47:00Z">
        <w:r>
          <w:t>Subsection (1)</w:t>
        </w:r>
      </w:ins>
      <w:r>
        <w:t xml:space="preserve"> applies to a medical condition that, on advice from the Chief Health Officer or a registered medical practitioner, the principal considers may be infectious, contagious or otherwise harmful to the health of persons who are at the school or participating in an educational programme of the school.</w:t>
      </w:r>
    </w:p>
    <w:p>
      <w:pPr>
        <w:pStyle w:val="Ednotesubsection"/>
      </w:pPr>
      <w:r>
        <w:tab/>
      </w:r>
      <w:del w:id="186" w:author="svcMRProcess" w:date="2020-02-25T12:47:00Z">
        <w:r>
          <w:delText>(</w:delText>
        </w:r>
      </w:del>
      <w:ins w:id="187" w:author="svcMRProcess" w:date="2020-02-25T12:47:00Z">
        <w:r>
          <w:t>[(</w:t>
        </w:r>
      </w:ins>
      <w:r>
        <w:t>3A)</w:t>
      </w:r>
      <w:r>
        <w:tab/>
      </w:r>
      <w:del w:id="188" w:author="svcMRProcess" w:date="2020-02-25T12:47:00Z">
        <w:r>
          <w:delText xml:space="preserve">In subsection (2) — </w:delText>
        </w:r>
      </w:del>
      <w:ins w:id="189" w:author="svcMRProcess" w:date="2020-02-25T12:47:00Z">
        <w:r>
          <w:t>deleted]</w:t>
        </w:r>
      </w:ins>
    </w:p>
    <w:p>
      <w:pPr>
        <w:pStyle w:val="Defstart"/>
        <w:rPr>
          <w:del w:id="190" w:author="svcMRProcess" w:date="2020-02-25T12:47:00Z"/>
        </w:rPr>
      </w:pPr>
      <w:del w:id="191" w:author="svcMRProcess" w:date="2020-02-25T12:47:00Z">
        <w:r>
          <w:tab/>
        </w:r>
        <w:r>
          <w:rPr>
            <w:rStyle w:val="CharDefText"/>
          </w:rPr>
          <w:delText>Chief Health Officer</w:delText>
        </w:r>
        <w:r>
          <w:delText xml:space="preserve"> has the meaning given in the </w:delText>
        </w:r>
        <w:r>
          <w:rPr>
            <w:i/>
          </w:rPr>
          <w:delText>Public Health Act 2016</w:delText>
        </w:r>
        <w:r>
          <w:delText xml:space="preserve"> section 4(1).</w:delText>
        </w:r>
      </w:del>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No. 28 of 2014 s. 35; No. 19 of 2016 s. 188</w:t>
      </w:r>
      <w:ins w:id="192" w:author="svcMRProcess" w:date="2020-02-25T12:47:00Z">
        <w:r>
          <w:t>; No. 14 of 2019 s. 18</w:t>
        </w:r>
      </w:ins>
      <w:r>
        <w:t>.]</w:t>
      </w:r>
    </w:p>
    <w:p>
      <w:pPr>
        <w:pStyle w:val="Heading5"/>
      </w:pPr>
      <w:bookmarkStart w:id="193" w:name="_Toc32411808"/>
      <w:bookmarkStart w:id="194" w:name="_Toc13494241"/>
      <w:r>
        <w:rPr>
          <w:rStyle w:val="CharSectno"/>
        </w:rPr>
        <w:t>28</w:t>
      </w:r>
      <w:r>
        <w:t>.</w:t>
      </w:r>
      <w:r>
        <w:tab/>
        <w:t>Attendance records, principal’s duties as to</w:t>
      </w:r>
      <w:bookmarkEnd w:id="193"/>
      <w:bookmarkEnd w:id="194"/>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195" w:name="_Toc32411809"/>
      <w:bookmarkStart w:id="196" w:name="_Toc13494242"/>
      <w:r>
        <w:rPr>
          <w:rStyle w:val="CharSectno"/>
        </w:rPr>
        <w:t>29</w:t>
      </w:r>
      <w:r>
        <w:t>.</w:t>
      </w:r>
      <w:r>
        <w:tab/>
        <w:t>Employing child during school hours, offence</w:t>
      </w:r>
      <w:bookmarkEnd w:id="195"/>
      <w:bookmarkEnd w:id="196"/>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No. 22 of 2005 s. 25; No. 28 of 2014 s. 35.]</w:t>
      </w:r>
    </w:p>
    <w:p>
      <w:pPr>
        <w:pStyle w:val="Heading3"/>
      </w:pPr>
      <w:bookmarkStart w:id="197" w:name="_Toc32411396"/>
      <w:bookmarkStart w:id="198" w:name="_Toc32411810"/>
      <w:bookmarkStart w:id="199" w:name="_Toc486515721"/>
      <w:bookmarkStart w:id="200" w:name="_Toc486516759"/>
      <w:bookmarkStart w:id="201" w:name="_Toc13494243"/>
      <w:r>
        <w:rPr>
          <w:rStyle w:val="CharDivNo"/>
        </w:rPr>
        <w:t>Division 4</w:t>
      </w:r>
      <w:r>
        <w:t xml:space="preserve"> — </w:t>
      </w:r>
      <w:r>
        <w:rPr>
          <w:rStyle w:val="CharDivText"/>
        </w:rPr>
        <w:t>Government schools, absence for special observance</w:t>
      </w:r>
      <w:bookmarkEnd w:id="197"/>
      <w:bookmarkEnd w:id="198"/>
      <w:bookmarkEnd w:id="199"/>
      <w:bookmarkEnd w:id="200"/>
      <w:bookmarkEnd w:id="201"/>
    </w:p>
    <w:p>
      <w:pPr>
        <w:pStyle w:val="Heading5"/>
      </w:pPr>
      <w:bookmarkStart w:id="202" w:name="_Toc32411811"/>
      <w:bookmarkStart w:id="203" w:name="_Toc13494244"/>
      <w:r>
        <w:rPr>
          <w:rStyle w:val="CharSectno"/>
        </w:rPr>
        <w:t>30</w:t>
      </w:r>
      <w:r>
        <w:t>.</w:t>
      </w:r>
      <w:r>
        <w:tab/>
        <w:t>Recognized religious or cultural period, child excused from attendance for</w:t>
      </w:r>
      <w:bookmarkEnd w:id="202"/>
      <w:bookmarkEnd w:id="203"/>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204" w:name="_Toc32411812"/>
      <w:bookmarkStart w:id="205" w:name="_Toc13494245"/>
      <w:r>
        <w:rPr>
          <w:rStyle w:val="CharSectno"/>
        </w:rPr>
        <w:t>31</w:t>
      </w:r>
      <w:r>
        <w:t>.</w:t>
      </w:r>
      <w:r>
        <w:tab/>
        <w:t>Days etc. to which s. 30 applies</w:t>
      </w:r>
      <w:bookmarkEnd w:id="204"/>
      <w:bookmarkEnd w:id="205"/>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206" w:name="_Toc32411399"/>
      <w:bookmarkStart w:id="207" w:name="_Toc32411813"/>
      <w:bookmarkStart w:id="208" w:name="_Toc486515724"/>
      <w:bookmarkStart w:id="209" w:name="_Toc486516762"/>
      <w:bookmarkStart w:id="210" w:name="_Toc13494246"/>
      <w:r>
        <w:rPr>
          <w:rStyle w:val="CharDivNo"/>
        </w:rPr>
        <w:t>Division 5</w:t>
      </w:r>
      <w:r>
        <w:t xml:space="preserve"> — </w:t>
      </w:r>
      <w:r>
        <w:rPr>
          <w:rStyle w:val="CharDivText"/>
        </w:rPr>
        <w:t>Absentee students and non</w:t>
      </w:r>
      <w:r>
        <w:rPr>
          <w:rStyle w:val="CharDivText"/>
        </w:rPr>
        <w:noBreakHyphen/>
        <w:t>participating children</w:t>
      </w:r>
      <w:bookmarkEnd w:id="206"/>
      <w:bookmarkEnd w:id="207"/>
      <w:bookmarkEnd w:id="208"/>
      <w:bookmarkEnd w:id="209"/>
      <w:bookmarkEnd w:id="210"/>
    </w:p>
    <w:p>
      <w:pPr>
        <w:pStyle w:val="Footnoteheading"/>
        <w:spacing w:before="100"/>
      </w:pPr>
      <w:r>
        <w:tab/>
        <w:t>[Heading amended: No. 22 of 2005 s. 26.]</w:t>
      </w:r>
    </w:p>
    <w:p>
      <w:pPr>
        <w:pStyle w:val="Heading4"/>
        <w:spacing w:before="180"/>
      </w:pPr>
      <w:bookmarkStart w:id="211" w:name="_Toc32411400"/>
      <w:bookmarkStart w:id="212" w:name="_Toc32411814"/>
      <w:bookmarkStart w:id="213" w:name="_Toc486515725"/>
      <w:bookmarkStart w:id="214" w:name="_Toc486516763"/>
      <w:bookmarkStart w:id="215" w:name="_Toc13494247"/>
      <w:r>
        <w:t>Subdivision 1 — Preliminary</w:t>
      </w:r>
      <w:bookmarkEnd w:id="211"/>
      <w:bookmarkEnd w:id="212"/>
      <w:bookmarkEnd w:id="213"/>
      <w:bookmarkEnd w:id="214"/>
      <w:bookmarkEnd w:id="215"/>
    </w:p>
    <w:p>
      <w:pPr>
        <w:pStyle w:val="Heading5"/>
        <w:spacing w:before="180"/>
      </w:pPr>
      <w:bookmarkStart w:id="216" w:name="_Toc32411815"/>
      <w:bookmarkStart w:id="217" w:name="_Toc13494248"/>
      <w:r>
        <w:rPr>
          <w:rStyle w:val="CharSectno"/>
        </w:rPr>
        <w:t>32</w:t>
      </w:r>
      <w:r>
        <w:t>.</w:t>
      </w:r>
      <w:r>
        <w:tab/>
        <w:t>Terms used</w:t>
      </w:r>
      <w:bookmarkEnd w:id="216"/>
      <w:bookmarkEnd w:id="217"/>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No. 22 of 2005 s. 27.]</w:t>
      </w:r>
    </w:p>
    <w:p>
      <w:pPr>
        <w:pStyle w:val="Heading4"/>
        <w:spacing w:before="180"/>
      </w:pPr>
      <w:bookmarkStart w:id="218" w:name="_Toc32411402"/>
      <w:bookmarkStart w:id="219" w:name="_Toc32411816"/>
      <w:bookmarkStart w:id="220" w:name="_Toc486515727"/>
      <w:bookmarkStart w:id="221" w:name="_Toc486516765"/>
      <w:bookmarkStart w:id="222" w:name="_Toc13494249"/>
      <w:r>
        <w:t>Subdivision 2 — Attendance officers</w:t>
      </w:r>
      <w:bookmarkEnd w:id="218"/>
      <w:bookmarkEnd w:id="219"/>
      <w:bookmarkEnd w:id="220"/>
      <w:bookmarkEnd w:id="221"/>
      <w:bookmarkEnd w:id="222"/>
    </w:p>
    <w:p>
      <w:pPr>
        <w:pStyle w:val="Footnoteheading"/>
        <w:spacing w:before="80"/>
      </w:pPr>
      <w:r>
        <w:tab/>
        <w:t>[Heading amended: No. 22 of 2005 s. 28.]</w:t>
      </w:r>
    </w:p>
    <w:p>
      <w:pPr>
        <w:pStyle w:val="Heading5"/>
        <w:spacing w:before="180"/>
      </w:pPr>
      <w:bookmarkStart w:id="223" w:name="_Toc32411817"/>
      <w:bookmarkStart w:id="224" w:name="_Toc13494250"/>
      <w:r>
        <w:rPr>
          <w:rStyle w:val="CharSectno"/>
        </w:rPr>
        <w:t>33</w:t>
      </w:r>
      <w:r>
        <w:t>.</w:t>
      </w:r>
      <w:r>
        <w:tab/>
        <w:t>Attendance officers, designation of</w:t>
      </w:r>
      <w:bookmarkEnd w:id="223"/>
      <w:bookmarkEnd w:id="224"/>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No. 22 of 2005 s. 40(1).]</w:t>
      </w:r>
    </w:p>
    <w:p>
      <w:pPr>
        <w:pStyle w:val="Heading5"/>
        <w:spacing w:before="180"/>
      </w:pPr>
      <w:bookmarkStart w:id="225" w:name="_Toc32411818"/>
      <w:bookmarkStart w:id="226" w:name="_Toc13494251"/>
      <w:r>
        <w:rPr>
          <w:rStyle w:val="CharSectno"/>
        </w:rPr>
        <w:t>34</w:t>
      </w:r>
      <w:r>
        <w:t>.</w:t>
      </w:r>
      <w:r>
        <w:tab/>
        <w:t>Attendance officer, certificate of designation for</w:t>
      </w:r>
      <w:bookmarkEnd w:id="225"/>
      <w:bookmarkEnd w:id="226"/>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No. 22 of 2005 s. 40.]</w:t>
      </w:r>
    </w:p>
    <w:p>
      <w:pPr>
        <w:pStyle w:val="Heading5"/>
      </w:pPr>
      <w:bookmarkStart w:id="227" w:name="_Toc32411819"/>
      <w:bookmarkStart w:id="228" w:name="_Toc13494252"/>
      <w:r>
        <w:rPr>
          <w:rStyle w:val="CharSectno"/>
        </w:rPr>
        <w:t>35</w:t>
      </w:r>
      <w:r>
        <w:t>.</w:t>
      </w:r>
      <w:r>
        <w:tab/>
        <w:t>Pretending to be attendance officer, offence</w:t>
      </w:r>
      <w:bookmarkEnd w:id="227"/>
      <w:bookmarkEnd w:id="228"/>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No. 50 of 2003 s. 94(2); No. 22 of 2005 s. 40(1); No. 28 of 2014 s. 35.]</w:t>
      </w:r>
    </w:p>
    <w:p>
      <w:pPr>
        <w:pStyle w:val="Heading4"/>
      </w:pPr>
      <w:bookmarkStart w:id="229" w:name="_Toc32411406"/>
      <w:bookmarkStart w:id="230" w:name="_Toc32411820"/>
      <w:bookmarkStart w:id="231" w:name="_Toc486515731"/>
      <w:bookmarkStart w:id="232" w:name="_Toc486516769"/>
      <w:bookmarkStart w:id="233" w:name="_Toc13494253"/>
      <w:r>
        <w:t>Subdivision 3 — Powers of attendance officers</w:t>
      </w:r>
      <w:bookmarkEnd w:id="229"/>
      <w:bookmarkEnd w:id="230"/>
      <w:bookmarkEnd w:id="231"/>
      <w:bookmarkEnd w:id="232"/>
      <w:bookmarkEnd w:id="233"/>
    </w:p>
    <w:p>
      <w:pPr>
        <w:pStyle w:val="Footnoteheading"/>
      </w:pPr>
      <w:r>
        <w:tab/>
        <w:t>[Heading amended: No. 22 of 2005 s. 29.]</w:t>
      </w:r>
    </w:p>
    <w:p>
      <w:pPr>
        <w:pStyle w:val="Heading5"/>
      </w:pPr>
      <w:bookmarkStart w:id="234" w:name="_Toc32411821"/>
      <w:bookmarkStart w:id="235" w:name="_Toc13494254"/>
      <w:r>
        <w:rPr>
          <w:rStyle w:val="CharSectno"/>
        </w:rPr>
        <w:t>36</w:t>
      </w:r>
      <w:r>
        <w:t>.</w:t>
      </w:r>
      <w:r>
        <w:tab/>
        <w:t>Powers to detain and question and to enter public places</w:t>
      </w:r>
      <w:bookmarkEnd w:id="234"/>
      <w:bookmarkEnd w:id="235"/>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No. 22 of 2005 s. 30 and 40; No. 28 of 2014 s. 35.]</w:t>
      </w:r>
    </w:p>
    <w:p>
      <w:pPr>
        <w:pStyle w:val="Heading5"/>
      </w:pPr>
      <w:bookmarkStart w:id="236" w:name="_Toc32411822"/>
      <w:bookmarkStart w:id="237" w:name="_Toc13494255"/>
      <w:r>
        <w:rPr>
          <w:rStyle w:val="CharSectno"/>
        </w:rPr>
        <w:t>37</w:t>
      </w:r>
      <w:r>
        <w:t>.</w:t>
      </w:r>
      <w:r>
        <w:tab/>
        <w:t>Obstructing etc. attendance officer, offence</w:t>
      </w:r>
      <w:bookmarkEnd w:id="236"/>
      <w:bookmarkEnd w:id="237"/>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No. 22 of 2005 s. 40(1); No. 28 of 2014 s. 35.]</w:t>
      </w:r>
    </w:p>
    <w:p>
      <w:pPr>
        <w:pStyle w:val="Heading4"/>
      </w:pPr>
      <w:bookmarkStart w:id="238" w:name="_Toc32411409"/>
      <w:bookmarkStart w:id="239" w:name="_Toc32411823"/>
      <w:bookmarkStart w:id="240" w:name="_Toc486515734"/>
      <w:bookmarkStart w:id="241" w:name="_Toc486516772"/>
      <w:bookmarkStart w:id="242" w:name="_Toc13494256"/>
      <w:r>
        <w:t>Subdivision 4 — Dealing with non</w:t>
      </w:r>
      <w:r>
        <w:noBreakHyphen/>
        <w:t>attendance and non</w:t>
      </w:r>
      <w:r>
        <w:noBreakHyphen/>
        <w:t>participation and enforcing attendance and participation</w:t>
      </w:r>
      <w:bookmarkEnd w:id="238"/>
      <w:bookmarkEnd w:id="239"/>
      <w:bookmarkEnd w:id="240"/>
      <w:bookmarkEnd w:id="241"/>
      <w:bookmarkEnd w:id="242"/>
    </w:p>
    <w:p>
      <w:pPr>
        <w:pStyle w:val="Footnoteheading"/>
        <w:spacing w:before="80"/>
      </w:pPr>
      <w:r>
        <w:tab/>
        <w:t>[Heading amended: No. 22 of 2005 s. 31.]</w:t>
      </w:r>
    </w:p>
    <w:p>
      <w:pPr>
        <w:pStyle w:val="Heading5"/>
        <w:spacing w:before="180"/>
      </w:pPr>
      <w:bookmarkStart w:id="243" w:name="_Toc32411824"/>
      <w:bookmarkStart w:id="244" w:name="_Toc13494257"/>
      <w:r>
        <w:rPr>
          <w:rStyle w:val="CharSectno"/>
        </w:rPr>
        <w:t>38</w:t>
      </w:r>
      <w:r>
        <w:t>.</w:t>
      </w:r>
      <w:r>
        <w:tab/>
        <w:t>Breach of s. 23, offence by parent and child</w:t>
      </w:r>
      <w:bookmarkEnd w:id="243"/>
      <w:bookmarkEnd w:id="244"/>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No. 22 of 2005 s. 32; No. 28 of 2014 s. 35.]</w:t>
      </w:r>
    </w:p>
    <w:p>
      <w:pPr>
        <w:pStyle w:val="Heading5"/>
        <w:spacing w:before="180"/>
      </w:pPr>
      <w:bookmarkStart w:id="245" w:name="_Toc32411825"/>
      <w:bookmarkStart w:id="246" w:name="_Toc13494258"/>
      <w:r>
        <w:rPr>
          <w:rStyle w:val="CharSectno"/>
        </w:rPr>
        <w:t>39</w:t>
      </w:r>
      <w:r>
        <w:t>.</w:t>
      </w:r>
      <w:r>
        <w:tab/>
        <w:t>Attendance Panel, appointment and procedure of etc.</w:t>
      </w:r>
      <w:bookmarkEnd w:id="245"/>
      <w:bookmarkEnd w:id="246"/>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No. 22 of 2005 s. 39(1); No. 39 of 2010 s. 89.]</w:t>
      </w:r>
    </w:p>
    <w:p>
      <w:pPr>
        <w:pStyle w:val="Heading5"/>
      </w:pPr>
      <w:bookmarkStart w:id="247" w:name="_Toc32411826"/>
      <w:bookmarkStart w:id="248" w:name="_Toc13494259"/>
      <w:r>
        <w:rPr>
          <w:rStyle w:val="CharSectno"/>
        </w:rPr>
        <w:t>40</w:t>
      </w:r>
      <w:r>
        <w:t>.</w:t>
      </w:r>
      <w:r>
        <w:tab/>
        <w:t>Persistent breach of s. 23, referral of case to Attendance Panel</w:t>
      </w:r>
      <w:bookmarkEnd w:id="247"/>
      <w:bookmarkEnd w:id="248"/>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No. 22 of 2005 s. 33, 39(1) and 40(1); No. 44 of 2008 s. 61(11); No. 28 of 2014 s. 27; No. 23 of 2015 s. 20.]</w:t>
      </w:r>
    </w:p>
    <w:p>
      <w:pPr>
        <w:pStyle w:val="Heading5"/>
        <w:spacing w:before="240"/>
      </w:pPr>
      <w:bookmarkStart w:id="249" w:name="_Toc32411827"/>
      <w:bookmarkStart w:id="250" w:name="_Toc13494260"/>
      <w:r>
        <w:rPr>
          <w:rStyle w:val="CharSectno"/>
        </w:rPr>
        <w:t>41</w:t>
      </w:r>
      <w:r>
        <w:t>.</w:t>
      </w:r>
      <w:r>
        <w:tab/>
        <w:t>Prosecution of s. 9 or 38 offence, commencement of if case referred to Attendance Panel</w:t>
      </w:r>
      <w:bookmarkEnd w:id="249"/>
      <w:bookmarkEnd w:id="250"/>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No. 84 of 2004 s. 80; No. 22 of 2005 s. 34 and 39(1).]</w:t>
      </w:r>
    </w:p>
    <w:p>
      <w:pPr>
        <w:pStyle w:val="Heading5"/>
      </w:pPr>
      <w:bookmarkStart w:id="251" w:name="_Toc32411828"/>
      <w:bookmarkStart w:id="252" w:name="_Toc13494261"/>
      <w:r>
        <w:rPr>
          <w:rStyle w:val="CharSectno"/>
        </w:rPr>
        <w:t>42</w:t>
      </w:r>
      <w:r>
        <w:t>.</w:t>
      </w:r>
      <w:r>
        <w:tab/>
        <w:t>Prosecution of s. 9 or 38 offence, prerequisites to commencing</w:t>
      </w:r>
      <w:bookmarkEnd w:id="251"/>
      <w:bookmarkEnd w:id="252"/>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w:t>
      </w:r>
      <w:r>
        <w:rPr>
          <w:spacing w:val="-6"/>
        </w:rPr>
        <w:t>No. 34 of 2004 Sch. 2 cl. 24</w:t>
      </w:r>
      <w:r>
        <w:t>; No. 84 of 2004 s. 80; No. 22 of 2005 s. 35 and 39; No. 44 of 2008 s. 61(12); No. 28 of 2014 s. 28.]</w:t>
      </w:r>
    </w:p>
    <w:p>
      <w:pPr>
        <w:pStyle w:val="Heading5"/>
      </w:pPr>
      <w:bookmarkStart w:id="253" w:name="_Toc32411829"/>
      <w:bookmarkStart w:id="254" w:name="_Toc13494262"/>
      <w:r>
        <w:rPr>
          <w:rStyle w:val="CharSectno"/>
        </w:rPr>
        <w:t>43</w:t>
      </w:r>
      <w:r>
        <w:t>.</w:t>
      </w:r>
      <w:r>
        <w:tab/>
        <w:t>Proceedings for s. 9 or 38 offence, parent may be required to bring child to court</w:t>
      </w:r>
      <w:bookmarkEnd w:id="253"/>
      <w:bookmarkEnd w:id="254"/>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No. 22 of 2005 s. 36 and 40(1); No. 28 of 2014 s. 35.]</w:t>
      </w:r>
    </w:p>
    <w:p>
      <w:pPr>
        <w:pStyle w:val="Heading5"/>
        <w:spacing w:before="180"/>
      </w:pPr>
      <w:bookmarkStart w:id="255" w:name="_Toc32411830"/>
      <w:bookmarkStart w:id="256" w:name="_Toc13494263"/>
      <w:r>
        <w:rPr>
          <w:rStyle w:val="CharSectno"/>
        </w:rPr>
        <w:t>44</w:t>
      </w:r>
      <w:r>
        <w:t>.</w:t>
      </w:r>
      <w:r>
        <w:tab/>
        <w:t>Evidentiary matters for s. 9 and 38 charges</w:t>
      </w:r>
      <w:bookmarkEnd w:id="255"/>
      <w:bookmarkEnd w:id="256"/>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No. 84 of 2004 s. 80; No. 22 of 2005 s. 37.]</w:t>
      </w:r>
    </w:p>
    <w:p>
      <w:pPr>
        <w:pStyle w:val="Heading5"/>
        <w:spacing w:before="180"/>
      </w:pPr>
      <w:bookmarkStart w:id="257" w:name="_Toc32411831"/>
      <w:bookmarkStart w:id="258" w:name="_Toc13494264"/>
      <w:r>
        <w:rPr>
          <w:rStyle w:val="CharSectno"/>
        </w:rPr>
        <w:t>45</w:t>
      </w:r>
      <w:r>
        <w:t>.</w:t>
      </w:r>
      <w:r>
        <w:tab/>
        <w:t>Prosecution of s. 9 and 38 offences, who may conduct</w:t>
      </w:r>
      <w:bookmarkEnd w:id="257"/>
      <w:bookmarkEnd w:id="258"/>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No. 84 of 2004 s. 80; No. 22 of 2005 s. 38.]</w:t>
      </w:r>
    </w:p>
    <w:p>
      <w:pPr>
        <w:pStyle w:val="Heading3"/>
      </w:pPr>
      <w:bookmarkStart w:id="259" w:name="_Toc32411418"/>
      <w:bookmarkStart w:id="260" w:name="_Toc32411832"/>
      <w:bookmarkStart w:id="261" w:name="_Toc486515743"/>
      <w:bookmarkStart w:id="262" w:name="_Toc486516781"/>
      <w:bookmarkStart w:id="263" w:name="_Toc13494265"/>
      <w:r>
        <w:rPr>
          <w:rStyle w:val="CharDivNo"/>
        </w:rPr>
        <w:t>Division 6</w:t>
      </w:r>
      <w:r>
        <w:t xml:space="preserve"> — </w:t>
      </w:r>
      <w:r>
        <w:rPr>
          <w:rStyle w:val="CharDivText"/>
        </w:rPr>
        <w:t>Home education</w:t>
      </w:r>
      <w:bookmarkEnd w:id="259"/>
      <w:bookmarkEnd w:id="260"/>
      <w:bookmarkEnd w:id="261"/>
      <w:bookmarkEnd w:id="262"/>
      <w:bookmarkEnd w:id="263"/>
    </w:p>
    <w:p>
      <w:pPr>
        <w:pStyle w:val="Heading5"/>
        <w:spacing w:before="180"/>
      </w:pPr>
      <w:bookmarkStart w:id="264" w:name="_Toc32411833"/>
      <w:bookmarkStart w:id="265" w:name="_Toc13494266"/>
      <w:r>
        <w:rPr>
          <w:rStyle w:val="CharSectno"/>
        </w:rPr>
        <w:t>46</w:t>
      </w:r>
      <w:r>
        <w:t>.</w:t>
      </w:r>
      <w:r>
        <w:tab/>
        <w:t>Term used: home educator</w:t>
      </w:r>
      <w:bookmarkEnd w:id="264"/>
      <w:bookmarkEnd w:id="265"/>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266" w:name="_Toc32411834"/>
      <w:bookmarkStart w:id="267" w:name="_Toc13494267"/>
      <w:r>
        <w:rPr>
          <w:rStyle w:val="CharSectno"/>
        </w:rPr>
        <w:t>47</w:t>
      </w:r>
      <w:r>
        <w:t>.</w:t>
      </w:r>
      <w:r>
        <w:tab/>
        <w:t>Registration as child’s home educator, application for</w:t>
      </w:r>
      <w:bookmarkEnd w:id="266"/>
      <w:bookmarkEnd w:id="267"/>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268" w:name="_Toc32411835"/>
      <w:bookmarkStart w:id="269" w:name="_Toc13494268"/>
      <w:r>
        <w:rPr>
          <w:rStyle w:val="CharSectno"/>
        </w:rPr>
        <w:t>48</w:t>
      </w:r>
      <w:r>
        <w:t>.</w:t>
      </w:r>
      <w:r>
        <w:tab/>
        <w:t>Registration of home educator, CEO’s functions as to</w:t>
      </w:r>
      <w:bookmarkEnd w:id="268"/>
      <w:bookmarkEnd w:id="269"/>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270" w:name="_Toc32411836"/>
      <w:bookmarkStart w:id="271" w:name="_Toc13494269"/>
      <w:r>
        <w:rPr>
          <w:rStyle w:val="CharSectno"/>
        </w:rPr>
        <w:t>49</w:t>
      </w:r>
      <w:r>
        <w:t>.</w:t>
      </w:r>
      <w:r>
        <w:tab/>
        <w:t>Home educator to inform CEO of certain matters</w:t>
      </w:r>
      <w:bookmarkEnd w:id="270"/>
      <w:bookmarkEnd w:id="271"/>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272" w:name="_Toc32411837"/>
      <w:bookmarkStart w:id="273" w:name="_Toc13494270"/>
      <w:r>
        <w:rPr>
          <w:rStyle w:val="CharSectno"/>
        </w:rPr>
        <w:t>50</w:t>
      </w:r>
      <w:r>
        <w:t>.</w:t>
      </w:r>
      <w:r>
        <w:tab/>
        <w:t>Home education moderators, appointment of</w:t>
      </w:r>
      <w:bookmarkEnd w:id="272"/>
      <w:bookmarkEnd w:id="273"/>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274" w:name="_Toc32411838"/>
      <w:bookmarkStart w:id="275" w:name="_Toc13494271"/>
      <w:r>
        <w:rPr>
          <w:rStyle w:val="CharSectno"/>
        </w:rPr>
        <w:t>51</w:t>
      </w:r>
      <w:r>
        <w:t>.</w:t>
      </w:r>
      <w:r>
        <w:tab/>
        <w:t>Evaluation of child’s educational programme and progress, when required etc.</w:t>
      </w:r>
      <w:bookmarkEnd w:id="274"/>
      <w:bookmarkEnd w:id="275"/>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276" w:name="_Toc32411839"/>
      <w:bookmarkStart w:id="277" w:name="_Toc13494272"/>
      <w:r>
        <w:rPr>
          <w:rStyle w:val="CharSectno"/>
        </w:rPr>
        <w:t>52</w:t>
      </w:r>
      <w:r>
        <w:t>.</w:t>
      </w:r>
      <w:r>
        <w:tab/>
        <w:t>CEO may notify home educator of concern and require evaluation</w:t>
      </w:r>
      <w:bookmarkEnd w:id="276"/>
      <w:bookmarkEnd w:id="277"/>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278" w:name="_Toc32411840"/>
      <w:bookmarkStart w:id="279" w:name="_Toc13494273"/>
      <w:r>
        <w:rPr>
          <w:rStyle w:val="CharSectno"/>
        </w:rPr>
        <w:t>53</w:t>
      </w:r>
      <w:r>
        <w:t>.</w:t>
      </w:r>
      <w:r>
        <w:tab/>
        <w:t>Cancelling s. 48 registration, CEO’s functions as to</w:t>
      </w:r>
      <w:bookmarkEnd w:id="278"/>
      <w:bookmarkEnd w:id="279"/>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No. 37 of 2011 s. 58(2).]</w:t>
      </w:r>
    </w:p>
    <w:p>
      <w:pPr>
        <w:pStyle w:val="Heading5"/>
        <w:keepNext w:val="0"/>
        <w:keepLines w:val="0"/>
        <w:spacing w:before="180"/>
      </w:pPr>
      <w:bookmarkStart w:id="280" w:name="_Toc32411841"/>
      <w:bookmarkStart w:id="281" w:name="_Toc13494274"/>
      <w:r>
        <w:rPr>
          <w:rStyle w:val="CharSectno"/>
        </w:rPr>
        <w:t>54</w:t>
      </w:r>
      <w:r>
        <w:t>.</w:t>
      </w:r>
      <w:r>
        <w:tab/>
        <w:t>Review of s. 53 decision</w:t>
      </w:r>
      <w:bookmarkEnd w:id="280"/>
      <w:bookmarkEnd w:id="281"/>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keepNext/>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282" w:name="_Toc32411428"/>
      <w:bookmarkStart w:id="283" w:name="_Toc32411842"/>
      <w:bookmarkStart w:id="284" w:name="_Toc486515753"/>
      <w:bookmarkStart w:id="285" w:name="_Toc486516791"/>
      <w:bookmarkStart w:id="286" w:name="_Toc13494275"/>
      <w:r>
        <w:rPr>
          <w:rStyle w:val="CharPartNo"/>
        </w:rPr>
        <w:t>Part 3</w:t>
      </w:r>
      <w:r>
        <w:t xml:space="preserve"> — </w:t>
      </w:r>
      <w:r>
        <w:rPr>
          <w:rStyle w:val="CharPartText"/>
        </w:rPr>
        <w:t>Government schools</w:t>
      </w:r>
      <w:bookmarkEnd w:id="282"/>
      <w:bookmarkEnd w:id="283"/>
      <w:bookmarkEnd w:id="284"/>
      <w:bookmarkEnd w:id="285"/>
      <w:bookmarkEnd w:id="286"/>
    </w:p>
    <w:p>
      <w:pPr>
        <w:pStyle w:val="PermNoteHeading"/>
        <w:rPr>
          <w:b/>
          <w:bCs/>
        </w:rPr>
      </w:pPr>
      <w:r>
        <w:rPr>
          <w:b/>
          <w:bCs/>
        </w:rPr>
        <w:t>What this Part is about</w:t>
      </w:r>
    </w:p>
    <w:p>
      <w:pPr>
        <w:pStyle w:val="PermNoteText"/>
      </w:pPr>
      <w:r>
        <w:t>This Part enacts provisions that apply only to government schools.</w:t>
      </w:r>
    </w:p>
    <w:p>
      <w:pPr>
        <w:pStyle w:val="PermNoteText"/>
      </w:pPr>
      <w:r>
        <w:t>In particular it deals with —</w:t>
      </w:r>
    </w:p>
    <w:p>
      <w:pPr>
        <w:pStyle w:val="PermNotePara"/>
        <w:numPr>
          <w:ilvl w:val="0"/>
          <w:numId w:val="3"/>
        </w:numPr>
      </w:pPr>
      <w:r>
        <w:t>the establishment, closure and amalgamation of government schools, and the designation of schools in some areas as being primarily for the enrolment of students in that area (Division 1);</w:t>
      </w:r>
    </w:p>
    <w:p>
      <w:pPr>
        <w:pStyle w:val="PermNotePara"/>
        <w:numPr>
          <w:ilvl w:val="0"/>
          <w:numId w:val="3"/>
        </w:numPr>
      </w:pPr>
      <w:r>
        <w:t>the functions of the chief executive officer of the department responsible for government schools and of principals and teachers in those schools (Division 2);</w:t>
      </w:r>
    </w:p>
    <w:p>
      <w:pPr>
        <w:pStyle w:val="PermNotePara"/>
        <w:numPr>
          <w:ilvl w:val="0"/>
          <w:numId w:val="3"/>
        </w:numPr>
      </w:pPr>
      <w:r>
        <w:t>the curriculum in government schools, the provision of special religious education, and conscientious objection to instruction in particular subjects (Division 3);</w:t>
      </w:r>
    </w:p>
    <w:p>
      <w:pPr>
        <w:pStyle w:val="PermNotePara"/>
        <w:numPr>
          <w:ilvl w:val="0"/>
          <w:numId w:val="3"/>
        </w:numPr>
      </w:pPr>
      <w:r>
        <w:t>entitlement to enrol at government schools, changing inappropriate enrolments, and the resolution of disputed issues about enrolment (Division 4);</w:t>
      </w:r>
    </w:p>
    <w:p>
      <w:pPr>
        <w:pStyle w:val="PermNotePara"/>
        <w:numPr>
          <w:ilvl w:val="0"/>
          <w:numId w:val="3"/>
        </w:numPr>
      </w:pPr>
      <w:r>
        <w:t>the suspension and exclusion of students from government schools for breaches of school discipline (Division 5);</w:t>
      </w:r>
    </w:p>
    <w:p>
      <w:pPr>
        <w:pStyle w:val="PermNotePara"/>
        <w:numPr>
          <w:ilvl w:val="0"/>
          <w:numId w:val="3"/>
        </w:numPr>
      </w:pPr>
      <w:r>
        <w:t>restrictions on the imposition of fees and charges in government schools, and provisions for the management of school funds (Division 6);</w:t>
      </w:r>
    </w:p>
    <w:p>
      <w:pPr>
        <w:pStyle w:val="PermNotePara"/>
        <w:numPr>
          <w:ilvl w:val="0"/>
          <w:numId w:val="3"/>
        </w:numPr>
      </w:pPr>
      <w:r>
        <w:t>miscellaneous management provisions relating to the operation of government schools and the control of school premises (Division 7);</w:t>
      </w:r>
    </w:p>
    <w:p>
      <w:pPr>
        <w:pStyle w:val="PermNotePara"/>
        <w:numPr>
          <w:ilvl w:val="0"/>
          <w:numId w:val="3"/>
        </w:numPr>
      </w:pPr>
      <w:r>
        <w:t>provisions as to the establishment and operation of School Councils and relating to Parents and Citizens’ Associations for government schools (Division 8).</w:t>
      </w:r>
    </w:p>
    <w:p>
      <w:pPr>
        <w:pStyle w:val="Heading3"/>
        <w:spacing w:before="220"/>
      </w:pPr>
      <w:bookmarkStart w:id="287" w:name="_Toc32411429"/>
      <w:bookmarkStart w:id="288" w:name="_Toc32411843"/>
      <w:bookmarkStart w:id="289" w:name="_Toc486515754"/>
      <w:bookmarkStart w:id="290" w:name="_Toc486516792"/>
      <w:bookmarkStart w:id="291" w:name="_Toc13494276"/>
      <w:r>
        <w:rPr>
          <w:rStyle w:val="CharDivNo"/>
        </w:rPr>
        <w:t>Division 1</w:t>
      </w:r>
      <w:r>
        <w:t xml:space="preserve"> — </w:t>
      </w:r>
      <w:r>
        <w:rPr>
          <w:rStyle w:val="CharDivText"/>
        </w:rPr>
        <w:t>Establishment, closure etc.</w:t>
      </w:r>
      <w:bookmarkEnd w:id="287"/>
      <w:bookmarkEnd w:id="288"/>
      <w:bookmarkEnd w:id="289"/>
      <w:bookmarkEnd w:id="290"/>
      <w:bookmarkEnd w:id="291"/>
    </w:p>
    <w:p>
      <w:pPr>
        <w:pStyle w:val="Heading5"/>
      </w:pPr>
      <w:bookmarkStart w:id="292" w:name="_Toc32411844"/>
      <w:bookmarkStart w:id="293" w:name="_Toc13494277"/>
      <w:r>
        <w:rPr>
          <w:rStyle w:val="CharSectno"/>
        </w:rPr>
        <w:t>55</w:t>
      </w:r>
      <w:r>
        <w:t>.</w:t>
      </w:r>
      <w:r>
        <w:tab/>
        <w:t>Establishing etc. school, Minister’s powers as to</w:t>
      </w:r>
      <w:bookmarkEnd w:id="292"/>
      <w:bookmarkEnd w:id="293"/>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294" w:name="_Toc32411845"/>
      <w:bookmarkStart w:id="295" w:name="_Toc13494278"/>
      <w:r>
        <w:rPr>
          <w:rStyle w:val="CharSectno"/>
        </w:rPr>
        <w:t>56</w:t>
      </w:r>
      <w:r>
        <w:t>.</w:t>
      </w:r>
      <w:r>
        <w:tab/>
        <w:t>Closing, amalgamating etc. schools, Minister’s powers as to</w:t>
      </w:r>
      <w:bookmarkEnd w:id="294"/>
      <w:bookmarkEnd w:id="295"/>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296" w:name="_Toc32411846"/>
      <w:bookmarkStart w:id="297" w:name="_Toc13494279"/>
      <w:r>
        <w:rPr>
          <w:rStyle w:val="CharSectno"/>
        </w:rPr>
        <w:t>57</w:t>
      </w:r>
      <w:r>
        <w:t>.</w:t>
      </w:r>
      <w:r>
        <w:tab/>
        <w:t>Consultation requirements before s. 56 power exercised</w:t>
      </w:r>
      <w:bookmarkEnd w:id="296"/>
      <w:bookmarkEnd w:id="297"/>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298" w:name="_Toc32411847"/>
      <w:bookmarkStart w:id="299" w:name="_Toc13494280"/>
      <w:r>
        <w:rPr>
          <w:rStyle w:val="CharSectno"/>
        </w:rPr>
        <w:t>58</w:t>
      </w:r>
      <w:r>
        <w:t>.</w:t>
      </w:r>
      <w:r>
        <w:tab/>
        <w:t>Permanent closure, procedure for</w:t>
      </w:r>
      <w:bookmarkEnd w:id="298"/>
      <w:bookmarkEnd w:id="299"/>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300" w:name="_Toc32411848"/>
      <w:bookmarkStart w:id="301" w:name="_Toc13494281"/>
      <w:r>
        <w:rPr>
          <w:rStyle w:val="CharSectno"/>
        </w:rPr>
        <w:t>59</w:t>
      </w:r>
      <w:r>
        <w:t>.</w:t>
      </w:r>
      <w:r>
        <w:tab/>
        <w:t>Permanent closure for safety or welfare reasons</w:t>
      </w:r>
      <w:bookmarkEnd w:id="300"/>
      <w:bookmarkEnd w:id="301"/>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302" w:name="_Toc32411849"/>
      <w:bookmarkStart w:id="303" w:name="_Toc13494282"/>
      <w:r>
        <w:rPr>
          <w:rStyle w:val="CharSectno"/>
        </w:rPr>
        <w:t>60</w:t>
      </w:r>
      <w:r>
        <w:t>.</w:t>
      </w:r>
      <w:r>
        <w:tab/>
        <w:t>Local</w:t>
      </w:r>
      <w:r>
        <w:noBreakHyphen/>
        <w:t>intake schools, declaration of etc.</w:t>
      </w:r>
      <w:bookmarkEnd w:id="302"/>
      <w:bookmarkEnd w:id="303"/>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304" w:name="_Toc32411436"/>
      <w:bookmarkStart w:id="305" w:name="_Toc32411850"/>
      <w:bookmarkStart w:id="306" w:name="_Toc486515761"/>
      <w:bookmarkStart w:id="307" w:name="_Toc486516799"/>
      <w:bookmarkStart w:id="308" w:name="_Toc13494283"/>
      <w:r>
        <w:rPr>
          <w:rStyle w:val="CharDivNo"/>
        </w:rPr>
        <w:t>Division 2</w:t>
      </w:r>
      <w:r>
        <w:t xml:space="preserve"> — </w:t>
      </w:r>
      <w:r>
        <w:rPr>
          <w:rStyle w:val="CharDivText"/>
        </w:rPr>
        <w:t>Functions of chief executive officer, principals and teachers</w:t>
      </w:r>
      <w:bookmarkEnd w:id="304"/>
      <w:bookmarkEnd w:id="305"/>
      <w:bookmarkEnd w:id="306"/>
      <w:bookmarkEnd w:id="307"/>
      <w:bookmarkEnd w:id="308"/>
    </w:p>
    <w:p>
      <w:pPr>
        <w:pStyle w:val="Heading5"/>
      </w:pPr>
      <w:bookmarkStart w:id="309" w:name="_Toc32411851"/>
      <w:bookmarkStart w:id="310" w:name="_Toc13494284"/>
      <w:r>
        <w:rPr>
          <w:rStyle w:val="CharSectno"/>
        </w:rPr>
        <w:t>61</w:t>
      </w:r>
      <w:r>
        <w:t>.</w:t>
      </w:r>
      <w:r>
        <w:tab/>
        <w:t>CEO’s functions</w:t>
      </w:r>
      <w:bookmarkEnd w:id="309"/>
      <w:bookmarkEnd w:id="310"/>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311" w:name="_Toc32411852"/>
      <w:bookmarkStart w:id="312" w:name="_Toc13494285"/>
      <w:r>
        <w:rPr>
          <w:rStyle w:val="CharSectno"/>
        </w:rPr>
        <w:t>62</w:t>
      </w:r>
      <w:r>
        <w:t>.</w:t>
      </w:r>
      <w:r>
        <w:tab/>
        <w:t>Principals, appointment of</w:t>
      </w:r>
      <w:bookmarkEnd w:id="311"/>
      <w:bookmarkEnd w:id="312"/>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313" w:name="_Toc32411853"/>
      <w:bookmarkStart w:id="314" w:name="_Toc13494286"/>
      <w:r>
        <w:rPr>
          <w:rStyle w:val="CharSectno"/>
        </w:rPr>
        <w:t>63</w:t>
      </w:r>
      <w:r>
        <w:t>.</w:t>
      </w:r>
      <w:r>
        <w:tab/>
        <w:t>Principal’s functions</w:t>
      </w:r>
      <w:bookmarkEnd w:id="313"/>
      <w:bookmarkEnd w:id="314"/>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No. 37 of 2011 s. 58(3).]</w:t>
      </w:r>
    </w:p>
    <w:p>
      <w:pPr>
        <w:pStyle w:val="Heading5"/>
      </w:pPr>
      <w:bookmarkStart w:id="315" w:name="_Toc32411854"/>
      <w:bookmarkStart w:id="316" w:name="_Toc13494287"/>
      <w:r>
        <w:rPr>
          <w:rStyle w:val="CharSectno"/>
        </w:rPr>
        <w:t>64</w:t>
      </w:r>
      <w:r>
        <w:t>.</w:t>
      </w:r>
      <w:r>
        <w:tab/>
        <w:t>Teacher’s functions</w:t>
      </w:r>
      <w:bookmarkEnd w:id="315"/>
      <w:bookmarkEnd w:id="316"/>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317" w:name="_Toc32411855"/>
      <w:bookmarkStart w:id="318" w:name="_Toc13494288"/>
      <w:r>
        <w:rPr>
          <w:rStyle w:val="CharSectno"/>
        </w:rPr>
        <w:t>65</w:t>
      </w:r>
      <w:r>
        <w:t>.</w:t>
      </w:r>
      <w:r>
        <w:tab/>
        <w:t>Assigned function etc. not to be inconsistent with industrial arrangements</w:t>
      </w:r>
      <w:bookmarkEnd w:id="317"/>
      <w:bookmarkEnd w:id="318"/>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319" w:name="_Toc32411442"/>
      <w:bookmarkStart w:id="320" w:name="_Toc32411856"/>
      <w:bookmarkStart w:id="321" w:name="_Toc486515767"/>
      <w:bookmarkStart w:id="322" w:name="_Toc486516805"/>
      <w:bookmarkStart w:id="323" w:name="_Toc13494289"/>
      <w:r>
        <w:rPr>
          <w:rStyle w:val="CharDivNo"/>
        </w:rPr>
        <w:t>Division 3</w:t>
      </w:r>
      <w:r>
        <w:t xml:space="preserve"> — </w:t>
      </w:r>
      <w:r>
        <w:rPr>
          <w:rStyle w:val="CharDivText"/>
        </w:rPr>
        <w:t>Educational instruction</w:t>
      </w:r>
      <w:bookmarkEnd w:id="319"/>
      <w:bookmarkEnd w:id="320"/>
      <w:bookmarkEnd w:id="321"/>
      <w:bookmarkEnd w:id="322"/>
      <w:bookmarkEnd w:id="323"/>
    </w:p>
    <w:p>
      <w:pPr>
        <w:pStyle w:val="Heading5"/>
      </w:pPr>
      <w:bookmarkStart w:id="324" w:name="_Toc32411857"/>
      <w:bookmarkStart w:id="325" w:name="_Toc13494290"/>
      <w:r>
        <w:rPr>
          <w:rStyle w:val="CharSectno"/>
        </w:rPr>
        <w:t>66</w:t>
      </w:r>
      <w:r>
        <w:t>.</w:t>
      </w:r>
      <w:r>
        <w:tab/>
        <w:t>Terms used</w:t>
      </w:r>
      <w:bookmarkEnd w:id="324"/>
      <w:bookmarkEnd w:id="325"/>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326" w:name="_Toc32411858"/>
      <w:bookmarkStart w:id="327" w:name="_Toc13494291"/>
      <w:r>
        <w:rPr>
          <w:rStyle w:val="CharSectno"/>
        </w:rPr>
        <w:t>67</w:t>
      </w:r>
      <w:r>
        <w:t>.</w:t>
      </w:r>
      <w:r>
        <w:tab/>
        <w:t>Curriculum, determination of</w:t>
      </w:r>
      <w:bookmarkEnd w:id="326"/>
      <w:bookmarkEnd w:id="327"/>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No. 37 of 2011 s. 58(3).]</w:t>
      </w:r>
    </w:p>
    <w:p>
      <w:pPr>
        <w:pStyle w:val="Heading5"/>
      </w:pPr>
      <w:bookmarkStart w:id="328" w:name="_Toc32411859"/>
      <w:bookmarkStart w:id="329" w:name="_Toc13494292"/>
      <w:r>
        <w:rPr>
          <w:rStyle w:val="CharSectno"/>
        </w:rPr>
        <w:t>68</w:t>
      </w:r>
      <w:r>
        <w:t>.</w:t>
      </w:r>
      <w:r>
        <w:tab/>
        <w:t>Curriculum not to promote certain matters</w:t>
      </w:r>
      <w:bookmarkEnd w:id="328"/>
      <w:bookmarkEnd w:id="329"/>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330" w:name="_Toc32411860"/>
      <w:bookmarkStart w:id="331" w:name="_Toc13494293"/>
      <w:r>
        <w:rPr>
          <w:rStyle w:val="CharSectno"/>
        </w:rPr>
        <w:t>69</w:t>
      </w:r>
      <w:r>
        <w:t>.</w:t>
      </w:r>
      <w:r>
        <w:tab/>
        <w:t>Special religious education, provision of</w:t>
      </w:r>
      <w:bookmarkEnd w:id="330"/>
      <w:bookmarkEnd w:id="331"/>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332" w:name="_Toc32411861"/>
      <w:bookmarkStart w:id="333" w:name="_Toc13494294"/>
      <w:r>
        <w:rPr>
          <w:rStyle w:val="CharSectno"/>
        </w:rPr>
        <w:t>70</w:t>
      </w:r>
      <w:r>
        <w:t>.</w:t>
      </w:r>
      <w:r>
        <w:tab/>
        <w:t>Prayers etc., principal to consult school Council about</w:t>
      </w:r>
      <w:bookmarkEnd w:id="332"/>
      <w:bookmarkEnd w:id="333"/>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334" w:name="_Toc32411862"/>
      <w:bookmarkStart w:id="335" w:name="_Toc13494295"/>
      <w:r>
        <w:rPr>
          <w:rStyle w:val="CharSectno"/>
        </w:rPr>
        <w:t>71</w:t>
      </w:r>
      <w:r>
        <w:t>.</w:t>
      </w:r>
      <w:r>
        <w:tab/>
        <w:t>Special religious instruction etc., parent may withdraw child from</w:t>
      </w:r>
      <w:bookmarkEnd w:id="334"/>
      <w:bookmarkEnd w:id="335"/>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336" w:name="_Toc32411863"/>
      <w:bookmarkStart w:id="337" w:name="_Toc13494296"/>
      <w:r>
        <w:rPr>
          <w:rStyle w:val="CharSectno"/>
        </w:rPr>
        <w:t>72</w:t>
      </w:r>
      <w:r>
        <w:t>.</w:t>
      </w:r>
      <w:r>
        <w:tab/>
        <w:t>Conscientious objection to subject, principal may exempt child from classes on</w:t>
      </w:r>
      <w:bookmarkEnd w:id="336"/>
      <w:bookmarkEnd w:id="337"/>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338" w:name="_Toc32411864"/>
      <w:bookmarkStart w:id="339" w:name="_Toc13494297"/>
      <w:r>
        <w:rPr>
          <w:rStyle w:val="CharSectno"/>
        </w:rPr>
        <w:t>73</w:t>
      </w:r>
      <w:r>
        <w:t>.</w:t>
      </w:r>
      <w:r>
        <w:tab/>
        <w:t>Child with disability, educational programme for</w:t>
      </w:r>
      <w:bookmarkEnd w:id="338"/>
      <w:bookmarkEnd w:id="339"/>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340" w:name="_Toc32411865"/>
      <w:bookmarkStart w:id="341" w:name="_Toc13494298"/>
      <w:r>
        <w:rPr>
          <w:rStyle w:val="CharSectno"/>
        </w:rPr>
        <w:t>74A</w:t>
      </w:r>
      <w:r>
        <w:t>.</w:t>
      </w:r>
      <w:r>
        <w:tab/>
        <w:t>Child in early education period, educational programme for</w:t>
      </w:r>
      <w:bookmarkEnd w:id="340"/>
      <w:bookmarkEnd w:id="341"/>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No. 11 of 2012 s. 38.]</w:t>
      </w:r>
    </w:p>
    <w:p>
      <w:pPr>
        <w:pStyle w:val="Heading3"/>
      </w:pPr>
      <w:bookmarkStart w:id="342" w:name="_Toc32411452"/>
      <w:bookmarkStart w:id="343" w:name="_Toc32411866"/>
      <w:bookmarkStart w:id="344" w:name="_Toc486515777"/>
      <w:bookmarkStart w:id="345" w:name="_Toc486516815"/>
      <w:bookmarkStart w:id="346" w:name="_Toc13494299"/>
      <w:r>
        <w:rPr>
          <w:rStyle w:val="CharDivNo"/>
        </w:rPr>
        <w:t>Division 4</w:t>
      </w:r>
      <w:r>
        <w:t xml:space="preserve"> — </w:t>
      </w:r>
      <w:r>
        <w:rPr>
          <w:rStyle w:val="CharDivText"/>
        </w:rPr>
        <w:t>Enrolment</w:t>
      </w:r>
      <w:bookmarkEnd w:id="342"/>
      <w:bookmarkEnd w:id="343"/>
      <w:bookmarkEnd w:id="344"/>
      <w:bookmarkEnd w:id="345"/>
      <w:bookmarkEnd w:id="346"/>
    </w:p>
    <w:p>
      <w:pPr>
        <w:pStyle w:val="Heading5"/>
      </w:pPr>
      <w:bookmarkStart w:id="347" w:name="_Toc32411867"/>
      <w:bookmarkStart w:id="348" w:name="_Toc13494300"/>
      <w:r>
        <w:rPr>
          <w:rStyle w:val="CharSectno"/>
        </w:rPr>
        <w:t>74</w:t>
      </w:r>
      <w:r>
        <w:t>.</w:t>
      </w:r>
      <w:r>
        <w:tab/>
        <w:t>Application for enrolment of child</w:t>
      </w:r>
      <w:bookmarkEnd w:id="347"/>
      <w:bookmarkEnd w:id="348"/>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349" w:name="_Toc32411868"/>
      <w:bookmarkStart w:id="350" w:name="_Toc13494301"/>
      <w:r>
        <w:rPr>
          <w:rStyle w:val="CharSectno"/>
        </w:rPr>
        <w:t>75</w:t>
      </w:r>
      <w:r>
        <w:t>.</w:t>
      </w:r>
      <w:r>
        <w:tab/>
        <w:t>Enrolment of child, principal’s duties as to</w:t>
      </w:r>
      <w:bookmarkEnd w:id="349"/>
      <w:bookmarkEnd w:id="350"/>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351" w:name="_Toc32411869"/>
      <w:bookmarkStart w:id="352" w:name="_Toc13494302"/>
      <w:r>
        <w:rPr>
          <w:rStyle w:val="CharSectno"/>
        </w:rPr>
        <w:t>76</w:t>
      </w:r>
      <w:r>
        <w:t>.</w:t>
      </w:r>
      <w:r>
        <w:tab/>
        <w:t>General residential qualification for child to be enrolled</w:t>
      </w:r>
      <w:bookmarkEnd w:id="351"/>
      <w:bookmarkEnd w:id="352"/>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353" w:name="_Toc32411870"/>
      <w:bookmarkStart w:id="354" w:name="_Toc13494303"/>
      <w:r>
        <w:rPr>
          <w:rStyle w:val="CharSectno"/>
        </w:rPr>
        <w:t>77</w:t>
      </w:r>
      <w:r>
        <w:t>.</w:t>
      </w:r>
      <w:r>
        <w:tab/>
        <w:t>Child below compulsory school age, when entitled to be enrolled</w:t>
      </w:r>
      <w:bookmarkEnd w:id="353"/>
      <w:bookmarkEnd w:id="354"/>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rPr>
          <w:ins w:id="355" w:author="svcMRProcess" w:date="2020-02-25T12:47:00Z"/>
        </w:rPr>
      </w:pPr>
      <w:ins w:id="356" w:author="svcMRProcess" w:date="2020-02-25T12:47:00Z">
        <w:r>
          <w:tab/>
          <w:t>(aa)</w:t>
        </w:r>
        <w:r>
          <w:tab/>
          <w:t xml:space="preserve">the enrolment would not contravene the </w:t>
        </w:r>
        <w:r>
          <w:rPr>
            <w:i/>
          </w:rPr>
          <w:t>Public Health Act 2016</w:t>
        </w:r>
        <w:r>
          <w:t xml:space="preserve"> section 141D; and</w:t>
        </w:r>
      </w:ins>
    </w:p>
    <w:p>
      <w:pPr>
        <w:pStyle w:val="Indenta"/>
      </w:pPr>
      <w:r>
        <w:tab/>
        <w:t>(b)</w:t>
      </w:r>
      <w:r>
        <w:tab/>
        <w:t>the enrolment would conform with other criteria prescribed by the regulations for the purposes of this section.</w:t>
      </w:r>
    </w:p>
    <w:p>
      <w:pPr>
        <w:pStyle w:val="Footnotesection"/>
      </w:pPr>
      <w:r>
        <w:tab/>
        <w:t>[Section 77 amended: No. 11 of 2012 s. </w:t>
      </w:r>
      <w:del w:id="357" w:author="svcMRProcess" w:date="2020-02-25T12:47:00Z">
        <w:r>
          <w:delText>39</w:delText>
        </w:r>
      </w:del>
      <w:ins w:id="358" w:author="svcMRProcess" w:date="2020-02-25T12:47:00Z">
        <w:r>
          <w:t>39; No. 14 of 2019 s. 19</w:t>
        </w:r>
      </w:ins>
      <w:r>
        <w:t>.]</w:t>
      </w:r>
    </w:p>
    <w:p>
      <w:pPr>
        <w:pStyle w:val="Heading5"/>
      </w:pPr>
      <w:bookmarkStart w:id="359" w:name="_Toc32411871"/>
      <w:bookmarkStart w:id="360" w:name="_Toc13494304"/>
      <w:r>
        <w:rPr>
          <w:rStyle w:val="CharSectno"/>
        </w:rPr>
        <w:t>78</w:t>
      </w:r>
      <w:r>
        <w:t>.</w:t>
      </w:r>
      <w:r>
        <w:tab/>
        <w:t>Child of compulsory school age, when entitled to be enrolled at local</w:t>
      </w:r>
      <w:r>
        <w:noBreakHyphen/>
        <w:t>intake school</w:t>
      </w:r>
      <w:bookmarkEnd w:id="359"/>
      <w:bookmarkEnd w:id="360"/>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361" w:name="_Toc32411872"/>
      <w:bookmarkStart w:id="362" w:name="_Toc13494305"/>
      <w:r>
        <w:rPr>
          <w:rStyle w:val="CharSectno"/>
        </w:rPr>
        <w:t>79</w:t>
      </w:r>
      <w:r>
        <w:t>.</w:t>
      </w:r>
      <w:r>
        <w:tab/>
        <w:t>Child of compulsory school age, when entitled to be enrolled at non local-intake school</w:t>
      </w:r>
      <w:bookmarkEnd w:id="361"/>
      <w:bookmarkEnd w:id="362"/>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No. 22 of 2005 s. 7.]</w:t>
      </w:r>
    </w:p>
    <w:p>
      <w:pPr>
        <w:pStyle w:val="Heading5"/>
      </w:pPr>
      <w:bookmarkStart w:id="363" w:name="_Toc32411873"/>
      <w:bookmarkStart w:id="364" w:name="_Toc13494306"/>
      <w:r>
        <w:rPr>
          <w:rStyle w:val="CharSectno"/>
        </w:rPr>
        <w:t>81</w:t>
      </w:r>
      <w:r>
        <w:t>.</w:t>
      </w:r>
      <w:r>
        <w:tab/>
        <w:t>Enrolment of person after compulsory education period</w:t>
      </w:r>
      <w:bookmarkEnd w:id="363"/>
      <w:bookmarkEnd w:id="364"/>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No. 22 of 2005 s. 8.]</w:t>
      </w:r>
    </w:p>
    <w:p>
      <w:pPr>
        <w:pStyle w:val="Heading5"/>
      </w:pPr>
      <w:bookmarkStart w:id="365" w:name="_Toc32411874"/>
      <w:bookmarkStart w:id="366" w:name="_Toc13494307"/>
      <w:r>
        <w:rPr>
          <w:rStyle w:val="CharSectno"/>
        </w:rPr>
        <w:t>82</w:t>
      </w:r>
      <w:r>
        <w:t>.</w:t>
      </w:r>
      <w:r>
        <w:tab/>
      </w:r>
      <w:del w:id="367" w:author="svcMRProcess" w:date="2020-02-25T12:47:00Z">
        <w:r>
          <w:delText>Question</w:delText>
        </w:r>
      </w:del>
      <w:ins w:id="368" w:author="svcMRProcess" w:date="2020-02-25T12:47:00Z">
        <w:r>
          <w:t>Resolving question</w:t>
        </w:r>
      </w:ins>
      <w:r>
        <w:t xml:space="preserve"> under s.</w:t>
      </w:r>
      <w:del w:id="369" w:author="svcMRProcess" w:date="2020-02-25T12:47:00Z">
        <w:r>
          <w:delText> </w:delText>
        </w:r>
      </w:del>
      <w:ins w:id="370" w:author="svcMRProcess" w:date="2020-02-25T12:47:00Z">
        <w:r>
          <w:t xml:space="preserve"> </w:t>
        </w:r>
      </w:ins>
      <w:r>
        <w:t>76, 77, 78 or 79</w:t>
      </w:r>
      <w:bookmarkEnd w:id="365"/>
      <w:del w:id="371" w:author="svcMRProcess" w:date="2020-02-25T12:47:00Z">
        <w:r>
          <w:delText>, resolving</w:delText>
        </w:r>
      </w:del>
      <w:bookmarkEnd w:id="366"/>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rPr>
          <w:ins w:id="372" w:author="svcMRProcess" w:date="2020-02-25T12:47:00Z"/>
        </w:rPr>
      </w:pPr>
      <w:ins w:id="373" w:author="svcMRProcess" w:date="2020-02-25T12:47:00Z">
        <w:r>
          <w:tab/>
          <w:t>(1A)</w:t>
        </w:r>
        <w:r>
          <w:tab/>
          <w:t>However, this section does not apply to a child in the child’s pre</w:t>
        </w:r>
        <w:r>
          <w:noBreakHyphen/>
          <w:t xml:space="preserve">compulsory education period if the enrolment of the child would contravene the </w:t>
        </w:r>
        <w:r>
          <w:rPr>
            <w:i/>
          </w:rPr>
          <w:t>Public Health Act 2016</w:t>
        </w:r>
        <w:r>
          <w:t xml:space="preserve"> section 141D.</w:t>
        </w:r>
      </w:ins>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pPr>
      <w:r>
        <w:tab/>
        <w:t>(d)</w:t>
      </w:r>
      <w:r>
        <w:tab/>
        <w:t xml:space="preserve">any other </w:t>
      </w:r>
      <w:ins w:id="374" w:author="svcMRProcess" w:date="2020-02-25T12:47:00Z">
        <w:r>
          <w:t xml:space="preserve">criteria </w:t>
        </w:r>
      </w:ins>
      <w:r>
        <w:t xml:space="preserve">prescribed </w:t>
      </w:r>
      <w:del w:id="375" w:author="svcMRProcess" w:date="2020-02-25T12:47:00Z">
        <w:r>
          <w:delText>criterion is</w:delText>
        </w:r>
      </w:del>
      <w:ins w:id="376" w:author="svcMRProcess" w:date="2020-02-25T12:47:00Z">
        <w:r>
          <w:t>for the purposes of section 76(2), 77(b), 78(2)(b) or 79(1)(b), as the case requires, are</w:t>
        </w:r>
      </w:ins>
      <w:r>
        <w:t xml:space="preserve"> satisfied,</w:t>
      </w:r>
    </w:p>
    <w:p>
      <w:pPr>
        <w:pStyle w:val="Subsection"/>
      </w:pPr>
      <w:r>
        <w:tab/>
      </w:r>
      <w:r>
        <w:tab/>
        <w:t>the issue in dispute is to be decided by the chief executive officer.</w:t>
      </w:r>
    </w:p>
    <w:p>
      <w:pPr>
        <w:pStyle w:val="Subsection"/>
      </w:pPr>
      <w:r>
        <w:tab/>
        <w:t>(3)</w:t>
      </w:r>
      <w:r>
        <w:tab/>
        <w:t xml:space="preserve">Where the chief executive officer decides </w:t>
      </w:r>
      <w:ins w:id="377" w:author="svcMRProcess" w:date="2020-02-25T12:47:00Z">
        <w:r>
          <w:t xml:space="preserve">under subsection (2) </w:t>
        </w:r>
      </w:ins>
      <w:r>
        <w:t>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 xml:space="preserve">any other </w:t>
      </w:r>
      <w:ins w:id="378" w:author="svcMRProcess" w:date="2020-02-25T12:47:00Z">
        <w:r>
          <w:t xml:space="preserve">criteria </w:t>
        </w:r>
      </w:ins>
      <w:r>
        <w:t xml:space="preserve">prescribed </w:t>
      </w:r>
      <w:del w:id="379" w:author="svcMRProcess" w:date="2020-02-25T12:47:00Z">
        <w:r>
          <w:delText>criterion is</w:delText>
        </w:r>
      </w:del>
      <w:ins w:id="380" w:author="svcMRProcess" w:date="2020-02-25T12:47:00Z">
        <w:r>
          <w:t>for the purposes of section 77(b), 78(2)(b) or 79(1)(b), as the case requires, are</w:t>
        </w:r>
      </w:ins>
      <w:r>
        <w:t xml:space="preserve">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No. 22 of 2005 s. 9; No. 11 of 2012 s. </w:t>
      </w:r>
      <w:del w:id="381" w:author="svcMRProcess" w:date="2020-02-25T12:47:00Z">
        <w:r>
          <w:delText>40</w:delText>
        </w:r>
      </w:del>
      <w:ins w:id="382" w:author="svcMRProcess" w:date="2020-02-25T12:47:00Z">
        <w:r>
          <w:t>40; No. 14 of 2019 s. 20</w:t>
        </w:r>
      </w:ins>
      <w:r>
        <w:t>.]</w:t>
      </w:r>
    </w:p>
    <w:p>
      <w:pPr>
        <w:pStyle w:val="Heading5"/>
      </w:pPr>
      <w:bookmarkStart w:id="383" w:name="_Toc32411875"/>
      <w:bookmarkStart w:id="384" w:name="_Toc13494308"/>
      <w:r>
        <w:rPr>
          <w:rStyle w:val="CharSectno"/>
        </w:rPr>
        <w:t>83</w:t>
      </w:r>
      <w:r>
        <w:t>.</w:t>
      </w:r>
      <w:r>
        <w:tab/>
        <w:t>Inappropriate enrolment, CEO’s powers to cancel</w:t>
      </w:r>
      <w:bookmarkEnd w:id="383"/>
      <w:bookmarkEnd w:id="384"/>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No. 11 of 2012 s. 41.]</w:t>
      </w:r>
    </w:p>
    <w:p>
      <w:pPr>
        <w:pStyle w:val="Heading5"/>
        <w:spacing w:before="180"/>
      </w:pPr>
      <w:bookmarkStart w:id="385" w:name="_Toc32411876"/>
      <w:bookmarkStart w:id="386" w:name="_Toc13494309"/>
      <w:r>
        <w:rPr>
          <w:rStyle w:val="CharSectno"/>
        </w:rPr>
        <w:t>84</w:t>
      </w:r>
      <w:r>
        <w:t>.</w:t>
      </w:r>
      <w:r>
        <w:tab/>
        <w:t>Decision under s. 82 or 83 as to educational programme, CEO to consider certain matters for</w:t>
      </w:r>
      <w:bookmarkEnd w:id="385"/>
      <w:bookmarkEnd w:id="386"/>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387" w:name="_Toc32411877"/>
      <w:bookmarkStart w:id="388" w:name="_Toc13494310"/>
      <w:r>
        <w:rPr>
          <w:rStyle w:val="CharSectno"/>
        </w:rPr>
        <w:t>85</w:t>
      </w:r>
      <w:r>
        <w:t>.</w:t>
      </w:r>
      <w:r>
        <w:tab/>
        <w:t>CEO may ask advisory panel for advice for s. 82 or 83 decision</w:t>
      </w:r>
      <w:bookmarkEnd w:id="387"/>
      <w:bookmarkEnd w:id="388"/>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389" w:name="_Toc32411878"/>
      <w:bookmarkStart w:id="390" w:name="_Toc13494311"/>
      <w:r>
        <w:rPr>
          <w:rStyle w:val="CharSectno"/>
        </w:rPr>
        <w:t>86</w:t>
      </w:r>
      <w:r>
        <w:t>.</w:t>
      </w:r>
      <w:r>
        <w:tab/>
        <w:t>Child with disability, decision under s. 82 or 83 as to educational programme for</w:t>
      </w:r>
      <w:bookmarkEnd w:id="389"/>
      <w:bookmarkEnd w:id="390"/>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391" w:name="_Toc32411879"/>
      <w:bookmarkStart w:id="392" w:name="_Toc13494312"/>
      <w:r>
        <w:rPr>
          <w:rStyle w:val="CharSectno"/>
        </w:rPr>
        <w:t>87</w:t>
      </w:r>
      <w:r>
        <w:t>.</w:t>
      </w:r>
      <w:r>
        <w:tab/>
        <w:t>Disabilities Advisory Panel, appointment of etc.</w:t>
      </w:r>
      <w:bookmarkEnd w:id="391"/>
      <w:bookmarkEnd w:id="392"/>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No. 39 of 2010 s. 89.]</w:t>
      </w:r>
    </w:p>
    <w:p>
      <w:pPr>
        <w:pStyle w:val="Heading3"/>
      </w:pPr>
      <w:bookmarkStart w:id="393" w:name="_Toc32411466"/>
      <w:bookmarkStart w:id="394" w:name="_Toc32411880"/>
      <w:bookmarkStart w:id="395" w:name="_Toc486515791"/>
      <w:bookmarkStart w:id="396" w:name="_Toc486516829"/>
      <w:bookmarkStart w:id="397" w:name="_Toc13494313"/>
      <w:r>
        <w:rPr>
          <w:rStyle w:val="CharDivNo"/>
        </w:rPr>
        <w:t>Division 5</w:t>
      </w:r>
      <w:r>
        <w:t xml:space="preserve"> — </w:t>
      </w:r>
      <w:r>
        <w:rPr>
          <w:rStyle w:val="CharDivText"/>
        </w:rPr>
        <w:t>Suspension and exclusion</w:t>
      </w:r>
      <w:bookmarkEnd w:id="393"/>
      <w:bookmarkEnd w:id="394"/>
      <w:bookmarkEnd w:id="395"/>
      <w:bookmarkEnd w:id="396"/>
      <w:bookmarkEnd w:id="397"/>
    </w:p>
    <w:p>
      <w:pPr>
        <w:pStyle w:val="Heading5"/>
        <w:spacing w:before="180"/>
      </w:pPr>
      <w:bookmarkStart w:id="398" w:name="_Toc32411881"/>
      <w:bookmarkStart w:id="399" w:name="_Toc13494314"/>
      <w:r>
        <w:rPr>
          <w:rStyle w:val="CharSectno"/>
        </w:rPr>
        <w:t>88</w:t>
      </w:r>
      <w:r>
        <w:t>.</w:t>
      </w:r>
      <w:r>
        <w:tab/>
        <w:t>Terms used</w:t>
      </w:r>
      <w:bookmarkEnd w:id="398"/>
      <w:bookmarkEnd w:id="399"/>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400" w:name="_Toc32411882"/>
      <w:bookmarkStart w:id="401" w:name="_Toc13494315"/>
      <w:r>
        <w:rPr>
          <w:rStyle w:val="CharSectno"/>
        </w:rPr>
        <w:t>89</w:t>
      </w:r>
      <w:r>
        <w:t>.</w:t>
      </w:r>
      <w:r>
        <w:tab/>
        <w:t>Term used: breach of school discipline</w:t>
      </w:r>
      <w:bookmarkEnd w:id="400"/>
      <w:bookmarkEnd w:id="401"/>
    </w:p>
    <w:p>
      <w:pPr>
        <w:pStyle w:val="Subsection"/>
      </w:pPr>
      <w:r>
        <w:tab/>
      </w:r>
      <w:r>
        <w:tab/>
        <w:t>For the purposes of this Division a breach of school discipline is any act or omission that impairs the good order and proper management of the school.</w:t>
      </w:r>
    </w:p>
    <w:p>
      <w:pPr>
        <w:pStyle w:val="Heading5"/>
      </w:pPr>
      <w:bookmarkStart w:id="402" w:name="_Toc32411883"/>
      <w:bookmarkStart w:id="403" w:name="_Toc13494316"/>
      <w:r>
        <w:rPr>
          <w:rStyle w:val="CharSectno"/>
        </w:rPr>
        <w:t>90</w:t>
      </w:r>
      <w:r>
        <w:t>.</w:t>
      </w:r>
      <w:r>
        <w:tab/>
        <w:t>Breach of school discipline, suspension for</w:t>
      </w:r>
      <w:bookmarkEnd w:id="402"/>
      <w:bookmarkEnd w:id="403"/>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404" w:name="_Toc32411884"/>
      <w:bookmarkStart w:id="405" w:name="_Toc13494317"/>
      <w:r>
        <w:rPr>
          <w:rStyle w:val="CharSectno"/>
        </w:rPr>
        <w:t>91</w:t>
      </w:r>
      <w:r>
        <w:t>.</w:t>
      </w:r>
      <w:r>
        <w:tab/>
        <w:t>Excluding student from school attendance, grounds for</w:t>
      </w:r>
      <w:bookmarkEnd w:id="404"/>
      <w:bookmarkEnd w:id="405"/>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406" w:name="_Toc32411885"/>
      <w:bookmarkStart w:id="407" w:name="_Toc13494318"/>
      <w:r>
        <w:rPr>
          <w:rStyle w:val="CharSectno"/>
        </w:rPr>
        <w:t>92</w:t>
      </w:r>
      <w:r>
        <w:t>.</w:t>
      </w:r>
      <w:r>
        <w:tab/>
        <w:t>Excluding student from school attendance, procedure for</w:t>
      </w:r>
      <w:bookmarkEnd w:id="406"/>
      <w:bookmarkEnd w:id="407"/>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keepNext/>
        <w:keepLines/>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408" w:name="_Toc32411886"/>
      <w:bookmarkStart w:id="409" w:name="_Toc13494319"/>
      <w:r>
        <w:rPr>
          <w:rStyle w:val="CharSectno"/>
        </w:rPr>
        <w:t>93</w:t>
      </w:r>
      <w:r>
        <w:t>.</w:t>
      </w:r>
      <w:r>
        <w:tab/>
        <w:t>School Discipline Advisory Panel, appointment of etc.</w:t>
      </w:r>
      <w:bookmarkEnd w:id="408"/>
      <w:bookmarkEnd w:id="409"/>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No. 74 of 2003 s. 107(2); No. 39 of 2010 s. 89.]</w:t>
      </w:r>
    </w:p>
    <w:p>
      <w:pPr>
        <w:pStyle w:val="Heading5"/>
      </w:pPr>
      <w:bookmarkStart w:id="410" w:name="_Toc32411887"/>
      <w:bookmarkStart w:id="411" w:name="_Toc13494320"/>
      <w:r>
        <w:rPr>
          <w:rStyle w:val="CharSectno"/>
        </w:rPr>
        <w:t>94</w:t>
      </w:r>
      <w:r>
        <w:t>.</w:t>
      </w:r>
      <w:r>
        <w:tab/>
        <w:t>Excluding student etc., orders as to that CEO may make</w:t>
      </w:r>
      <w:bookmarkEnd w:id="410"/>
      <w:bookmarkEnd w:id="411"/>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412" w:name="_Toc32411888"/>
      <w:bookmarkStart w:id="413" w:name="_Toc13494321"/>
      <w:r>
        <w:rPr>
          <w:rStyle w:val="CharSectno"/>
        </w:rPr>
        <w:t>95</w:t>
      </w:r>
      <w:r>
        <w:t>.</w:t>
      </w:r>
      <w:r>
        <w:tab/>
        <w:t>Student enrolled after compulsory education period, principal’s power to exclude from school attendance</w:t>
      </w:r>
      <w:bookmarkEnd w:id="412"/>
      <w:bookmarkEnd w:id="413"/>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No. 22 of 2005 s. 10.]</w:t>
      </w:r>
    </w:p>
    <w:p>
      <w:pPr>
        <w:pStyle w:val="Heading5"/>
        <w:spacing w:before="180"/>
      </w:pPr>
      <w:bookmarkStart w:id="414" w:name="_Toc32411889"/>
      <w:bookmarkStart w:id="415" w:name="_Toc13494322"/>
      <w:r>
        <w:rPr>
          <w:rStyle w:val="CharSectno"/>
        </w:rPr>
        <w:t>96</w:t>
      </w:r>
      <w:r>
        <w:t>.</w:t>
      </w:r>
      <w:r>
        <w:tab/>
        <w:t>Decision under s. 95, review of</w:t>
      </w:r>
      <w:bookmarkEnd w:id="414"/>
      <w:bookmarkEnd w:id="415"/>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416" w:name="_Toc32411476"/>
      <w:bookmarkStart w:id="417" w:name="_Toc32411890"/>
      <w:bookmarkStart w:id="418" w:name="_Toc486515801"/>
      <w:bookmarkStart w:id="419" w:name="_Toc486516839"/>
      <w:bookmarkStart w:id="420" w:name="_Toc13494323"/>
      <w:r>
        <w:rPr>
          <w:rStyle w:val="CharDivNo"/>
        </w:rPr>
        <w:t>Division 6</w:t>
      </w:r>
      <w:r>
        <w:t xml:space="preserve"> — </w:t>
      </w:r>
      <w:r>
        <w:rPr>
          <w:rStyle w:val="CharDivText"/>
        </w:rPr>
        <w:t>Financial provisions</w:t>
      </w:r>
      <w:bookmarkEnd w:id="416"/>
      <w:bookmarkEnd w:id="417"/>
      <w:bookmarkEnd w:id="418"/>
      <w:bookmarkEnd w:id="419"/>
      <w:bookmarkEnd w:id="420"/>
    </w:p>
    <w:p>
      <w:pPr>
        <w:pStyle w:val="Heading4"/>
        <w:spacing w:before="120"/>
      </w:pPr>
      <w:bookmarkStart w:id="421" w:name="_Toc32411477"/>
      <w:bookmarkStart w:id="422" w:name="_Toc32411891"/>
      <w:bookmarkStart w:id="423" w:name="_Toc486515802"/>
      <w:bookmarkStart w:id="424" w:name="_Toc486516840"/>
      <w:bookmarkStart w:id="425" w:name="_Toc13494324"/>
      <w:r>
        <w:t>Subdivision 1 — Fees for instruction, charges, contributions and costs</w:t>
      </w:r>
      <w:bookmarkEnd w:id="421"/>
      <w:bookmarkEnd w:id="422"/>
      <w:bookmarkEnd w:id="423"/>
      <w:bookmarkEnd w:id="424"/>
      <w:bookmarkEnd w:id="425"/>
    </w:p>
    <w:p>
      <w:pPr>
        <w:pStyle w:val="Heading5"/>
        <w:spacing w:before="120"/>
      </w:pPr>
      <w:bookmarkStart w:id="426" w:name="_Toc32411892"/>
      <w:bookmarkStart w:id="427" w:name="_Toc13494325"/>
      <w:r>
        <w:rPr>
          <w:rStyle w:val="CharSectno"/>
        </w:rPr>
        <w:t>97</w:t>
      </w:r>
      <w:r>
        <w:t>.</w:t>
      </w:r>
      <w:r>
        <w:tab/>
        <w:t>Terms used</w:t>
      </w:r>
      <w:bookmarkEnd w:id="426"/>
      <w:bookmarkEnd w:id="427"/>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is not entitled to reside permanently in Australia; and</w:t>
      </w:r>
    </w:p>
    <w:p>
      <w:pPr>
        <w:pStyle w:val="Defpara"/>
        <w:keepNext/>
        <w:spacing w:before="100"/>
      </w:pPr>
      <w:r>
        <w:tab/>
        <w:t>(b)</w:t>
      </w:r>
      <w:r>
        <w:tab/>
        <w:t>satisfies the criteria (if any) prescribed by the regulations for the purposes of this Subdivision.</w:t>
      </w:r>
    </w:p>
    <w:p>
      <w:pPr>
        <w:pStyle w:val="Footnotesection"/>
      </w:pPr>
      <w:r>
        <w:tab/>
        <w:t>[Section 97 amended: No. 22 of 2005 s. 11; No. 28 of 2014 s. 29.]</w:t>
      </w:r>
    </w:p>
    <w:p>
      <w:pPr>
        <w:pStyle w:val="Heading5"/>
      </w:pPr>
      <w:bookmarkStart w:id="428" w:name="_Toc32411893"/>
      <w:bookmarkStart w:id="429" w:name="_Toc13494326"/>
      <w:r>
        <w:rPr>
          <w:rStyle w:val="CharSectno"/>
        </w:rPr>
        <w:t>98</w:t>
      </w:r>
      <w:r>
        <w:t>.</w:t>
      </w:r>
      <w:r>
        <w:tab/>
        <w:t>Fees for instruction and charges, limits on imposing</w:t>
      </w:r>
      <w:bookmarkEnd w:id="428"/>
      <w:bookmarkEnd w:id="429"/>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430" w:name="_Toc32411894"/>
      <w:bookmarkStart w:id="431" w:name="_Toc13494327"/>
      <w:r>
        <w:rPr>
          <w:rStyle w:val="CharSectno"/>
        </w:rPr>
        <w:t>99</w:t>
      </w:r>
      <w:r>
        <w:t>.</w:t>
      </w:r>
      <w:r>
        <w:tab/>
        <w:t>Charges etc. for materials, services and facilities, determining etc.</w:t>
      </w:r>
      <w:bookmarkEnd w:id="430"/>
      <w:bookmarkEnd w:id="431"/>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432" w:name="_Toc32411895"/>
      <w:bookmarkStart w:id="433" w:name="_Toc13494328"/>
      <w:r>
        <w:rPr>
          <w:rStyle w:val="CharSectno"/>
        </w:rPr>
        <w:t>100</w:t>
      </w:r>
      <w:r>
        <w:t>.</w:t>
      </w:r>
      <w:r>
        <w:tab/>
        <w:t>Extra cost optional component of educational programme, determining cost for etc.</w:t>
      </w:r>
      <w:bookmarkEnd w:id="432"/>
      <w:bookmarkEnd w:id="433"/>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434" w:name="_Toc32411896"/>
      <w:bookmarkStart w:id="435" w:name="_Toc13494329"/>
      <w:r>
        <w:rPr>
          <w:rStyle w:val="CharSectno"/>
        </w:rPr>
        <w:t>101</w:t>
      </w:r>
      <w:r>
        <w:t>.</w:t>
      </w:r>
      <w:r>
        <w:tab/>
        <w:t>Optional components that are not extra cost optional components to be available to certain students</w:t>
      </w:r>
      <w:bookmarkEnd w:id="434"/>
      <w:bookmarkEnd w:id="435"/>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436" w:name="_Toc32411897"/>
      <w:bookmarkStart w:id="437" w:name="_Toc13494330"/>
      <w:r>
        <w:rPr>
          <w:rStyle w:val="CharSectno"/>
        </w:rPr>
        <w:t>102</w:t>
      </w:r>
      <w:r>
        <w:t>.</w:t>
      </w:r>
      <w:r>
        <w:tab/>
        <w:t>Charges etc. to be paid to principal</w:t>
      </w:r>
      <w:bookmarkEnd w:id="436"/>
      <w:bookmarkEnd w:id="437"/>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438" w:name="_Toc32411898"/>
      <w:bookmarkStart w:id="439" w:name="_Toc13494331"/>
      <w:r>
        <w:rPr>
          <w:rStyle w:val="CharSectno"/>
        </w:rPr>
        <w:t>103</w:t>
      </w:r>
      <w:r>
        <w:t>.</w:t>
      </w:r>
      <w:r>
        <w:tab/>
        <w:t>Overseas and adult students to pay fees for instruction</w:t>
      </w:r>
      <w:bookmarkEnd w:id="438"/>
      <w:bookmarkEnd w:id="439"/>
    </w:p>
    <w:p>
      <w:pPr>
        <w:pStyle w:val="Subsection"/>
      </w:pPr>
      <w:r>
        <w:tab/>
      </w:r>
      <w:r>
        <w:tab/>
        <w:t>A person who is an overseas student or an adult student is to pay such fees for instruction as may be prescribed and in accordance with the regulations.</w:t>
      </w:r>
    </w:p>
    <w:p>
      <w:pPr>
        <w:pStyle w:val="Heading5"/>
      </w:pPr>
      <w:bookmarkStart w:id="440" w:name="_Toc32411899"/>
      <w:bookmarkStart w:id="441" w:name="_Toc13494332"/>
      <w:r>
        <w:rPr>
          <w:rStyle w:val="CharSectno"/>
        </w:rPr>
        <w:t>104</w:t>
      </w:r>
      <w:r>
        <w:t>.</w:t>
      </w:r>
      <w:r>
        <w:tab/>
        <w:t>Reduction etc. of fees etc., regulations about</w:t>
      </w:r>
      <w:bookmarkEnd w:id="440"/>
      <w:bookmarkEnd w:id="441"/>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442" w:name="_Toc32411900"/>
      <w:bookmarkStart w:id="443" w:name="_Toc13494333"/>
      <w:r>
        <w:rPr>
          <w:rStyle w:val="CharSectno"/>
        </w:rPr>
        <w:t>105</w:t>
      </w:r>
      <w:r>
        <w:t>.</w:t>
      </w:r>
      <w:r>
        <w:tab/>
        <w:t>Students (other than overseas and adult students) cannot be excluded for non</w:t>
      </w:r>
      <w:r>
        <w:noBreakHyphen/>
        <w:t>payment of charges</w:t>
      </w:r>
      <w:bookmarkEnd w:id="442"/>
      <w:bookmarkEnd w:id="443"/>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444" w:name="_Toc32411901"/>
      <w:bookmarkStart w:id="445" w:name="_Toc13494334"/>
      <w:r>
        <w:rPr>
          <w:rStyle w:val="CharSectno"/>
        </w:rPr>
        <w:t>106</w:t>
      </w:r>
      <w:r>
        <w:t>.</w:t>
      </w:r>
      <w:r>
        <w:tab/>
        <w:t>Recovering fees etc.</w:t>
      </w:r>
      <w:bookmarkEnd w:id="444"/>
      <w:bookmarkEnd w:id="445"/>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446" w:name="_Toc32411902"/>
      <w:bookmarkStart w:id="447" w:name="_Toc13494335"/>
      <w:r>
        <w:rPr>
          <w:rStyle w:val="CharSectno"/>
        </w:rPr>
        <w:t>107</w:t>
      </w:r>
      <w:r>
        <w:t>.</w:t>
      </w:r>
      <w:r>
        <w:tab/>
        <w:t>Agreements to pay costs not affected</w:t>
      </w:r>
      <w:bookmarkEnd w:id="446"/>
      <w:bookmarkEnd w:id="447"/>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448" w:name="_Toc32411903"/>
      <w:bookmarkStart w:id="449" w:name="_Toc13494336"/>
      <w:r>
        <w:rPr>
          <w:rStyle w:val="CharSectno"/>
        </w:rPr>
        <w:t>108</w:t>
      </w:r>
      <w:r>
        <w:t>.</w:t>
      </w:r>
      <w:r>
        <w:tab/>
        <w:t>Items to be supplied by student for personal use in educational programme, determining etc.</w:t>
      </w:r>
      <w:bookmarkEnd w:id="448"/>
      <w:bookmarkEnd w:id="449"/>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450" w:name="_Toc32411490"/>
      <w:bookmarkStart w:id="451" w:name="_Toc32411904"/>
      <w:bookmarkStart w:id="452" w:name="_Toc486515815"/>
      <w:bookmarkStart w:id="453" w:name="_Toc486516853"/>
      <w:bookmarkStart w:id="454" w:name="_Toc13494337"/>
      <w:r>
        <w:t>Subdivision 2 — School funds</w:t>
      </w:r>
      <w:bookmarkEnd w:id="450"/>
      <w:bookmarkEnd w:id="451"/>
      <w:bookmarkEnd w:id="452"/>
      <w:bookmarkEnd w:id="453"/>
      <w:bookmarkEnd w:id="454"/>
    </w:p>
    <w:p>
      <w:pPr>
        <w:pStyle w:val="Heading5"/>
      </w:pPr>
      <w:bookmarkStart w:id="455" w:name="_Toc32411905"/>
      <w:bookmarkStart w:id="456" w:name="_Toc13494338"/>
      <w:r>
        <w:rPr>
          <w:rStyle w:val="CharSectno"/>
        </w:rPr>
        <w:t>109</w:t>
      </w:r>
      <w:r>
        <w:t>.</w:t>
      </w:r>
      <w:r>
        <w:tab/>
        <w:t>General Purposes Fund, each school has</w:t>
      </w:r>
      <w:bookmarkEnd w:id="455"/>
      <w:bookmarkEnd w:id="456"/>
    </w:p>
    <w:p>
      <w:pPr>
        <w:pStyle w:val="Subsection"/>
      </w:pPr>
      <w:r>
        <w:tab/>
      </w:r>
      <w:r>
        <w:tab/>
        <w:t>Each government school is to have a fund to be called the “(name of the school) General Purposes Fund”.</w:t>
      </w:r>
    </w:p>
    <w:p>
      <w:pPr>
        <w:pStyle w:val="Heading5"/>
      </w:pPr>
      <w:bookmarkStart w:id="457" w:name="_Toc32411906"/>
      <w:bookmarkStart w:id="458" w:name="_Toc13494339"/>
      <w:r>
        <w:rPr>
          <w:rStyle w:val="CharSectno"/>
        </w:rPr>
        <w:t>110</w:t>
      </w:r>
      <w:r>
        <w:t>.</w:t>
      </w:r>
      <w:r>
        <w:tab/>
        <w:t>Funds for donations etc., establishing</w:t>
      </w:r>
      <w:bookmarkEnd w:id="457"/>
      <w:bookmarkEnd w:id="458"/>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459" w:name="_Toc32411907"/>
      <w:bookmarkStart w:id="460" w:name="_Toc13494340"/>
      <w:r>
        <w:rPr>
          <w:rStyle w:val="CharSectno"/>
        </w:rPr>
        <w:t>111</w:t>
      </w:r>
      <w:r>
        <w:t>.</w:t>
      </w:r>
      <w:r>
        <w:tab/>
        <w:t>Management of school funds</w:t>
      </w:r>
      <w:bookmarkEnd w:id="459"/>
      <w:bookmarkEnd w:id="460"/>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461" w:name="_Toc32411908"/>
      <w:bookmarkStart w:id="462" w:name="_Toc13494341"/>
      <w:r>
        <w:rPr>
          <w:rStyle w:val="CharSectno"/>
        </w:rPr>
        <w:t>112</w:t>
      </w:r>
      <w:r>
        <w:t>.</w:t>
      </w:r>
      <w:r>
        <w:tab/>
        <w:t>Money to be credited to General Purposes Fund etc.</w:t>
      </w:r>
      <w:bookmarkEnd w:id="461"/>
      <w:bookmarkEnd w:id="462"/>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463" w:name="_Toc32411909"/>
      <w:bookmarkStart w:id="464" w:name="_Toc13494342"/>
      <w:r>
        <w:rPr>
          <w:rStyle w:val="CharSectno"/>
        </w:rPr>
        <w:t>113</w:t>
      </w:r>
      <w:r>
        <w:t>.</w:t>
      </w:r>
      <w:r>
        <w:tab/>
        <w:t>Bank account for school funds</w:t>
      </w:r>
      <w:bookmarkEnd w:id="463"/>
      <w:bookmarkEnd w:id="464"/>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keepNext/>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No. 74 of 2003 s. 107(3).]</w:t>
      </w:r>
    </w:p>
    <w:p>
      <w:pPr>
        <w:pStyle w:val="Heading5"/>
      </w:pPr>
      <w:bookmarkStart w:id="465" w:name="_Toc32411910"/>
      <w:bookmarkStart w:id="466" w:name="_Toc13494343"/>
      <w:r>
        <w:rPr>
          <w:rStyle w:val="CharSectno"/>
        </w:rPr>
        <w:t>114</w:t>
      </w:r>
      <w:r>
        <w:t>.</w:t>
      </w:r>
      <w:r>
        <w:tab/>
      </w:r>
      <w:r>
        <w:rPr>
          <w:i/>
        </w:rPr>
        <w:t>Financial Management Act 2006</w:t>
      </w:r>
      <w:r>
        <w:t xml:space="preserve"> s. 8 and 34, application of to s. 109 to 113</w:t>
      </w:r>
      <w:bookmarkEnd w:id="465"/>
      <w:bookmarkEnd w:id="466"/>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No. 77 of 2006 s. 6 and Sch. 1 cl. 154(1).]</w:t>
      </w:r>
    </w:p>
    <w:p>
      <w:pPr>
        <w:pStyle w:val="Heading5"/>
        <w:spacing w:before="200"/>
      </w:pPr>
      <w:bookmarkStart w:id="467" w:name="_Toc32411911"/>
      <w:bookmarkStart w:id="468" w:name="_Toc13494344"/>
      <w:r>
        <w:rPr>
          <w:rStyle w:val="CharSectno"/>
        </w:rPr>
        <w:t>115</w:t>
      </w:r>
      <w:r>
        <w:t>.</w:t>
      </w:r>
      <w:r>
        <w:tab/>
        <w:t>Investment of school funds</w:t>
      </w:r>
      <w:bookmarkEnd w:id="467"/>
      <w:bookmarkEnd w:id="468"/>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No. 77 of 2006 Sch. 1 cl. 154(2).]</w:t>
      </w:r>
    </w:p>
    <w:p>
      <w:pPr>
        <w:pStyle w:val="Heading5"/>
        <w:spacing w:before="200"/>
      </w:pPr>
      <w:bookmarkStart w:id="469" w:name="_Toc32411912"/>
      <w:bookmarkStart w:id="470" w:name="_Toc13494345"/>
      <w:r>
        <w:rPr>
          <w:rStyle w:val="CharSectno"/>
        </w:rPr>
        <w:t>116</w:t>
      </w:r>
      <w:r>
        <w:t>.</w:t>
      </w:r>
      <w:r>
        <w:tab/>
        <w:t>Closure etc. of school, how school funds to be dealt with in case of</w:t>
      </w:r>
      <w:bookmarkEnd w:id="469"/>
      <w:bookmarkEnd w:id="470"/>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keepNext/>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471" w:name="_Toc32411499"/>
      <w:bookmarkStart w:id="472" w:name="_Toc32411913"/>
      <w:bookmarkStart w:id="473" w:name="_Toc486515824"/>
      <w:bookmarkStart w:id="474" w:name="_Toc486516862"/>
      <w:bookmarkStart w:id="475" w:name="_Toc13494346"/>
      <w:r>
        <w:rPr>
          <w:rStyle w:val="CharDivNo"/>
        </w:rPr>
        <w:t>Division 7</w:t>
      </w:r>
      <w:r>
        <w:t xml:space="preserve"> — </w:t>
      </w:r>
      <w:r>
        <w:rPr>
          <w:rStyle w:val="CharDivText"/>
        </w:rPr>
        <w:t>Other management provisions</w:t>
      </w:r>
      <w:bookmarkEnd w:id="471"/>
      <w:bookmarkEnd w:id="472"/>
      <w:bookmarkEnd w:id="473"/>
      <w:bookmarkEnd w:id="474"/>
      <w:bookmarkEnd w:id="475"/>
    </w:p>
    <w:p>
      <w:pPr>
        <w:pStyle w:val="Heading5"/>
      </w:pPr>
      <w:bookmarkStart w:id="476" w:name="_Toc32411914"/>
      <w:bookmarkStart w:id="477" w:name="_Toc13494347"/>
      <w:r>
        <w:rPr>
          <w:rStyle w:val="CharSectno"/>
        </w:rPr>
        <w:t>117</w:t>
      </w:r>
      <w:r>
        <w:t>.</w:t>
      </w:r>
      <w:r>
        <w:tab/>
        <w:t>School year for government schools, how determined</w:t>
      </w:r>
      <w:bookmarkEnd w:id="476"/>
      <w:bookmarkEnd w:id="477"/>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478" w:name="_Toc32411915"/>
      <w:bookmarkStart w:id="479" w:name="_Toc13494348"/>
      <w:r>
        <w:rPr>
          <w:rStyle w:val="CharSectno"/>
        </w:rPr>
        <w:t>118</w:t>
      </w:r>
      <w:r>
        <w:t>.</w:t>
      </w:r>
      <w:r>
        <w:tab/>
        <w:t>Disputes and complaints, regulations for dealing with</w:t>
      </w:r>
      <w:bookmarkEnd w:id="478"/>
      <w:bookmarkEnd w:id="479"/>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480" w:name="_Toc32411916"/>
      <w:bookmarkStart w:id="481" w:name="_Toc13494349"/>
      <w:r>
        <w:rPr>
          <w:rStyle w:val="CharSectno"/>
        </w:rPr>
        <w:t>119</w:t>
      </w:r>
      <w:r>
        <w:t>.</w:t>
      </w:r>
      <w:r>
        <w:tab/>
        <w:t>School premises, regulations for management etc. of</w:t>
      </w:r>
      <w:bookmarkEnd w:id="480"/>
      <w:bookmarkEnd w:id="481"/>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482" w:name="_Toc32411917"/>
      <w:bookmarkStart w:id="483" w:name="_Toc13494350"/>
      <w:r>
        <w:rPr>
          <w:rStyle w:val="CharSectno"/>
        </w:rPr>
        <w:t>120</w:t>
      </w:r>
      <w:r>
        <w:t>.</w:t>
      </w:r>
      <w:r>
        <w:tab/>
        <w:t>Non-student disrupting school etc., powers to deal with</w:t>
      </w:r>
      <w:bookmarkEnd w:id="482"/>
      <w:bookmarkEnd w:id="483"/>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No. 50 of 2003 s. 94(2); No. 28 of 2014 s. 35.]</w:t>
      </w:r>
    </w:p>
    <w:p>
      <w:pPr>
        <w:pStyle w:val="Heading5"/>
        <w:spacing w:before="180"/>
      </w:pPr>
      <w:bookmarkStart w:id="484" w:name="_Toc32411918"/>
      <w:bookmarkStart w:id="485" w:name="_Toc13494351"/>
      <w:r>
        <w:rPr>
          <w:rStyle w:val="CharSectno"/>
        </w:rPr>
        <w:t>121</w:t>
      </w:r>
      <w:r>
        <w:t>.</w:t>
      </w:r>
      <w:r>
        <w:tab/>
        <w:t>Certain information not to be disseminated on school premises</w:t>
      </w:r>
      <w:bookmarkEnd w:id="484"/>
      <w:bookmarkEnd w:id="485"/>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No. 28 of 2014 s. 35.]</w:t>
      </w:r>
    </w:p>
    <w:p>
      <w:pPr>
        <w:pStyle w:val="Heading5"/>
        <w:spacing w:before="120"/>
      </w:pPr>
      <w:bookmarkStart w:id="486" w:name="_Toc32411919"/>
      <w:bookmarkStart w:id="487" w:name="_Toc13494352"/>
      <w:r>
        <w:rPr>
          <w:rStyle w:val="CharSectno"/>
        </w:rPr>
        <w:t>122</w:t>
      </w:r>
      <w:r>
        <w:t>.</w:t>
      </w:r>
      <w:r>
        <w:tab/>
        <w:t>Parent on s. 19 register, principal etc. may deal with exclusively</w:t>
      </w:r>
      <w:bookmarkEnd w:id="486"/>
      <w:bookmarkEnd w:id="487"/>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488" w:name="_Toc32411920"/>
      <w:bookmarkStart w:id="489" w:name="_Toc13494353"/>
      <w:r>
        <w:rPr>
          <w:rStyle w:val="CharSectno"/>
        </w:rPr>
        <w:t>123</w:t>
      </w:r>
      <w:r>
        <w:t>.</w:t>
      </w:r>
      <w:r>
        <w:tab/>
        <w:t>General management of schools, regulations for</w:t>
      </w:r>
      <w:bookmarkEnd w:id="488"/>
      <w:bookmarkEnd w:id="489"/>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490" w:name="_Toc32411507"/>
      <w:bookmarkStart w:id="491" w:name="_Toc32411921"/>
      <w:bookmarkStart w:id="492" w:name="_Toc486515832"/>
      <w:bookmarkStart w:id="493" w:name="_Toc486516870"/>
      <w:bookmarkStart w:id="494" w:name="_Toc13494354"/>
      <w:r>
        <w:rPr>
          <w:rStyle w:val="CharDivNo"/>
        </w:rPr>
        <w:t>Division 8</w:t>
      </w:r>
      <w:r>
        <w:t xml:space="preserve"> — </w:t>
      </w:r>
      <w:r>
        <w:rPr>
          <w:rStyle w:val="CharDivText"/>
        </w:rPr>
        <w:t>Parent and community involvement</w:t>
      </w:r>
      <w:bookmarkEnd w:id="490"/>
      <w:bookmarkEnd w:id="491"/>
      <w:bookmarkEnd w:id="492"/>
      <w:bookmarkEnd w:id="493"/>
      <w:bookmarkEnd w:id="494"/>
    </w:p>
    <w:p>
      <w:pPr>
        <w:pStyle w:val="Heading4"/>
      </w:pPr>
      <w:bookmarkStart w:id="495" w:name="_Toc32411508"/>
      <w:bookmarkStart w:id="496" w:name="_Toc32411922"/>
      <w:bookmarkStart w:id="497" w:name="_Toc486515833"/>
      <w:bookmarkStart w:id="498" w:name="_Toc486516871"/>
      <w:bookmarkStart w:id="499" w:name="_Toc13494355"/>
      <w:r>
        <w:t>Subdivision 1 — School Councils</w:t>
      </w:r>
      <w:bookmarkEnd w:id="495"/>
      <w:bookmarkEnd w:id="496"/>
      <w:bookmarkEnd w:id="497"/>
      <w:bookmarkEnd w:id="498"/>
      <w:bookmarkEnd w:id="499"/>
    </w:p>
    <w:p>
      <w:pPr>
        <w:pStyle w:val="Heading5"/>
      </w:pPr>
      <w:bookmarkStart w:id="500" w:name="_Toc32411923"/>
      <w:bookmarkStart w:id="501" w:name="_Toc13494356"/>
      <w:r>
        <w:rPr>
          <w:rStyle w:val="CharSectno"/>
        </w:rPr>
        <w:t>124</w:t>
      </w:r>
      <w:r>
        <w:t>.</w:t>
      </w:r>
      <w:r>
        <w:tab/>
        <w:t>Terms used</w:t>
      </w:r>
      <w:bookmarkEnd w:id="500"/>
      <w:bookmarkEnd w:id="501"/>
    </w:p>
    <w:p>
      <w:pPr>
        <w:pStyle w:val="Subsection"/>
      </w:pPr>
      <w:r>
        <w:tab/>
      </w:r>
      <w:r>
        <w:tab/>
        <w:t>In this Subdivision —</w:t>
      </w:r>
    </w:p>
    <w:p>
      <w:pPr>
        <w:pStyle w:val="Defstart"/>
      </w:pPr>
      <w:r>
        <w:tab/>
      </w:r>
      <w:r>
        <w:rPr>
          <w:rStyle w:val="CharDefText"/>
        </w:rPr>
        <w:t>incorporated association</w:t>
      </w:r>
      <w:r>
        <w:t xml:space="preserve"> has the same meaning as in the </w:t>
      </w:r>
      <w:r>
        <w:rPr>
          <w:i/>
        </w:rPr>
        <w:t>Associations Incorporation Act 2015</w:t>
      </w:r>
      <w:r>
        <w:t xml:space="preserve"> section 3;</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Footnotesection"/>
      </w:pPr>
      <w:r>
        <w:tab/>
        <w:t>[Section 124 amended: No. 30 of 2015 s. 228(2).]</w:t>
      </w:r>
    </w:p>
    <w:p>
      <w:pPr>
        <w:pStyle w:val="Heading5"/>
      </w:pPr>
      <w:bookmarkStart w:id="502" w:name="_Toc32411924"/>
      <w:bookmarkStart w:id="503" w:name="_Toc13494357"/>
      <w:r>
        <w:rPr>
          <w:rStyle w:val="CharSectno"/>
        </w:rPr>
        <w:t>125</w:t>
      </w:r>
      <w:r>
        <w:t>.</w:t>
      </w:r>
      <w:r>
        <w:tab/>
        <w:t>Each government school to have Council for school</w:t>
      </w:r>
      <w:bookmarkEnd w:id="502"/>
      <w:bookmarkEnd w:id="503"/>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504" w:name="_Toc32411925"/>
      <w:bookmarkStart w:id="505" w:name="_Toc13494358"/>
      <w:r>
        <w:rPr>
          <w:rStyle w:val="CharSectno"/>
        </w:rPr>
        <w:t>126</w:t>
      </w:r>
      <w:r>
        <w:t>.</w:t>
      </w:r>
      <w:r>
        <w:tab/>
        <w:t>Exemptions from and approvals for s. 125</w:t>
      </w:r>
      <w:bookmarkEnd w:id="504"/>
      <w:bookmarkEnd w:id="505"/>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506" w:name="_Toc32411926"/>
      <w:bookmarkStart w:id="507" w:name="_Toc13494359"/>
      <w:r>
        <w:rPr>
          <w:rStyle w:val="CharSectno"/>
        </w:rPr>
        <w:t>127</w:t>
      </w:r>
      <w:r>
        <w:t>.</w:t>
      </w:r>
      <w:r>
        <w:tab/>
        <w:t>Council, members of etc.</w:t>
      </w:r>
      <w:bookmarkEnd w:id="506"/>
      <w:bookmarkEnd w:id="507"/>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508" w:name="_Toc32411927"/>
      <w:bookmarkStart w:id="509" w:name="_Toc13494360"/>
      <w:r>
        <w:rPr>
          <w:rStyle w:val="CharSectno"/>
        </w:rPr>
        <w:t>128</w:t>
      </w:r>
      <w:r>
        <w:t>.</w:t>
      </w:r>
      <w:r>
        <w:tab/>
        <w:t>Council, functions of</w:t>
      </w:r>
      <w:bookmarkEnd w:id="508"/>
      <w:bookmarkEnd w:id="509"/>
      <w:r>
        <w:t xml:space="preserve"> </w:t>
      </w:r>
    </w:p>
    <w:p>
      <w:pPr>
        <w:pStyle w:val="Subsection"/>
        <w:keepNext/>
      </w:pPr>
      <w:r>
        <w:tab/>
      </w:r>
      <w:r>
        <w:tab/>
        <w:t>The functions of a Council for a school are —</w:t>
      </w:r>
    </w:p>
    <w:p>
      <w:pPr>
        <w:pStyle w:val="Indenta"/>
        <w:keepNext/>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510" w:name="_Toc32411928"/>
      <w:bookmarkStart w:id="511" w:name="_Toc13494361"/>
      <w:r>
        <w:rPr>
          <w:rStyle w:val="CharSectno"/>
        </w:rPr>
        <w:t>129</w:t>
      </w:r>
      <w:r>
        <w:t>.</w:t>
      </w:r>
      <w:r>
        <w:tab/>
        <w:t>Additional functions of Council, Minister may approve</w:t>
      </w:r>
      <w:bookmarkEnd w:id="510"/>
      <w:bookmarkEnd w:id="511"/>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(2)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Footnotesection"/>
        <w:spacing w:before="80"/>
      </w:pPr>
      <w:r>
        <w:tab/>
        <w:t>[Section 129 amended: No. 41 of 2016 s. 10.]</w:t>
      </w:r>
    </w:p>
    <w:p>
      <w:pPr>
        <w:pStyle w:val="Heading5"/>
      </w:pPr>
      <w:bookmarkStart w:id="512" w:name="_Toc32411929"/>
      <w:bookmarkStart w:id="513" w:name="_Toc13494362"/>
      <w:r>
        <w:rPr>
          <w:rStyle w:val="CharSectno"/>
        </w:rPr>
        <w:t>130</w:t>
      </w:r>
      <w:r>
        <w:t>.</w:t>
      </w:r>
      <w:r>
        <w:tab/>
        <w:t>Additional functions of incorporated Council, Minister may approve</w:t>
      </w:r>
      <w:bookmarkEnd w:id="512"/>
      <w:bookmarkEnd w:id="513"/>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 xml:space="preserve">Associations Incorporation Act 2015 </w:t>
      </w:r>
      <w:r>
        <w:t>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Footnotesection"/>
      </w:pPr>
      <w:r>
        <w:tab/>
        <w:t>[Section 130 amended: No. 30 of 2015 s. 228(7).]</w:t>
      </w:r>
    </w:p>
    <w:p>
      <w:pPr>
        <w:pStyle w:val="Heading5"/>
      </w:pPr>
      <w:bookmarkStart w:id="514" w:name="_Toc32411930"/>
      <w:bookmarkStart w:id="515" w:name="_Toc13494363"/>
      <w:r>
        <w:rPr>
          <w:rStyle w:val="CharSectno"/>
        </w:rPr>
        <w:t>131</w:t>
      </w:r>
      <w:r>
        <w:t>.</w:t>
      </w:r>
      <w:r>
        <w:tab/>
        <w:t>Property acquired by incorporated Council vests in Minister</w:t>
      </w:r>
      <w:bookmarkEnd w:id="514"/>
      <w:bookmarkEnd w:id="515"/>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516" w:name="_Toc32411931"/>
      <w:bookmarkStart w:id="517" w:name="_Toc13494364"/>
      <w:r>
        <w:rPr>
          <w:rStyle w:val="CharSectno"/>
        </w:rPr>
        <w:t>132</w:t>
      </w:r>
      <w:r>
        <w:t>.</w:t>
      </w:r>
      <w:r>
        <w:tab/>
        <w:t>Council cannot intervene in certain matters</w:t>
      </w:r>
      <w:bookmarkEnd w:id="516"/>
      <w:bookmarkEnd w:id="517"/>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518" w:name="_Toc32411932"/>
      <w:bookmarkStart w:id="519" w:name="_Toc13494365"/>
      <w:r>
        <w:rPr>
          <w:rStyle w:val="CharSectno"/>
        </w:rPr>
        <w:t>133</w:t>
      </w:r>
      <w:r>
        <w:t>.</w:t>
      </w:r>
      <w:r>
        <w:tab/>
        <w:t>Powers of Council</w:t>
      </w:r>
      <w:bookmarkEnd w:id="518"/>
      <w:bookmarkEnd w:id="519"/>
    </w:p>
    <w:p>
      <w:pPr>
        <w:pStyle w:val="Subsection"/>
      </w:pPr>
      <w:r>
        <w:tab/>
      </w:r>
      <w:r>
        <w:tab/>
        <w:t>A Council may do all things necessary or convenient to be done for or in connection with the carrying out of its functions.</w:t>
      </w:r>
    </w:p>
    <w:p>
      <w:pPr>
        <w:pStyle w:val="Heading5"/>
      </w:pPr>
      <w:bookmarkStart w:id="520" w:name="_Toc32411933"/>
      <w:bookmarkStart w:id="521" w:name="_Toc13494366"/>
      <w:r>
        <w:rPr>
          <w:rStyle w:val="CharSectno"/>
        </w:rPr>
        <w:t>134</w:t>
      </w:r>
      <w:r>
        <w:t>.</w:t>
      </w:r>
      <w:r>
        <w:tab/>
        <w:t>Support services for Council, principal to provide</w:t>
      </w:r>
      <w:bookmarkEnd w:id="520"/>
      <w:bookmarkEnd w:id="521"/>
    </w:p>
    <w:p>
      <w:pPr>
        <w:pStyle w:val="Subsection"/>
      </w:pPr>
      <w:r>
        <w:tab/>
      </w:r>
      <w:r>
        <w:tab/>
        <w:t>The principal of a school is to provide the school’s Council with such support services as it may reasonably require.</w:t>
      </w:r>
    </w:p>
    <w:p>
      <w:pPr>
        <w:pStyle w:val="Heading5"/>
      </w:pPr>
      <w:bookmarkStart w:id="522" w:name="_Toc32411934"/>
      <w:bookmarkStart w:id="523" w:name="_Toc13494367"/>
      <w:r>
        <w:rPr>
          <w:rStyle w:val="CharSectno"/>
        </w:rPr>
        <w:t>135</w:t>
      </w:r>
      <w:r>
        <w:t>.</w:t>
      </w:r>
      <w:r>
        <w:tab/>
        <w:t>Minister may direct Council</w:t>
      </w:r>
      <w:bookmarkEnd w:id="522"/>
      <w:bookmarkEnd w:id="523"/>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524" w:name="_Toc32411935"/>
      <w:bookmarkStart w:id="525" w:name="_Toc13494368"/>
      <w:r>
        <w:rPr>
          <w:rStyle w:val="CharSectno"/>
        </w:rPr>
        <w:t>136</w:t>
      </w:r>
      <w:r>
        <w:t>.</w:t>
      </w:r>
      <w:r>
        <w:tab/>
        <w:t>Procedures of Council</w:t>
      </w:r>
      <w:bookmarkEnd w:id="524"/>
      <w:bookmarkEnd w:id="525"/>
    </w:p>
    <w:p>
      <w:pPr>
        <w:pStyle w:val="Subsection"/>
      </w:pPr>
      <w:r>
        <w:tab/>
      </w:r>
      <w:r>
        <w:tab/>
        <w:t>Subject to this Act, a Council is to determine its own procedures.</w:t>
      </w:r>
    </w:p>
    <w:p>
      <w:pPr>
        <w:pStyle w:val="Heading5"/>
      </w:pPr>
      <w:bookmarkStart w:id="526" w:name="_Toc32411936"/>
      <w:bookmarkStart w:id="527" w:name="_Toc13494369"/>
      <w:r>
        <w:rPr>
          <w:rStyle w:val="CharSectno"/>
        </w:rPr>
        <w:t>137</w:t>
      </w:r>
      <w:r>
        <w:t>.</w:t>
      </w:r>
      <w:r>
        <w:tab/>
        <w:t>Protection from personal liability</w:t>
      </w:r>
      <w:bookmarkEnd w:id="526"/>
      <w:bookmarkEnd w:id="527"/>
    </w:p>
    <w:p>
      <w:pPr>
        <w:pStyle w:val="Subsection"/>
      </w:pPr>
      <w:r>
        <w:tab/>
        <w:t>(1)</w:t>
      </w:r>
      <w:r>
        <w:tab/>
        <w:t>An action in tort does not lie against a person for anything that the person has done in good faith as a member of a Council.</w:t>
      </w:r>
    </w:p>
    <w:p>
      <w:pPr>
        <w:pStyle w:val="Subsection"/>
      </w:pPr>
      <w:r>
        <w:tab/>
        <w:t>(2)</w:t>
      </w:r>
      <w:r>
        <w:tab/>
        <w:t>Subsection (1) does not relieve a Council that is an incorporated association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Footnotesection"/>
      </w:pPr>
      <w:r>
        <w:tab/>
        <w:t>[Section 137 amended: No. 30 of 2015 s. 228(3).]</w:t>
      </w:r>
    </w:p>
    <w:p>
      <w:pPr>
        <w:pStyle w:val="Heading5"/>
      </w:pPr>
      <w:bookmarkStart w:id="528" w:name="_Toc32411937"/>
      <w:bookmarkStart w:id="529" w:name="_Toc13494370"/>
      <w:r>
        <w:rPr>
          <w:rStyle w:val="CharSectno"/>
        </w:rPr>
        <w:t>138</w:t>
      </w:r>
      <w:r>
        <w:t>.</w:t>
      </w:r>
      <w:r>
        <w:tab/>
        <w:t>Minister may dismiss unincorporated Council</w:t>
      </w:r>
      <w:bookmarkEnd w:id="528"/>
      <w:bookmarkEnd w:id="529"/>
    </w:p>
    <w:p>
      <w:pPr>
        <w:pStyle w:val="Subsection"/>
      </w:pPr>
      <w:r>
        <w:tab/>
        <w:t>(1)</w:t>
      </w:r>
      <w:r>
        <w:tab/>
        <w:t>This section does not apply to a Council that by operation of section 130 is an incorporated association.</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No. 74 of 2003 s. 107(4); No. 30 of 2015 s. 228(4).]</w:t>
      </w:r>
    </w:p>
    <w:p>
      <w:pPr>
        <w:pStyle w:val="Heading5"/>
      </w:pPr>
      <w:bookmarkStart w:id="530" w:name="_Toc32411938"/>
      <w:bookmarkStart w:id="531" w:name="_Toc13494371"/>
      <w:r>
        <w:rPr>
          <w:rStyle w:val="CharSectno"/>
        </w:rPr>
        <w:t>139</w:t>
      </w:r>
      <w:r>
        <w:t>.</w:t>
      </w:r>
      <w:r>
        <w:tab/>
        <w:t>Incorporated Council, winding up</w:t>
      </w:r>
      <w:bookmarkEnd w:id="530"/>
      <w:bookmarkEnd w:id="531"/>
    </w:p>
    <w:p>
      <w:pPr>
        <w:pStyle w:val="Subsection"/>
      </w:pPr>
      <w:r>
        <w:tab/>
        <w:t>(1)</w:t>
      </w:r>
      <w:r>
        <w:tab/>
        <w:t>A Council that, by operation of section 130, is an incorporated association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 xml:space="preserve">Associations Incorporation Act 2015 </w:t>
      </w:r>
      <w:r>
        <w:t>applies to a Council for the purposes of subsection (1) as if the grounds referred to in that subsection were specified in Schedule 4 to that Act as grounds for winding up.</w:t>
      </w:r>
    </w:p>
    <w:p>
      <w:pPr>
        <w:pStyle w:val="Subsection"/>
      </w:pPr>
      <w:r>
        <w:tab/>
        <w:t>(3)</w:t>
      </w:r>
      <w:r>
        <w:tab/>
        <w:t xml:space="preserve">This section is in addition to, and does not limit, the application of the </w:t>
      </w:r>
      <w:r>
        <w:rPr>
          <w:i/>
        </w:rPr>
        <w:t xml:space="preserve">Associations Incorporation Act 2015 </w:t>
      </w:r>
      <w:r>
        <w:t>to a Council that is an incorporated association.</w:t>
      </w:r>
    </w:p>
    <w:p>
      <w:pPr>
        <w:pStyle w:val="Footnotesection"/>
      </w:pPr>
      <w:r>
        <w:tab/>
        <w:t>[Section 139 amended: No. 30 of 2015 s. 228(5), (6) and (7).]</w:t>
      </w:r>
    </w:p>
    <w:p>
      <w:pPr>
        <w:pStyle w:val="Heading5"/>
      </w:pPr>
      <w:bookmarkStart w:id="532" w:name="_Toc32411939"/>
      <w:bookmarkStart w:id="533" w:name="_Toc13494372"/>
      <w:r>
        <w:rPr>
          <w:rStyle w:val="CharSectno"/>
        </w:rPr>
        <w:t>140</w:t>
      </w:r>
      <w:r>
        <w:t>.</w:t>
      </w:r>
      <w:r>
        <w:tab/>
        <w:t>Regulations about Councils</w:t>
      </w:r>
      <w:bookmarkEnd w:id="532"/>
      <w:bookmarkEnd w:id="533"/>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534" w:name="_Toc32411526"/>
      <w:bookmarkStart w:id="535" w:name="_Toc32411940"/>
      <w:bookmarkStart w:id="536" w:name="_Toc486515851"/>
      <w:bookmarkStart w:id="537" w:name="_Toc486516889"/>
      <w:bookmarkStart w:id="538" w:name="_Toc13494373"/>
      <w:r>
        <w:t>Subdivision 2 — Parents and Citizens’ Associations</w:t>
      </w:r>
      <w:bookmarkEnd w:id="534"/>
      <w:bookmarkEnd w:id="535"/>
      <w:bookmarkEnd w:id="536"/>
      <w:bookmarkEnd w:id="537"/>
      <w:bookmarkEnd w:id="538"/>
    </w:p>
    <w:p>
      <w:pPr>
        <w:pStyle w:val="Heading5"/>
        <w:spacing w:before="180"/>
      </w:pPr>
      <w:bookmarkStart w:id="539" w:name="_Toc32411941"/>
      <w:bookmarkStart w:id="540" w:name="_Toc13494374"/>
      <w:r>
        <w:rPr>
          <w:rStyle w:val="CharSectno"/>
        </w:rPr>
        <w:t>141</w:t>
      </w:r>
      <w:r>
        <w:t>.</w:t>
      </w:r>
      <w:r>
        <w:tab/>
        <w:t>Terms used</w:t>
      </w:r>
      <w:bookmarkEnd w:id="539"/>
      <w:bookmarkEnd w:id="540"/>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2015</w:t>
      </w:r>
      <w:r>
        <w:t>.</w:t>
      </w:r>
    </w:p>
    <w:p>
      <w:pPr>
        <w:pStyle w:val="Footnotesection"/>
      </w:pPr>
      <w:r>
        <w:tab/>
        <w:t>[Section 141 amended: No. 30 of 2015 s. 228(7).]</w:t>
      </w:r>
    </w:p>
    <w:p>
      <w:pPr>
        <w:pStyle w:val="Heading5"/>
        <w:spacing w:before="180"/>
      </w:pPr>
      <w:bookmarkStart w:id="541" w:name="_Toc32411942"/>
      <w:bookmarkStart w:id="542" w:name="_Toc13494375"/>
      <w:r>
        <w:rPr>
          <w:rStyle w:val="CharSectno"/>
        </w:rPr>
        <w:t>142</w:t>
      </w:r>
      <w:r>
        <w:t>.</w:t>
      </w:r>
      <w:r>
        <w:tab/>
        <w:t>Forming association</w:t>
      </w:r>
      <w:bookmarkEnd w:id="541"/>
      <w:bookmarkEnd w:id="542"/>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543" w:name="_Toc32411943"/>
      <w:bookmarkStart w:id="544" w:name="_Toc13494376"/>
      <w:r>
        <w:rPr>
          <w:rStyle w:val="CharSectno"/>
        </w:rPr>
        <w:t>143</w:t>
      </w:r>
      <w:r>
        <w:t>.</w:t>
      </w:r>
      <w:r>
        <w:tab/>
        <w:t>Objects of and limits on associations</w:t>
      </w:r>
      <w:bookmarkEnd w:id="543"/>
      <w:bookmarkEnd w:id="544"/>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545" w:name="_Toc32411944"/>
      <w:bookmarkStart w:id="546" w:name="_Toc13494377"/>
      <w:r>
        <w:rPr>
          <w:rStyle w:val="CharSectno"/>
        </w:rPr>
        <w:t>144</w:t>
      </w:r>
      <w:r>
        <w:t>.</w:t>
      </w:r>
      <w:r>
        <w:tab/>
        <w:t>Property acquired by association vests in Minister</w:t>
      </w:r>
      <w:bookmarkEnd w:id="545"/>
      <w:bookmarkEnd w:id="546"/>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547" w:name="_Toc32411945"/>
      <w:bookmarkStart w:id="548" w:name="_Toc13494378"/>
      <w:r>
        <w:rPr>
          <w:rStyle w:val="CharSectno"/>
        </w:rPr>
        <w:t>145</w:t>
      </w:r>
      <w:r>
        <w:t>.</w:t>
      </w:r>
      <w:r>
        <w:tab/>
        <w:t>Association formed after 1 Jan 2001, incorporation of</w:t>
      </w:r>
      <w:bookmarkEnd w:id="547"/>
      <w:bookmarkEnd w:id="548"/>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2015</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Footnotesection"/>
      </w:pPr>
      <w:r>
        <w:tab/>
        <w:t>[Section 145 amended: No. 30 of 2015 s. 228(7).]</w:t>
      </w:r>
    </w:p>
    <w:p>
      <w:pPr>
        <w:pStyle w:val="Heading5"/>
      </w:pPr>
      <w:bookmarkStart w:id="549" w:name="_Toc32411946"/>
      <w:bookmarkStart w:id="550" w:name="_Toc13494379"/>
      <w:r>
        <w:rPr>
          <w:rStyle w:val="CharSectno"/>
        </w:rPr>
        <w:t>146</w:t>
      </w:r>
      <w:r>
        <w:t>.</w:t>
      </w:r>
      <w:r>
        <w:tab/>
        <w:t>Transitional provisions for association existing at 1 Jan 2001</w:t>
      </w:r>
      <w:bookmarkEnd w:id="549"/>
      <w:bookmarkEnd w:id="550"/>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keepNext/>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551" w:name="_Toc32411947"/>
      <w:bookmarkStart w:id="552" w:name="_Toc13494380"/>
      <w:r>
        <w:rPr>
          <w:rStyle w:val="CharSectno"/>
        </w:rPr>
        <w:t>147</w:t>
      </w:r>
      <w:r>
        <w:t>.</w:t>
      </w:r>
      <w:r>
        <w:tab/>
        <w:t>Association to give certain information to principal</w:t>
      </w:r>
      <w:bookmarkEnd w:id="551"/>
      <w:bookmarkEnd w:id="552"/>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553" w:name="_Toc32411948"/>
      <w:bookmarkStart w:id="554" w:name="_Toc13494381"/>
      <w:r>
        <w:rPr>
          <w:rStyle w:val="CharSectno"/>
        </w:rPr>
        <w:t>148</w:t>
      </w:r>
      <w:r>
        <w:t>.</w:t>
      </w:r>
      <w:r>
        <w:tab/>
        <w:t>Winding up association</w:t>
      </w:r>
      <w:bookmarkEnd w:id="553"/>
      <w:bookmarkEnd w:id="554"/>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2015</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Schedule 4 to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2015</w:t>
      </w:r>
      <w:r>
        <w:t xml:space="preserve"> to the association.</w:t>
      </w:r>
    </w:p>
    <w:p>
      <w:pPr>
        <w:pStyle w:val="Footnotesection"/>
      </w:pPr>
      <w:r>
        <w:tab/>
        <w:t>[Section 148 amended: No. 30 of 2015 s. 228(6) and (7).]</w:t>
      </w:r>
    </w:p>
    <w:p>
      <w:pPr>
        <w:pStyle w:val="Heading5"/>
      </w:pPr>
      <w:bookmarkStart w:id="555" w:name="_Toc32411949"/>
      <w:bookmarkStart w:id="556" w:name="_Toc13494382"/>
      <w:r>
        <w:rPr>
          <w:rStyle w:val="CharSectno"/>
        </w:rPr>
        <w:t>149</w:t>
      </w:r>
      <w:r>
        <w:t>.</w:t>
      </w:r>
      <w:r>
        <w:tab/>
        <w:t>Other associations, forming etc.</w:t>
      </w:r>
      <w:bookmarkEnd w:id="555"/>
      <w:bookmarkEnd w:id="556"/>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keepNext/>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No. 28 of 2014 s. 35.]</w:t>
      </w:r>
    </w:p>
    <w:p>
      <w:pPr>
        <w:pStyle w:val="Heading2"/>
      </w:pPr>
      <w:bookmarkStart w:id="557" w:name="_Toc32411536"/>
      <w:bookmarkStart w:id="558" w:name="_Toc32411950"/>
      <w:bookmarkStart w:id="559" w:name="_Toc486515861"/>
      <w:bookmarkStart w:id="560" w:name="_Toc486516899"/>
      <w:bookmarkStart w:id="561" w:name="_Toc13494383"/>
      <w:r>
        <w:rPr>
          <w:rStyle w:val="CharPartNo"/>
        </w:rPr>
        <w:t>Part 4</w:t>
      </w:r>
      <w:r>
        <w:t xml:space="preserve"> — </w:t>
      </w:r>
      <w:r>
        <w:rPr>
          <w:rStyle w:val="CharPartText"/>
        </w:rPr>
        <w:t>Non</w:t>
      </w:r>
      <w:r>
        <w:rPr>
          <w:rStyle w:val="CharPartText"/>
        </w:rPr>
        <w:noBreakHyphen/>
        <w:t>government schools</w:t>
      </w:r>
      <w:bookmarkEnd w:id="557"/>
      <w:bookmarkEnd w:id="558"/>
      <w:bookmarkEnd w:id="559"/>
      <w:bookmarkEnd w:id="560"/>
      <w:bookmarkEnd w:id="561"/>
    </w:p>
    <w:p>
      <w:pPr>
        <w:pStyle w:val="PermNoteHeading"/>
        <w:rPr>
          <w:b/>
          <w:bCs/>
        </w:rPr>
      </w:pPr>
      <w:r>
        <w:rPr>
          <w:b/>
          <w:bCs/>
        </w:rPr>
        <w:t>What this Part is about</w:t>
      </w:r>
    </w:p>
    <w:p>
      <w:pPr>
        <w:pStyle w:val="PermNoteText"/>
        <w:ind w:left="0" w:firstLine="0"/>
      </w:pPr>
      <w:r>
        <w:t>This Part requires non</w:t>
      </w:r>
      <w:r>
        <w:noBreakHyphen/>
        <w:t>government schools to be registered and makes various provisions about their operation and funding.</w:t>
      </w:r>
    </w:p>
    <w:p>
      <w:pPr>
        <w:pStyle w:val="PermNoteText"/>
      </w:pPr>
      <w:r>
        <w:t>In particular it deals with —</w:t>
      </w:r>
    </w:p>
    <w:p>
      <w:pPr>
        <w:pStyle w:val="PermNoteText"/>
        <w:numPr>
          <w:ilvl w:val="0"/>
          <w:numId w:val="4"/>
        </w:numPr>
      </w:pPr>
      <w:r>
        <w:t>advance determinations about proposals to establish, or make certain changes to, non</w:t>
      </w:r>
      <w:r>
        <w:noBreakHyphen/>
        <w:t>government schools (school planning proposals) (Division 3A);</w:t>
      </w:r>
    </w:p>
    <w:p>
      <w:pPr>
        <w:pStyle w:val="PermNoteText"/>
        <w:numPr>
          <w:ilvl w:val="0"/>
          <w:numId w:val="4"/>
        </w:numPr>
      </w:pPr>
      <w:r>
        <w:t>registration of non</w:t>
      </w:r>
      <w:r>
        <w:noBreakHyphen/>
        <w:t>government schools (Division 3B);</w:t>
      </w:r>
    </w:p>
    <w:p>
      <w:pPr>
        <w:pStyle w:val="PermNoteText"/>
        <w:numPr>
          <w:ilvl w:val="0"/>
          <w:numId w:val="4"/>
        </w:numPr>
      </w:pPr>
      <w:r>
        <w:t>review of decisions about advance determinations or registration (Division 3C);</w:t>
      </w:r>
    </w:p>
    <w:p>
      <w:pPr>
        <w:pStyle w:val="PermNoteText"/>
        <w:numPr>
          <w:ilvl w:val="0"/>
          <w:numId w:val="4"/>
        </w:numPr>
      </w:pPr>
      <w:r>
        <w:t>recognition of groups of registered schools (school systems) and agreements between the Minister and the governing body of a school system about the operation of schools in the group (Division 3);</w:t>
      </w:r>
    </w:p>
    <w:p>
      <w:pPr>
        <w:pStyle w:val="PermNoteText"/>
        <w:numPr>
          <w:ilvl w:val="0"/>
          <w:numId w:val="4"/>
        </w:numPr>
      </w:pPr>
      <w:r>
        <w:t>inspection of registered schools (Division 4);</w:t>
      </w:r>
    </w:p>
    <w:p>
      <w:pPr>
        <w:pStyle w:val="PermNoteText"/>
        <w:numPr>
          <w:ilvl w:val="0"/>
          <w:numId w:val="4"/>
        </w:numPr>
      </w:pPr>
      <w:r>
        <w:t>the allocation of funds appropriated by Parliament for registered schools (Division 5);</w:t>
      </w:r>
    </w:p>
    <w:p>
      <w:pPr>
        <w:pStyle w:val="PermNoteText"/>
        <w:numPr>
          <w:ilvl w:val="0"/>
          <w:numId w:val="4"/>
        </w:numPr>
      </w:pPr>
      <w:r>
        <w:t>loans to registered schools or school systems for capital works (Division 6).</w:t>
      </w:r>
    </w:p>
    <w:p>
      <w:pPr>
        <w:pStyle w:val="Heading3"/>
      </w:pPr>
      <w:bookmarkStart w:id="562" w:name="_Toc32411537"/>
      <w:bookmarkStart w:id="563" w:name="_Toc32411951"/>
      <w:bookmarkStart w:id="564" w:name="_Toc486515862"/>
      <w:bookmarkStart w:id="565" w:name="_Toc486516900"/>
      <w:bookmarkStart w:id="566" w:name="_Toc13494384"/>
      <w:r>
        <w:rPr>
          <w:rStyle w:val="CharDivNo"/>
        </w:rPr>
        <w:t>Division 1</w:t>
      </w:r>
      <w:r>
        <w:t xml:space="preserve"> — </w:t>
      </w:r>
      <w:r>
        <w:rPr>
          <w:rStyle w:val="CharDivText"/>
        </w:rPr>
        <w:t>Preliminary</w:t>
      </w:r>
      <w:bookmarkEnd w:id="562"/>
      <w:bookmarkEnd w:id="563"/>
      <w:bookmarkEnd w:id="564"/>
      <w:bookmarkEnd w:id="565"/>
      <w:bookmarkEnd w:id="566"/>
    </w:p>
    <w:p>
      <w:pPr>
        <w:pStyle w:val="Heading5"/>
        <w:spacing w:before="160"/>
      </w:pPr>
      <w:bookmarkStart w:id="567" w:name="_Toc32411952"/>
      <w:bookmarkStart w:id="568" w:name="_Toc13494385"/>
      <w:r>
        <w:rPr>
          <w:rStyle w:val="CharSectno"/>
        </w:rPr>
        <w:t>150</w:t>
      </w:r>
      <w:r>
        <w:t>.</w:t>
      </w:r>
      <w:r>
        <w:tab/>
        <w:t>Terms used</w:t>
      </w:r>
      <w:bookmarkEnd w:id="567"/>
      <w:bookmarkEnd w:id="568"/>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No. 28 of 2014 s. 4.]</w:t>
      </w:r>
    </w:p>
    <w:p>
      <w:pPr>
        <w:pStyle w:val="Heading5"/>
        <w:spacing w:before="160"/>
      </w:pPr>
      <w:bookmarkStart w:id="569" w:name="_Toc32411953"/>
      <w:bookmarkStart w:id="570" w:name="_Toc13494386"/>
      <w:r>
        <w:rPr>
          <w:rStyle w:val="CharSectno"/>
        </w:rPr>
        <w:t>151</w:t>
      </w:r>
      <w:r>
        <w:t>.</w:t>
      </w:r>
      <w:r>
        <w:tab/>
        <w:t>Term used: chief executive officer</w:t>
      </w:r>
      <w:bookmarkEnd w:id="569"/>
      <w:bookmarkEnd w:id="570"/>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571" w:name="_Toc32411954"/>
      <w:bookmarkStart w:id="572" w:name="_Toc13494387"/>
      <w:r>
        <w:rPr>
          <w:rStyle w:val="CharSectno"/>
        </w:rPr>
        <w:t>152</w:t>
      </w:r>
      <w:r>
        <w:t>.</w:t>
      </w:r>
      <w:r>
        <w:tab/>
        <w:t>Delegation by chief executive officer</w:t>
      </w:r>
      <w:bookmarkEnd w:id="571"/>
      <w:bookmarkEnd w:id="572"/>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573" w:name="_Toc32411955"/>
      <w:bookmarkStart w:id="574" w:name="_Toc13494388"/>
      <w:r>
        <w:rPr>
          <w:rStyle w:val="CharSectno"/>
        </w:rPr>
        <w:t>153</w:t>
      </w:r>
      <w:r>
        <w:t>.</w:t>
      </w:r>
      <w:r>
        <w:tab/>
        <w:t>Minister may direct chief executive officer</w:t>
      </w:r>
      <w:bookmarkEnd w:id="573"/>
      <w:bookmarkEnd w:id="574"/>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No. 28 of 2014 s. 5.]</w:t>
      </w:r>
    </w:p>
    <w:p>
      <w:pPr>
        <w:pStyle w:val="Heading3"/>
      </w:pPr>
      <w:bookmarkStart w:id="575" w:name="_Toc32411542"/>
      <w:bookmarkStart w:id="576" w:name="_Toc32411956"/>
      <w:bookmarkStart w:id="577" w:name="_Toc486515867"/>
      <w:bookmarkStart w:id="578" w:name="_Toc486516905"/>
      <w:bookmarkStart w:id="579" w:name="_Toc13494389"/>
      <w:r>
        <w:rPr>
          <w:rStyle w:val="CharDivNo"/>
        </w:rPr>
        <w:t>Division 2</w:t>
      </w:r>
      <w:r>
        <w:t xml:space="preserve"> — </w:t>
      </w:r>
      <w:r>
        <w:rPr>
          <w:rStyle w:val="CharDivText"/>
        </w:rPr>
        <w:t>Offences</w:t>
      </w:r>
      <w:bookmarkEnd w:id="575"/>
      <w:bookmarkEnd w:id="576"/>
      <w:bookmarkEnd w:id="577"/>
      <w:bookmarkEnd w:id="578"/>
      <w:bookmarkEnd w:id="579"/>
    </w:p>
    <w:p>
      <w:pPr>
        <w:pStyle w:val="Footnoteheading"/>
        <w:keepNext/>
      </w:pPr>
      <w:r>
        <w:tab/>
        <w:t>[Heading inserted: No. 28 of 2014 s. 6.]</w:t>
      </w:r>
    </w:p>
    <w:p>
      <w:pPr>
        <w:pStyle w:val="Heading5"/>
        <w:keepLines w:val="0"/>
        <w:spacing w:before="180"/>
      </w:pPr>
      <w:bookmarkStart w:id="580" w:name="_Toc32411957"/>
      <w:bookmarkStart w:id="581" w:name="_Toc13494390"/>
      <w:r>
        <w:rPr>
          <w:rStyle w:val="CharSectno"/>
        </w:rPr>
        <w:t>154</w:t>
      </w:r>
      <w:r>
        <w:t>.</w:t>
      </w:r>
      <w:r>
        <w:tab/>
        <w:t>Establishing or conducting an unregistered school</w:t>
      </w:r>
      <w:bookmarkEnd w:id="580"/>
      <w:bookmarkEnd w:id="581"/>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keepNext/>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 No. 22 of 2005 s. 12; No. 11 of 2012 s. 42; No. 28 of 2014 s. 7.]</w:t>
      </w:r>
    </w:p>
    <w:p>
      <w:pPr>
        <w:pStyle w:val="Heading5"/>
      </w:pPr>
      <w:bookmarkStart w:id="582" w:name="_Toc32411958"/>
      <w:bookmarkStart w:id="583" w:name="_Toc13494391"/>
      <w:r>
        <w:rPr>
          <w:rStyle w:val="CharSectno"/>
        </w:rPr>
        <w:t>155</w:t>
      </w:r>
      <w:r>
        <w:t>.</w:t>
      </w:r>
      <w:r>
        <w:tab/>
        <w:t>Making false representations</w:t>
      </w:r>
      <w:bookmarkEnd w:id="582"/>
      <w:bookmarkEnd w:id="583"/>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No. 28 of 2014 s. 8.]</w:t>
      </w:r>
    </w:p>
    <w:p>
      <w:pPr>
        <w:pStyle w:val="Heading5"/>
      </w:pPr>
      <w:bookmarkStart w:id="584" w:name="_Toc32411959"/>
      <w:bookmarkStart w:id="585" w:name="_Toc13494392"/>
      <w:r>
        <w:rPr>
          <w:rStyle w:val="CharSectno"/>
        </w:rPr>
        <w:t>156A</w:t>
      </w:r>
      <w:r>
        <w:t>.</w:t>
      </w:r>
      <w:r>
        <w:tab/>
        <w:t>Schools to be conducted in accordance with registered information</w:t>
      </w:r>
      <w:bookmarkEnd w:id="584"/>
      <w:bookmarkEnd w:id="585"/>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No. 28 of 2014 s. 8.]</w:t>
      </w:r>
    </w:p>
    <w:p>
      <w:pPr>
        <w:pStyle w:val="Heading5"/>
      </w:pPr>
      <w:bookmarkStart w:id="586" w:name="_Toc32411960"/>
      <w:bookmarkStart w:id="587" w:name="_Toc13494393"/>
      <w:r>
        <w:rPr>
          <w:rStyle w:val="CharSectno"/>
        </w:rPr>
        <w:t>156B</w:t>
      </w:r>
      <w:r>
        <w:t>.</w:t>
      </w:r>
      <w:r>
        <w:tab/>
        <w:t>Notice to be given to CEO about changes to governing bodies of schools</w:t>
      </w:r>
      <w:bookmarkEnd w:id="586"/>
      <w:bookmarkEnd w:id="587"/>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No. 28 of 2014 s. 8.]</w:t>
      </w:r>
    </w:p>
    <w:p>
      <w:pPr>
        <w:pStyle w:val="Heading5"/>
      </w:pPr>
      <w:bookmarkStart w:id="588" w:name="_Toc32411961"/>
      <w:bookmarkStart w:id="589" w:name="_Toc13494394"/>
      <w:r>
        <w:rPr>
          <w:rStyle w:val="CharSectno"/>
        </w:rPr>
        <w:t>156C</w:t>
      </w:r>
      <w:r>
        <w:t>.</w:t>
      </w:r>
      <w:r>
        <w:tab/>
        <w:t>Minister or CEO may require information about registered schools</w:t>
      </w:r>
      <w:bookmarkEnd w:id="588"/>
      <w:bookmarkEnd w:id="589"/>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No. 28 of 2014 s. 8.]</w:t>
      </w:r>
    </w:p>
    <w:p>
      <w:pPr>
        <w:pStyle w:val="Heading3"/>
      </w:pPr>
      <w:bookmarkStart w:id="590" w:name="_Toc32411548"/>
      <w:bookmarkStart w:id="591" w:name="_Toc32411962"/>
      <w:bookmarkStart w:id="592" w:name="_Toc486515873"/>
      <w:bookmarkStart w:id="593" w:name="_Toc486516911"/>
      <w:bookmarkStart w:id="594" w:name="_Toc13494395"/>
      <w:r>
        <w:rPr>
          <w:rStyle w:val="CharDivNo"/>
        </w:rPr>
        <w:t>Division 3A</w:t>
      </w:r>
      <w:r>
        <w:t> — </w:t>
      </w:r>
      <w:r>
        <w:rPr>
          <w:rStyle w:val="CharDivText"/>
        </w:rPr>
        <w:t>School planning proposals require an advance determination</w:t>
      </w:r>
      <w:bookmarkEnd w:id="590"/>
      <w:bookmarkEnd w:id="591"/>
      <w:bookmarkEnd w:id="592"/>
      <w:bookmarkEnd w:id="593"/>
      <w:bookmarkEnd w:id="594"/>
    </w:p>
    <w:p>
      <w:pPr>
        <w:pStyle w:val="Footnoteheading"/>
        <w:keepNext/>
      </w:pPr>
      <w:r>
        <w:tab/>
        <w:t>[Heading inserted: No. 28 of 2014 s. 8.]</w:t>
      </w:r>
    </w:p>
    <w:p>
      <w:pPr>
        <w:pStyle w:val="Heading5"/>
      </w:pPr>
      <w:bookmarkStart w:id="595" w:name="_Toc32411963"/>
      <w:bookmarkStart w:id="596" w:name="_Toc13494396"/>
      <w:r>
        <w:rPr>
          <w:rStyle w:val="CharSectno"/>
        </w:rPr>
        <w:t>156</w:t>
      </w:r>
      <w:r>
        <w:t>.</w:t>
      </w:r>
      <w:r>
        <w:tab/>
        <w:t>What is a school planning proposal</w:t>
      </w:r>
      <w:bookmarkEnd w:id="595"/>
      <w:bookmarkEnd w:id="596"/>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No. 28 of 2014 s. 8.]</w:t>
      </w:r>
    </w:p>
    <w:p>
      <w:pPr>
        <w:pStyle w:val="Heading5"/>
      </w:pPr>
      <w:bookmarkStart w:id="597" w:name="_Toc32411964"/>
      <w:bookmarkStart w:id="598" w:name="_Toc13494397"/>
      <w:r>
        <w:rPr>
          <w:rStyle w:val="CharSectno"/>
        </w:rPr>
        <w:t>157A</w:t>
      </w:r>
      <w:r>
        <w:t>.</w:t>
      </w:r>
      <w:r>
        <w:tab/>
        <w:t>Application for advance determination</w:t>
      </w:r>
      <w:bookmarkEnd w:id="597"/>
      <w:bookmarkEnd w:id="598"/>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No. 28 of 2014 s. 8.]</w:t>
      </w:r>
    </w:p>
    <w:p>
      <w:pPr>
        <w:pStyle w:val="Heading5"/>
        <w:spacing w:before="180"/>
      </w:pPr>
      <w:bookmarkStart w:id="599" w:name="_Toc32411965"/>
      <w:bookmarkStart w:id="600" w:name="_Toc13494398"/>
      <w:r>
        <w:rPr>
          <w:rStyle w:val="CharSectno"/>
        </w:rPr>
        <w:t>157B</w:t>
      </w:r>
      <w:r>
        <w:t>.</w:t>
      </w:r>
      <w:r>
        <w:tab/>
        <w:t>Minister may make advance determination</w:t>
      </w:r>
      <w:bookmarkEnd w:id="599"/>
      <w:bookmarkEnd w:id="600"/>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No. 28 of 2014 s. 8.]</w:t>
      </w:r>
    </w:p>
    <w:p>
      <w:pPr>
        <w:pStyle w:val="Heading5"/>
      </w:pPr>
      <w:bookmarkStart w:id="601" w:name="_Toc32411966"/>
      <w:bookmarkStart w:id="602" w:name="_Toc13494399"/>
      <w:r>
        <w:rPr>
          <w:rStyle w:val="CharSectno"/>
        </w:rPr>
        <w:t>157C</w:t>
      </w:r>
      <w:r>
        <w:t>.</w:t>
      </w:r>
      <w:r>
        <w:tab/>
        <w:t>Policy direction for advance determinations</w:t>
      </w:r>
      <w:bookmarkEnd w:id="601"/>
      <w:bookmarkEnd w:id="602"/>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No. 28 of 2014 s. 8.]</w:t>
      </w:r>
    </w:p>
    <w:p>
      <w:pPr>
        <w:pStyle w:val="Heading5"/>
      </w:pPr>
      <w:bookmarkStart w:id="603" w:name="_Toc32411967"/>
      <w:bookmarkStart w:id="604" w:name="_Toc13494400"/>
      <w:r>
        <w:rPr>
          <w:rStyle w:val="CharSectno"/>
        </w:rPr>
        <w:t>157</w:t>
      </w:r>
      <w:r>
        <w:t>.</w:t>
      </w:r>
      <w:r>
        <w:tab/>
        <w:t>Notice to be given about decisions on advance determinations</w:t>
      </w:r>
      <w:bookmarkEnd w:id="603"/>
      <w:bookmarkEnd w:id="604"/>
    </w:p>
    <w:p>
      <w:pPr>
        <w:pStyle w:val="Subsection"/>
        <w:keepNext/>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No. 28 of 2014 s. 8.]</w:t>
      </w:r>
    </w:p>
    <w:p>
      <w:pPr>
        <w:pStyle w:val="Heading3"/>
      </w:pPr>
      <w:bookmarkStart w:id="605" w:name="_Toc32411554"/>
      <w:bookmarkStart w:id="606" w:name="_Toc32411968"/>
      <w:bookmarkStart w:id="607" w:name="_Toc486515879"/>
      <w:bookmarkStart w:id="608" w:name="_Toc486516917"/>
      <w:bookmarkStart w:id="609" w:name="_Toc13494401"/>
      <w:r>
        <w:rPr>
          <w:rStyle w:val="CharDivNo"/>
        </w:rPr>
        <w:t>Division 3B</w:t>
      </w:r>
      <w:r>
        <w:t> — </w:t>
      </w:r>
      <w:r>
        <w:rPr>
          <w:rStyle w:val="CharDivText"/>
        </w:rPr>
        <w:t>Registration of non</w:t>
      </w:r>
      <w:r>
        <w:rPr>
          <w:rStyle w:val="CharDivText"/>
        </w:rPr>
        <w:noBreakHyphen/>
        <w:t>government schools</w:t>
      </w:r>
      <w:bookmarkEnd w:id="605"/>
      <w:bookmarkEnd w:id="606"/>
      <w:bookmarkEnd w:id="607"/>
      <w:bookmarkEnd w:id="608"/>
      <w:bookmarkEnd w:id="609"/>
    </w:p>
    <w:p>
      <w:pPr>
        <w:pStyle w:val="Footnoteheading"/>
        <w:keepNext/>
      </w:pPr>
      <w:r>
        <w:tab/>
        <w:t>[Heading inserted: No. 28 of 2014 s. 8.]</w:t>
      </w:r>
    </w:p>
    <w:p>
      <w:pPr>
        <w:pStyle w:val="Heading4"/>
      </w:pPr>
      <w:bookmarkStart w:id="610" w:name="_Toc32411555"/>
      <w:bookmarkStart w:id="611" w:name="_Toc32411969"/>
      <w:bookmarkStart w:id="612" w:name="_Toc486515880"/>
      <w:bookmarkStart w:id="613" w:name="_Toc486516918"/>
      <w:bookmarkStart w:id="614" w:name="_Toc13494402"/>
      <w:r>
        <w:t>Subdivision 1 — Applications and requirements</w:t>
      </w:r>
      <w:bookmarkEnd w:id="610"/>
      <w:bookmarkEnd w:id="611"/>
      <w:bookmarkEnd w:id="612"/>
      <w:bookmarkEnd w:id="613"/>
      <w:bookmarkEnd w:id="614"/>
    </w:p>
    <w:p>
      <w:pPr>
        <w:pStyle w:val="Footnoteheading"/>
        <w:keepNext/>
      </w:pPr>
      <w:r>
        <w:tab/>
        <w:t>[Heading inserted: No. 28 of 2014 s. 8.]</w:t>
      </w:r>
    </w:p>
    <w:p>
      <w:pPr>
        <w:pStyle w:val="Heading5"/>
      </w:pPr>
      <w:bookmarkStart w:id="615" w:name="_Toc32411970"/>
      <w:bookmarkStart w:id="616" w:name="_Toc13494403"/>
      <w:r>
        <w:rPr>
          <w:rStyle w:val="CharSectno"/>
        </w:rPr>
        <w:t>158A</w:t>
      </w:r>
      <w:r>
        <w:t>.</w:t>
      </w:r>
      <w:r>
        <w:tab/>
        <w:t>When advance determination required before making application under this Division</w:t>
      </w:r>
      <w:bookmarkEnd w:id="615"/>
      <w:bookmarkEnd w:id="616"/>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No. 28 of 2014 s. 8.]</w:t>
      </w:r>
    </w:p>
    <w:p>
      <w:pPr>
        <w:pStyle w:val="Heading5"/>
      </w:pPr>
      <w:bookmarkStart w:id="617" w:name="_Toc32411971"/>
      <w:bookmarkStart w:id="618" w:name="_Toc13494404"/>
      <w:r>
        <w:rPr>
          <w:rStyle w:val="CharSectno"/>
        </w:rPr>
        <w:t>158</w:t>
      </w:r>
      <w:r>
        <w:t>.</w:t>
      </w:r>
      <w:r>
        <w:tab/>
        <w:t>Application for registration</w:t>
      </w:r>
      <w:bookmarkEnd w:id="617"/>
      <w:bookmarkEnd w:id="618"/>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No. 28 of 2014 s. 8.]</w:t>
      </w:r>
    </w:p>
    <w:p>
      <w:pPr>
        <w:pStyle w:val="Heading5"/>
      </w:pPr>
      <w:bookmarkStart w:id="619" w:name="_Toc32411972"/>
      <w:bookmarkStart w:id="620" w:name="_Toc13494405"/>
      <w:r>
        <w:rPr>
          <w:rStyle w:val="CharSectno"/>
        </w:rPr>
        <w:t>159A</w:t>
      </w:r>
      <w:r>
        <w:t>.</w:t>
      </w:r>
      <w:r>
        <w:tab/>
        <w:t>Application for renewal of registration</w:t>
      </w:r>
      <w:bookmarkEnd w:id="619"/>
      <w:bookmarkEnd w:id="620"/>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No. 28 of 2014 s. 8.]</w:t>
      </w:r>
    </w:p>
    <w:p>
      <w:pPr>
        <w:pStyle w:val="Heading5"/>
      </w:pPr>
      <w:bookmarkStart w:id="621" w:name="_Toc32411973"/>
      <w:bookmarkStart w:id="622" w:name="_Toc13494406"/>
      <w:r>
        <w:rPr>
          <w:rStyle w:val="CharSectno"/>
        </w:rPr>
        <w:t>159B</w:t>
      </w:r>
      <w:r>
        <w:t>.</w:t>
      </w:r>
      <w:r>
        <w:tab/>
        <w:t>Application for registration change</w:t>
      </w:r>
      <w:bookmarkEnd w:id="621"/>
      <w:bookmarkEnd w:id="622"/>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keepNext/>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No. 28 of 2014 s. 8.]</w:t>
      </w:r>
    </w:p>
    <w:p>
      <w:pPr>
        <w:pStyle w:val="Heading5"/>
      </w:pPr>
      <w:bookmarkStart w:id="623" w:name="_Toc32411974"/>
      <w:bookmarkStart w:id="624" w:name="_Toc13494407"/>
      <w:r>
        <w:rPr>
          <w:rStyle w:val="CharSectno"/>
        </w:rPr>
        <w:t>159</w:t>
      </w:r>
      <w:r>
        <w:t>.</w:t>
      </w:r>
      <w:r>
        <w:tab/>
        <w:t>Standards for non</w:t>
      </w:r>
      <w:r>
        <w:noBreakHyphen/>
        <w:t>government schools</w:t>
      </w:r>
      <w:bookmarkEnd w:id="623"/>
      <w:bookmarkEnd w:id="624"/>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keepNext/>
      </w:pPr>
      <w:r>
        <w:tab/>
        <w:t>(h)</w:t>
      </w:r>
      <w:r>
        <w:tab/>
        <w:t>the enrolment and attendance procedures at schools;</w:t>
      </w:r>
    </w:p>
    <w:p>
      <w:pPr>
        <w:pStyle w:val="Indenta"/>
        <w:rPr>
          <w:ins w:id="625" w:author="svcMRProcess" w:date="2020-02-25T12:47:00Z"/>
        </w:rPr>
      </w:pPr>
      <w:ins w:id="626" w:author="svcMRProcess" w:date="2020-02-25T12:47:00Z">
        <w:r>
          <w:tab/>
          <w:t>(ha)</w:t>
        </w:r>
        <w:r>
          <w:tab/>
          <w:t>the health and safety procedures at schools, including immunisation requirements for enrolment;</w:t>
        </w:r>
      </w:ins>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No. 28 of 2014 s. </w:t>
      </w:r>
      <w:del w:id="627" w:author="svcMRProcess" w:date="2020-02-25T12:47:00Z">
        <w:r>
          <w:delText>8</w:delText>
        </w:r>
      </w:del>
      <w:ins w:id="628" w:author="svcMRProcess" w:date="2020-02-25T12:47:00Z">
        <w:r>
          <w:t>8; amended: No. 14 of 2019 s. 21</w:t>
        </w:r>
      </w:ins>
      <w:r>
        <w:t>.]</w:t>
      </w:r>
    </w:p>
    <w:p>
      <w:pPr>
        <w:pStyle w:val="Heading5"/>
      </w:pPr>
      <w:bookmarkStart w:id="629" w:name="_Toc32411975"/>
      <w:bookmarkStart w:id="630" w:name="_Toc13494408"/>
      <w:r>
        <w:rPr>
          <w:rStyle w:val="CharSectno"/>
        </w:rPr>
        <w:t>160</w:t>
      </w:r>
      <w:r>
        <w:t>.</w:t>
      </w:r>
      <w:r>
        <w:tab/>
        <w:t>Determining applications for registration and renewal of registration</w:t>
      </w:r>
      <w:bookmarkEnd w:id="629"/>
      <w:bookmarkEnd w:id="630"/>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No. 28 of 2014 s. 8.]</w:t>
      </w:r>
    </w:p>
    <w:p>
      <w:pPr>
        <w:pStyle w:val="Heading5"/>
      </w:pPr>
      <w:bookmarkStart w:id="631" w:name="_Toc32411976"/>
      <w:bookmarkStart w:id="632" w:name="_Toc13494409"/>
      <w:r>
        <w:rPr>
          <w:rStyle w:val="CharSectno"/>
        </w:rPr>
        <w:t>161A</w:t>
      </w:r>
      <w:r>
        <w:t>.</w:t>
      </w:r>
      <w:r>
        <w:tab/>
        <w:t>Determining applications for registration change</w:t>
      </w:r>
      <w:bookmarkEnd w:id="631"/>
      <w:bookmarkEnd w:id="632"/>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No. 28 of 2014 s. 8.]</w:t>
      </w:r>
    </w:p>
    <w:p>
      <w:pPr>
        <w:pStyle w:val="Heading5"/>
      </w:pPr>
      <w:bookmarkStart w:id="633" w:name="_Toc32411977"/>
      <w:bookmarkStart w:id="634" w:name="_Toc13494410"/>
      <w:r>
        <w:rPr>
          <w:rStyle w:val="CharSectno"/>
        </w:rPr>
        <w:t>161B</w:t>
      </w:r>
      <w:r>
        <w:t>.</w:t>
      </w:r>
      <w:r>
        <w:tab/>
        <w:t>Notice to be given about decisions under this Subdivision</w:t>
      </w:r>
      <w:bookmarkEnd w:id="633"/>
      <w:bookmarkEnd w:id="634"/>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No. 28 of 2014 s. 8.]</w:t>
      </w:r>
    </w:p>
    <w:p>
      <w:pPr>
        <w:pStyle w:val="Heading4"/>
      </w:pPr>
      <w:bookmarkStart w:id="635" w:name="_Toc32411564"/>
      <w:bookmarkStart w:id="636" w:name="_Toc32411978"/>
      <w:bookmarkStart w:id="637" w:name="_Toc486515889"/>
      <w:bookmarkStart w:id="638" w:name="_Toc486516927"/>
      <w:bookmarkStart w:id="639" w:name="_Toc13494411"/>
      <w:r>
        <w:t>Subdivision 2 — Register and certificates of registration</w:t>
      </w:r>
      <w:bookmarkEnd w:id="635"/>
      <w:bookmarkEnd w:id="636"/>
      <w:bookmarkEnd w:id="637"/>
      <w:bookmarkEnd w:id="638"/>
      <w:bookmarkEnd w:id="639"/>
    </w:p>
    <w:p>
      <w:pPr>
        <w:pStyle w:val="Footnoteheading"/>
        <w:keepNext/>
      </w:pPr>
      <w:r>
        <w:tab/>
        <w:t>[Heading inserted: No. 28 of 2014 s. 8.]</w:t>
      </w:r>
    </w:p>
    <w:p>
      <w:pPr>
        <w:pStyle w:val="Heading5"/>
      </w:pPr>
      <w:bookmarkStart w:id="640" w:name="_Toc32411979"/>
      <w:bookmarkStart w:id="641" w:name="_Toc13494412"/>
      <w:r>
        <w:rPr>
          <w:rStyle w:val="CharSectno"/>
        </w:rPr>
        <w:t>161</w:t>
      </w:r>
      <w:r>
        <w:t>.</w:t>
      </w:r>
      <w:r>
        <w:tab/>
        <w:t>Register of non</w:t>
      </w:r>
      <w:r>
        <w:noBreakHyphen/>
        <w:t>government schools to be kept</w:t>
      </w:r>
      <w:bookmarkEnd w:id="640"/>
      <w:bookmarkEnd w:id="641"/>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No. 28 of 2014 s. 8.]</w:t>
      </w:r>
    </w:p>
    <w:p>
      <w:pPr>
        <w:pStyle w:val="Heading5"/>
      </w:pPr>
      <w:bookmarkStart w:id="642" w:name="_Toc32411980"/>
      <w:bookmarkStart w:id="643" w:name="_Toc13494413"/>
      <w:r>
        <w:rPr>
          <w:rStyle w:val="CharSectno"/>
        </w:rPr>
        <w:t>162</w:t>
      </w:r>
      <w:r>
        <w:t>.</w:t>
      </w:r>
      <w:r>
        <w:tab/>
        <w:t>Certificate of registration</w:t>
      </w:r>
      <w:bookmarkEnd w:id="642"/>
      <w:bookmarkEnd w:id="643"/>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No. 28 of 2014 s. 8.]</w:t>
      </w:r>
    </w:p>
    <w:p>
      <w:pPr>
        <w:pStyle w:val="Heading5"/>
      </w:pPr>
      <w:bookmarkStart w:id="644" w:name="_Toc32411981"/>
      <w:bookmarkStart w:id="645" w:name="_Toc13494414"/>
      <w:r>
        <w:rPr>
          <w:rStyle w:val="CharSectno"/>
        </w:rPr>
        <w:t>163A</w:t>
      </w:r>
      <w:r>
        <w:t>.</w:t>
      </w:r>
      <w:r>
        <w:tab/>
        <w:t>Surrender of certificate of registration</w:t>
      </w:r>
      <w:bookmarkEnd w:id="644"/>
      <w:bookmarkEnd w:id="645"/>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No. 28 of 2014 s. 8.]</w:t>
      </w:r>
    </w:p>
    <w:p>
      <w:pPr>
        <w:pStyle w:val="Heading5"/>
      </w:pPr>
      <w:bookmarkStart w:id="646" w:name="_Toc32411982"/>
      <w:bookmarkStart w:id="647" w:name="_Toc13494415"/>
      <w:r>
        <w:rPr>
          <w:rStyle w:val="CharSectno"/>
        </w:rPr>
        <w:t>163</w:t>
      </w:r>
      <w:r>
        <w:t>.</w:t>
      </w:r>
      <w:r>
        <w:tab/>
        <w:t>Period of registration</w:t>
      </w:r>
      <w:bookmarkEnd w:id="646"/>
      <w:bookmarkEnd w:id="647"/>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No. 28 of 2014 s. 9.]</w:t>
      </w:r>
    </w:p>
    <w:p>
      <w:pPr>
        <w:pStyle w:val="Heading4"/>
      </w:pPr>
      <w:bookmarkStart w:id="648" w:name="_Toc32411569"/>
      <w:bookmarkStart w:id="649" w:name="_Toc32411983"/>
      <w:bookmarkStart w:id="650" w:name="_Toc486515894"/>
      <w:bookmarkStart w:id="651" w:name="_Toc486516932"/>
      <w:bookmarkStart w:id="652" w:name="_Toc13494416"/>
      <w:r>
        <w:t>Subdivision 3 — Notices, conditions, directions and cancellations</w:t>
      </w:r>
      <w:bookmarkEnd w:id="648"/>
      <w:bookmarkEnd w:id="649"/>
      <w:bookmarkEnd w:id="650"/>
      <w:bookmarkEnd w:id="651"/>
      <w:bookmarkEnd w:id="652"/>
    </w:p>
    <w:p>
      <w:pPr>
        <w:pStyle w:val="Footnoteheading"/>
        <w:keepNext/>
      </w:pPr>
      <w:r>
        <w:tab/>
        <w:t>[Heading inserted: No. 28 of 2014 s. 10.]</w:t>
      </w:r>
    </w:p>
    <w:p>
      <w:pPr>
        <w:pStyle w:val="Heading5"/>
      </w:pPr>
      <w:bookmarkStart w:id="653" w:name="_Toc32411984"/>
      <w:bookmarkStart w:id="654" w:name="_Toc13494417"/>
      <w:r>
        <w:rPr>
          <w:rStyle w:val="CharSectno"/>
        </w:rPr>
        <w:t>164</w:t>
      </w:r>
      <w:r>
        <w:t>.</w:t>
      </w:r>
      <w:r>
        <w:tab/>
        <w:t>Continuing suitability of governing body</w:t>
      </w:r>
      <w:bookmarkEnd w:id="653"/>
      <w:bookmarkEnd w:id="654"/>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No. 28 of 2014 s. 11.]</w:t>
      </w:r>
    </w:p>
    <w:p>
      <w:pPr>
        <w:pStyle w:val="Heading5"/>
      </w:pPr>
      <w:bookmarkStart w:id="655" w:name="_Toc32411985"/>
      <w:bookmarkStart w:id="656" w:name="_Toc13494418"/>
      <w:r>
        <w:rPr>
          <w:rStyle w:val="CharSectno"/>
        </w:rPr>
        <w:t>165A</w:t>
      </w:r>
      <w:r>
        <w:t>.</w:t>
      </w:r>
      <w:r>
        <w:tab/>
        <w:t>Quality improvement notices</w:t>
      </w:r>
      <w:bookmarkEnd w:id="655"/>
      <w:bookmarkEnd w:id="656"/>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No. 28 of 2014 s. 11.]</w:t>
      </w:r>
    </w:p>
    <w:p>
      <w:pPr>
        <w:pStyle w:val="Heading5"/>
      </w:pPr>
      <w:bookmarkStart w:id="657" w:name="_Toc32411986"/>
      <w:bookmarkStart w:id="658" w:name="_Toc13494419"/>
      <w:r>
        <w:rPr>
          <w:rStyle w:val="CharSectno"/>
        </w:rPr>
        <w:t>165</w:t>
      </w:r>
      <w:r>
        <w:t>.</w:t>
      </w:r>
      <w:r>
        <w:tab/>
        <w:t>Conditions of registration</w:t>
      </w:r>
      <w:bookmarkEnd w:id="657"/>
      <w:bookmarkEnd w:id="658"/>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No. 28 of 2014 s. 11.]</w:t>
      </w:r>
    </w:p>
    <w:p>
      <w:pPr>
        <w:pStyle w:val="Heading5"/>
      </w:pPr>
      <w:bookmarkStart w:id="659" w:name="_Toc32411987"/>
      <w:bookmarkStart w:id="660" w:name="_Toc13494420"/>
      <w:r>
        <w:rPr>
          <w:rStyle w:val="CharSectno"/>
        </w:rPr>
        <w:t>166</w:t>
      </w:r>
      <w:r>
        <w:t>.</w:t>
      </w:r>
      <w:r>
        <w:tab/>
        <w:t>Directions to comply</w:t>
      </w:r>
      <w:bookmarkEnd w:id="659"/>
      <w:bookmarkEnd w:id="660"/>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No. 28 of 2014 s. 11.]</w:t>
      </w:r>
    </w:p>
    <w:p>
      <w:pPr>
        <w:pStyle w:val="Heading5"/>
      </w:pPr>
      <w:bookmarkStart w:id="661" w:name="_Toc32411988"/>
      <w:bookmarkStart w:id="662" w:name="_Toc13494421"/>
      <w:r>
        <w:rPr>
          <w:rStyle w:val="CharSectno"/>
        </w:rPr>
        <w:t>167A</w:t>
      </w:r>
      <w:r>
        <w:t>.</w:t>
      </w:r>
      <w:r>
        <w:tab/>
        <w:t>No new enrolments while a direction is outstanding</w:t>
      </w:r>
      <w:bookmarkEnd w:id="661"/>
      <w:bookmarkEnd w:id="662"/>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No. 28 of 2014 s. 11.]</w:t>
      </w:r>
    </w:p>
    <w:p>
      <w:pPr>
        <w:pStyle w:val="Heading5"/>
      </w:pPr>
      <w:bookmarkStart w:id="663" w:name="_Toc32411989"/>
      <w:bookmarkStart w:id="664" w:name="_Toc13494422"/>
      <w:r>
        <w:rPr>
          <w:rStyle w:val="CharSectno"/>
        </w:rPr>
        <w:t>167</w:t>
      </w:r>
      <w:r>
        <w:t>.</w:t>
      </w:r>
      <w:r>
        <w:tab/>
        <w:t>Cancelling registration</w:t>
      </w:r>
      <w:bookmarkEnd w:id="663"/>
      <w:bookmarkEnd w:id="664"/>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No. 28 of 2014 s. 11.]</w:t>
      </w:r>
    </w:p>
    <w:p>
      <w:pPr>
        <w:pStyle w:val="Heading3"/>
      </w:pPr>
      <w:bookmarkStart w:id="665" w:name="_Toc32411576"/>
      <w:bookmarkStart w:id="666" w:name="_Toc32411990"/>
      <w:bookmarkStart w:id="667" w:name="_Toc486515901"/>
      <w:bookmarkStart w:id="668" w:name="_Toc486516939"/>
      <w:bookmarkStart w:id="669" w:name="_Toc13494423"/>
      <w:r>
        <w:rPr>
          <w:rStyle w:val="CharDivNo"/>
        </w:rPr>
        <w:t>Division 3C</w:t>
      </w:r>
      <w:r>
        <w:t> — </w:t>
      </w:r>
      <w:r>
        <w:rPr>
          <w:rStyle w:val="CharDivText"/>
        </w:rPr>
        <w:t>Review of decisions under Divisions 3A and 3B</w:t>
      </w:r>
      <w:bookmarkEnd w:id="665"/>
      <w:bookmarkEnd w:id="666"/>
      <w:bookmarkEnd w:id="667"/>
      <w:bookmarkEnd w:id="668"/>
      <w:bookmarkEnd w:id="669"/>
    </w:p>
    <w:p>
      <w:pPr>
        <w:pStyle w:val="Footnoteheading"/>
        <w:keepNext/>
      </w:pPr>
      <w:r>
        <w:tab/>
        <w:t>[Heading inserted: No. 28 of 2014 s. 12.]</w:t>
      </w:r>
    </w:p>
    <w:p>
      <w:pPr>
        <w:pStyle w:val="Heading5"/>
        <w:spacing w:before="180"/>
      </w:pPr>
      <w:bookmarkStart w:id="670" w:name="_Toc32411991"/>
      <w:bookmarkStart w:id="671" w:name="_Toc13494424"/>
      <w:r>
        <w:rPr>
          <w:rStyle w:val="CharSectno"/>
        </w:rPr>
        <w:t>168</w:t>
      </w:r>
      <w:r>
        <w:t>.</w:t>
      </w:r>
      <w:r>
        <w:tab/>
        <w:t>Review of certain decisions</w:t>
      </w:r>
      <w:bookmarkEnd w:id="670"/>
      <w:bookmarkEnd w:id="671"/>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No. 28 of 2014 s. 13.]</w:t>
      </w:r>
    </w:p>
    <w:p>
      <w:pPr>
        <w:pStyle w:val="Heading3"/>
      </w:pPr>
      <w:bookmarkStart w:id="672" w:name="_Toc32411578"/>
      <w:bookmarkStart w:id="673" w:name="_Toc32411992"/>
      <w:bookmarkStart w:id="674" w:name="_Toc486515903"/>
      <w:bookmarkStart w:id="675" w:name="_Toc486516941"/>
      <w:bookmarkStart w:id="676" w:name="_Toc13494425"/>
      <w:r>
        <w:rPr>
          <w:rStyle w:val="CharDivNo"/>
        </w:rPr>
        <w:t>Division 3</w:t>
      </w:r>
      <w:r>
        <w:t xml:space="preserve"> — </w:t>
      </w:r>
      <w:r>
        <w:rPr>
          <w:rStyle w:val="CharDivText"/>
        </w:rPr>
        <w:t>Non</w:t>
      </w:r>
      <w:r>
        <w:rPr>
          <w:rStyle w:val="CharDivText"/>
        </w:rPr>
        <w:noBreakHyphen/>
        <w:t>government school systems</w:t>
      </w:r>
      <w:bookmarkEnd w:id="672"/>
      <w:bookmarkEnd w:id="673"/>
      <w:bookmarkEnd w:id="674"/>
      <w:bookmarkEnd w:id="675"/>
      <w:bookmarkEnd w:id="676"/>
    </w:p>
    <w:p>
      <w:pPr>
        <w:pStyle w:val="Heading4"/>
        <w:spacing w:before="180"/>
      </w:pPr>
      <w:bookmarkStart w:id="677" w:name="_Toc32411579"/>
      <w:bookmarkStart w:id="678" w:name="_Toc32411993"/>
      <w:bookmarkStart w:id="679" w:name="_Toc486515904"/>
      <w:bookmarkStart w:id="680" w:name="_Toc486516942"/>
      <w:bookmarkStart w:id="681" w:name="_Toc13494426"/>
      <w:r>
        <w:t>Subdivision 1 — Recognition of systems</w:t>
      </w:r>
      <w:bookmarkEnd w:id="677"/>
      <w:bookmarkEnd w:id="678"/>
      <w:bookmarkEnd w:id="679"/>
      <w:bookmarkEnd w:id="680"/>
      <w:bookmarkEnd w:id="681"/>
    </w:p>
    <w:p>
      <w:pPr>
        <w:pStyle w:val="Heading5"/>
        <w:spacing w:before="180"/>
      </w:pPr>
      <w:bookmarkStart w:id="682" w:name="_Toc32411994"/>
      <w:bookmarkStart w:id="683" w:name="_Toc13494427"/>
      <w:r>
        <w:rPr>
          <w:rStyle w:val="CharSectno"/>
        </w:rPr>
        <w:t>169</w:t>
      </w:r>
      <w:r>
        <w:t>.</w:t>
      </w:r>
      <w:r>
        <w:tab/>
        <w:t>Recognized school system, declaration of</w:t>
      </w:r>
      <w:bookmarkEnd w:id="682"/>
      <w:bookmarkEnd w:id="683"/>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No. 28 of 2014 s. 14.]</w:t>
      </w:r>
    </w:p>
    <w:p>
      <w:pPr>
        <w:pStyle w:val="Heading5"/>
        <w:keepNext w:val="0"/>
        <w:keepLines w:val="0"/>
        <w:spacing w:before="180"/>
      </w:pPr>
      <w:bookmarkStart w:id="684" w:name="_Toc32411995"/>
      <w:bookmarkStart w:id="685" w:name="_Toc13494428"/>
      <w:r>
        <w:rPr>
          <w:rStyle w:val="CharSectno"/>
        </w:rPr>
        <w:t>170</w:t>
      </w:r>
      <w:r>
        <w:t>.</w:t>
      </w:r>
      <w:r>
        <w:tab/>
        <w:t>Revoking s. 169 order</w:t>
      </w:r>
      <w:bookmarkEnd w:id="684"/>
      <w:bookmarkEnd w:id="685"/>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686" w:name="_Toc32411996"/>
      <w:bookmarkStart w:id="687" w:name="_Toc13494429"/>
      <w:r>
        <w:rPr>
          <w:rStyle w:val="CharSectno"/>
        </w:rPr>
        <w:t>171</w:t>
      </w:r>
      <w:r>
        <w:t>.</w:t>
      </w:r>
      <w:r>
        <w:tab/>
        <w:t>School system may accept certain schools as members of system</w:t>
      </w:r>
      <w:bookmarkEnd w:id="686"/>
      <w:bookmarkEnd w:id="687"/>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688" w:name="_Toc32411997"/>
      <w:bookmarkStart w:id="689" w:name="_Toc13494430"/>
      <w:r>
        <w:rPr>
          <w:rStyle w:val="CharSectno"/>
        </w:rPr>
        <w:t>172</w:t>
      </w:r>
      <w:r>
        <w:t>.</w:t>
      </w:r>
      <w:r>
        <w:tab/>
        <w:t>School in school system may withdraw from system</w:t>
      </w:r>
      <w:bookmarkEnd w:id="688"/>
      <w:bookmarkEnd w:id="689"/>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No. 28 of 2014 s. 15.]</w:t>
      </w:r>
    </w:p>
    <w:p>
      <w:pPr>
        <w:pStyle w:val="Heading4"/>
      </w:pPr>
      <w:bookmarkStart w:id="690" w:name="_Toc32411584"/>
      <w:bookmarkStart w:id="691" w:name="_Toc32411998"/>
      <w:bookmarkStart w:id="692" w:name="_Toc486515909"/>
      <w:bookmarkStart w:id="693" w:name="_Toc486516947"/>
      <w:bookmarkStart w:id="694" w:name="_Toc13494431"/>
      <w:r>
        <w:t>Subdivision 2 — System agreements</w:t>
      </w:r>
      <w:bookmarkEnd w:id="690"/>
      <w:bookmarkEnd w:id="691"/>
      <w:bookmarkEnd w:id="692"/>
      <w:bookmarkEnd w:id="693"/>
      <w:bookmarkEnd w:id="694"/>
    </w:p>
    <w:p>
      <w:pPr>
        <w:pStyle w:val="Heading5"/>
        <w:spacing w:before="180"/>
      </w:pPr>
      <w:bookmarkStart w:id="695" w:name="_Toc32411999"/>
      <w:bookmarkStart w:id="696" w:name="_Toc13494432"/>
      <w:r>
        <w:rPr>
          <w:rStyle w:val="CharSectno"/>
        </w:rPr>
        <w:t>173</w:t>
      </w:r>
      <w:r>
        <w:t>.</w:t>
      </w:r>
      <w:r>
        <w:tab/>
        <w:t>System agreement, Minister may make etc.</w:t>
      </w:r>
      <w:bookmarkEnd w:id="695"/>
      <w:bookmarkEnd w:id="696"/>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697" w:name="_Toc32412000"/>
      <w:bookmarkStart w:id="698" w:name="_Toc13494433"/>
      <w:r>
        <w:rPr>
          <w:rStyle w:val="CharSectno"/>
        </w:rPr>
        <w:t>174</w:t>
      </w:r>
      <w:r>
        <w:t>.</w:t>
      </w:r>
      <w:r>
        <w:tab/>
        <w:t>Content of system agreement</w:t>
      </w:r>
      <w:bookmarkEnd w:id="697"/>
      <w:bookmarkEnd w:id="698"/>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No. 28 of 2014 s. 16.]</w:t>
      </w:r>
    </w:p>
    <w:p>
      <w:pPr>
        <w:pStyle w:val="Heading5"/>
      </w:pPr>
      <w:bookmarkStart w:id="699" w:name="_Toc32412001"/>
      <w:bookmarkStart w:id="700" w:name="_Toc13494434"/>
      <w:r>
        <w:rPr>
          <w:rStyle w:val="CharSectno"/>
        </w:rPr>
        <w:t>175</w:t>
      </w:r>
      <w:r>
        <w:t>.</w:t>
      </w:r>
      <w:r>
        <w:tab/>
        <w:t>Termination of system agreement</w:t>
      </w:r>
      <w:bookmarkEnd w:id="699"/>
      <w:bookmarkEnd w:id="700"/>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701" w:name="_Toc32411588"/>
      <w:bookmarkStart w:id="702" w:name="_Toc32412002"/>
      <w:bookmarkStart w:id="703" w:name="_Toc486515913"/>
      <w:bookmarkStart w:id="704" w:name="_Toc486516951"/>
      <w:bookmarkStart w:id="705" w:name="_Toc13494435"/>
      <w:r>
        <w:rPr>
          <w:rStyle w:val="CharDivNo"/>
        </w:rPr>
        <w:t>Division 4</w:t>
      </w:r>
      <w:r>
        <w:t> — </w:t>
      </w:r>
      <w:r>
        <w:rPr>
          <w:rStyle w:val="CharDivText"/>
        </w:rPr>
        <w:t>Inspection of registered schools</w:t>
      </w:r>
      <w:bookmarkEnd w:id="701"/>
      <w:bookmarkEnd w:id="702"/>
      <w:bookmarkEnd w:id="703"/>
      <w:bookmarkEnd w:id="704"/>
      <w:bookmarkEnd w:id="705"/>
    </w:p>
    <w:p>
      <w:pPr>
        <w:pStyle w:val="Footnoteheading"/>
        <w:keepNext/>
      </w:pPr>
      <w:r>
        <w:tab/>
        <w:t>[Heading inserted: No. 28 of 2014 s. 17.]</w:t>
      </w:r>
    </w:p>
    <w:p>
      <w:pPr>
        <w:pStyle w:val="Heading5"/>
      </w:pPr>
      <w:bookmarkStart w:id="706" w:name="_Toc32412003"/>
      <w:bookmarkStart w:id="707" w:name="_Toc13494436"/>
      <w:r>
        <w:rPr>
          <w:rStyle w:val="CharSectno"/>
        </w:rPr>
        <w:t>176</w:t>
      </w:r>
      <w:r>
        <w:t>.</w:t>
      </w:r>
      <w:r>
        <w:tab/>
        <w:t>Inspection of registered school after notice given</w:t>
      </w:r>
      <w:bookmarkEnd w:id="706"/>
      <w:bookmarkEnd w:id="707"/>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 No. 37 of 2011 s. 58(3); No. 28 of 2014 s. 18.]</w:t>
      </w:r>
    </w:p>
    <w:p>
      <w:pPr>
        <w:pStyle w:val="Heading5"/>
        <w:spacing w:before="180"/>
      </w:pPr>
      <w:bookmarkStart w:id="708" w:name="_Toc32412004"/>
      <w:bookmarkStart w:id="709" w:name="_Toc13494437"/>
      <w:r>
        <w:rPr>
          <w:rStyle w:val="CharSectno"/>
        </w:rPr>
        <w:t>177</w:t>
      </w:r>
      <w:r>
        <w:t>.</w:t>
      </w:r>
      <w:r>
        <w:tab/>
        <w:t>Inspection of registered school with no notice</w:t>
      </w:r>
      <w:bookmarkEnd w:id="708"/>
      <w:bookmarkEnd w:id="709"/>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 No. 37 of 2011 s. 58(3); No. 28 of 2014 s. 19.]</w:t>
      </w:r>
    </w:p>
    <w:p>
      <w:pPr>
        <w:pStyle w:val="Heading5"/>
        <w:spacing w:before="180"/>
      </w:pPr>
      <w:bookmarkStart w:id="710" w:name="_Toc32412005"/>
      <w:bookmarkStart w:id="711" w:name="_Toc13494438"/>
      <w:r>
        <w:rPr>
          <w:rStyle w:val="CharSectno"/>
        </w:rPr>
        <w:t>178</w:t>
      </w:r>
      <w:r>
        <w:t>.</w:t>
      </w:r>
      <w:r>
        <w:tab/>
        <w:t>Inspector under s. 176 or 177 to produce certificate of authority</w:t>
      </w:r>
      <w:bookmarkEnd w:id="710"/>
      <w:bookmarkEnd w:id="711"/>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712" w:name="_Toc32412006"/>
      <w:bookmarkStart w:id="713" w:name="_Toc13494439"/>
      <w:r>
        <w:rPr>
          <w:rStyle w:val="CharSectno"/>
        </w:rPr>
        <w:t>179</w:t>
      </w:r>
      <w:r>
        <w:t>.</w:t>
      </w:r>
      <w:r>
        <w:tab/>
        <w:t>Obstructing inspector, offence</w:t>
      </w:r>
      <w:bookmarkEnd w:id="712"/>
      <w:bookmarkEnd w:id="713"/>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No. 28 of 2014 s. 35.]</w:t>
      </w:r>
    </w:p>
    <w:p>
      <w:pPr>
        <w:pStyle w:val="Ednotesection"/>
      </w:pPr>
      <w:r>
        <w:t>[</w:t>
      </w:r>
      <w:r>
        <w:rPr>
          <w:b/>
        </w:rPr>
        <w:t xml:space="preserve">180, 181.  </w:t>
      </w:r>
      <w:r>
        <w:t>Deleted: No. 28 of 2014 s. 20.]</w:t>
      </w:r>
    </w:p>
    <w:p>
      <w:pPr>
        <w:pStyle w:val="Heading3"/>
        <w:keepNext w:val="0"/>
        <w:pageBreakBefore/>
        <w:spacing w:before="0"/>
      </w:pPr>
      <w:bookmarkStart w:id="714" w:name="_Toc32411593"/>
      <w:bookmarkStart w:id="715" w:name="_Toc32412007"/>
      <w:bookmarkStart w:id="716" w:name="_Toc486515918"/>
      <w:bookmarkStart w:id="717" w:name="_Toc486516956"/>
      <w:bookmarkStart w:id="718" w:name="_Toc13494440"/>
      <w:r>
        <w:rPr>
          <w:rStyle w:val="CharDivNo"/>
        </w:rPr>
        <w:t>Division 5</w:t>
      </w:r>
      <w:r>
        <w:t xml:space="preserve"> — </w:t>
      </w:r>
      <w:r>
        <w:rPr>
          <w:rStyle w:val="CharDivText"/>
        </w:rPr>
        <w:t>Funding</w:t>
      </w:r>
      <w:bookmarkEnd w:id="714"/>
      <w:bookmarkEnd w:id="715"/>
      <w:bookmarkEnd w:id="716"/>
      <w:bookmarkEnd w:id="717"/>
      <w:bookmarkEnd w:id="718"/>
    </w:p>
    <w:p>
      <w:pPr>
        <w:pStyle w:val="Heading5"/>
        <w:spacing w:before="180"/>
      </w:pPr>
      <w:bookmarkStart w:id="719" w:name="_Toc32412008"/>
      <w:bookmarkStart w:id="720" w:name="_Toc13494441"/>
      <w:r>
        <w:rPr>
          <w:rStyle w:val="CharSectno"/>
        </w:rPr>
        <w:t>182</w:t>
      </w:r>
      <w:r>
        <w:t>.</w:t>
      </w:r>
      <w:r>
        <w:tab/>
        <w:t>Money appropriated for registered schools, allocation of</w:t>
      </w:r>
      <w:bookmarkEnd w:id="719"/>
      <w:bookmarkEnd w:id="720"/>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Has not come into operation</w:t>
      </w:r>
      <w:del w:id="721" w:author="svcMRProcess" w:date="2020-02-25T12:47:00Z">
        <w:r>
          <w:delText xml:space="preserve"> </w:delText>
        </w:r>
        <w:r>
          <w:rPr>
            <w:vertAlign w:val="superscript"/>
          </w:rPr>
          <w:delText>4</w:delText>
        </w:r>
      </w:del>
      <w:r>
        <w:t>.]</w:t>
      </w:r>
    </w:p>
    <w:p>
      <w:pPr>
        <w:pStyle w:val="Heading5"/>
        <w:spacing w:before="180"/>
      </w:pPr>
      <w:bookmarkStart w:id="722" w:name="_Toc32412009"/>
      <w:bookmarkStart w:id="723" w:name="_Toc13494442"/>
      <w:r>
        <w:rPr>
          <w:rStyle w:val="CharSectno"/>
        </w:rPr>
        <w:t>183</w:t>
      </w:r>
      <w:r>
        <w:t>.</w:t>
      </w:r>
      <w:r>
        <w:tab/>
        <w:t>Purposes etc. for which allocations will be made, orders as to etc.</w:t>
      </w:r>
      <w:bookmarkEnd w:id="722"/>
      <w:bookmarkEnd w:id="723"/>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724" w:name="_Toc32412010"/>
      <w:bookmarkStart w:id="725" w:name="_Toc13494443"/>
      <w:r>
        <w:rPr>
          <w:rStyle w:val="CharSectno"/>
        </w:rPr>
        <w:t>184</w:t>
      </w:r>
      <w:r>
        <w:t>.</w:t>
      </w:r>
      <w:r>
        <w:tab/>
        <w:t>Contents of s. 183 orders</w:t>
      </w:r>
      <w:bookmarkEnd w:id="724"/>
      <w:bookmarkEnd w:id="725"/>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726" w:name="_Toc32412011"/>
      <w:bookmarkStart w:id="727" w:name="_Toc13494444"/>
      <w:r>
        <w:rPr>
          <w:rStyle w:val="CharSectno"/>
        </w:rPr>
        <w:t>185</w:t>
      </w:r>
      <w:r>
        <w:t>.</w:t>
      </w:r>
      <w:r>
        <w:tab/>
        <w:t>Minister may require school to account for allocated moneys</w:t>
      </w:r>
      <w:bookmarkEnd w:id="726"/>
      <w:bookmarkEnd w:id="727"/>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728" w:name="_Toc32411598"/>
      <w:bookmarkStart w:id="729" w:name="_Toc32412012"/>
      <w:bookmarkStart w:id="730" w:name="_Toc486515923"/>
      <w:bookmarkStart w:id="731" w:name="_Toc486516961"/>
      <w:bookmarkStart w:id="732" w:name="_Toc13494445"/>
      <w:r>
        <w:rPr>
          <w:rStyle w:val="CharDivNo"/>
        </w:rPr>
        <w:t>Division 6</w:t>
      </w:r>
      <w:r>
        <w:t xml:space="preserve"> — </w:t>
      </w:r>
      <w:r>
        <w:rPr>
          <w:rStyle w:val="CharDivText"/>
        </w:rPr>
        <w:t>Loans for capital works</w:t>
      </w:r>
      <w:bookmarkEnd w:id="728"/>
      <w:bookmarkEnd w:id="729"/>
      <w:bookmarkEnd w:id="730"/>
      <w:bookmarkEnd w:id="731"/>
      <w:bookmarkEnd w:id="732"/>
    </w:p>
    <w:p>
      <w:pPr>
        <w:pStyle w:val="Heading5"/>
      </w:pPr>
      <w:bookmarkStart w:id="733" w:name="_Toc32412013"/>
      <w:bookmarkStart w:id="734" w:name="_Toc13494446"/>
      <w:r>
        <w:rPr>
          <w:rStyle w:val="CharSectno"/>
        </w:rPr>
        <w:t>186</w:t>
      </w:r>
      <w:r>
        <w:t>.</w:t>
      </w:r>
      <w:r>
        <w:tab/>
        <w:t>Minister’s powers to lend moneys</w:t>
      </w:r>
      <w:bookmarkEnd w:id="733"/>
      <w:bookmarkEnd w:id="734"/>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735" w:name="_Toc32412014"/>
      <w:bookmarkStart w:id="736" w:name="_Toc13494447"/>
      <w:r>
        <w:rPr>
          <w:rStyle w:val="CharSectno"/>
        </w:rPr>
        <w:t>187</w:t>
      </w:r>
      <w:r>
        <w:t>.</w:t>
      </w:r>
      <w:r>
        <w:tab/>
        <w:t>Minister may borrow moneys to make s. 186 loan</w:t>
      </w:r>
      <w:bookmarkEnd w:id="735"/>
      <w:bookmarkEnd w:id="736"/>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737" w:name="_Toc32412015"/>
      <w:bookmarkStart w:id="738" w:name="_Toc13494448"/>
      <w:r>
        <w:rPr>
          <w:rStyle w:val="CharSectno"/>
        </w:rPr>
        <w:t>188</w:t>
      </w:r>
      <w:r>
        <w:t>.</w:t>
      </w:r>
      <w:r>
        <w:tab/>
        <w:t>Operating account for s. 186 and 187 moneys</w:t>
      </w:r>
      <w:bookmarkEnd w:id="737"/>
      <w:bookmarkEnd w:id="738"/>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No. 77 of 2006 Sch. 1 cl. 154(3).]</w:t>
      </w:r>
    </w:p>
    <w:p>
      <w:pPr>
        <w:pStyle w:val="Heading5"/>
        <w:spacing w:before="180"/>
      </w:pPr>
      <w:bookmarkStart w:id="739" w:name="_Toc32412016"/>
      <w:bookmarkStart w:id="740" w:name="_Toc13494449"/>
      <w:r>
        <w:rPr>
          <w:rStyle w:val="CharSectno"/>
        </w:rPr>
        <w:t>189</w:t>
      </w:r>
      <w:r>
        <w:t>.</w:t>
      </w:r>
      <w:r>
        <w:tab/>
        <w:t>Treasurer’s guarantee for moneys borrowed under s. 187</w:t>
      </w:r>
      <w:bookmarkEnd w:id="739"/>
      <w:bookmarkEnd w:id="74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No. 77 of 2006 s. 4.]</w:t>
      </w:r>
    </w:p>
    <w:p>
      <w:pPr>
        <w:pStyle w:val="Heading5"/>
      </w:pPr>
      <w:bookmarkStart w:id="741" w:name="_Toc32412017"/>
      <w:bookmarkStart w:id="742" w:name="_Toc13494450"/>
      <w:r>
        <w:rPr>
          <w:rStyle w:val="CharSectno"/>
        </w:rPr>
        <w:t>190</w:t>
      </w:r>
      <w:r>
        <w:t>.</w:t>
      </w:r>
      <w:r>
        <w:tab/>
        <w:t>Payments under s. 189 guarantee</w:t>
      </w:r>
      <w:bookmarkEnd w:id="741"/>
      <w:bookmarkEnd w:id="742"/>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No. 77 of 2006 s. 4 and 5(1).]</w:t>
      </w:r>
    </w:p>
    <w:p>
      <w:pPr>
        <w:pStyle w:val="Heading2"/>
      </w:pPr>
      <w:bookmarkStart w:id="743" w:name="_Toc32411604"/>
      <w:bookmarkStart w:id="744" w:name="_Toc32412018"/>
      <w:bookmarkStart w:id="745" w:name="_Toc486515929"/>
      <w:bookmarkStart w:id="746" w:name="_Toc486516967"/>
      <w:bookmarkStart w:id="747" w:name="_Toc13494451"/>
      <w:r>
        <w:rPr>
          <w:rStyle w:val="CharPartNo"/>
        </w:rPr>
        <w:t>Part 5</w:t>
      </w:r>
      <w:r>
        <w:t xml:space="preserve"> — </w:t>
      </w:r>
      <w:r>
        <w:rPr>
          <w:rStyle w:val="CharPartText"/>
        </w:rPr>
        <w:t>Community kindergartens</w:t>
      </w:r>
      <w:bookmarkEnd w:id="743"/>
      <w:bookmarkEnd w:id="744"/>
      <w:bookmarkEnd w:id="745"/>
      <w:bookmarkEnd w:id="746"/>
      <w:bookmarkEnd w:id="747"/>
    </w:p>
    <w:p>
      <w:pPr>
        <w:pStyle w:val="PermNoteHeading"/>
        <w:rPr>
          <w:b/>
          <w:bCs/>
        </w:rPr>
      </w:pPr>
      <w:r>
        <w:rPr>
          <w:b/>
          <w:bCs/>
        </w:rPr>
        <w:t>What this Part is about</w:t>
      </w:r>
    </w:p>
    <w:p>
      <w:pPr>
        <w:pStyle w:val="PermNoteText"/>
        <w:ind w:left="0" w:firstLine="0"/>
      </w:pPr>
      <w:r>
        <w:t>This Part requires community kindergartens to be registered by the Minister and makes various provisions about their operation and funding.</w:t>
      </w:r>
    </w:p>
    <w:p>
      <w:pPr>
        <w:pStyle w:val="PermNoteText"/>
      </w:pPr>
      <w:r>
        <w:t>In particular it deals with —</w:t>
      </w:r>
    </w:p>
    <w:p>
      <w:pPr>
        <w:pStyle w:val="PermNoteText"/>
        <w:numPr>
          <w:ilvl w:val="0"/>
          <w:numId w:val="5"/>
        </w:numPr>
      </w:pPr>
      <w:r>
        <w:t>the registration of community kindergartens that meet the required standards (Division 2);</w:t>
      </w:r>
    </w:p>
    <w:p>
      <w:pPr>
        <w:pStyle w:val="PermNoteText"/>
        <w:numPr>
          <w:ilvl w:val="0"/>
          <w:numId w:val="5"/>
        </w:numPr>
      </w:pPr>
      <w:r>
        <w:t>the operation and management of community kindergartens (Division 3);</w:t>
      </w:r>
    </w:p>
    <w:p>
      <w:pPr>
        <w:pStyle w:val="PermNoteText"/>
        <w:numPr>
          <w:ilvl w:val="0"/>
          <w:numId w:val="5"/>
        </w:numPr>
      </w:pPr>
      <w:r>
        <w:t>the allocation of funds appropriated by Parliament for community kindergartens (section 210).</w:t>
      </w:r>
    </w:p>
    <w:p>
      <w:pPr>
        <w:pStyle w:val="Heading3"/>
      </w:pPr>
      <w:bookmarkStart w:id="748" w:name="_Toc32411605"/>
      <w:bookmarkStart w:id="749" w:name="_Toc32412019"/>
      <w:bookmarkStart w:id="750" w:name="_Toc486515930"/>
      <w:bookmarkStart w:id="751" w:name="_Toc486516968"/>
      <w:bookmarkStart w:id="752" w:name="_Toc13494452"/>
      <w:r>
        <w:rPr>
          <w:rStyle w:val="CharDivNo"/>
        </w:rPr>
        <w:t>Division 1</w:t>
      </w:r>
      <w:r>
        <w:t xml:space="preserve"> — </w:t>
      </w:r>
      <w:r>
        <w:rPr>
          <w:rStyle w:val="CharDivText"/>
        </w:rPr>
        <w:t>Preliminary</w:t>
      </w:r>
      <w:bookmarkEnd w:id="748"/>
      <w:bookmarkEnd w:id="749"/>
      <w:bookmarkEnd w:id="750"/>
      <w:bookmarkEnd w:id="751"/>
      <w:bookmarkEnd w:id="752"/>
    </w:p>
    <w:p>
      <w:pPr>
        <w:pStyle w:val="Heading5"/>
      </w:pPr>
      <w:bookmarkStart w:id="753" w:name="_Toc32412020"/>
      <w:bookmarkStart w:id="754" w:name="_Toc13494453"/>
      <w:r>
        <w:rPr>
          <w:rStyle w:val="CharSectno"/>
        </w:rPr>
        <w:t>191</w:t>
      </w:r>
      <w:r>
        <w:t>.</w:t>
      </w:r>
      <w:r>
        <w:tab/>
        <w:t>Term used: governing body</w:t>
      </w:r>
      <w:bookmarkEnd w:id="753"/>
      <w:bookmarkEnd w:id="754"/>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755" w:name="_Toc32411607"/>
      <w:bookmarkStart w:id="756" w:name="_Toc32412021"/>
      <w:bookmarkStart w:id="757" w:name="_Toc486515932"/>
      <w:bookmarkStart w:id="758" w:name="_Toc486516970"/>
      <w:bookmarkStart w:id="759" w:name="_Toc13494454"/>
      <w:r>
        <w:rPr>
          <w:rStyle w:val="CharDivNo"/>
        </w:rPr>
        <w:t>Division 2</w:t>
      </w:r>
      <w:r>
        <w:t xml:space="preserve"> — </w:t>
      </w:r>
      <w:r>
        <w:rPr>
          <w:rStyle w:val="CharDivText"/>
        </w:rPr>
        <w:t>Registration of community kindergartens</w:t>
      </w:r>
      <w:bookmarkEnd w:id="755"/>
      <w:bookmarkEnd w:id="756"/>
      <w:bookmarkEnd w:id="757"/>
      <w:bookmarkEnd w:id="758"/>
      <w:bookmarkEnd w:id="759"/>
    </w:p>
    <w:p>
      <w:pPr>
        <w:pStyle w:val="Heading5"/>
      </w:pPr>
      <w:bookmarkStart w:id="760" w:name="_Toc32412022"/>
      <w:bookmarkStart w:id="761" w:name="_Toc13494455"/>
      <w:r>
        <w:rPr>
          <w:rStyle w:val="CharSectno"/>
        </w:rPr>
        <w:t>192</w:t>
      </w:r>
      <w:r>
        <w:t>.</w:t>
      </w:r>
      <w:r>
        <w:tab/>
        <w:t>Registration, general provisions as to</w:t>
      </w:r>
      <w:bookmarkEnd w:id="760"/>
      <w:bookmarkEnd w:id="761"/>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No. 11 of 2012 s. 44; No. 46 of 2012 s. 11.]</w:t>
      </w:r>
    </w:p>
    <w:p>
      <w:pPr>
        <w:pStyle w:val="Heading5"/>
      </w:pPr>
      <w:bookmarkStart w:id="762" w:name="_Toc32412023"/>
      <w:bookmarkStart w:id="763" w:name="_Toc13494456"/>
      <w:r>
        <w:rPr>
          <w:rStyle w:val="CharSectno"/>
        </w:rPr>
        <w:t>193</w:t>
      </w:r>
      <w:r>
        <w:t>.</w:t>
      </w:r>
      <w:r>
        <w:tab/>
        <w:t>Application for registration</w:t>
      </w:r>
      <w:bookmarkEnd w:id="762"/>
      <w:bookmarkEnd w:id="763"/>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764" w:name="_Toc32412024"/>
      <w:bookmarkStart w:id="765" w:name="_Toc13494457"/>
      <w:r>
        <w:rPr>
          <w:rStyle w:val="CharSectno"/>
        </w:rPr>
        <w:t>194</w:t>
      </w:r>
      <w:r>
        <w:t>.</w:t>
      </w:r>
      <w:r>
        <w:tab/>
        <w:t>Matters to be considered by Minister</w:t>
      </w:r>
      <w:bookmarkEnd w:id="764"/>
      <w:bookmarkEnd w:id="765"/>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766" w:name="_Toc32412025"/>
      <w:bookmarkStart w:id="767" w:name="_Toc13494458"/>
      <w:r>
        <w:rPr>
          <w:rStyle w:val="CharSectno"/>
        </w:rPr>
        <w:t>195</w:t>
      </w:r>
      <w:r>
        <w:t>.</w:t>
      </w:r>
      <w:r>
        <w:tab/>
        <w:t>Grant or refusal of registration</w:t>
      </w:r>
      <w:bookmarkEnd w:id="766"/>
      <w:bookmarkEnd w:id="767"/>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2015</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Footnotesection"/>
      </w:pPr>
      <w:r>
        <w:tab/>
        <w:t>[Section 195 amended: No. 30 of 2015 s. 228(7).]</w:t>
      </w:r>
    </w:p>
    <w:p>
      <w:pPr>
        <w:pStyle w:val="Heading5"/>
      </w:pPr>
      <w:bookmarkStart w:id="768" w:name="_Toc32412026"/>
      <w:bookmarkStart w:id="769" w:name="_Toc13494459"/>
      <w:r>
        <w:rPr>
          <w:rStyle w:val="CharSectno"/>
        </w:rPr>
        <w:t>196</w:t>
      </w:r>
      <w:r>
        <w:t>.</w:t>
      </w:r>
      <w:r>
        <w:tab/>
        <w:t>Minister to notify decision within 3 months</w:t>
      </w:r>
      <w:bookmarkEnd w:id="768"/>
      <w:bookmarkEnd w:id="769"/>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770" w:name="_Toc32412027"/>
      <w:bookmarkStart w:id="771" w:name="_Toc13494460"/>
      <w:r>
        <w:rPr>
          <w:rStyle w:val="CharSectno"/>
        </w:rPr>
        <w:t>197</w:t>
      </w:r>
      <w:r>
        <w:t>.</w:t>
      </w:r>
      <w:r>
        <w:tab/>
        <w:t>Certificate of registration; register of registered kindergartens</w:t>
      </w:r>
      <w:bookmarkEnd w:id="770"/>
      <w:bookmarkEnd w:id="771"/>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No. 11 of 2012 s. 45.]</w:t>
      </w:r>
    </w:p>
    <w:p>
      <w:pPr>
        <w:pStyle w:val="Heading5"/>
      </w:pPr>
      <w:bookmarkStart w:id="772" w:name="_Toc32412028"/>
      <w:bookmarkStart w:id="773" w:name="_Toc13494461"/>
      <w:r>
        <w:rPr>
          <w:rStyle w:val="CharSectno"/>
        </w:rPr>
        <w:t>198</w:t>
      </w:r>
      <w:r>
        <w:t>.</w:t>
      </w:r>
      <w:r>
        <w:tab/>
        <w:t>Amending etc. conditions of registration</w:t>
      </w:r>
      <w:bookmarkEnd w:id="772"/>
      <w:bookmarkEnd w:id="773"/>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774" w:name="_Toc32412029"/>
      <w:bookmarkStart w:id="775" w:name="_Toc13494462"/>
      <w:r>
        <w:rPr>
          <w:rStyle w:val="CharSectno"/>
        </w:rPr>
        <w:t>199</w:t>
      </w:r>
      <w:r>
        <w:t>.</w:t>
      </w:r>
      <w:r>
        <w:tab/>
        <w:t>Who can attend registered kindergarten</w:t>
      </w:r>
      <w:bookmarkEnd w:id="774"/>
      <w:bookmarkEnd w:id="775"/>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No. 11 of 2012 s. 46; No. 46 of 2012 s. 12.]</w:t>
      </w:r>
    </w:p>
    <w:p>
      <w:pPr>
        <w:pStyle w:val="Heading5"/>
      </w:pPr>
      <w:bookmarkStart w:id="776" w:name="_Toc32412030"/>
      <w:bookmarkStart w:id="777" w:name="_Toc13494463"/>
      <w:r>
        <w:rPr>
          <w:rStyle w:val="CharSectno"/>
        </w:rPr>
        <w:t>200</w:t>
      </w:r>
      <w:r>
        <w:t>.</w:t>
      </w:r>
      <w:r>
        <w:tab/>
        <w:t>Cancelling registration, Ministers’ functions as to</w:t>
      </w:r>
      <w:bookmarkEnd w:id="776"/>
      <w:bookmarkEnd w:id="777"/>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No. 37 of 2011 s. 58(3).]</w:t>
      </w:r>
    </w:p>
    <w:p>
      <w:pPr>
        <w:pStyle w:val="Heading5"/>
      </w:pPr>
      <w:bookmarkStart w:id="778" w:name="_Toc32412031"/>
      <w:bookmarkStart w:id="779" w:name="_Toc13494464"/>
      <w:r>
        <w:rPr>
          <w:rStyle w:val="CharSectno"/>
        </w:rPr>
        <w:t>201</w:t>
      </w:r>
      <w:r>
        <w:t>.</w:t>
      </w:r>
      <w:r>
        <w:tab/>
        <w:t>Decision as to registration, review of</w:t>
      </w:r>
      <w:bookmarkEnd w:id="778"/>
      <w:bookmarkEnd w:id="779"/>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780" w:name="_Toc32411618"/>
      <w:bookmarkStart w:id="781" w:name="_Toc32412032"/>
      <w:bookmarkStart w:id="782" w:name="_Toc486515943"/>
      <w:bookmarkStart w:id="783" w:name="_Toc486516981"/>
      <w:bookmarkStart w:id="784" w:name="_Toc13494465"/>
      <w:r>
        <w:rPr>
          <w:rStyle w:val="CharDivNo"/>
        </w:rPr>
        <w:t>Division 3</w:t>
      </w:r>
      <w:r>
        <w:t xml:space="preserve"> — </w:t>
      </w:r>
      <w:r>
        <w:rPr>
          <w:rStyle w:val="CharDivText"/>
        </w:rPr>
        <w:t>Operation and management of community kindergartens</w:t>
      </w:r>
      <w:bookmarkEnd w:id="780"/>
      <w:bookmarkEnd w:id="781"/>
      <w:bookmarkEnd w:id="782"/>
      <w:bookmarkEnd w:id="783"/>
      <w:bookmarkEnd w:id="784"/>
    </w:p>
    <w:p>
      <w:pPr>
        <w:pStyle w:val="Heading5"/>
      </w:pPr>
      <w:bookmarkStart w:id="785" w:name="_Toc32412033"/>
      <w:bookmarkStart w:id="786" w:name="_Toc13494466"/>
      <w:r>
        <w:rPr>
          <w:rStyle w:val="CharSectno"/>
        </w:rPr>
        <w:t>202</w:t>
      </w:r>
      <w:r>
        <w:t>.</w:t>
      </w:r>
      <w:r>
        <w:tab/>
        <w:t>Minister may direct registered kindergarten as to standards</w:t>
      </w:r>
      <w:bookmarkEnd w:id="785"/>
      <w:bookmarkEnd w:id="786"/>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787" w:name="_Toc32412034"/>
      <w:bookmarkStart w:id="788" w:name="_Toc13494467"/>
      <w:r>
        <w:rPr>
          <w:rStyle w:val="CharSectno"/>
        </w:rPr>
        <w:t>203</w:t>
      </w:r>
      <w:r>
        <w:t>.</w:t>
      </w:r>
      <w:r>
        <w:tab/>
        <w:t>Governing body of kindergarten, role of</w:t>
      </w:r>
      <w:bookmarkEnd w:id="787"/>
      <w:bookmarkEnd w:id="788"/>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789" w:name="_Toc32412035"/>
      <w:bookmarkStart w:id="790" w:name="_Toc13494468"/>
      <w:r>
        <w:rPr>
          <w:rStyle w:val="CharSectno"/>
        </w:rPr>
        <w:t>204</w:t>
      </w:r>
      <w:r>
        <w:t>.</w:t>
      </w:r>
      <w:r>
        <w:tab/>
        <w:t>Teaching staff etc., appointment of</w:t>
      </w:r>
      <w:bookmarkEnd w:id="789"/>
      <w:bookmarkEnd w:id="790"/>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791" w:name="_Toc32412036"/>
      <w:bookmarkStart w:id="792" w:name="_Toc13494469"/>
      <w:r>
        <w:rPr>
          <w:rStyle w:val="CharSectno"/>
        </w:rPr>
        <w:t>205</w:t>
      </w:r>
      <w:r>
        <w:t>.</w:t>
      </w:r>
      <w:r>
        <w:tab/>
        <w:t>Teaching staff, functions of</w:t>
      </w:r>
      <w:bookmarkEnd w:id="791"/>
      <w:bookmarkEnd w:id="792"/>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793" w:name="_Toc32412037"/>
      <w:bookmarkStart w:id="794" w:name="_Toc13494470"/>
      <w:r>
        <w:rPr>
          <w:rStyle w:val="CharSectno"/>
        </w:rPr>
        <w:t>206</w:t>
      </w:r>
      <w:r>
        <w:t>.</w:t>
      </w:r>
      <w:r>
        <w:tab/>
        <w:t>Curriculum and enrolment</w:t>
      </w:r>
      <w:bookmarkEnd w:id="793"/>
      <w:bookmarkEnd w:id="794"/>
    </w:p>
    <w:p>
      <w:pPr>
        <w:pStyle w:val="Subsection"/>
      </w:pPr>
      <w:r>
        <w:tab/>
        <w:t>(1)</w:t>
      </w:r>
      <w:r>
        <w:tab/>
        <w:t>Sections 67 and 68 have effect as if the references in those sections to government schools included community kindergartens.</w:t>
      </w:r>
    </w:p>
    <w:p>
      <w:pPr>
        <w:pStyle w:val="Subsection"/>
        <w:keepNext/>
      </w:pPr>
      <w:r>
        <w:tab/>
        <w:t>(2)</w:t>
      </w:r>
      <w:r>
        <w:tab/>
        <w:t>The enrolment of a child at a community kindergarten is to be in accordance with</w:t>
      </w:r>
      <w:del w:id="795" w:author="svcMRProcess" w:date="2020-02-25T12:47:00Z">
        <w:r>
          <w:delText xml:space="preserve"> the regulations.</w:delText>
        </w:r>
      </w:del>
      <w:ins w:id="796" w:author="svcMRProcess" w:date="2020-02-25T12:47:00Z">
        <w:r>
          <w:t xml:space="preserve"> — </w:t>
        </w:r>
      </w:ins>
    </w:p>
    <w:p>
      <w:pPr>
        <w:pStyle w:val="Indenta"/>
        <w:rPr>
          <w:ins w:id="797" w:author="svcMRProcess" w:date="2020-02-25T12:47:00Z"/>
        </w:rPr>
      </w:pPr>
      <w:ins w:id="798" w:author="svcMRProcess" w:date="2020-02-25T12:47:00Z">
        <w:r>
          <w:tab/>
          <w:t>(a)</w:t>
        </w:r>
        <w:r>
          <w:tab/>
          <w:t xml:space="preserve">the </w:t>
        </w:r>
        <w:r>
          <w:rPr>
            <w:i/>
          </w:rPr>
          <w:t>Public Health Act 2016</w:t>
        </w:r>
        <w:r>
          <w:t xml:space="preserve"> section 141D; and</w:t>
        </w:r>
      </w:ins>
    </w:p>
    <w:p>
      <w:pPr>
        <w:pStyle w:val="Indenta"/>
        <w:rPr>
          <w:ins w:id="799" w:author="svcMRProcess" w:date="2020-02-25T12:47:00Z"/>
        </w:rPr>
      </w:pPr>
      <w:ins w:id="800" w:author="svcMRProcess" w:date="2020-02-25T12:47:00Z">
        <w:r>
          <w:tab/>
          <w:t>(b)</w:t>
        </w:r>
        <w:r>
          <w:tab/>
          <w:t>the regulations.</w:t>
        </w:r>
      </w:ins>
    </w:p>
    <w:p>
      <w:pPr>
        <w:pStyle w:val="Footnotesection"/>
        <w:rPr>
          <w:ins w:id="801" w:author="svcMRProcess" w:date="2020-02-25T12:47:00Z"/>
        </w:rPr>
      </w:pPr>
      <w:ins w:id="802" w:author="svcMRProcess" w:date="2020-02-25T12:47:00Z">
        <w:r>
          <w:tab/>
          <w:t>[Section 206 amended: No. 14 of 2019 s. 22.]</w:t>
        </w:r>
      </w:ins>
    </w:p>
    <w:p>
      <w:pPr>
        <w:pStyle w:val="Heading5"/>
      </w:pPr>
      <w:bookmarkStart w:id="803" w:name="_Toc32412038"/>
      <w:bookmarkStart w:id="804" w:name="_Toc13494471"/>
      <w:r>
        <w:rPr>
          <w:rStyle w:val="CharSectno"/>
        </w:rPr>
        <w:t>207</w:t>
      </w:r>
      <w:r>
        <w:t>.</w:t>
      </w:r>
      <w:r>
        <w:tab/>
        <w:t>Fee for instruction and charges</w:t>
      </w:r>
      <w:bookmarkEnd w:id="803"/>
      <w:bookmarkEnd w:id="804"/>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Has not come into operation</w:t>
      </w:r>
      <w:del w:id="805" w:author="svcMRProcess" w:date="2020-02-25T12:47:00Z">
        <w:r>
          <w:delText xml:space="preserve"> </w:delText>
        </w:r>
        <w:r>
          <w:rPr>
            <w:vertAlign w:val="superscript"/>
          </w:rPr>
          <w:delText>4</w:delText>
        </w:r>
      </w:del>
      <w:r>
        <w:t>.]</w:t>
      </w:r>
    </w:p>
    <w:p>
      <w:pPr>
        <w:pStyle w:val="Heading5"/>
      </w:pPr>
      <w:bookmarkStart w:id="806" w:name="_Toc32412039"/>
      <w:bookmarkStart w:id="807" w:name="_Toc13494472"/>
      <w:r>
        <w:rPr>
          <w:rStyle w:val="CharSectno"/>
        </w:rPr>
        <w:t>209</w:t>
      </w:r>
      <w:r>
        <w:t>.</w:t>
      </w:r>
      <w:r>
        <w:tab/>
        <w:t>Person disrupting kindergarten etc.; disseminating information on kindergarten premises</w:t>
      </w:r>
      <w:bookmarkEnd w:id="806"/>
      <w:bookmarkEnd w:id="807"/>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808" w:name="_Toc32412040"/>
      <w:bookmarkStart w:id="809" w:name="_Toc13494473"/>
      <w:r>
        <w:rPr>
          <w:rStyle w:val="CharSectno"/>
        </w:rPr>
        <w:t>210</w:t>
      </w:r>
      <w:r>
        <w:t>.</w:t>
      </w:r>
      <w:r>
        <w:tab/>
        <w:t>Moneys appropriated for kindergartens, allocation of</w:t>
      </w:r>
      <w:bookmarkEnd w:id="808"/>
      <w:bookmarkEnd w:id="809"/>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810" w:name="_Toc32412041"/>
      <w:bookmarkStart w:id="811" w:name="_Toc13494474"/>
      <w:r>
        <w:rPr>
          <w:rStyle w:val="CharSectno"/>
        </w:rPr>
        <w:t>211</w:t>
      </w:r>
      <w:r>
        <w:t>.</w:t>
      </w:r>
      <w:r>
        <w:tab/>
        <w:t>Minister may require kindergarten to account for allocated moneys</w:t>
      </w:r>
      <w:bookmarkEnd w:id="810"/>
      <w:bookmarkEnd w:id="811"/>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812" w:name="_Toc32412042"/>
      <w:bookmarkStart w:id="813" w:name="_Toc13494475"/>
      <w:r>
        <w:rPr>
          <w:rStyle w:val="CharSectno"/>
        </w:rPr>
        <w:t>212</w:t>
      </w:r>
      <w:r>
        <w:t>.</w:t>
      </w:r>
      <w:r>
        <w:tab/>
        <w:t>Regulations about kindergartens</w:t>
      </w:r>
      <w:bookmarkEnd w:id="812"/>
      <w:bookmarkEnd w:id="813"/>
    </w:p>
    <w:p>
      <w:pPr>
        <w:pStyle w:val="Subsection"/>
      </w:pPr>
      <w:r>
        <w:tab/>
      </w:r>
      <w:r>
        <w:tab/>
        <w:t>Regulations may be made for the regulation and control of community kindergartens.</w:t>
      </w:r>
    </w:p>
    <w:p>
      <w:pPr>
        <w:pStyle w:val="Heading2"/>
      </w:pPr>
      <w:bookmarkStart w:id="814" w:name="_Toc32411629"/>
      <w:bookmarkStart w:id="815" w:name="_Toc32412043"/>
      <w:bookmarkStart w:id="816" w:name="_Toc429492894"/>
      <w:bookmarkStart w:id="817" w:name="_Toc431830919"/>
      <w:bookmarkStart w:id="818" w:name="_Toc432168378"/>
      <w:bookmarkStart w:id="819" w:name="_Toc432170298"/>
      <w:bookmarkStart w:id="820" w:name="_Toc432763031"/>
      <w:bookmarkStart w:id="821" w:name="_Toc432776599"/>
      <w:bookmarkStart w:id="822" w:name="_Toc433034551"/>
      <w:bookmarkStart w:id="823" w:name="_Toc433035603"/>
      <w:bookmarkStart w:id="824" w:name="_Toc464633888"/>
      <w:bookmarkStart w:id="825" w:name="_Toc464633968"/>
      <w:bookmarkStart w:id="826" w:name="_Toc467148227"/>
      <w:bookmarkStart w:id="827" w:name="_Toc468166526"/>
      <w:bookmarkStart w:id="828" w:name="_Toc468172935"/>
      <w:bookmarkStart w:id="829" w:name="_Toc486515954"/>
      <w:bookmarkStart w:id="830" w:name="_Toc486516992"/>
      <w:bookmarkStart w:id="831" w:name="_Toc13494476"/>
      <w:r>
        <w:rPr>
          <w:rStyle w:val="CharPartNo"/>
        </w:rPr>
        <w:t>Part 6A</w:t>
      </w:r>
      <w:r>
        <w:rPr>
          <w:b w:val="0"/>
        </w:rPr>
        <w:t> </w:t>
      </w:r>
      <w:r>
        <w:t>—</w:t>
      </w:r>
      <w:r>
        <w:rPr>
          <w:b w:val="0"/>
        </w:rPr>
        <w:t> </w:t>
      </w:r>
      <w:r>
        <w:rPr>
          <w:rStyle w:val="CharPartText"/>
        </w:rPr>
        <w:t>Student residential colleges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pPr>
      <w:r>
        <w:tab/>
        <w:t>[Heading inserted: No. 41 of 2016 s. 11.]</w:t>
      </w:r>
    </w:p>
    <w:p>
      <w:pPr>
        <w:pStyle w:val="PermNoteHeading"/>
        <w:rPr>
          <w:b/>
          <w:bCs/>
        </w:rPr>
      </w:pPr>
      <w:r>
        <w:rPr>
          <w:b/>
          <w:bCs/>
        </w:rPr>
        <w:t>What this Part is about</w:t>
      </w:r>
    </w:p>
    <w:p>
      <w:pPr>
        <w:pStyle w:val="PermNoteText"/>
      </w:pPr>
      <w:r>
        <w:t>This Part provides for student residential colleges.</w:t>
      </w:r>
    </w:p>
    <w:p>
      <w:pPr>
        <w:pStyle w:val="PermNoteText"/>
      </w:pPr>
      <w:r>
        <w:t>In particular it deals with —</w:t>
      </w:r>
    </w:p>
    <w:p>
      <w:pPr>
        <w:pStyle w:val="PermNotePara"/>
        <w:numPr>
          <w:ilvl w:val="0"/>
          <w:numId w:val="6"/>
        </w:numPr>
      </w:pPr>
      <w:r>
        <w:t>the establishment of student residential colleges (Division 2);</w:t>
      </w:r>
    </w:p>
    <w:p>
      <w:pPr>
        <w:pStyle w:val="PermNotePara"/>
        <w:numPr>
          <w:ilvl w:val="0"/>
          <w:numId w:val="6"/>
        </w:numPr>
      </w:pPr>
      <w:r>
        <w:t>the administration of student residential colleges (Division 3);</w:t>
      </w:r>
    </w:p>
    <w:p>
      <w:pPr>
        <w:pStyle w:val="PermNotePara"/>
        <w:numPr>
          <w:ilvl w:val="0"/>
          <w:numId w:val="6"/>
        </w:numPr>
      </w:pPr>
      <w:r>
        <w:t>local input networking and communications committees (LINC committees) for student residential colleges (Division 4);</w:t>
      </w:r>
    </w:p>
    <w:p>
      <w:pPr>
        <w:pStyle w:val="PermNotePara"/>
        <w:numPr>
          <w:ilvl w:val="0"/>
          <w:numId w:val="6"/>
        </w:numPr>
      </w:pPr>
      <w:r>
        <w:t>provisions for the management of college funds and funds appropriated by Parliament for student residential colleges (Division 5).</w:t>
      </w:r>
    </w:p>
    <w:p>
      <w:pPr>
        <w:pStyle w:val="Footnotesection"/>
      </w:pPr>
      <w:bookmarkStart w:id="832" w:name="_Toc429492895"/>
      <w:bookmarkStart w:id="833" w:name="_Toc431830920"/>
      <w:bookmarkStart w:id="834" w:name="_Toc432168379"/>
      <w:bookmarkStart w:id="835" w:name="_Toc432170299"/>
      <w:bookmarkStart w:id="836" w:name="_Toc432763032"/>
      <w:bookmarkStart w:id="837" w:name="_Toc432776600"/>
      <w:bookmarkStart w:id="838" w:name="_Toc433034552"/>
      <w:bookmarkStart w:id="839" w:name="_Toc433035604"/>
      <w:bookmarkStart w:id="840" w:name="_Toc464633889"/>
      <w:bookmarkStart w:id="841" w:name="_Toc464633969"/>
      <w:bookmarkStart w:id="842" w:name="_Toc467148228"/>
      <w:bookmarkStart w:id="843" w:name="_Toc468166527"/>
      <w:bookmarkStart w:id="844" w:name="_Toc468172936"/>
      <w:r>
        <w:tab/>
        <w:t>[Note inserted: No. 41 of 2016 s. 11.]</w:t>
      </w:r>
    </w:p>
    <w:p>
      <w:pPr>
        <w:pStyle w:val="Heading3"/>
      </w:pPr>
      <w:bookmarkStart w:id="845" w:name="_Toc32411630"/>
      <w:bookmarkStart w:id="846" w:name="_Toc32412044"/>
      <w:bookmarkStart w:id="847" w:name="_Toc486515955"/>
      <w:bookmarkStart w:id="848" w:name="_Toc486516993"/>
      <w:bookmarkStart w:id="849" w:name="_Toc13494477"/>
      <w:r>
        <w:rPr>
          <w:rStyle w:val="CharDivNo"/>
        </w:rPr>
        <w:t>Division 1</w:t>
      </w:r>
      <w:r>
        <w:t> — </w:t>
      </w:r>
      <w:r>
        <w:rPr>
          <w:rStyle w:val="CharDivText"/>
        </w:rPr>
        <w:t>Preliminary</w:t>
      </w:r>
      <w:bookmarkEnd w:id="845"/>
      <w:bookmarkEnd w:id="846"/>
      <w:bookmarkEnd w:id="832"/>
      <w:bookmarkEnd w:id="833"/>
      <w:bookmarkEnd w:id="834"/>
      <w:bookmarkEnd w:id="835"/>
      <w:bookmarkEnd w:id="836"/>
      <w:bookmarkEnd w:id="837"/>
      <w:bookmarkEnd w:id="838"/>
      <w:bookmarkEnd w:id="839"/>
      <w:bookmarkEnd w:id="840"/>
      <w:bookmarkEnd w:id="841"/>
      <w:bookmarkEnd w:id="842"/>
      <w:bookmarkEnd w:id="843"/>
      <w:bookmarkEnd w:id="844"/>
      <w:bookmarkEnd w:id="847"/>
      <w:bookmarkEnd w:id="848"/>
      <w:bookmarkEnd w:id="849"/>
    </w:p>
    <w:p>
      <w:pPr>
        <w:pStyle w:val="Footnoteheading"/>
      </w:pPr>
      <w:bookmarkStart w:id="850" w:name="_Toc468166528"/>
      <w:bookmarkStart w:id="851" w:name="_Toc468172937"/>
      <w:r>
        <w:tab/>
        <w:t>[Heading inserted: No. 41 of 2016 s. 11.]</w:t>
      </w:r>
    </w:p>
    <w:p>
      <w:pPr>
        <w:pStyle w:val="Heading5"/>
      </w:pPr>
      <w:bookmarkStart w:id="852" w:name="_Toc32412045"/>
      <w:bookmarkStart w:id="853" w:name="_Toc13494478"/>
      <w:r>
        <w:rPr>
          <w:rStyle w:val="CharSectno"/>
        </w:rPr>
        <w:t>213A</w:t>
      </w:r>
      <w:r>
        <w:t>.</w:t>
      </w:r>
      <w:r>
        <w:tab/>
        <w:t>Terms used</w:t>
      </w:r>
      <w:bookmarkEnd w:id="852"/>
      <w:bookmarkEnd w:id="850"/>
      <w:bookmarkEnd w:id="851"/>
      <w:bookmarkEnd w:id="853"/>
    </w:p>
    <w:p>
      <w:pPr>
        <w:pStyle w:val="Subsection"/>
      </w:pPr>
      <w:r>
        <w:tab/>
      </w:r>
      <w:r>
        <w:tab/>
        <w:t xml:space="preserve">In this Part — </w:t>
      </w:r>
    </w:p>
    <w:p>
      <w:pPr>
        <w:pStyle w:val="Defstart"/>
      </w:pPr>
      <w:r>
        <w:tab/>
      </w:r>
      <w:r>
        <w:rPr>
          <w:rStyle w:val="CharDefText"/>
        </w:rPr>
        <w:t>code of conduct</w:t>
      </w:r>
      <w:r>
        <w:t xml:space="preserve"> means the code of conduct issued under section 213J;</w:t>
      </w:r>
    </w:p>
    <w:p>
      <w:pPr>
        <w:pStyle w:val="Defstart"/>
      </w:pPr>
      <w:r>
        <w:tab/>
      </w:r>
      <w:r>
        <w:rPr>
          <w:rStyle w:val="CharDefText"/>
        </w:rPr>
        <w:t xml:space="preserve">college fund </w:t>
      </w:r>
      <w:r>
        <w:t>means the General Purposes Fund and a fund referred to in section 213R;</w:t>
      </w:r>
    </w:p>
    <w:p>
      <w:pPr>
        <w:pStyle w:val="Defstart"/>
      </w:pPr>
      <w:r>
        <w:tab/>
      </w:r>
      <w:r>
        <w:rPr>
          <w:rStyle w:val="CharDefText"/>
        </w:rPr>
        <w:t>General Purposes Fund</w:t>
      </w:r>
      <w:r>
        <w:t>, in relation to a student residential college, means the fund referred to in section 213Q;</w:t>
      </w:r>
    </w:p>
    <w:p>
      <w:pPr>
        <w:pStyle w:val="Defstart"/>
      </w:pPr>
      <w:r>
        <w:tab/>
      </w:r>
      <w:r>
        <w:rPr>
          <w:rStyle w:val="CharDefText"/>
        </w:rPr>
        <w:t xml:space="preserve">joint arrangement </w:t>
      </w:r>
      <w:r>
        <w:t xml:space="preserve">means an arrangement entered into by the Minister for purposes that are complementary and beneficial to the functions conferred on the Minister under this Part in relation to student residential colleges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performing any of the functions conferred on the Minister under this Part in relation to student residential colleges;</w:t>
      </w:r>
    </w:p>
    <w:p>
      <w:pPr>
        <w:pStyle w:val="Defstart"/>
      </w:pPr>
      <w:r>
        <w:tab/>
      </w:r>
      <w:r>
        <w:rPr>
          <w:rStyle w:val="CharDefText"/>
        </w:rPr>
        <w:t>LINC committee</w:t>
      </w:r>
      <w:r>
        <w:t>, in relation to a student residential college, means the committee constituted for that college under section 213M;</w:t>
      </w:r>
    </w:p>
    <w:p>
      <w:pPr>
        <w:pStyle w:val="Defstart"/>
      </w:pPr>
      <w:r>
        <w:tab/>
      </w:r>
      <w:r>
        <w:rPr>
          <w:rStyle w:val="CharDefText"/>
        </w:rPr>
        <w:t>property</w:t>
      </w:r>
      <w:r>
        <w:t xml:space="preserve"> has the meaning given in section 213;</w:t>
      </w:r>
    </w:p>
    <w:p>
      <w:pPr>
        <w:pStyle w:val="Defstart"/>
      </w:pPr>
      <w:r>
        <w:tab/>
      </w:r>
      <w:r>
        <w:rPr>
          <w:rStyle w:val="CharDefText"/>
        </w:rPr>
        <w:t xml:space="preserve">student residential college </w:t>
      </w:r>
      <w:r>
        <w:t>means a student residential college established under section 213B;</w:t>
      </w:r>
    </w:p>
    <w:p>
      <w:pPr>
        <w:pStyle w:val="Defstart"/>
      </w:pPr>
      <w:r>
        <w:tab/>
      </w:r>
      <w:r>
        <w:rPr>
          <w:rStyle w:val="CharDefText"/>
        </w:rPr>
        <w:t>Student Residential Colleges Fund</w:t>
      </w:r>
      <w:r>
        <w:t xml:space="preserve"> means the account established under section 213Y.</w:t>
      </w:r>
    </w:p>
    <w:p>
      <w:pPr>
        <w:pStyle w:val="Footnotesection"/>
        <w:spacing w:before="80"/>
      </w:pPr>
      <w:bookmarkStart w:id="854" w:name="_Toc429492897"/>
      <w:bookmarkStart w:id="855" w:name="_Toc431830922"/>
      <w:bookmarkStart w:id="856" w:name="_Toc432168381"/>
      <w:bookmarkStart w:id="857" w:name="_Toc432170301"/>
      <w:bookmarkStart w:id="858" w:name="_Toc432763034"/>
      <w:bookmarkStart w:id="859" w:name="_Toc432776602"/>
      <w:bookmarkStart w:id="860" w:name="_Toc433034554"/>
      <w:bookmarkStart w:id="861" w:name="_Toc433035606"/>
      <w:bookmarkStart w:id="862" w:name="_Toc464633891"/>
      <w:bookmarkStart w:id="863" w:name="_Toc464633971"/>
      <w:bookmarkStart w:id="864" w:name="_Toc467148230"/>
      <w:bookmarkStart w:id="865" w:name="_Toc468166529"/>
      <w:bookmarkStart w:id="866" w:name="_Toc468172938"/>
      <w:r>
        <w:tab/>
        <w:t>[Section 213A inserted: No. 41 of 2016 s. 11.]</w:t>
      </w:r>
    </w:p>
    <w:p>
      <w:pPr>
        <w:pStyle w:val="Heading3"/>
      </w:pPr>
      <w:bookmarkStart w:id="867" w:name="_Toc32411632"/>
      <w:bookmarkStart w:id="868" w:name="_Toc32412046"/>
      <w:bookmarkStart w:id="869" w:name="_Toc486515957"/>
      <w:bookmarkStart w:id="870" w:name="_Toc486516995"/>
      <w:bookmarkStart w:id="871" w:name="_Toc13494479"/>
      <w:r>
        <w:rPr>
          <w:rStyle w:val="CharDivNo"/>
        </w:rPr>
        <w:t>Division 2</w:t>
      </w:r>
      <w:r>
        <w:t> — </w:t>
      </w:r>
      <w:r>
        <w:rPr>
          <w:rStyle w:val="CharDivText"/>
        </w:rPr>
        <w:t>Establishment of student residential colleges</w:t>
      </w:r>
      <w:bookmarkEnd w:id="867"/>
      <w:bookmarkEnd w:id="868"/>
      <w:bookmarkEnd w:id="854"/>
      <w:bookmarkEnd w:id="855"/>
      <w:bookmarkEnd w:id="856"/>
      <w:bookmarkEnd w:id="857"/>
      <w:bookmarkEnd w:id="858"/>
      <w:bookmarkEnd w:id="859"/>
      <w:bookmarkEnd w:id="860"/>
      <w:bookmarkEnd w:id="861"/>
      <w:bookmarkEnd w:id="862"/>
      <w:bookmarkEnd w:id="863"/>
      <w:bookmarkEnd w:id="864"/>
      <w:bookmarkEnd w:id="865"/>
      <w:bookmarkEnd w:id="866"/>
      <w:bookmarkEnd w:id="869"/>
      <w:bookmarkEnd w:id="870"/>
      <w:bookmarkEnd w:id="871"/>
    </w:p>
    <w:p>
      <w:pPr>
        <w:pStyle w:val="Footnoteheading"/>
      </w:pPr>
      <w:bookmarkStart w:id="872" w:name="_Toc468166530"/>
      <w:bookmarkStart w:id="873" w:name="_Toc468172939"/>
      <w:r>
        <w:tab/>
        <w:t>[Heading inserted: No. 41 of 2016 s. 11.]</w:t>
      </w:r>
    </w:p>
    <w:p>
      <w:pPr>
        <w:pStyle w:val="Heading5"/>
      </w:pPr>
      <w:bookmarkStart w:id="874" w:name="_Toc32412047"/>
      <w:bookmarkStart w:id="875" w:name="_Toc13494480"/>
      <w:r>
        <w:rPr>
          <w:rStyle w:val="CharSectno"/>
        </w:rPr>
        <w:t>213B</w:t>
      </w:r>
      <w:r>
        <w:t>.</w:t>
      </w:r>
      <w:r>
        <w:tab/>
        <w:t>Establishing student residential colleges</w:t>
      </w:r>
      <w:bookmarkEnd w:id="874"/>
      <w:bookmarkEnd w:id="872"/>
      <w:bookmarkEnd w:id="873"/>
      <w:bookmarkEnd w:id="875"/>
    </w:p>
    <w:p>
      <w:pPr>
        <w:pStyle w:val="Subsection"/>
      </w:pPr>
      <w:r>
        <w:tab/>
        <w:t>(1)</w:t>
      </w:r>
      <w:r>
        <w:tab/>
        <w:t>The Minister may establish such student residential colleges as the Minister considers necessary to provide residential accommodation and related services for students while they attend, and participate in an educational programme of, a school.</w:t>
      </w:r>
    </w:p>
    <w:p>
      <w:pPr>
        <w:pStyle w:val="Subsection"/>
      </w:pPr>
      <w:r>
        <w:tab/>
        <w:t>(2)</w:t>
      </w:r>
      <w:r>
        <w:tab/>
        <w:t xml:space="preserve">The Minister, in considering if it is necessary to establish a student residential college, is to take into account the following — </w:t>
      </w:r>
    </w:p>
    <w:p>
      <w:pPr>
        <w:pStyle w:val="Indenta"/>
      </w:pPr>
      <w:r>
        <w:tab/>
        <w:t>(a)</w:t>
      </w:r>
      <w:r>
        <w:tab/>
        <w:t>the social, cultural, lingual, economic or geographic factors that might affect access to school education for particular students;</w:t>
      </w:r>
    </w:p>
    <w:p>
      <w:pPr>
        <w:pStyle w:val="Indenta"/>
      </w:pPr>
      <w:r>
        <w:tab/>
        <w:t>(b)</w:t>
      </w:r>
      <w:r>
        <w:tab/>
        <w:t>any other matter prescribed by the regulations.</w:t>
      </w:r>
    </w:p>
    <w:p>
      <w:pPr>
        <w:pStyle w:val="Subsection"/>
      </w:pPr>
      <w:r>
        <w:tab/>
        <w:t>(3)</w:t>
      </w:r>
      <w:r>
        <w:tab/>
        <w:t>The Minister may assign a name to, or change the name of, a student residential college.</w:t>
      </w:r>
    </w:p>
    <w:p>
      <w:pPr>
        <w:pStyle w:val="Footnotesection"/>
        <w:spacing w:before="80"/>
      </w:pPr>
      <w:bookmarkStart w:id="876" w:name="_Toc468166531"/>
      <w:bookmarkStart w:id="877" w:name="_Toc468172940"/>
      <w:r>
        <w:tab/>
        <w:t>[Section 213B inserted: No. 41 of 2016 s. 11.]</w:t>
      </w:r>
    </w:p>
    <w:p>
      <w:pPr>
        <w:pStyle w:val="Heading5"/>
      </w:pPr>
      <w:bookmarkStart w:id="878" w:name="_Toc32412048"/>
      <w:bookmarkStart w:id="879" w:name="_Toc13494481"/>
      <w:r>
        <w:rPr>
          <w:rStyle w:val="CharSectno"/>
        </w:rPr>
        <w:t>213C</w:t>
      </w:r>
      <w:r>
        <w:t>.</w:t>
      </w:r>
      <w:r>
        <w:tab/>
        <w:t>Closing or amalgamating student residential colleges</w:t>
      </w:r>
      <w:bookmarkEnd w:id="878"/>
      <w:bookmarkEnd w:id="876"/>
      <w:bookmarkEnd w:id="877"/>
      <w:bookmarkEnd w:id="879"/>
    </w:p>
    <w:p>
      <w:pPr>
        <w:pStyle w:val="Subsection"/>
      </w:pPr>
      <w:r>
        <w:tab/>
        <w:t>(1)</w:t>
      </w:r>
      <w:r>
        <w:tab/>
        <w:t xml:space="preserve">The Minister may on such terms and conditions as the Minister thinks fit — </w:t>
      </w:r>
    </w:p>
    <w:p>
      <w:pPr>
        <w:pStyle w:val="Indenta"/>
      </w:pPr>
      <w:r>
        <w:tab/>
        <w:t>(a)</w:t>
      </w:r>
      <w:r>
        <w:tab/>
        <w:t>amalgamate 2 or more student residential colleges; and</w:t>
      </w:r>
    </w:p>
    <w:p>
      <w:pPr>
        <w:pStyle w:val="Indenta"/>
      </w:pPr>
      <w:r>
        <w:tab/>
        <w:t>(b)</w:t>
      </w:r>
      <w:r>
        <w:tab/>
        <w:t>close any student residential college either temporarily or permanently.</w:t>
      </w:r>
    </w:p>
    <w:p>
      <w:pPr>
        <w:pStyle w:val="Subsection"/>
      </w:pPr>
      <w:r>
        <w:tab/>
        <w:t>(2)</w:t>
      </w:r>
      <w:r>
        <w:tab/>
        <w:t>Before making a decision under subsection (1), the Minister is to take into account the matters described in section 213B(2).</w:t>
      </w:r>
    </w:p>
    <w:p>
      <w:pPr>
        <w:pStyle w:val="Footnotesection"/>
        <w:spacing w:before="80"/>
      </w:pPr>
      <w:bookmarkStart w:id="880" w:name="_Toc429492900"/>
      <w:bookmarkStart w:id="881" w:name="_Toc431830925"/>
      <w:bookmarkStart w:id="882" w:name="_Toc432168384"/>
      <w:bookmarkStart w:id="883" w:name="_Toc432170304"/>
      <w:bookmarkStart w:id="884" w:name="_Toc432763037"/>
      <w:bookmarkStart w:id="885" w:name="_Toc432776605"/>
      <w:bookmarkStart w:id="886" w:name="_Toc433034557"/>
      <w:bookmarkStart w:id="887" w:name="_Toc433035609"/>
      <w:bookmarkStart w:id="888" w:name="_Toc464633894"/>
      <w:bookmarkStart w:id="889" w:name="_Toc464633974"/>
      <w:bookmarkStart w:id="890" w:name="_Toc467148233"/>
      <w:bookmarkStart w:id="891" w:name="_Toc468166532"/>
      <w:bookmarkStart w:id="892" w:name="_Toc468172941"/>
      <w:r>
        <w:tab/>
        <w:t>[Section 213C inserted: No. 41 of 2016 s. 11.]</w:t>
      </w:r>
    </w:p>
    <w:p>
      <w:pPr>
        <w:pStyle w:val="Heading3"/>
      </w:pPr>
      <w:bookmarkStart w:id="893" w:name="_Toc32411635"/>
      <w:bookmarkStart w:id="894" w:name="_Toc32412049"/>
      <w:bookmarkStart w:id="895" w:name="_Toc486515960"/>
      <w:bookmarkStart w:id="896" w:name="_Toc486516998"/>
      <w:bookmarkStart w:id="897" w:name="_Toc13494482"/>
      <w:r>
        <w:rPr>
          <w:rStyle w:val="CharDivNo"/>
        </w:rPr>
        <w:t>Division 3</w:t>
      </w:r>
      <w:r>
        <w:t> — </w:t>
      </w:r>
      <w:r>
        <w:rPr>
          <w:rStyle w:val="CharDivText"/>
        </w:rPr>
        <w:t>Administration of student residential colleges</w:t>
      </w:r>
      <w:bookmarkEnd w:id="893"/>
      <w:bookmarkEnd w:id="894"/>
      <w:bookmarkEnd w:id="880"/>
      <w:bookmarkEnd w:id="881"/>
      <w:bookmarkEnd w:id="882"/>
      <w:bookmarkEnd w:id="883"/>
      <w:bookmarkEnd w:id="884"/>
      <w:bookmarkEnd w:id="885"/>
      <w:bookmarkEnd w:id="886"/>
      <w:bookmarkEnd w:id="887"/>
      <w:bookmarkEnd w:id="888"/>
      <w:bookmarkEnd w:id="889"/>
      <w:bookmarkEnd w:id="890"/>
      <w:bookmarkEnd w:id="891"/>
      <w:bookmarkEnd w:id="892"/>
      <w:bookmarkEnd w:id="895"/>
      <w:bookmarkEnd w:id="896"/>
      <w:bookmarkEnd w:id="897"/>
    </w:p>
    <w:p>
      <w:pPr>
        <w:pStyle w:val="Footnoteheading"/>
      </w:pPr>
      <w:bookmarkStart w:id="898" w:name="_Toc433034558"/>
      <w:bookmarkStart w:id="899" w:name="_Toc433035610"/>
      <w:bookmarkStart w:id="900" w:name="_Toc464633895"/>
      <w:bookmarkStart w:id="901" w:name="_Toc464633975"/>
      <w:bookmarkStart w:id="902" w:name="_Toc467148234"/>
      <w:bookmarkStart w:id="903" w:name="_Toc468166533"/>
      <w:bookmarkStart w:id="904" w:name="_Toc468172942"/>
      <w:bookmarkStart w:id="905" w:name="_Toc429492901"/>
      <w:bookmarkStart w:id="906" w:name="_Toc431830926"/>
      <w:bookmarkStart w:id="907" w:name="_Toc432168385"/>
      <w:bookmarkStart w:id="908" w:name="_Toc432170305"/>
      <w:bookmarkStart w:id="909" w:name="_Toc432763038"/>
      <w:bookmarkStart w:id="910" w:name="_Toc432776606"/>
      <w:r>
        <w:tab/>
        <w:t>[Heading inserted: No. 41 of 2016 s. 11.]</w:t>
      </w:r>
    </w:p>
    <w:p>
      <w:pPr>
        <w:pStyle w:val="Heading4"/>
      </w:pPr>
      <w:bookmarkStart w:id="911" w:name="_Toc32411636"/>
      <w:bookmarkStart w:id="912" w:name="_Toc32412050"/>
      <w:bookmarkStart w:id="913" w:name="_Toc486515961"/>
      <w:bookmarkStart w:id="914" w:name="_Toc486516999"/>
      <w:bookmarkStart w:id="915" w:name="_Toc13494483"/>
      <w:r>
        <w:t>Subdivision 1 — Operation and management</w:t>
      </w:r>
      <w:bookmarkEnd w:id="911"/>
      <w:bookmarkEnd w:id="912"/>
      <w:bookmarkEnd w:id="898"/>
      <w:bookmarkEnd w:id="899"/>
      <w:bookmarkEnd w:id="900"/>
      <w:bookmarkEnd w:id="901"/>
      <w:bookmarkEnd w:id="902"/>
      <w:bookmarkEnd w:id="903"/>
      <w:bookmarkEnd w:id="904"/>
      <w:bookmarkEnd w:id="913"/>
      <w:bookmarkEnd w:id="914"/>
      <w:bookmarkEnd w:id="915"/>
      <w:r>
        <w:t xml:space="preserve"> </w:t>
      </w:r>
      <w:bookmarkEnd w:id="905"/>
      <w:bookmarkEnd w:id="906"/>
      <w:bookmarkEnd w:id="907"/>
      <w:bookmarkEnd w:id="908"/>
      <w:bookmarkEnd w:id="909"/>
      <w:bookmarkEnd w:id="910"/>
    </w:p>
    <w:p>
      <w:pPr>
        <w:pStyle w:val="Footnoteheading"/>
      </w:pPr>
      <w:bookmarkStart w:id="916" w:name="_Toc468166534"/>
      <w:bookmarkStart w:id="917" w:name="_Toc468172943"/>
      <w:r>
        <w:tab/>
        <w:t>[Heading inserted: No. 41 of 2016 s. 11.]</w:t>
      </w:r>
    </w:p>
    <w:p>
      <w:pPr>
        <w:pStyle w:val="Heading5"/>
      </w:pPr>
      <w:bookmarkStart w:id="918" w:name="_Toc32412051"/>
      <w:bookmarkStart w:id="919" w:name="_Toc13494484"/>
      <w:r>
        <w:rPr>
          <w:rStyle w:val="CharSectno"/>
        </w:rPr>
        <w:t>213D</w:t>
      </w:r>
      <w:r>
        <w:t>.</w:t>
      </w:r>
      <w:r>
        <w:tab/>
        <w:t>Operation and management of student residential colleges</w:t>
      </w:r>
      <w:bookmarkEnd w:id="918"/>
      <w:bookmarkEnd w:id="916"/>
      <w:bookmarkEnd w:id="917"/>
      <w:bookmarkEnd w:id="919"/>
    </w:p>
    <w:p>
      <w:pPr>
        <w:pStyle w:val="Subsection"/>
      </w:pPr>
      <w:r>
        <w:tab/>
        <w:t>(1)</w:t>
      </w:r>
      <w:r>
        <w:tab/>
        <w:t>The Minister is responsible for the operation and management of student residential colleges.</w:t>
      </w:r>
    </w:p>
    <w:p>
      <w:pPr>
        <w:pStyle w:val="Subsection"/>
      </w:pPr>
      <w:r>
        <w:tab/>
        <w:t>(2)</w:t>
      </w:r>
      <w:r>
        <w:tab/>
        <w:t xml:space="preserve">The responsibility of the Minister under subsection (1) includes determining, implementing and monitoring the standard of care provided to students at student residential colleges. </w:t>
      </w:r>
    </w:p>
    <w:p>
      <w:pPr>
        <w:pStyle w:val="Footnotesection"/>
        <w:spacing w:before="80"/>
      </w:pPr>
      <w:bookmarkStart w:id="920" w:name="_Toc468166535"/>
      <w:bookmarkStart w:id="921" w:name="_Toc468172944"/>
      <w:r>
        <w:tab/>
        <w:t>[Section 213D inserted: No. 41 of 2016 s. 11.]</w:t>
      </w:r>
    </w:p>
    <w:p>
      <w:pPr>
        <w:pStyle w:val="Heading5"/>
      </w:pPr>
      <w:bookmarkStart w:id="922" w:name="_Toc32412052"/>
      <w:bookmarkStart w:id="923" w:name="_Toc13494485"/>
      <w:r>
        <w:rPr>
          <w:rStyle w:val="CharSectno"/>
        </w:rPr>
        <w:t>213E</w:t>
      </w:r>
      <w:r>
        <w:t>.</w:t>
      </w:r>
      <w:r>
        <w:tab/>
        <w:t>Powers of Minister relating to student residential colleges</w:t>
      </w:r>
      <w:bookmarkEnd w:id="922"/>
      <w:bookmarkEnd w:id="920"/>
      <w:bookmarkEnd w:id="921"/>
      <w:bookmarkEnd w:id="923"/>
    </w:p>
    <w:p>
      <w:pPr>
        <w:pStyle w:val="Subsection"/>
      </w:pPr>
      <w:r>
        <w:tab/>
        <w:t>(1)</w:t>
      </w:r>
      <w:r>
        <w:tab/>
        <w:t xml:space="preserve">The Minister may do all things necessary or convenient to be done for the purposes of — </w:t>
      </w:r>
    </w:p>
    <w:p>
      <w:pPr>
        <w:pStyle w:val="Indenta"/>
      </w:pPr>
      <w:r>
        <w:tab/>
        <w:t>(a)</w:t>
      </w:r>
      <w:r>
        <w:tab/>
        <w:t>performing the functions conferred on the Minister under this Part in relation to student residential colleges; or</w:t>
      </w:r>
    </w:p>
    <w:p>
      <w:pPr>
        <w:pStyle w:val="Indenta"/>
      </w:pPr>
      <w:r>
        <w:tab/>
        <w:t>(b)</w:t>
      </w:r>
      <w:r>
        <w:tab/>
        <w:t>carrying out joint arrangements.</w:t>
      </w:r>
    </w:p>
    <w:p>
      <w:pPr>
        <w:pStyle w:val="Subsection"/>
      </w:pPr>
      <w:r>
        <w:tab/>
        <w:t>(2)</w:t>
      </w:r>
      <w:r>
        <w:tab/>
        <w:t xml:space="preserve">Without limiting subsection (1), the Minister may for any of the purposes mentioned — </w:t>
      </w:r>
    </w:p>
    <w:p>
      <w:pPr>
        <w:pStyle w:val="Indenta"/>
      </w:pPr>
      <w:r>
        <w:tab/>
        <w:t>(a)</w:t>
      </w:r>
      <w:r>
        <w:tab/>
        <w:t>acquire, hold, manage, improve, develop and dispose of property or an interest in property; and</w:t>
      </w:r>
    </w:p>
    <w:p>
      <w:pPr>
        <w:pStyle w:val="Indenta"/>
      </w:pPr>
      <w:r>
        <w:tab/>
        <w:t>(b)</w:t>
      </w:r>
      <w:r>
        <w:tab/>
        <w:t>accept any gift, grant, devise or bequest if it is absolute or subject to conditions to which the Minister agrees; and</w:t>
      </w:r>
    </w:p>
    <w:p>
      <w:pPr>
        <w:pStyle w:val="Indenta"/>
      </w:pPr>
      <w:r>
        <w:tab/>
        <w:t>(c)</w:t>
      </w:r>
      <w:r>
        <w:tab/>
        <w:t>subject to section 213F,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student residential colleges; and</w:t>
      </w:r>
    </w:p>
    <w:p>
      <w:pPr>
        <w:pStyle w:val="Indenta"/>
      </w:pPr>
      <w:r>
        <w:tab/>
        <w:t>(e)</w:t>
      </w:r>
      <w:r>
        <w:tab/>
        <w:t>enter into any contract or arrangement; and</w:t>
      </w:r>
    </w:p>
    <w:p>
      <w:pPr>
        <w:pStyle w:val="Indenta"/>
      </w:pPr>
      <w:r>
        <w:tab/>
        <w:t>(f)</w:t>
      </w:r>
      <w:r>
        <w:tab/>
        <w:t>use the expertise and resources of the department to provide consultancy, advisory or other services for profit.</w:t>
      </w:r>
    </w:p>
    <w:p>
      <w:pPr>
        <w:pStyle w:val="Subsection"/>
      </w:pPr>
      <w:r>
        <w:tab/>
        <w:t>(3)</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(4)</w:t>
      </w:r>
      <w:r>
        <w:tab/>
        <w:t xml:space="preserve">An agreement or arrangement for advertising or sponsorship in relation to a student residential college is not to be entered into by a person acting — </w:t>
      </w:r>
    </w:p>
    <w:p>
      <w:pPr>
        <w:pStyle w:val="Indenta"/>
      </w:pPr>
      <w:r>
        <w:tab/>
        <w:t>(a)</w:t>
      </w:r>
      <w:r>
        <w:tab/>
        <w:t>in exercise of the power conferred by subsection (2)(d); and</w:t>
      </w:r>
    </w:p>
    <w:p>
      <w:pPr>
        <w:pStyle w:val="Indenta"/>
      </w:pPr>
      <w:r>
        <w:tab/>
        <w:t>(b)</w:t>
      </w:r>
      <w:r>
        <w:tab/>
        <w:t>as a subdelegate of the Minister under section 225,</w:t>
      </w:r>
    </w:p>
    <w:p>
      <w:pPr>
        <w:pStyle w:val="Subsection"/>
      </w:pPr>
      <w:r>
        <w:tab/>
      </w:r>
      <w:r>
        <w:tab/>
        <w:t>unless the LINC committee for that college has approved the agreement or arrangement.</w:t>
      </w:r>
    </w:p>
    <w:p>
      <w:pPr>
        <w:pStyle w:val="Subsection"/>
      </w:pPr>
      <w:r>
        <w:tab/>
        <w:t>(5)</w:t>
      </w:r>
      <w:r>
        <w:tab/>
        <w:t>If a term is given a meaning in section 216(6), it has the same meaning in subsection (2).</w:t>
      </w:r>
    </w:p>
    <w:p>
      <w:pPr>
        <w:pStyle w:val="Footnotesection"/>
        <w:spacing w:before="80"/>
      </w:pPr>
      <w:bookmarkStart w:id="924" w:name="_Toc468166536"/>
      <w:bookmarkStart w:id="925" w:name="_Toc468172945"/>
      <w:r>
        <w:tab/>
        <w:t>[Section 213E inserted: No. 41 of 2016 s. 11.]</w:t>
      </w:r>
    </w:p>
    <w:p>
      <w:pPr>
        <w:pStyle w:val="Heading5"/>
      </w:pPr>
      <w:bookmarkStart w:id="926" w:name="_Toc32412053"/>
      <w:bookmarkStart w:id="927" w:name="_Toc13494486"/>
      <w:r>
        <w:rPr>
          <w:rStyle w:val="CharSectno"/>
        </w:rPr>
        <w:t>213F</w:t>
      </w:r>
      <w:r>
        <w:t>.</w:t>
      </w:r>
      <w:r>
        <w:tab/>
        <w:t>Treasurer to consider proposals under s. 213E(2)(c)</w:t>
      </w:r>
      <w:bookmarkEnd w:id="926"/>
      <w:bookmarkEnd w:id="924"/>
      <w:bookmarkEnd w:id="925"/>
      <w:bookmarkEnd w:id="927"/>
    </w:p>
    <w:p>
      <w:pPr>
        <w:pStyle w:val="Subsection"/>
      </w:pPr>
      <w:r>
        <w:tab/>
        <w:t>(1)</w:t>
      </w:r>
      <w:r>
        <w:tab/>
        <w:t>Before the Minister exercises any power conferred by section 213E(2)(c) he or she is to —</w:t>
      </w:r>
    </w:p>
    <w:p>
      <w:pPr>
        <w:pStyle w:val="Indenta"/>
      </w:pPr>
      <w:r>
        <w:tab/>
        <w:t>(a)</w:t>
      </w:r>
      <w:r>
        <w:tab/>
        <w:t>notify the Treasurer of the proposal; and</w:t>
      </w:r>
    </w:p>
    <w:p>
      <w:pPr>
        <w:pStyle w:val="Indenta"/>
      </w:pPr>
      <w:r>
        <w:tab/>
        <w:t>(b)</w:t>
      </w:r>
      <w:r>
        <w:tab/>
        <w:t>seek the Treasurer’ 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Footnotesection"/>
        <w:spacing w:before="80"/>
      </w:pPr>
      <w:bookmarkStart w:id="928" w:name="_Toc468166537"/>
      <w:bookmarkStart w:id="929" w:name="_Toc468172946"/>
      <w:r>
        <w:tab/>
        <w:t>[Section 213F inserted: No. 41 of 2016 s. 11.]</w:t>
      </w:r>
    </w:p>
    <w:p>
      <w:pPr>
        <w:pStyle w:val="Heading5"/>
      </w:pPr>
      <w:bookmarkStart w:id="930" w:name="_Toc32412054"/>
      <w:bookmarkStart w:id="931" w:name="_Toc13494487"/>
      <w:r>
        <w:rPr>
          <w:rStyle w:val="CharSectno"/>
        </w:rPr>
        <w:t>213G</w:t>
      </w:r>
      <w:r>
        <w:t>.</w:t>
      </w:r>
      <w:r>
        <w:tab/>
        <w:t>When money paid for advertising or sponsorship to be paid to student residential college’s General Purposes Fund</w:t>
      </w:r>
      <w:bookmarkEnd w:id="930"/>
      <w:bookmarkEnd w:id="928"/>
      <w:bookmarkEnd w:id="929"/>
      <w:bookmarkEnd w:id="931"/>
    </w:p>
    <w:p>
      <w:pPr>
        <w:pStyle w:val="Subsection"/>
      </w:pPr>
      <w:r>
        <w:tab/>
        <w:t>(1)</w:t>
      </w:r>
      <w:r>
        <w:tab/>
        <w:t>Where —</w:t>
      </w:r>
    </w:p>
    <w:p>
      <w:pPr>
        <w:pStyle w:val="Indenta"/>
      </w:pPr>
      <w:r>
        <w:tab/>
        <w:t>(a)</w:t>
      </w:r>
      <w:r>
        <w:tab/>
        <w:t>an agreement or arrangement for advertising or sponsorship in relation to a student residential college is entered into —</w:t>
      </w:r>
    </w:p>
    <w:p>
      <w:pPr>
        <w:pStyle w:val="Indenti"/>
      </w:pPr>
      <w:r>
        <w:tab/>
        <w:t>(i)</w:t>
      </w:r>
      <w:r>
        <w:tab/>
        <w:t>in exercise of the power conferred by section 213E(2)(d); and</w:t>
      </w:r>
    </w:p>
    <w:p>
      <w:pPr>
        <w:pStyle w:val="Indenti"/>
      </w:pPr>
      <w:r>
        <w:tab/>
        <w:t>(ii)</w:t>
      </w:r>
      <w:r>
        <w:tab/>
        <w:t>as the subdelegate of the Minister under section 225;</w:t>
      </w:r>
    </w:p>
    <w:p>
      <w:pPr>
        <w:pStyle w:val="Indenta"/>
      </w:pPr>
      <w:r>
        <w:tab/>
      </w:r>
      <w:r>
        <w:tab/>
        <w:t>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college in accordance with section 213T(1)(d).</w:t>
      </w:r>
    </w:p>
    <w:p>
      <w:pPr>
        <w:pStyle w:val="Subsection"/>
      </w:pPr>
      <w:r>
        <w:tab/>
        <w:t>(2)</w:t>
      </w:r>
      <w:r>
        <w:tab/>
        <w:t>The Minister is to ensure that a subdelegation does not state that this section is to apply unless the application of the section in the particular case is in accordance with the fair distribution across student residential colleges of the benefits of advertising and sponsorship.</w:t>
      </w:r>
    </w:p>
    <w:p>
      <w:pPr>
        <w:pStyle w:val="Footnotesection"/>
        <w:spacing w:before="80"/>
      </w:pPr>
      <w:bookmarkStart w:id="932" w:name="_Toc468166538"/>
      <w:bookmarkStart w:id="933" w:name="_Toc468172947"/>
      <w:r>
        <w:tab/>
        <w:t>[Section 213G inserted: No. 41 of 2016 s. 11.]</w:t>
      </w:r>
    </w:p>
    <w:p>
      <w:pPr>
        <w:pStyle w:val="Heading5"/>
      </w:pPr>
      <w:bookmarkStart w:id="934" w:name="_Toc32412055"/>
      <w:bookmarkStart w:id="935" w:name="_Toc13494488"/>
      <w:r>
        <w:rPr>
          <w:rStyle w:val="CharSectno"/>
        </w:rPr>
        <w:t>213H</w:t>
      </w:r>
      <w:r>
        <w:t>.</w:t>
      </w:r>
      <w:r>
        <w:tab/>
        <w:t>Sections 120 and 121 have effect in respect of student residential colleges</w:t>
      </w:r>
      <w:bookmarkEnd w:id="934"/>
      <w:bookmarkEnd w:id="932"/>
      <w:bookmarkEnd w:id="933"/>
      <w:bookmarkEnd w:id="935"/>
    </w:p>
    <w:p>
      <w:pPr>
        <w:pStyle w:val="Subsection"/>
      </w:pPr>
      <w:r>
        <w:tab/>
      </w:r>
      <w:r>
        <w:tab/>
        <w:t>Sections 120 and 121 have effect in respect of a student residential college as if references in those sections —</w:t>
      </w:r>
    </w:p>
    <w:p>
      <w:pPr>
        <w:pStyle w:val="Indenta"/>
      </w:pPr>
      <w:r>
        <w:tab/>
        <w:t>(a)</w:t>
      </w:r>
      <w:r>
        <w:tab/>
        <w:t>to a government school were to a student residential college; and</w:t>
      </w:r>
    </w:p>
    <w:p>
      <w:pPr>
        <w:pStyle w:val="Indenta"/>
      </w:pPr>
      <w:r>
        <w:tab/>
        <w:t>(b)</w:t>
      </w:r>
      <w:r>
        <w:tab/>
        <w:t>to a teacher included a person employed at a student residential college; and</w:t>
      </w:r>
    </w:p>
    <w:p>
      <w:pPr>
        <w:pStyle w:val="Indenta"/>
      </w:pPr>
      <w:r>
        <w:tab/>
        <w:t>(c)</w:t>
      </w:r>
      <w:r>
        <w:tab/>
        <w:t xml:space="preserve">to an authorised person, in relation to a government school, were to — </w:t>
      </w:r>
    </w:p>
    <w:p>
      <w:pPr>
        <w:pStyle w:val="Indenti"/>
      </w:pPr>
      <w:r>
        <w:tab/>
        <w:t>(i)</w:t>
      </w:r>
      <w:r>
        <w:tab/>
        <w:t>a person authorised by the chief executive officer to exercise the powers conferred by this section in respect of a student residential college; and</w:t>
      </w:r>
    </w:p>
    <w:p>
      <w:pPr>
        <w:pStyle w:val="Indenti"/>
      </w:pPr>
      <w:r>
        <w:tab/>
        <w:t>(ii)</w:t>
      </w:r>
      <w:r>
        <w:tab/>
        <w:t>a person who belongs to a class of persons so authorised.</w:t>
      </w:r>
    </w:p>
    <w:p>
      <w:pPr>
        <w:pStyle w:val="Footnotesection"/>
        <w:spacing w:before="80"/>
      </w:pPr>
      <w:bookmarkStart w:id="936" w:name="_Toc429492907"/>
      <w:bookmarkStart w:id="937" w:name="_Toc431830932"/>
      <w:bookmarkStart w:id="938" w:name="_Toc432168391"/>
      <w:bookmarkStart w:id="939" w:name="_Toc432170311"/>
      <w:bookmarkStart w:id="940" w:name="_Toc432763044"/>
      <w:bookmarkStart w:id="941" w:name="_Toc432776612"/>
      <w:bookmarkStart w:id="942" w:name="_Toc433034564"/>
      <w:bookmarkStart w:id="943" w:name="_Toc433035616"/>
      <w:bookmarkStart w:id="944" w:name="_Toc464633901"/>
      <w:bookmarkStart w:id="945" w:name="_Toc464633981"/>
      <w:bookmarkStart w:id="946" w:name="_Toc467148240"/>
      <w:bookmarkStart w:id="947" w:name="_Toc468166539"/>
      <w:bookmarkStart w:id="948" w:name="_Toc468172948"/>
      <w:r>
        <w:tab/>
        <w:t>[Section 213H inserted: No. 41 of 2016 s. 11.]</w:t>
      </w:r>
    </w:p>
    <w:p>
      <w:pPr>
        <w:pStyle w:val="Heading4"/>
      </w:pPr>
      <w:bookmarkStart w:id="949" w:name="_Toc32411642"/>
      <w:bookmarkStart w:id="950" w:name="_Toc32412056"/>
      <w:bookmarkStart w:id="951" w:name="_Toc486515967"/>
      <w:bookmarkStart w:id="952" w:name="_Toc486517005"/>
      <w:bookmarkStart w:id="953" w:name="_Toc13494489"/>
      <w:r>
        <w:t>Subdivision 2 — Regulations and code of conduct</w:t>
      </w:r>
      <w:bookmarkEnd w:id="949"/>
      <w:bookmarkEnd w:id="950"/>
      <w:bookmarkEnd w:id="936"/>
      <w:bookmarkEnd w:id="937"/>
      <w:bookmarkEnd w:id="938"/>
      <w:bookmarkEnd w:id="939"/>
      <w:bookmarkEnd w:id="940"/>
      <w:bookmarkEnd w:id="941"/>
      <w:bookmarkEnd w:id="942"/>
      <w:bookmarkEnd w:id="943"/>
      <w:bookmarkEnd w:id="944"/>
      <w:bookmarkEnd w:id="945"/>
      <w:bookmarkEnd w:id="946"/>
      <w:bookmarkEnd w:id="947"/>
      <w:bookmarkEnd w:id="948"/>
      <w:bookmarkEnd w:id="951"/>
      <w:bookmarkEnd w:id="952"/>
      <w:bookmarkEnd w:id="953"/>
    </w:p>
    <w:p>
      <w:pPr>
        <w:pStyle w:val="Footnoteheading"/>
        <w:keepNext/>
      </w:pPr>
      <w:bookmarkStart w:id="954" w:name="_Toc468166540"/>
      <w:bookmarkStart w:id="955" w:name="_Toc468172949"/>
      <w:r>
        <w:tab/>
        <w:t>[Heading inserted: No. 41 of 2016 s. 11.]</w:t>
      </w:r>
    </w:p>
    <w:p>
      <w:pPr>
        <w:pStyle w:val="Heading5"/>
      </w:pPr>
      <w:bookmarkStart w:id="956" w:name="_Toc32412057"/>
      <w:bookmarkStart w:id="957" w:name="_Toc13494490"/>
      <w:r>
        <w:rPr>
          <w:rStyle w:val="CharSectno"/>
        </w:rPr>
        <w:t>213I</w:t>
      </w:r>
      <w:r>
        <w:t>.</w:t>
      </w:r>
      <w:r>
        <w:tab/>
        <w:t>Regulations about student residential colleges</w:t>
      </w:r>
      <w:bookmarkEnd w:id="956"/>
      <w:bookmarkEnd w:id="954"/>
      <w:bookmarkEnd w:id="955"/>
      <w:bookmarkEnd w:id="957"/>
    </w:p>
    <w:p>
      <w:pPr>
        <w:pStyle w:val="Subsection"/>
      </w:pPr>
      <w:r>
        <w:tab/>
        <w:t>(1)</w:t>
      </w:r>
      <w:r>
        <w:tab/>
        <w:t>Regulations may be made in respect of student residential colleges.</w:t>
      </w:r>
    </w:p>
    <w:p>
      <w:pPr>
        <w:pStyle w:val="Subsection"/>
      </w:pPr>
      <w:r>
        <w:tab/>
        <w:t>(2)</w:t>
      </w:r>
      <w:r>
        <w:tab/>
        <w:t xml:space="preserve">Without limiting subsection (1), regulations may make provision for, and in relation to, any or all of the following — </w:t>
      </w:r>
    </w:p>
    <w:p>
      <w:pPr>
        <w:pStyle w:val="Indenta"/>
      </w:pPr>
      <w:r>
        <w:tab/>
        <w:t>(a)</w:t>
      </w:r>
      <w:r>
        <w:tab/>
        <w:t xml:space="preserve">agreements under which accommodation and related services are provided at student residential colleges (an </w:t>
      </w:r>
      <w:r>
        <w:rPr>
          <w:rStyle w:val="CharDefText"/>
        </w:rPr>
        <w:t>agreement</w:t>
      </w:r>
      <w:r>
        <w:t>), including any requirements as to any, or all, of the contents of an agreement (including any specific terms and conditions);</w:t>
      </w:r>
    </w:p>
    <w:p>
      <w:pPr>
        <w:pStyle w:val="Indenta"/>
      </w:pPr>
      <w:r>
        <w:tab/>
        <w:t>(b)</w:t>
      </w:r>
      <w:r>
        <w:tab/>
        <w:t>kinds of, and limits to, the costs and charges payable for accommodation and related services provided under an agreement and any other matter relevant to such costs and charges and their recovery;</w:t>
      </w:r>
    </w:p>
    <w:p>
      <w:pPr>
        <w:pStyle w:val="Indenta"/>
      </w:pPr>
      <w:r>
        <w:tab/>
        <w:t>(c)</w:t>
      </w:r>
      <w:r>
        <w:tab/>
        <w:t>requirements as to the health and safety of students boarding at student residential colleges;</w:t>
      </w:r>
    </w:p>
    <w:p>
      <w:pPr>
        <w:pStyle w:val="Indenta"/>
      </w:pPr>
      <w:r>
        <w:tab/>
        <w:t>(d)</w:t>
      </w:r>
      <w:r>
        <w:tab/>
        <w:t xml:space="preserve">the operation and management of student residential colleges including — </w:t>
      </w:r>
    </w:p>
    <w:p>
      <w:pPr>
        <w:pStyle w:val="Indenti"/>
      </w:pPr>
      <w:r>
        <w:tab/>
        <w:t>(i)</w:t>
      </w:r>
      <w:r>
        <w:tab/>
        <w:t>the making of applications for places at colleges and the offering of those places based on the availability of suitable accommodation and conformity with any other criteria prescribed;</w:t>
      </w:r>
    </w:p>
    <w:p>
      <w:pPr>
        <w:pStyle w:val="Indenti"/>
      </w:pPr>
      <w:r>
        <w:tab/>
        <w:t>(ii)</w:t>
      </w:r>
      <w:r>
        <w:tab/>
        <w:t>access to, and the use of, the facilities and services of colleges;</w:t>
      </w:r>
    </w:p>
    <w:p>
      <w:pPr>
        <w:pStyle w:val="Indenti"/>
      </w:pPr>
      <w:r>
        <w:tab/>
        <w:t>(iii)</w:t>
      </w:r>
      <w:r>
        <w:tab/>
        <w:t>the means by which disputes or complaints about the operation or management of a college, or the conduct of any student, or person employed at a college, may be dealt with.</w:t>
      </w:r>
    </w:p>
    <w:p>
      <w:pPr>
        <w:pStyle w:val="Subsection"/>
        <w:keepNext/>
      </w:pPr>
      <w:r>
        <w:tab/>
        <w:t>(3)</w:t>
      </w:r>
      <w:r>
        <w:tab/>
        <w:t>Regulations of the kind mentioned in subsection (2)(d)(iii) may —</w:t>
      </w:r>
    </w:p>
    <w:p>
      <w:pPr>
        <w:pStyle w:val="Indenta"/>
      </w:pPr>
      <w:r>
        <w:tab/>
        <w:t>(a)</w:t>
      </w:r>
      <w:r>
        <w:tab/>
        <w:t xml:space="preserve">confer authority on the Minister to make provision, by instrument published in the </w:t>
      </w:r>
      <w:r>
        <w:rPr>
          <w:i/>
        </w:rPr>
        <w:t>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Subsection"/>
      </w:pPr>
      <w:r>
        <w:tab/>
        <w:t>(4)</w:t>
      </w:r>
      <w:r>
        <w:tab/>
        <w:t>Regulations for the purposes of section 213E(2)(d) may provide for —</w:t>
      </w:r>
    </w:p>
    <w:p>
      <w:pPr>
        <w:pStyle w:val="Indenta"/>
      </w:pPr>
      <w:r>
        <w:tab/>
        <w:t>(a)</w:t>
      </w:r>
      <w:r>
        <w:tab/>
        <w:t>the duration of an agreement or arrangement for advertising or sponsorship in relation to a student residential college; and</w:t>
      </w:r>
    </w:p>
    <w:p>
      <w:pPr>
        <w:pStyle w:val="Indenta"/>
      </w:pPr>
      <w:r>
        <w:tab/>
        <w:t>(b)</w:t>
      </w:r>
      <w:r>
        <w:tab/>
        <w:t>naming rights in relation to advertising or sponsorship in relation to a student residential college; and</w:t>
      </w:r>
    </w:p>
    <w:p>
      <w:pPr>
        <w:pStyle w:val="Indenta"/>
      </w:pPr>
      <w:r>
        <w:tab/>
        <w:t>(c)</w:t>
      </w:r>
      <w:r>
        <w:tab/>
        <w:t>the means of ensuring that advertising or sponsorship in relation to a student residential college does not interfere with the normal operations of the college.</w:t>
      </w:r>
    </w:p>
    <w:p>
      <w:pPr>
        <w:pStyle w:val="Footnotesection"/>
        <w:spacing w:before="80"/>
      </w:pPr>
      <w:bookmarkStart w:id="958" w:name="_Toc468166541"/>
      <w:bookmarkStart w:id="959" w:name="_Toc468172950"/>
      <w:r>
        <w:tab/>
        <w:t>[Section 213I inserted: No. 41 of 2016 s. 11.]</w:t>
      </w:r>
    </w:p>
    <w:p>
      <w:pPr>
        <w:pStyle w:val="Heading5"/>
      </w:pPr>
      <w:bookmarkStart w:id="960" w:name="_Toc32412058"/>
      <w:bookmarkStart w:id="961" w:name="_Toc13494491"/>
      <w:r>
        <w:rPr>
          <w:rStyle w:val="CharSectno"/>
        </w:rPr>
        <w:t>213J</w:t>
      </w:r>
      <w:r>
        <w:t>.</w:t>
      </w:r>
      <w:r>
        <w:tab/>
        <w:t>Code of conduct for students</w:t>
      </w:r>
      <w:bookmarkEnd w:id="960"/>
      <w:bookmarkEnd w:id="958"/>
      <w:bookmarkEnd w:id="959"/>
      <w:bookmarkEnd w:id="961"/>
    </w:p>
    <w:p>
      <w:pPr>
        <w:pStyle w:val="Subsection"/>
      </w:pPr>
      <w:r>
        <w:tab/>
        <w:t>(1)</w:t>
      </w:r>
      <w:r>
        <w:tab/>
        <w:t>The Minister is to prepare and issue a code of conduct for students at student residential colleges.</w:t>
      </w:r>
    </w:p>
    <w:p>
      <w:pPr>
        <w:pStyle w:val="Subsection"/>
      </w:pPr>
      <w:r>
        <w:tab/>
        <w:t>(2)</w:t>
      </w:r>
      <w:r>
        <w:tab/>
        <w:t>A code of conduct is to set out minimum standards of conduct to be observed by students at student residential colleges.</w:t>
      </w:r>
    </w:p>
    <w:p>
      <w:pPr>
        <w:pStyle w:val="Subsection"/>
      </w:pPr>
      <w:r>
        <w:tab/>
        <w:t>(3)</w:t>
      </w:r>
      <w:r>
        <w:tab/>
        <w:t xml:space="preserve">A code of conduct may — </w:t>
      </w:r>
    </w:p>
    <w:p>
      <w:pPr>
        <w:pStyle w:val="Indenta"/>
      </w:pPr>
      <w:r>
        <w:tab/>
        <w:t>(a)</w:t>
      </w:r>
      <w:r>
        <w:tab/>
        <w:t>be about any aspect of the conduct of students at student residential colleges; and</w:t>
      </w:r>
    </w:p>
    <w:p>
      <w:pPr>
        <w:pStyle w:val="Indenta"/>
      </w:pPr>
      <w:r>
        <w:tab/>
        <w:t>(b)</w:t>
      </w:r>
      <w:r>
        <w:tab/>
        <w:t>set general principles to guide the behaviour of students at student residential colleges; and</w:t>
      </w:r>
    </w:p>
    <w:p>
      <w:pPr>
        <w:pStyle w:val="Indenta"/>
      </w:pPr>
      <w:r>
        <w:tab/>
        <w:t>(c)</w:t>
      </w:r>
      <w:r>
        <w:tab/>
        <w:t>make specific provision in respect of a particular student residential college.</w:t>
      </w:r>
    </w:p>
    <w:p>
      <w:pPr>
        <w:pStyle w:val="Subsection"/>
      </w:pPr>
      <w:r>
        <w:tab/>
        <w:t>(4)</w:t>
      </w:r>
      <w:r>
        <w:tab/>
        <w:t>The Minister may consult with any, or all, of the LINC committees before issuing a code of conduct if the Minister considers it necessary or desirable to do so.</w:t>
      </w:r>
    </w:p>
    <w:p>
      <w:pPr>
        <w:pStyle w:val="Subsection"/>
        <w:keepNext/>
      </w:pPr>
      <w:r>
        <w:tab/>
        <w:t>(5)</w:t>
      </w:r>
      <w:r>
        <w:tab/>
        <w:t xml:space="preserve">A code of conduct — </w:t>
      </w:r>
    </w:p>
    <w:p>
      <w:pPr>
        <w:pStyle w:val="Indenta"/>
        <w:keepNext/>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code, on that day.</w:t>
      </w:r>
    </w:p>
    <w:p>
      <w:pPr>
        <w:pStyle w:val="Subsection"/>
      </w:pPr>
      <w:r>
        <w:tab/>
        <w:t>(6)</w:t>
      </w:r>
      <w:r>
        <w:tab/>
        <w:t>The Minister may amend a code of conduct in force under subsection (1) or repeal it and substitute a new code of conduct.</w:t>
      </w:r>
    </w:p>
    <w:p>
      <w:pPr>
        <w:pStyle w:val="Subsection"/>
      </w:pPr>
      <w:r>
        <w:tab/>
        <w:t>(7)</w:t>
      </w:r>
      <w:r>
        <w:tab/>
        <w:t>Subsections (4) and (5) apply to and in relation to the amendment or repeal of a code of conduct.</w:t>
      </w:r>
    </w:p>
    <w:p>
      <w:pPr>
        <w:pStyle w:val="Footnotesection"/>
        <w:spacing w:before="80"/>
      </w:pPr>
      <w:bookmarkStart w:id="962" w:name="_Toc429492910"/>
      <w:bookmarkStart w:id="963" w:name="_Toc431830935"/>
      <w:bookmarkStart w:id="964" w:name="_Toc432168394"/>
      <w:bookmarkStart w:id="965" w:name="_Toc432170314"/>
      <w:bookmarkStart w:id="966" w:name="_Toc432763047"/>
      <w:bookmarkStart w:id="967" w:name="_Toc432776615"/>
      <w:bookmarkStart w:id="968" w:name="_Toc433034567"/>
      <w:bookmarkStart w:id="969" w:name="_Toc433035619"/>
      <w:bookmarkStart w:id="970" w:name="_Toc464633904"/>
      <w:bookmarkStart w:id="971" w:name="_Toc464633984"/>
      <w:bookmarkStart w:id="972" w:name="_Toc467148243"/>
      <w:bookmarkStart w:id="973" w:name="_Toc468166542"/>
      <w:bookmarkStart w:id="974" w:name="_Toc468172951"/>
      <w:r>
        <w:tab/>
        <w:t>[Section 213J inserted: No. 41 of 2016 s. 11.]</w:t>
      </w:r>
    </w:p>
    <w:p>
      <w:pPr>
        <w:pStyle w:val="Heading4"/>
      </w:pPr>
      <w:bookmarkStart w:id="975" w:name="_Toc32411645"/>
      <w:bookmarkStart w:id="976" w:name="_Toc32412059"/>
      <w:bookmarkStart w:id="977" w:name="_Toc486515970"/>
      <w:bookmarkStart w:id="978" w:name="_Toc486517008"/>
      <w:bookmarkStart w:id="979" w:name="_Toc13494492"/>
      <w:r>
        <w:t>Subdivision 3 — Power of Minister to grant licences</w:t>
      </w:r>
      <w:bookmarkEnd w:id="975"/>
      <w:bookmarkEnd w:id="976"/>
      <w:bookmarkEnd w:id="962"/>
      <w:bookmarkEnd w:id="963"/>
      <w:bookmarkEnd w:id="964"/>
      <w:bookmarkEnd w:id="965"/>
      <w:bookmarkEnd w:id="966"/>
      <w:bookmarkEnd w:id="967"/>
      <w:bookmarkEnd w:id="968"/>
      <w:bookmarkEnd w:id="969"/>
      <w:bookmarkEnd w:id="970"/>
      <w:bookmarkEnd w:id="971"/>
      <w:bookmarkEnd w:id="972"/>
      <w:bookmarkEnd w:id="973"/>
      <w:bookmarkEnd w:id="974"/>
      <w:bookmarkEnd w:id="977"/>
      <w:bookmarkEnd w:id="978"/>
      <w:bookmarkEnd w:id="979"/>
    </w:p>
    <w:p>
      <w:pPr>
        <w:pStyle w:val="Footnoteheading"/>
      </w:pPr>
      <w:bookmarkStart w:id="980" w:name="_Toc468166543"/>
      <w:bookmarkStart w:id="981" w:name="_Toc468172952"/>
      <w:r>
        <w:tab/>
        <w:t>[Heading inserted: No. 41 of 2016 s. 11.]</w:t>
      </w:r>
    </w:p>
    <w:p>
      <w:pPr>
        <w:pStyle w:val="Heading5"/>
      </w:pPr>
      <w:bookmarkStart w:id="982" w:name="_Toc32412060"/>
      <w:bookmarkStart w:id="983" w:name="_Toc13494493"/>
      <w:r>
        <w:rPr>
          <w:rStyle w:val="CharSectno"/>
        </w:rPr>
        <w:t>213K</w:t>
      </w:r>
      <w:r>
        <w:t>.</w:t>
      </w:r>
      <w:r>
        <w:tab/>
        <w:t>Licences by Minister for use of tangible property relating to student residential colleges</w:t>
      </w:r>
      <w:bookmarkEnd w:id="982"/>
      <w:bookmarkEnd w:id="980"/>
      <w:bookmarkEnd w:id="981"/>
      <w:bookmarkEnd w:id="983"/>
    </w:p>
    <w:p>
      <w:pPr>
        <w:pStyle w:val="Subsection"/>
      </w:pPr>
      <w:r>
        <w:tab/>
        <w:t>(1)</w:t>
      </w:r>
      <w:r>
        <w:tab/>
        <w:t>This section applies to a licence granted by the Minister to a person for the use of tangible property vested in the Minister that relates to a student residential college.</w:t>
      </w:r>
    </w:p>
    <w:p>
      <w:pPr>
        <w:pStyle w:val="Subsection"/>
      </w:pPr>
      <w:r>
        <w:tab/>
        <w:t>(2)</w:t>
      </w:r>
      <w:r>
        <w:tab/>
        <w:t>A licence is not to be granted if the use of the property would adversely affect the safety or welfare of students or other persons residing or employed at the student residential college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college to which the property relates — </w:t>
      </w:r>
    </w:p>
    <w:p>
      <w:pPr>
        <w:pStyle w:val="Indenta"/>
      </w:pPr>
      <w:r>
        <w:tab/>
        <w:t>(a)</w:t>
      </w:r>
      <w:r>
        <w:tab/>
        <w:t xml:space="preserve">is not to be granted for a period of more than—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student residential college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spacing w:before="80"/>
      </w:pPr>
      <w:bookmarkStart w:id="984" w:name="_Toc468166544"/>
      <w:bookmarkStart w:id="985" w:name="_Toc468172953"/>
      <w:r>
        <w:tab/>
        <w:t>[Section 213K inserted: No. 41 of 2016 s. 11.]</w:t>
      </w:r>
    </w:p>
    <w:p>
      <w:pPr>
        <w:pStyle w:val="Heading5"/>
      </w:pPr>
      <w:bookmarkStart w:id="986" w:name="_Toc32412061"/>
      <w:bookmarkStart w:id="987" w:name="_Toc13494494"/>
      <w:r>
        <w:rPr>
          <w:rStyle w:val="CharSectno"/>
        </w:rPr>
        <w:t>213L</w:t>
      </w:r>
      <w:r>
        <w:t>.</w:t>
      </w:r>
      <w:r>
        <w:tab/>
        <w:t>When money paid under licence to be paid to a General Purposes Fund</w:t>
      </w:r>
      <w:bookmarkEnd w:id="986"/>
      <w:bookmarkEnd w:id="984"/>
      <w:bookmarkEnd w:id="985"/>
      <w:bookmarkEnd w:id="987"/>
    </w:p>
    <w:p>
      <w:pPr>
        <w:pStyle w:val="Subsection"/>
      </w:pPr>
      <w:r>
        <w:tab/>
      </w:r>
      <w:r>
        <w:tab/>
        <w:t xml:space="preserve">Where a licence under section 213K for the use of tangible property vested in the Minister that relates to a student residential college — </w:t>
      </w:r>
    </w:p>
    <w:p>
      <w:pPr>
        <w:pStyle w:val="Indenta"/>
      </w:pPr>
      <w:r>
        <w:tab/>
        <w:t>(a)</w:t>
      </w:r>
      <w:r>
        <w:tab/>
        <w:t>requires an amount of money to be paid in accordance with section 213K(3)(b) or (c); and</w:t>
      </w:r>
    </w:p>
    <w:p>
      <w:pPr>
        <w:pStyle w:val="Indenta"/>
      </w:pPr>
      <w:r>
        <w:tab/>
        <w:t>(b)</w:t>
      </w:r>
      <w:r>
        <w:tab/>
        <w:t>is granted by a subdelegate of the Minister acting under section 225 and the subdelegation expressly states that this section is to apply,</w:t>
      </w:r>
    </w:p>
    <w:p>
      <w:pPr>
        <w:pStyle w:val="Subsection"/>
      </w:pPr>
      <w:r>
        <w:tab/>
      </w:r>
      <w:r>
        <w:tab/>
        <w:t>subject to section 213S(4), the money is to be credited to the General Purposes Fund of the college in accordance with section 213T(1)(d).</w:t>
      </w:r>
    </w:p>
    <w:p>
      <w:pPr>
        <w:pStyle w:val="Footnotesection"/>
        <w:spacing w:before="80"/>
      </w:pPr>
      <w:bookmarkStart w:id="988" w:name="_Toc429492913"/>
      <w:bookmarkStart w:id="989" w:name="_Toc431830938"/>
      <w:bookmarkStart w:id="990" w:name="_Toc432168397"/>
      <w:bookmarkStart w:id="991" w:name="_Toc432170317"/>
      <w:bookmarkStart w:id="992" w:name="_Toc432763050"/>
      <w:bookmarkStart w:id="993" w:name="_Toc432776618"/>
      <w:bookmarkStart w:id="994" w:name="_Toc433034570"/>
      <w:bookmarkStart w:id="995" w:name="_Toc433035622"/>
      <w:bookmarkStart w:id="996" w:name="_Toc464633907"/>
      <w:bookmarkStart w:id="997" w:name="_Toc464633987"/>
      <w:bookmarkStart w:id="998" w:name="_Toc467148246"/>
      <w:bookmarkStart w:id="999" w:name="_Toc468166545"/>
      <w:bookmarkStart w:id="1000" w:name="_Toc468172954"/>
      <w:r>
        <w:tab/>
        <w:t>[Section 213L inserted: No. 41 of 2016 s. 11.]</w:t>
      </w:r>
    </w:p>
    <w:p>
      <w:pPr>
        <w:pStyle w:val="Heading3"/>
      </w:pPr>
      <w:bookmarkStart w:id="1001" w:name="_Toc32411648"/>
      <w:bookmarkStart w:id="1002" w:name="_Toc32412062"/>
      <w:bookmarkStart w:id="1003" w:name="_Toc486515973"/>
      <w:bookmarkStart w:id="1004" w:name="_Toc486517011"/>
      <w:bookmarkStart w:id="1005" w:name="_Toc13494495"/>
      <w:r>
        <w:rPr>
          <w:rStyle w:val="CharDivNo"/>
        </w:rPr>
        <w:t>Division 4</w:t>
      </w:r>
      <w:r>
        <w:t> — </w:t>
      </w:r>
      <w:r>
        <w:rPr>
          <w:rStyle w:val="CharDivText"/>
        </w:rPr>
        <w:t>LINC committees</w:t>
      </w:r>
      <w:bookmarkEnd w:id="1001"/>
      <w:bookmarkEnd w:id="1002"/>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3"/>
      <w:bookmarkEnd w:id="1004"/>
      <w:bookmarkEnd w:id="1005"/>
    </w:p>
    <w:p>
      <w:pPr>
        <w:pStyle w:val="Footnoteheading"/>
      </w:pPr>
      <w:bookmarkStart w:id="1006" w:name="_Toc468166546"/>
      <w:bookmarkStart w:id="1007" w:name="_Toc468172955"/>
      <w:r>
        <w:tab/>
        <w:t>[Heading inserted: No. 41 of 2016 s. 11.]</w:t>
      </w:r>
    </w:p>
    <w:p>
      <w:pPr>
        <w:pStyle w:val="Heading5"/>
      </w:pPr>
      <w:bookmarkStart w:id="1008" w:name="_Toc32412063"/>
      <w:bookmarkStart w:id="1009" w:name="_Toc13494496"/>
      <w:r>
        <w:rPr>
          <w:rStyle w:val="CharSectno"/>
        </w:rPr>
        <w:t>213M</w:t>
      </w:r>
      <w:r>
        <w:t>.</w:t>
      </w:r>
      <w:r>
        <w:tab/>
        <w:t>LINC committees</w:t>
      </w:r>
      <w:bookmarkEnd w:id="1008"/>
      <w:bookmarkEnd w:id="1006"/>
      <w:bookmarkEnd w:id="1007"/>
      <w:bookmarkEnd w:id="1009"/>
    </w:p>
    <w:p>
      <w:pPr>
        <w:pStyle w:val="Subsection"/>
      </w:pPr>
      <w:r>
        <w:tab/>
        <w:t>(1)</w:t>
      </w:r>
      <w:r>
        <w:tab/>
        <w:t>Each student residential college is to have a local input networking and communications committee (</w:t>
      </w:r>
      <w:r>
        <w:rPr>
          <w:rStyle w:val="CharDefText"/>
        </w:rPr>
        <w:t>LINC committee</w:t>
      </w:r>
      <w:r>
        <w:t>).</w:t>
      </w:r>
    </w:p>
    <w:p>
      <w:pPr>
        <w:pStyle w:val="Subsection"/>
      </w:pPr>
      <w:r>
        <w:tab/>
        <w:t>(2)</w:t>
      </w:r>
      <w:r>
        <w:tab/>
        <w:t>It is sufficient compliance with subsection (1) for 2 or more colleges, with the approval of the Minister, to have one LINC committee that operates for those colleges jointly.</w:t>
      </w:r>
    </w:p>
    <w:p>
      <w:pPr>
        <w:pStyle w:val="Subsection"/>
      </w:pPr>
      <w:r>
        <w:tab/>
        <w:t>(3)</w:t>
      </w:r>
      <w:r>
        <w:tab/>
        <w:t>Subject to this Division, a LINC committee may determine its own procedure.</w:t>
      </w:r>
    </w:p>
    <w:p>
      <w:pPr>
        <w:pStyle w:val="Subsection"/>
      </w:pPr>
      <w:r>
        <w:tab/>
        <w:t>(4)</w:t>
      </w:r>
      <w:r>
        <w:tab/>
        <w:t>The Minister is to ensure that each LINC committee is provided with such support services as it may reasonably require.</w:t>
      </w:r>
    </w:p>
    <w:p>
      <w:pPr>
        <w:pStyle w:val="Footnotesection"/>
        <w:spacing w:before="80"/>
      </w:pPr>
      <w:bookmarkStart w:id="1010" w:name="_Toc468166547"/>
      <w:bookmarkStart w:id="1011" w:name="_Toc468172956"/>
      <w:r>
        <w:tab/>
        <w:t>[Section 213M inserted: No. 41 of 2016 s. 11.]</w:t>
      </w:r>
    </w:p>
    <w:p>
      <w:pPr>
        <w:pStyle w:val="Heading5"/>
      </w:pPr>
      <w:bookmarkStart w:id="1012" w:name="_Toc32412064"/>
      <w:bookmarkStart w:id="1013" w:name="_Toc13494497"/>
      <w:r>
        <w:rPr>
          <w:rStyle w:val="CharSectno"/>
        </w:rPr>
        <w:t>213N</w:t>
      </w:r>
      <w:r>
        <w:t>.</w:t>
      </w:r>
      <w:r>
        <w:tab/>
        <w:t>Membership of LINC committees</w:t>
      </w:r>
      <w:bookmarkEnd w:id="1012"/>
      <w:bookmarkEnd w:id="1010"/>
      <w:bookmarkEnd w:id="1011"/>
      <w:bookmarkEnd w:id="1013"/>
    </w:p>
    <w:p>
      <w:pPr>
        <w:pStyle w:val="Subsection"/>
      </w:pPr>
      <w:r>
        <w:tab/>
        <w:t>(1)</w:t>
      </w:r>
      <w:r>
        <w:tab/>
        <w:t>A LINC committee is to be constituted by not less than 4 or more than 10 members appointed by the chief executive officer.</w:t>
      </w:r>
    </w:p>
    <w:p>
      <w:pPr>
        <w:pStyle w:val="Subsection"/>
      </w:pPr>
      <w:r>
        <w:tab/>
        <w:t>(2)</w:t>
      </w:r>
      <w:r>
        <w:tab/>
        <w:t xml:space="preserve">The membership of a LINC committee is to be drawn from persons who have such experience, skills, attributes or qualifications as the chief executive officer considers appropriate to enable them to effectively perform the functions set out in section 213O, and may include — </w:t>
      </w:r>
    </w:p>
    <w:p>
      <w:pPr>
        <w:pStyle w:val="Indenta"/>
      </w:pPr>
      <w:r>
        <w:tab/>
        <w:t>(a)</w:t>
      </w:r>
      <w:r>
        <w:tab/>
        <w:t>parents of students at the college; and</w:t>
      </w:r>
    </w:p>
    <w:p>
      <w:pPr>
        <w:pStyle w:val="Indenta"/>
      </w:pPr>
      <w:r>
        <w:tab/>
        <w:t>(b)</w:t>
      </w:r>
      <w:r>
        <w:tab/>
        <w:t>other members of the general community; and</w:t>
      </w:r>
    </w:p>
    <w:p>
      <w:pPr>
        <w:pStyle w:val="Indenta"/>
      </w:pPr>
      <w:r>
        <w:tab/>
        <w:t>(c)</w:t>
      </w:r>
      <w:r>
        <w:tab/>
        <w:t>any person employed at the college.</w:t>
      </w:r>
    </w:p>
    <w:p>
      <w:pPr>
        <w:pStyle w:val="Subsection"/>
      </w:pPr>
      <w:r>
        <w:tab/>
        <w:t>(3)</w:t>
      </w:r>
      <w:r>
        <w:tab/>
        <w:t>Persons referred to in subsections (2)(a) and (b) must form the majority of members of a LINC committee.</w:t>
      </w:r>
    </w:p>
    <w:p>
      <w:pPr>
        <w:pStyle w:val="Subsection"/>
      </w:pPr>
      <w:r>
        <w:tab/>
        <w:t>(4)</w:t>
      </w:r>
      <w:r>
        <w:tab/>
        <w:t>Unless otherwise provided by the regulations, a member is to hold office for a term of not more than 3 years as is specified in the instrument of his or her appointment, and is eligible for reappointment.</w:t>
      </w:r>
    </w:p>
    <w:p>
      <w:pPr>
        <w:pStyle w:val="Footnotesection"/>
        <w:spacing w:before="80"/>
      </w:pPr>
      <w:bookmarkStart w:id="1014" w:name="_Toc468166548"/>
      <w:bookmarkStart w:id="1015" w:name="_Toc468172957"/>
      <w:r>
        <w:tab/>
        <w:t>[Section 213N inserted: No. 41 of 2016 s. 11.]</w:t>
      </w:r>
    </w:p>
    <w:p>
      <w:pPr>
        <w:pStyle w:val="Heading5"/>
      </w:pPr>
      <w:bookmarkStart w:id="1016" w:name="_Toc32412065"/>
      <w:bookmarkStart w:id="1017" w:name="_Toc13494498"/>
      <w:r>
        <w:rPr>
          <w:rStyle w:val="CharSectno"/>
        </w:rPr>
        <w:t>213O</w:t>
      </w:r>
      <w:r>
        <w:t>.</w:t>
      </w:r>
      <w:r>
        <w:tab/>
        <w:t>Functions of LINC committees</w:t>
      </w:r>
      <w:bookmarkEnd w:id="1016"/>
      <w:bookmarkEnd w:id="1014"/>
      <w:bookmarkEnd w:id="1015"/>
      <w:bookmarkEnd w:id="1017"/>
    </w:p>
    <w:p>
      <w:pPr>
        <w:pStyle w:val="Subsection"/>
      </w:pPr>
      <w:r>
        <w:tab/>
        <w:t>(1)</w:t>
      </w:r>
      <w:r>
        <w:tab/>
        <w:t xml:space="preserve">A LINC committee for a student residential college has the following functions — </w:t>
      </w:r>
    </w:p>
    <w:p>
      <w:pPr>
        <w:pStyle w:val="Indenta"/>
      </w:pPr>
      <w:r>
        <w:tab/>
        <w:t>(a)</w:t>
      </w:r>
      <w:r>
        <w:tab/>
        <w:t>to provide advice regarding the operation and management of the college;</w:t>
      </w:r>
    </w:p>
    <w:p>
      <w:pPr>
        <w:pStyle w:val="Indenta"/>
      </w:pPr>
      <w:r>
        <w:tab/>
        <w:t>(b)</w:t>
      </w:r>
      <w:r>
        <w:tab/>
        <w:t>to promote the interests of the college and to foster community interest in the college;</w:t>
      </w:r>
    </w:p>
    <w:p>
      <w:pPr>
        <w:pStyle w:val="Indenta"/>
      </w:pPr>
      <w:r>
        <w:tab/>
        <w:t>(c)</w:t>
      </w:r>
      <w:r>
        <w:tab/>
        <w:t>to carry out the functions given by sections 213E(4) and 213J(4);</w:t>
      </w:r>
    </w:p>
    <w:p>
      <w:pPr>
        <w:pStyle w:val="Indenta"/>
      </w:pPr>
      <w:r>
        <w:tab/>
        <w:t>(d)</w:t>
      </w:r>
      <w:r>
        <w:tab/>
        <w:t>to undertake such other functions prescribed by the regulations for the purposes of this section.</w:t>
      </w:r>
    </w:p>
    <w:p>
      <w:pPr>
        <w:pStyle w:val="Subsection"/>
      </w:pPr>
      <w:r>
        <w:tab/>
        <w:t>(2)</w:t>
      </w:r>
      <w:r>
        <w:tab/>
        <w:t xml:space="preserve">A LINC committee for a student residential college may do any or all of the following — </w:t>
      </w:r>
    </w:p>
    <w:p>
      <w:pPr>
        <w:pStyle w:val="Indenta"/>
      </w:pPr>
      <w:r>
        <w:tab/>
        <w:t>(a)</w:t>
      </w:r>
      <w:r>
        <w:tab/>
        <w:t>take part in and provide advice on the selection, but not the appointment, of any person employed at the college, if the person comes within a class of employees referred to in section 235(1);</w:t>
      </w:r>
    </w:p>
    <w:p>
      <w:pPr>
        <w:pStyle w:val="Indenta"/>
      </w:pPr>
      <w:r>
        <w:tab/>
        <w:t>(b)</w:t>
      </w:r>
      <w:r>
        <w:tab/>
        <w:t>provide advice as to the means by which disputes or complaints about the conduct of students at the college may be dealt with;</w:t>
      </w:r>
    </w:p>
    <w:p>
      <w:pPr>
        <w:pStyle w:val="Indenta"/>
      </w:pPr>
      <w:r>
        <w:tab/>
        <w:t>(c)</w:t>
      </w:r>
      <w:r>
        <w:tab/>
        <w:t>take part in the planning of, and provide advice on, the financial arrangements and priorities for the college.</w:t>
      </w:r>
    </w:p>
    <w:p>
      <w:pPr>
        <w:pStyle w:val="Subsection"/>
      </w:pPr>
      <w:r>
        <w:tab/>
        <w:t>(3)</w:t>
      </w:r>
      <w:r>
        <w:tab/>
        <w:t>A LINC committee cannot —</w:t>
      </w:r>
    </w:p>
    <w:p>
      <w:pPr>
        <w:pStyle w:val="Indenta"/>
      </w:pPr>
      <w:r>
        <w:tab/>
        <w:t>(a)</w:t>
      </w:r>
      <w:r>
        <w:tab/>
        <w:t>intervene in the operation or management of a student residential college; or</w:t>
      </w:r>
    </w:p>
    <w:p>
      <w:pPr>
        <w:pStyle w:val="Indenta"/>
      </w:pPr>
      <w:r>
        <w:tab/>
        <w:t>(b)</w:t>
      </w:r>
      <w:r>
        <w:tab/>
        <w:t>exercise authority over any person employed at a student residential college.</w:t>
      </w:r>
    </w:p>
    <w:p>
      <w:pPr>
        <w:pStyle w:val="Subsection"/>
      </w:pPr>
      <w:r>
        <w:tab/>
        <w:t>(4)</w:t>
      </w:r>
      <w:r>
        <w:tab/>
        <w:t>A LINC committee may do all things necessary or convenient to be done for or in connection with the carrying out of its functions.</w:t>
      </w:r>
    </w:p>
    <w:p>
      <w:pPr>
        <w:pStyle w:val="Footnotesection"/>
        <w:spacing w:before="80"/>
      </w:pPr>
      <w:bookmarkStart w:id="1018" w:name="_Toc468166549"/>
      <w:bookmarkStart w:id="1019" w:name="_Toc468172958"/>
      <w:r>
        <w:tab/>
        <w:t>[Section 213O inserted: No. 41 of 2016 s. 11.]</w:t>
      </w:r>
    </w:p>
    <w:p>
      <w:pPr>
        <w:pStyle w:val="Heading5"/>
      </w:pPr>
      <w:bookmarkStart w:id="1020" w:name="_Toc32412066"/>
      <w:bookmarkStart w:id="1021" w:name="_Toc13494499"/>
      <w:r>
        <w:rPr>
          <w:rStyle w:val="CharSectno"/>
        </w:rPr>
        <w:t>213P</w:t>
      </w:r>
      <w:r>
        <w:t>.</w:t>
      </w:r>
      <w:r>
        <w:tab/>
        <w:t>Regulations about LINC committees</w:t>
      </w:r>
      <w:bookmarkEnd w:id="1020"/>
      <w:bookmarkEnd w:id="1018"/>
      <w:bookmarkEnd w:id="1019"/>
      <w:bookmarkEnd w:id="1021"/>
    </w:p>
    <w:p>
      <w:pPr>
        <w:pStyle w:val="Subsection"/>
        <w:keepNext/>
      </w:pPr>
      <w:r>
        <w:tab/>
        <w:t>(1)</w:t>
      </w:r>
      <w:r>
        <w:tab/>
        <w:t>Regulations may be made in respect of LINC committees.</w:t>
      </w:r>
    </w:p>
    <w:p>
      <w:pPr>
        <w:pStyle w:val="Subsection"/>
      </w:pPr>
      <w:r>
        <w:tab/>
        <w:t>(2)</w:t>
      </w:r>
      <w:r>
        <w:tab/>
        <w:t xml:space="preserve">Without limiting subsection (1), regulations may be made about any or all of the following — </w:t>
      </w:r>
    </w:p>
    <w:p>
      <w:pPr>
        <w:pStyle w:val="Indenta"/>
      </w:pPr>
      <w:r>
        <w:tab/>
        <w:t>(a)</w:t>
      </w:r>
      <w:r>
        <w:tab/>
        <w:t>the proceedings of LINC committees;</w:t>
      </w:r>
    </w:p>
    <w:p>
      <w:pPr>
        <w:pStyle w:val="Indenta"/>
      </w:pPr>
      <w:r>
        <w:tab/>
        <w:t>(b)</w:t>
      </w:r>
      <w:r>
        <w:tab/>
        <w:t>matters relating to ineligibility for, and cessation or termination of, membership of LINC committees;</w:t>
      </w:r>
    </w:p>
    <w:p>
      <w:pPr>
        <w:pStyle w:val="Indenta"/>
      </w:pPr>
      <w:r>
        <w:tab/>
        <w:t>(c)</w:t>
      </w:r>
      <w:r>
        <w:tab/>
        <w:t>enabling LINC committees to allow students, principals and other staff of a school and members of the local community to attend meetings and take part in discussion but without having a right to vote or being counted in determining a quorum.</w:t>
      </w:r>
    </w:p>
    <w:p>
      <w:pPr>
        <w:pStyle w:val="Footnotesection"/>
        <w:spacing w:before="80"/>
      </w:pPr>
      <w:bookmarkStart w:id="1022" w:name="_Toc429492918"/>
      <w:bookmarkStart w:id="1023" w:name="_Toc431830943"/>
      <w:bookmarkStart w:id="1024" w:name="_Toc432168402"/>
      <w:bookmarkStart w:id="1025" w:name="_Toc432170322"/>
      <w:bookmarkStart w:id="1026" w:name="_Toc432763055"/>
      <w:bookmarkStart w:id="1027" w:name="_Toc432776623"/>
      <w:bookmarkStart w:id="1028" w:name="_Toc433034575"/>
      <w:bookmarkStart w:id="1029" w:name="_Toc433035627"/>
      <w:bookmarkStart w:id="1030" w:name="_Toc464633912"/>
      <w:bookmarkStart w:id="1031" w:name="_Toc464633992"/>
      <w:bookmarkStart w:id="1032" w:name="_Toc467148251"/>
      <w:bookmarkStart w:id="1033" w:name="_Toc468166550"/>
      <w:bookmarkStart w:id="1034" w:name="_Toc468172959"/>
      <w:r>
        <w:tab/>
        <w:t>[Section 213P inserted: No. 41 of 2016 s. 11.]</w:t>
      </w:r>
    </w:p>
    <w:p>
      <w:pPr>
        <w:pStyle w:val="Heading3"/>
      </w:pPr>
      <w:bookmarkStart w:id="1035" w:name="_Toc32411653"/>
      <w:bookmarkStart w:id="1036" w:name="_Toc32412067"/>
      <w:bookmarkStart w:id="1037" w:name="_Toc486515978"/>
      <w:bookmarkStart w:id="1038" w:name="_Toc486517016"/>
      <w:bookmarkStart w:id="1039" w:name="_Toc13494500"/>
      <w:r>
        <w:rPr>
          <w:rStyle w:val="CharDivNo"/>
        </w:rPr>
        <w:t>Division 5</w:t>
      </w:r>
      <w:r>
        <w:t> — </w:t>
      </w:r>
      <w:r>
        <w:rPr>
          <w:rStyle w:val="CharDivText"/>
        </w:rPr>
        <w:t>Financial provisions</w:t>
      </w:r>
      <w:bookmarkEnd w:id="1035"/>
      <w:bookmarkEnd w:id="1036"/>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7"/>
      <w:bookmarkEnd w:id="1038"/>
      <w:bookmarkEnd w:id="1039"/>
    </w:p>
    <w:p>
      <w:pPr>
        <w:pStyle w:val="Footnoteheading"/>
      </w:pPr>
      <w:bookmarkStart w:id="1040" w:name="_Toc429492919"/>
      <w:bookmarkStart w:id="1041" w:name="_Toc431830944"/>
      <w:bookmarkStart w:id="1042" w:name="_Toc432168403"/>
      <w:bookmarkStart w:id="1043" w:name="_Toc432170323"/>
      <w:bookmarkStart w:id="1044" w:name="_Toc432763056"/>
      <w:bookmarkStart w:id="1045" w:name="_Toc432776624"/>
      <w:bookmarkStart w:id="1046" w:name="_Toc433034576"/>
      <w:bookmarkStart w:id="1047" w:name="_Toc433035628"/>
      <w:bookmarkStart w:id="1048" w:name="_Toc464633913"/>
      <w:bookmarkStart w:id="1049" w:name="_Toc464633993"/>
      <w:bookmarkStart w:id="1050" w:name="_Toc467148252"/>
      <w:bookmarkStart w:id="1051" w:name="_Toc468166551"/>
      <w:bookmarkStart w:id="1052" w:name="_Toc468172960"/>
      <w:r>
        <w:tab/>
        <w:t>[Heading inserted: No. 41 of 2016 s. 11.]</w:t>
      </w:r>
    </w:p>
    <w:p>
      <w:pPr>
        <w:pStyle w:val="Heading4"/>
      </w:pPr>
      <w:bookmarkStart w:id="1053" w:name="_Toc32411654"/>
      <w:bookmarkStart w:id="1054" w:name="_Toc32412068"/>
      <w:bookmarkStart w:id="1055" w:name="_Toc486515979"/>
      <w:bookmarkStart w:id="1056" w:name="_Toc486517017"/>
      <w:bookmarkStart w:id="1057" w:name="_Toc13494501"/>
      <w:r>
        <w:t>Subdivision 1 — Fund for each student residential college</w:t>
      </w:r>
      <w:bookmarkEnd w:id="1053"/>
      <w:bookmarkEnd w:id="1054"/>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5"/>
      <w:bookmarkEnd w:id="1056"/>
      <w:bookmarkEnd w:id="1057"/>
    </w:p>
    <w:p>
      <w:pPr>
        <w:pStyle w:val="Footnoteheading"/>
      </w:pPr>
      <w:bookmarkStart w:id="1058" w:name="_Toc468166552"/>
      <w:bookmarkStart w:id="1059" w:name="_Toc468172961"/>
      <w:r>
        <w:tab/>
        <w:t>[Heading inserted: No. 41 of 2016 s. 11.]</w:t>
      </w:r>
    </w:p>
    <w:p>
      <w:pPr>
        <w:pStyle w:val="Heading5"/>
      </w:pPr>
      <w:bookmarkStart w:id="1060" w:name="_Toc32412069"/>
      <w:bookmarkStart w:id="1061" w:name="_Toc13494502"/>
      <w:r>
        <w:rPr>
          <w:rStyle w:val="CharSectno"/>
        </w:rPr>
        <w:t>213Q</w:t>
      </w:r>
      <w:r>
        <w:t>.</w:t>
      </w:r>
      <w:r>
        <w:tab/>
        <w:t>General Purposes Fund for each student residential college</w:t>
      </w:r>
      <w:bookmarkEnd w:id="1060"/>
      <w:bookmarkEnd w:id="1058"/>
      <w:bookmarkEnd w:id="1059"/>
      <w:bookmarkEnd w:id="1061"/>
    </w:p>
    <w:p>
      <w:pPr>
        <w:pStyle w:val="Subsection"/>
      </w:pPr>
      <w:r>
        <w:tab/>
      </w:r>
      <w:r>
        <w:tab/>
        <w:t>Each student residential college is to have a fund to be called the “(name of student residential college) General Purposes Fund”.</w:t>
      </w:r>
    </w:p>
    <w:p>
      <w:pPr>
        <w:pStyle w:val="Footnotesection"/>
        <w:spacing w:before="80"/>
      </w:pPr>
      <w:bookmarkStart w:id="1062" w:name="_Toc468166553"/>
      <w:bookmarkStart w:id="1063" w:name="_Toc468172962"/>
      <w:r>
        <w:tab/>
        <w:t>[Section 213Q inserted: No. 41 of 2016 s. 11.]</w:t>
      </w:r>
    </w:p>
    <w:p>
      <w:pPr>
        <w:pStyle w:val="Heading5"/>
      </w:pPr>
      <w:bookmarkStart w:id="1064" w:name="_Toc32412070"/>
      <w:bookmarkStart w:id="1065" w:name="_Toc13494503"/>
      <w:r>
        <w:rPr>
          <w:rStyle w:val="CharSectno"/>
        </w:rPr>
        <w:t>213R</w:t>
      </w:r>
      <w:r>
        <w:t>.</w:t>
      </w:r>
      <w:r>
        <w:tab/>
        <w:t>Funds for other moneys received for a student residential college</w:t>
      </w:r>
      <w:bookmarkEnd w:id="1064"/>
      <w:bookmarkEnd w:id="1062"/>
      <w:bookmarkEnd w:id="1063"/>
      <w:bookmarkEnd w:id="1065"/>
    </w:p>
    <w:p>
      <w:pPr>
        <w:pStyle w:val="Subsection"/>
      </w:pPr>
      <w:r>
        <w:tab/>
      </w:r>
      <w:r>
        <w:tab/>
        <w:t>The chief executive officer may authorise an officer designated under section 213S(1) to establish funds for the receipt of donations and bequests for or towards —</w:t>
      </w:r>
    </w:p>
    <w:p>
      <w:pPr>
        <w:pStyle w:val="Indenta"/>
      </w:pPr>
      <w:r>
        <w:tab/>
        <w:t>(a)</w:t>
      </w:r>
      <w:r>
        <w:tab/>
        <w:t>the addition of new capital works to the student residential college premises; or</w:t>
      </w:r>
    </w:p>
    <w:p>
      <w:pPr>
        <w:pStyle w:val="Indenta"/>
        <w:keepNext/>
      </w:pPr>
      <w:r>
        <w:tab/>
        <w:t>(b)</w:t>
      </w:r>
      <w:r>
        <w:tab/>
        <w:t>the benefit of the college generally.</w:t>
      </w:r>
    </w:p>
    <w:p>
      <w:pPr>
        <w:pStyle w:val="Footnotesection"/>
        <w:spacing w:before="80"/>
      </w:pPr>
      <w:bookmarkStart w:id="1066" w:name="_Toc468166554"/>
      <w:bookmarkStart w:id="1067" w:name="_Toc468172963"/>
      <w:r>
        <w:tab/>
        <w:t>[Section 213R inserted: No. 41 of 2016 s. 11.]</w:t>
      </w:r>
    </w:p>
    <w:p>
      <w:pPr>
        <w:pStyle w:val="Heading5"/>
      </w:pPr>
      <w:bookmarkStart w:id="1068" w:name="_Toc32412071"/>
      <w:bookmarkStart w:id="1069" w:name="_Toc13494504"/>
      <w:r>
        <w:rPr>
          <w:rStyle w:val="CharSectno"/>
        </w:rPr>
        <w:t>213S</w:t>
      </w:r>
      <w:r>
        <w:t>.</w:t>
      </w:r>
      <w:r>
        <w:tab/>
        <w:t>Management of college funds</w:t>
      </w:r>
      <w:bookmarkEnd w:id="1068"/>
      <w:bookmarkEnd w:id="1066"/>
      <w:bookmarkEnd w:id="1067"/>
      <w:bookmarkEnd w:id="1069"/>
    </w:p>
    <w:p>
      <w:pPr>
        <w:pStyle w:val="Subsection"/>
      </w:pPr>
      <w:r>
        <w:tab/>
        <w:t>(1)</w:t>
      </w:r>
      <w:r>
        <w:tab/>
        <w:t>The management of a college fund is to be vested in an officer designated by the chief executive officer to perform that function for the college.</w:t>
      </w:r>
    </w:p>
    <w:p>
      <w:pPr>
        <w:pStyle w:val="Subsection"/>
      </w:pPr>
      <w:r>
        <w:tab/>
        <w:t>(2)</w:t>
      </w:r>
      <w:r>
        <w:tab/>
        <w:t>The chief executive officer may amend, revoke or replace a designation under subsection (1).</w:t>
      </w:r>
    </w:p>
    <w:p>
      <w:pPr>
        <w:pStyle w:val="Subsection"/>
      </w:pPr>
      <w:r>
        <w:tab/>
        <w:t>(3)</w:t>
      </w:r>
      <w:r>
        <w:tab/>
        <w:t>Moneys forming part of a college fund may only be expended by or with the authority of the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213K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Footnotesection"/>
        <w:spacing w:before="80"/>
      </w:pPr>
      <w:bookmarkStart w:id="1070" w:name="_Toc468166555"/>
      <w:bookmarkStart w:id="1071" w:name="_Toc468172964"/>
      <w:r>
        <w:tab/>
        <w:t>[Section 213S inserted: No. 41 of 2016 s. 11.]</w:t>
      </w:r>
    </w:p>
    <w:p>
      <w:pPr>
        <w:pStyle w:val="Heading5"/>
      </w:pPr>
      <w:bookmarkStart w:id="1072" w:name="_Toc32412072"/>
      <w:bookmarkStart w:id="1073" w:name="_Toc13494505"/>
      <w:r>
        <w:rPr>
          <w:rStyle w:val="CharSectno"/>
        </w:rPr>
        <w:t>213T</w:t>
      </w:r>
      <w:r>
        <w:t>.</w:t>
      </w:r>
      <w:r>
        <w:tab/>
        <w:t>Money to be credited to college funds</w:t>
      </w:r>
      <w:bookmarkEnd w:id="1072"/>
      <w:bookmarkEnd w:id="1070"/>
      <w:bookmarkEnd w:id="1071"/>
      <w:bookmarkEnd w:id="1073"/>
    </w:p>
    <w:p>
      <w:pPr>
        <w:pStyle w:val="Subsection"/>
      </w:pPr>
      <w:r>
        <w:tab/>
        <w:t>(1)</w:t>
      </w:r>
      <w:r>
        <w:tab/>
        <w:t xml:space="preserve">The following are to be credited to the General Purposes Fund of a student residential college — </w:t>
      </w:r>
    </w:p>
    <w:p>
      <w:pPr>
        <w:pStyle w:val="Indenta"/>
      </w:pPr>
      <w:r>
        <w:tab/>
        <w:t>(a)</w:t>
      </w:r>
      <w:r>
        <w:tab/>
        <w:t>moneys from time to time allocated to the college from funds appropriated by Parliament;</w:t>
      </w:r>
    </w:p>
    <w:p>
      <w:pPr>
        <w:pStyle w:val="Indenta"/>
      </w:pPr>
      <w:r>
        <w:tab/>
        <w:t>(b)</w:t>
      </w:r>
      <w:r>
        <w:tab/>
        <w:t>grants and advances to the college from government and private sources;</w:t>
      </w:r>
    </w:p>
    <w:p>
      <w:pPr>
        <w:pStyle w:val="Indenta"/>
      </w:pPr>
      <w:r>
        <w:tab/>
        <w:t>(c)</w:t>
      </w:r>
      <w:r>
        <w:tab/>
        <w:t>charges and other moneys received or recovered under agreements under which accommodation and related services are provided at the colleges;</w:t>
      </w:r>
    </w:p>
    <w:p>
      <w:pPr>
        <w:pStyle w:val="Indenta"/>
      </w:pPr>
      <w:r>
        <w:tab/>
        <w:t>(d)</w:t>
      </w:r>
      <w:r>
        <w:tab/>
        <w:t>moneys payable to the college under section 213G or 213L;</w:t>
      </w:r>
    </w:p>
    <w:p>
      <w:pPr>
        <w:pStyle w:val="Indenta"/>
      </w:pPr>
      <w:r>
        <w:tab/>
        <w:t>(e)</w:t>
      </w:r>
      <w:r>
        <w:tab/>
        <w:t>the proceeds of any investment of the General Purposes Fund under section 213W;</w:t>
      </w:r>
    </w:p>
    <w:p>
      <w:pPr>
        <w:pStyle w:val="Indenta"/>
      </w:pPr>
      <w:r>
        <w:tab/>
        <w:t>(f)</w:t>
      </w:r>
      <w:r>
        <w:tab/>
        <w:t>subject to subsection (2), other moneys properly receivable for the purposes of the college.</w:t>
      </w:r>
    </w:p>
    <w:p>
      <w:pPr>
        <w:pStyle w:val="Subsection"/>
      </w:pPr>
      <w:r>
        <w:tab/>
        <w:t>(2)</w:t>
      </w:r>
      <w:r>
        <w:tab/>
        <w:t>There are to be credited to a fund established for a student residential college under section 213R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213W.</w:t>
      </w:r>
    </w:p>
    <w:p>
      <w:pPr>
        <w:pStyle w:val="Footnotesection"/>
        <w:spacing w:before="80"/>
      </w:pPr>
      <w:bookmarkStart w:id="1074" w:name="_Toc468166556"/>
      <w:bookmarkStart w:id="1075" w:name="_Toc468172965"/>
      <w:r>
        <w:tab/>
        <w:t>[Section 213T inserted: No. 41 of 2016 s. 11.]</w:t>
      </w:r>
    </w:p>
    <w:p>
      <w:pPr>
        <w:pStyle w:val="Heading5"/>
      </w:pPr>
      <w:bookmarkStart w:id="1076" w:name="_Toc32412073"/>
      <w:bookmarkStart w:id="1077" w:name="_Toc13494506"/>
      <w:r>
        <w:rPr>
          <w:rStyle w:val="CharSectno"/>
        </w:rPr>
        <w:t>213U</w:t>
      </w:r>
      <w:r>
        <w:t>.</w:t>
      </w:r>
      <w:r>
        <w:tab/>
        <w:t>Bank account for college funds</w:t>
      </w:r>
      <w:bookmarkEnd w:id="1076"/>
      <w:bookmarkEnd w:id="1074"/>
      <w:bookmarkEnd w:id="1075"/>
      <w:bookmarkEnd w:id="1077"/>
      <w:r>
        <w:t xml:space="preserve"> </w:t>
      </w:r>
    </w:p>
    <w:p>
      <w:pPr>
        <w:pStyle w:val="Subsection"/>
      </w:pPr>
      <w:r>
        <w:tab/>
        <w:t>(1)</w:t>
      </w:r>
      <w:r>
        <w:tab/>
        <w:t>Moneys forming part of a college fund are to be paid into an account at a bank approved by the chief executive officer.</w:t>
      </w:r>
    </w:p>
    <w:p>
      <w:pPr>
        <w:pStyle w:val="Subsection"/>
      </w:pPr>
      <w:r>
        <w:tab/>
        <w:t>(2)</w:t>
      </w:r>
      <w:r>
        <w:tab/>
        <w:t>A student residential college is to have only one such bank account for each college fund except to the extent that the chief executive officer approves otherwise.</w:t>
      </w:r>
    </w:p>
    <w:p>
      <w:pPr>
        <w:pStyle w:val="Subsection"/>
      </w:pPr>
      <w:r>
        <w:tab/>
        <w:t>(3)</w:t>
      </w:r>
      <w:r>
        <w:tab/>
        <w:t>The bank account or accounts may only be operated jointly by 2 or more office</w:t>
      </w:r>
      <w:r>
        <w:noBreakHyphen/>
        <w:t>holders, or persons belonging to a class, designated under subsection (4).</w:t>
      </w:r>
    </w:p>
    <w:p>
      <w:pPr>
        <w:pStyle w:val="Subsection"/>
      </w:pPr>
      <w:r>
        <w:tab/>
        <w:t>(4)</w:t>
      </w:r>
      <w:r>
        <w:tab/>
        <w:t>The chief executive officer is to designate for each student residential college the office</w:t>
      </w:r>
      <w:r>
        <w:noBreakHyphen/>
        <w:t>holders or class of persons who may act under subsection (3).</w:t>
      </w:r>
    </w:p>
    <w:p>
      <w:pPr>
        <w:pStyle w:val="Subsection"/>
        <w:keepNext/>
      </w:pPr>
      <w:r>
        <w:tab/>
        <w:t>(5)</w:t>
      </w:r>
      <w:r>
        <w:tab/>
        <w:t>In this section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the </w:t>
      </w:r>
      <w:r>
        <w:rPr>
          <w:i/>
        </w:rPr>
        <w:t>Banking Act 1959</w:t>
      </w:r>
      <w:r>
        <w:t xml:space="preserve"> (Commonwealth) section 5; or</w:t>
      </w:r>
    </w:p>
    <w:p>
      <w:pPr>
        <w:pStyle w:val="Defpara"/>
      </w:pPr>
      <w:r>
        <w:tab/>
        <w:t>(b)</w:t>
      </w:r>
      <w:r>
        <w:tab/>
        <w:t>a bank constituted by a law of a State, a Territory or the Commonwealth.</w:t>
      </w:r>
    </w:p>
    <w:p>
      <w:pPr>
        <w:pStyle w:val="Footnotesection"/>
        <w:spacing w:before="80"/>
      </w:pPr>
      <w:bookmarkStart w:id="1078" w:name="_Toc468166557"/>
      <w:bookmarkStart w:id="1079" w:name="_Toc468172966"/>
      <w:r>
        <w:tab/>
        <w:t>[Section 213U inserted: No. 41 of 2016 s. 11.]</w:t>
      </w:r>
    </w:p>
    <w:p>
      <w:pPr>
        <w:pStyle w:val="Heading5"/>
      </w:pPr>
      <w:bookmarkStart w:id="1080" w:name="_Toc32412074"/>
      <w:bookmarkStart w:id="1081" w:name="_Toc13494507"/>
      <w:r>
        <w:rPr>
          <w:rStyle w:val="CharSectno"/>
        </w:rPr>
        <w:t>213V</w:t>
      </w:r>
      <w:r>
        <w:t>.</w:t>
      </w:r>
      <w:r>
        <w:tab/>
      </w:r>
      <w:r>
        <w:rPr>
          <w:i/>
        </w:rPr>
        <w:t>Financial Management Act 2006</w:t>
      </w:r>
      <w:r>
        <w:rPr>
          <w:b w:val="0"/>
        </w:rPr>
        <w:t xml:space="preserve"> </w:t>
      </w:r>
      <w:r>
        <w:t>s. 8 and 34, application of to s. 213Q to 213U</w:t>
      </w:r>
      <w:bookmarkEnd w:id="1080"/>
      <w:bookmarkEnd w:id="1078"/>
      <w:bookmarkEnd w:id="1079"/>
      <w:bookmarkEnd w:id="1081"/>
    </w:p>
    <w:p>
      <w:pPr>
        <w:pStyle w:val="Subsection"/>
      </w:pPr>
      <w:r>
        <w:tab/>
      </w:r>
      <w:r>
        <w:tab/>
        <w:t xml:space="preserve">Sections 213Q to 213U have effect despite the </w:t>
      </w:r>
      <w:r>
        <w:rPr>
          <w:i/>
        </w:rPr>
        <w:t>Financial Management Act 2006</w:t>
      </w:r>
      <w:r>
        <w:t xml:space="preserve"> sections 8 and 34, but nothing in sections 213Q to 213U is to be read as affecting the responsibilities of the chief executive officer as accountable authority under that Act in respect of moneys referred to in section 213T.</w:t>
      </w:r>
    </w:p>
    <w:p>
      <w:pPr>
        <w:pStyle w:val="Footnotesection"/>
        <w:spacing w:before="80"/>
      </w:pPr>
      <w:bookmarkStart w:id="1082" w:name="_Toc468166558"/>
      <w:bookmarkStart w:id="1083" w:name="_Toc468172967"/>
      <w:r>
        <w:tab/>
        <w:t>[Section 213V inserted: No. 41 of 2016 s. 11.]</w:t>
      </w:r>
    </w:p>
    <w:p>
      <w:pPr>
        <w:pStyle w:val="Heading5"/>
      </w:pPr>
      <w:bookmarkStart w:id="1084" w:name="_Toc32412075"/>
      <w:bookmarkStart w:id="1085" w:name="_Toc13494508"/>
      <w:r>
        <w:rPr>
          <w:rStyle w:val="CharSectno"/>
        </w:rPr>
        <w:t>213W</w:t>
      </w:r>
      <w:r>
        <w:t>.</w:t>
      </w:r>
      <w:r>
        <w:tab/>
        <w:t>Investment of college funds</w:t>
      </w:r>
      <w:bookmarkEnd w:id="1084"/>
      <w:bookmarkEnd w:id="1082"/>
      <w:bookmarkEnd w:id="1083"/>
      <w:bookmarkEnd w:id="1085"/>
    </w:p>
    <w:p>
      <w:pPr>
        <w:pStyle w:val="Subsection"/>
      </w:pPr>
      <w:r>
        <w:tab/>
      </w:r>
      <w:r>
        <w:tab/>
        <w:t xml:space="preserve">Moneys forming part of a college fund may, until required to be paid out under section 213S, be invested in the name of the college by the officer designated under section 213S(1) in the manner in which money standing to the credit of the Public Bank Account may be invested under the </w:t>
      </w:r>
      <w:r>
        <w:rPr>
          <w:i/>
        </w:rPr>
        <w:t>Financial Management Act 2006</w:t>
      </w:r>
      <w:r>
        <w:t xml:space="preserve"> section 37.</w:t>
      </w:r>
    </w:p>
    <w:p>
      <w:pPr>
        <w:pStyle w:val="Footnotesection"/>
        <w:spacing w:before="80"/>
      </w:pPr>
      <w:bookmarkStart w:id="1086" w:name="_Toc468166559"/>
      <w:bookmarkStart w:id="1087" w:name="_Toc468172968"/>
      <w:r>
        <w:tab/>
        <w:t>[Section 213W inserted: No. 41 of 2016 s. 11.]</w:t>
      </w:r>
    </w:p>
    <w:p>
      <w:pPr>
        <w:pStyle w:val="Heading5"/>
      </w:pPr>
      <w:bookmarkStart w:id="1088" w:name="_Toc32412076"/>
      <w:bookmarkStart w:id="1089" w:name="_Toc13494509"/>
      <w:r>
        <w:rPr>
          <w:rStyle w:val="CharSectno"/>
        </w:rPr>
        <w:t>213X</w:t>
      </w:r>
      <w:r>
        <w:t>.</w:t>
      </w:r>
      <w:r>
        <w:tab/>
        <w:t>Dealing with college funds on closure or amalgamation of a college</w:t>
      </w:r>
      <w:bookmarkEnd w:id="1088"/>
      <w:bookmarkEnd w:id="1086"/>
      <w:bookmarkEnd w:id="1087"/>
      <w:bookmarkEnd w:id="1089"/>
    </w:p>
    <w:p>
      <w:pPr>
        <w:pStyle w:val="Subsection"/>
      </w:pPr>
      <w:r>
        <w:tab/>
        <w:t>(1)</w:t>
      </w:r>
      <w:r>
        <w:tab/>
        <w:t>If a student residential college is closed or amalgamated with another college —</w:t>
      </w:r>
    </w:p>
    <w:p>
      <w:pPr>
        <w:pStyle w:val="Defpara"/>
      </w:pPr>
      <w:r>
        <w:tab/>
        <w:t>(a)</w:t>
      </w:r>
      <w:r>
        <w:tab/>
        <w:t>subject to subsection (2), moneys in a college fund are to be dealt with as the chief executive officer may direct; and</w:t>
      </w:r>
    </w:p>
    <w:p>
      <w:pPr>
        <w:pStyle w:val="Defpara"/>
      </w:pPr>
      <w:r>
        <w:tab/>
        <w:t>(b)</w:t>
      </w:r>
      <w:r>
        <w:tab/>
        <w:t>the bank account for the fund may be operated by the chief executive officer for the purpose of giving effect to such a direction.</w:t>
      </w:r>
    </w:p>
    <w:p>
      <w:pPr>
        <w:pStyle w:val="Subsection"/>
      </w:pPr>
      <w:r>
        <w:tab/>
        <w:t>(2)</w:t>
      </w:r>
      <w:r>
        <w:tab/>
        <w:t>However —</w:t>
      </w:r>
    </w:p>
    <w:p>
      <w:pPr>
        <w:pStyle w:val="Defpara"/>
      </w:pPr>
      <w:r>
        <w:tab/>
        <w:t>(a)</w:t>
      </w:r>
      <w:r>
        <w:tab/>
        <w:t>money paid under a licence to which section 213K applies as a security for the performance of an obligation may only be applied in accordance with the licence; and</w:t>
      </w:r>
    </w:p>
    <w:p>
      <w:pPr>
        <w:pStyle w:val="Defpara"/>
      </w:pPr>
      <w:r>
        <w:tab/>
        <w:t>(b)</w:t>
      </w:r>
      <w:r>
        <w:tab/>
        <w:t>subsection (1)(a) only applies to that money if the money has been forfeited under, and in accordance with, the licence.</w:t>
      </w:r>
    </w:p>
    <w:p>
      <w:pPr>
        <w:pStyle w:val="Footnotesection"/>
        <w:spacing w:before="80"/>
      </w:pPr>
      <w:bookmarkStart w:id="1090" w:name="_Toc429492928"/>
      <w:bookmarkStart w:id="1091" w:name="_Toc431830953"/>
      <w:bookmarkStart w:id="1092" w:name="_Toc432168412"/>
      <w:bookmarkStart w:id="1093" w:name="_Toc432170332"/>
      <w:bookmarkStart w:id="1094" w:name="_Toc432763065"/>
      <w:bookmarkStart w:id="1095" w:name="_Toc432776633"/>
      <w:bookmarkStart w:id="1096" w:name="_Toc433034585"/>
      <w:bookmarkStart w:id="1097" w:name="_Toc433035637"/>
      <w:bookmarkStart w:id="1098" w:name="_Toc464633922"/>
      <w:bookmarkStart w:id="1099" w:name="_Toc464634002"/>
      <w:bookmarkStart w:id="1100" w:name="_Toc467148261"/>
      <w:bookmarkStart w:id="1101" w:name="_Toc468166560"/>
      <w:bookmarkStart w:id="1102" w:name="_Toc468172969"/>
      <w:r>
        <w:tab/>
        <w:t>[Section 213X inserted: No. 41 of 2016 s. 11.]</w:t>
      </w:r>
    </w:p>
    <w:p>
      <w:pPr>
        <w:pStyle w:val="Heading4"/>
      </w:pPr>
      <w:bookmarkStart w:id="1103" w:name="_Toc32411663"/>
      <w:bookmarkStart w:id="1104" w:name="_Toc32412077"/>
      <w:bookmarkStart w:id="1105" w:name="_Toc486515988"/>
      <w:bookmarkStart w:id="1106" w:name="_Toc486517026"/>
      <w:bookmarkStart w:id="1107" w:name="_Toc13494510"/>
      <w:r>
        <w:t>Subdivision 2 — Student Residential Colleges Fund</w:t>
      </w:r>
      <w:bookmarkEnd w:id="1103"/>
      <w:bookmarkEnd w:id="1104"/>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5"/>
      <w:bookmarkEnd w:id="1106"/>
      <w:bookmarkEnd w:id="1107"/>
    </w:p>
    <w:p>
      <w:pPr>
        <w:pStyle w:val="Footnoteheading"/>
      </w:pPr>
      <w:bookmarkStart w:id="1108" w:name="_Toc468166561"/>
      <w:bookmarkStart w:id="1109" w:name="_Toc468172970"/>
      <w:r>
        <w:tab/>
        <w:t>[Heading inserted: No. 41 of 2016 s. 11.]</w:t>
      </w:r>
    </w:p>
    <w:p>
      <w:pPr>
        <w:pStyle w:val="Heading5"/>
      </w:pPr>
      <w:bookmarkStart w:id="1110" w:name="_Toc32412078"/>
      <w:bookmarkStart w:id="1111" w:name="_Toc13494511"/>
      <w:r>
        <w:rPr>
          <w:rStyle w:val="CharSectno"/>
        </w:rPr>
        <w:t>213Y</w:t>
      </w:r>
      <w:r>
        <w:t>.</w:t>
      </w:r>
      <w:r>
        <w:tab/>
        <w:t>Student Residential Colleges Fund</w:t>
      </w:r>
      <w:bookmarkEnd w:id="1110"/>
      <w:bookmarkEnd w:id="1108"/>
      <w:bookmarkEnd w:id="1109"/>
      <w:bookmarkEnd w:id="1111"/>
    </w:p>
    <w:p>
      <w:pPr>
        <w:pStyle w:val="Subsection"/>
      </w:pPr>
      <w:r>
        <w:tab/>
        <w:t>(1)</w:t>
      </w:r>
      <w:r>
        <w:tab/>
        <w:t>An account called the Student Residential Colleges Fund is established for the department.</w:t>
      </w:r>
    </w:p>
    <w:p>
      <w:pPr>
        <w:pStyle w:val="Subsection"/>
      </w:pPr>
      <w:r>
        <w:tab/>
        <w:t>(2)</w:t>
      </w:r>
      <w:r>
        <w:tab/>
        <w:t xml:space="preserve">The Student Residential Colleges Fund is an agency special purpose account under the </w:t>
      </w:r>
      <w:r>
        <w:rPr>
          <w:i/>
        </w:rPr>
        <w:t xml:space="preserve">Financial Management Act 2006 </w:t>
      </w:r>
      <w:r>
        <w:t>section 16.</w:t>
      </w:r>
    </w:p>
    <w:p>
      <w:pPr>
        <w:pStyle w:val="Subsection"/>
      </w:pPr>
      <w:r>
        <w:tab/>
        <w:t>(3)</w:t>
      </w:r>
      <w:r>
        <w:tab/>
        <w:t xml:space="preserve">The following are to be credited to the Student Residential Colleges Fund — </w:t>
      </w:r>
    </w:p>
    <w:p>
      <w:pPr>
        <w:pStyle w:val="Indenta"/>
      </w:pPr>
      <w:r>
        <w:tab/>
        <w:t>(a)</w:t>
      </w:r>
      <w:r>
        <w:tab/>
        <w:t>moneys appropriated by Parliament for the purposes of student residential colleges;</w:t>
      </w:r>
    </w:p>
    <w:p>
      <w:pPr>
        <w:pStyle w:val="Indenta"/>
      </w:pPr>
      <w:r>
        <w:tab/>
        <w:t>(b)</w:t>
      </w:r>
      <w:r>
        <w:tab/>
        <w:t>moneys borrowed under section 213ZA;</w:t>
      </w:r>
    </w:p>
    <w:p>
      <w:pPr>
        <w:pStyle w:val="Indenta"/>
      </w:pPr>
      <w:r>
        <w:tab/>
        <w:t>(c)</w:t>
      </w:r>
      <w:r>
        <w:tab/>
        <w:t>any other moneys received by, made available to or payable to the Minister in the performance of functions under this Act that relate to student residential colleges.</w:t>
      </w:r>
    </w:p>
    <w:p>
      <w:pPr>
        <w:pStyle w:val="Subsection"/>
      </w:pPr>
      <w:r>
        <w:tab/>
        <w:t>(4)</w:t>
      </w:r>
      <w:r>
        <w:tab/>
        <w:t xml:space="preserve">Moneys standing to the credit of the Student Residential Colleges Fund are to be applied in the payment of — </w:t>
      </w:r>
    </w:p>
    <w:p>
      <w:pPr>
        <w:pStyle w:val="Indenta"/>
      </w:pPr>
      <w:r>
        <w:tab/>
        <w:t>(a)</w:t>
      </w:r>
      <w:r>
        <w:tab/>
        <w:t>expenditure incurred in the performance of the functions of the Minister under this Part;</w:t>
      </w:r>
    </w:p>
    <w:p>
      <w:pPr>
        <w:pStyle w:val="Indenta"/>
      </w:pPr>
      <w:r>
        <w:tab/>
        <w:t>(b)</w:t>
      </w:r>
      <w:r>
        <w:tab/>
        <w:t>the costs of the administration and enforcement of this Act in relation to student residential colleges.</w:t>
      </w:r>
    </w:p>
    <w:p>
      <w:pPr>
        <w:pStyle w:val="Subsection"/>
      </w:pPr>
      <w:r>
        <w:tab/>
        <w:t>(5)</w:t>
      </w:r>
      <w:r>
        <w:tab/>
        <w:t xml:space="preserve">For the purposes of the </w:t>
      </w:r>
      <w:r>
        <w:rPr>
          <w:i/>
        </w:rPr>
        <w:t>Financial Management Act 2006</w:t>
      </w:r>
      <w:r>
        <w:t xml:space="preserve"> section 52, the administration of the Student Residential Colleges Fund is to be regarded as a service of the department.</w:t>
      </w:r>
    </w:p>
    <w:p>
      <w:pPr>
        <w:pStyle w:val="Footnotesection"/>
        <w:spacing w:before="80"/>
      </w:pPr>
      <w:bookmarkStart w:id="1112" w:name="_Toc468166562"/>
      <w:bookmarkStart w:id="1113" w:name="_Toc468172971"/>
      <w:r>
        <w:tab/>
        <w:t>[Section 213Y inserted: No. 41 of 2016 s. 11.]</w:t>
      </w:r>
    </w:p>
    <w:p>
      <w:pPr>
        <w:pStyle w:val="Heading5"/>
      </w:pPr>
      <w:bookmarkStart w:id="1114" w:name="_Toc32412079"/>
      <w:bookmarkStart w:id="1115" w:name="_Toc13494512"/>
      <w:r>
        <w:rPr>
          <w:rStyle w:val="CharSectno"/>
        </w:rPr>
        <w:t>213ZA</w:t>
      </w:r>
      <w:r>
        <w:t>.</w:t>
      </w:r>
      <w:r>
        <w:tab/>
        <w:t>Minister’s power to borrow money</w:t>
      </w:r>
      <w:bookmarkEnd w:id="1114"/>
      <w:bookmarkEnd w:id="1112"/>
      <w:bookmarkEnd w:id="1113"/>
      <w:bookmarkEnd w:id="1115"/>
    </w:p>
    <w:p>
      <w:pPr>
        <w:pStyle w:val="Subsection"/>
      </w:pPr>
      <w:r>
        <w:tab/>
        <w:t>(1)</w:t>
      </w:r>
      <w:r>
        <w:tab/>
        <w:t xml:space="preserve">The Minister may, if the Treasurer approves, borrow sums of money from the Western Australian Treasury Corporation established under the </w:t>
      </w:r>
      <w:r>
        <w:rPr>
          <w:i/>
        </w:rPr>
        <w:t>Western Australian Treasury Corporation Act 1986</w:t>
      </w:r>
      <w:r>
        <w:t xml:space="preserve"> for the purposes of this Part.</w:t>
      </w:r>
    </w:p>
    <w:p>
      <w:pPr>
        <w:pStyle w:val="Subsection"/>
      </w:pPr>
      <w:r>
        <w:tab/>
        <w:t>(2)</w:t>
      </w:r>
      <w:r>
        <w:tab/>
        <w:t>All sums borrowed under subsection (1) are to be credited to the Student Residential Colleges Fund.</w:t>
      </w:r>
    </w:p>
    <w:p>
      <w:pPr>
        <w:pStyle w:val="Footnotesection"/>
        <w:spacing w:before="80"/>
      </w:pPr>
      <w:r>
        <w:tab/>
        <w:t>[Section 213ZA inserted: No. 41 of 2016 s. 11.]</w:t>
      </w:r>
    </w:p>
    <w:p>
      <w:pPr>
        <w:pStyle w:val="Heading2"/>
      </w:pPr>
      <w:bookmarkStart w:id="1116" w:name="_Toc32411666"/>
      <w:bookmarkStart w:id="1117" w:name="_Toc32412080"/>
      <w:bookmarkStart w:id="1118" w:name="_Toc486515991"/>
      <w:bookmarkStart w:id="1119" w:name="_Toc486517029"/>
      <w:bookmarkStart w:id="1120" w:name="_Toc13494513"/>
      <w:r>
        <w:rPr>
          <w:rStyle w:val="CharPartNo"/>
        </w:rPr>
        <w:t>Part 6</w:t>
      </w:r>
      <w:r>
        <w:t xml:space="preserve"> — </w:t>
      </w:r>
      <w:r>
        <w:rPr>
          <w:rStyle w:val="CharPartText"/>
        </w:rPr>
        <w:t>Administration</w:t>
      </w:r>
      <w:bookmarkEnd w:id="1116"/>
      <w:bookmarkEnd w:id="1117"/>
      <w:bookmarkEnd w:id="1118"/>
      <w:bookmarkEnd w:id="1119"/>
      <w:bookmarkEnd w:id="1120"/>
    </w:p>
    <w:p>
      <w:pPr>
        <w:pStyle w:val="PermNoteHeading"/>
        <w:rPr>
          <w:b/>
          <w:bCs/>
        </w:rPr>
      </w:pPr>
      <w:r>
        <w:rPr>
          <w:b/>
          <w:bCs/>
        </w:rPr>
        <w:t>What this Part is about</w:t>
      </w:r>
    </w:p>
    <w:p>
      <w:pPr>
        <w:pStyle w:val="PermNoteText"/>
      </w:pPr>
      <w:r>
        <w:t>This Part deals with —</w:t>
      </w:r>
    </w:p>
    <w:p>
      <w:pPr>
        <w:pStyle w:val="PermNotePara"/>
        <w:numPr>
          <w:ilvl w:val="0"/>
          <w:numId w:val="7"/>
        </w:numPr>
      </w:pPr>
      <w:r>
        <w:t>the functions and powers of the Minister including the power of delegation (Division 1);</w:t>
      </w:r>
    </w:p>
    <w:p>
      <w:pPr>
        <w:pStyle w:val="PermNotePara"/>
        <w:numPr>
          <w:ilvl w:val="0"/>
          <w:numId w:val="7"/>
        </w:numPr>
      </w:pPr>
      <w:r>
        <w:t>a department of the public service, and its chief executive officer, to assist the Minister in the administration of the Act, other than Part 4 (which is about non</w:t>
      </w:r>
      <w:r>
        <w:noBreakHyphen/>
        <w:t>government schools) (Division 2);</w:t>
      </w:r>
    </w:p>
    <w:p>
      <w:pPr>
        <w:pStyle w:val="PermNotePara"/>
        <w:numPr>
          <w:ilvl w:val="0"/>
          <w:numId w:val="7"/>
        </w:numPr>
      </w:pPr>
      <w:r>
        <w:t>the appointment, management and discipline of teaching staff and other staff (Division 3);</w:t>
      </w:r>
    </w:p>
    <w:p>
      <w:pPr>
        <w:pStyle w:val="PermNotePara"/>
        <w:numPr>
          <w:ilvl w:val="0"/>
          <w:numId w:val="7"/>
        </w:numPr>
      </w:pPr>
      <w:r>
        <w:t>the establishment of panels to advise on aspects of the operation of the Act (Division 4).</w:t>
      </w:r>
    </w:p>
    <w:p>
      <w:pPr>
        <w:pStyle w:val="Footnotesection"/>
        <w:tabs>
          <w:tab w:val="clear" w:pos="893"/>
          <w:tab w:val="left" w:pos="851"/>
        </w:tabs>
        <w:spacing w:before="80"/>
        <w:ind w:left="360" w:firstLine="0"/>
        <w:rPr>
          <w:sz w:val="20"/>
        </w:rPr>
      </w:pPr>
      <w:r>
        <w:rPr>
          <w:sz w:val="20"/>
        </w:rPr>
        <w:t>[Note altered: No. 41 of 2016 Pt. 3.]</w:t>
      </w:r>
    </w:p>
    <w:p>
      <w:pPr>
        <w:pStyle w:val="Heading3"/>
      </w:pPr>
      <w:bookmarkStart w:id="1121" w:name="_Toc32411667"/>
      <w:bookmarkStart w:id="1122" w:name="_Toc32412081"/>
      <w:bookmarkStart w:id="1123" w:name="_Toc486515992"/>
      <w:bookmarkStart w:id="1124" w:name="_Toc486517030"/>
      <w:bookmarkStart w:id="1125" w:name="_Toc13494514"/>
      <w:r>
        <w:rPr>
          <w:rStyle w:val="CharDivNo"/>
        </w:rPr>
        <w:t>Division 1</w:t>
      </w:r>
      <w:r>
        <w:t xml:space="preserve"> — </w:t>
      </w:r>
      <w:r>
        <w:rPr>
          <w:rStyle w:val="CharDivText"/>
        </w:rPr>
        <w:t>The Minister</w:t>
      </w:r>
      <w:bookmarkEnd w:id="1121"/>
      <w:bookmarkEnd w:id="1122"/>
      <w:bookmarkEnd w:id="1123"/>
      <w:bookmarkEnd w:id="1124"/>
      <w:bookmarkEnd w:id="1125"/>
    </w:p>
    <w:p>
      <w:pPr>
        <w:pStyle w:val="Heading5"/>
      </w:pPr>
      <w:bookmarkStart w:id="1126" w:name="_Toc32412082"/>
      <w:bookmarkStart w:id="1127" w:name="_Toc13494515"/>
      <w:r>
        <w:rPr>
          <w:rStyle w:val="CharSectno"/>
        </w:rPr>
        <w:t>213</w:t>
      </w:r>
      <w:r>
        <w:t>.</w:t>
      </w:r>
      <w:r>
        <w:tab/>
        <w:t>Terms used</w:t>
      </w:r>
      <w:bookmarkEnd w:id="1126"/>
      <w:bookmarkEnd w:id="1127"/>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No. 28 of 2014 s. 30.]</w:t>
      </w:r>
    </w:p>
    <w:p>
      <w:pPr>
        <w:pStyle w:val="Heading5"/>
      </w:pPr>
      <w:bookmarkStart w:id="1128" w:name="_Toc32412083"/>
      <w:bookmarkStart w:id="1129" w:name="_Toc13494516"/>
      <w:r>
        <w:rPr>
          <w:rStyle w:val="CharSectno"/>
        </w:rPr>
        <w:t>214</w:t>
      </w:r>
      <w:r>
        <w:t>.</w:t>
      </w:r>
      <w:r>
        <w:tab/>
        <w:t>“Minister for Education” is body corporate etc.</w:t>
      </w:r>
      <w:bookmarkEnd w:id="1128"/>
      <w:bookmarkEnd w:id="1129"/>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1130" w:name="_Toc32412084"/>
      <w:bookmarkStart w:id="1131" w:name="_Toc13494517"/>
      <w:r>
        <w:rPr>
          <w:rStyle w:val="CharSectno"/>
        </w:rPr>
        <w:t>215</w:t>
      </w:r>
      <w:r>
        <w:t>.</w:t>
      </w:r>
      <w:r>
        <w:tab/>
        <w:t>Property vested in Minister</w:t>
      </w:r>
      <w:bookmarkEnd w:id="1130"/>
      <w:bookmarkEnd w:id="1131"/>
    </w:p>
    <w:p>
      <w:pPr>
        <w:pStyle w:val="Subsection"/>
      </w:pPr>
      <w:r>
        <w:tab/>
      </w:r>
      <w:r>
        <w:tab/>
        <w:t>Property acquired or held for the purposes of this Act is vested in the Minister.</w:t>
      </w:r>
    </w:p>
    <w:p>
      <w:pPr>
        <w:pStyle w:val="Heading5"/>
      </w:pPr>
      <w:bookmarkStart w:id="1132" w:name="_Toc32412085"/>
      <w:bookmarkStart w:id="1133" w:name="_Toc13494518"/>
      <w:r>
        <w:rPr>
          <w:rStyle w:val="CharSectno"/>
        </w:rPr>
        <w:t>216</w:t>
      </w:r>
      <w:r>
        <w:t>.</w:t>
      </w:r>
      <w:r>
        <w:tab/>
        <w:t>Powers of Minister</w:t>
      </w:r>
      <w:bookmarkEnd w:id="1132"/>
      <w:bookmarkEnd w:id="1133"/>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grant,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No. 28 of 2014 s. 31; No. 41 of 2016 s. 12.]</w:t>
      </w:r>
    </w:p>
    <w:p>
      <w:pPr>
        <w:pStyle w:val="Heading5"/>
        <w:spacing w:before="180"/>
      </w:pPr>
      <w:bookmarkStart w:id="1134" w:name="_Toc32412086"/>
      <w:bookmarkStart w:id="1135" w:name="_Toc13494519"/>
      <w:r>
        <w:rPr>
          <w:rStyle w:val="CharSectno"/>
        </w:rPr>
        <w:t>217</w:t>
      </w:r>
      <w:r>
        <w:t>.</w:t>
      </w:r>
      <w:r>
        <w:tab/>
        <w:t>Treasurer to consider proposals under s. 216(2)(c)</w:t>
      </w:r>
      <w:bookmarkEnd w:id="1134"/>
      <w:bookmarkEnd w:id="1135"/>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136" w:name="_Toc32412087"/>
      <w:bookmarkStart w:id="1137" w:name="_Toc13494520"/>
      <w:r>
        <w:rPr>
          <w:rStyle w:val="CharSectno"/>
        </w:rPr>
        <w:t>218</w:t>
      </w:r>
      <w:r>
        <w:t>.</w:t>
      </w:r>
      <w:r>
        <w:tab/>
        <w:t>Licences by Minister for use of tangible property, other than property relating to student residential colleges</w:t>
      </w:r>
      <w:bookmarkEnd w:id="1136"/>
      <w:bookmarkEnd w:id="1137"/>
    </w:p>
    <w:p>
      <w:pPr>
        <w:pStyle w:val="Subsection"/>
      </w:pPr>
      <w:r>
        <w:tab/>
        <w:t>(1)</w:t>
      </w:r>
      <w:r>
        <w:tab/>
        <w:t>This section applies to a licence granted by the Minister to a person for the use of tangible property that is vested in the Minister, other than property that relates to a student residential college.</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No. 28 of 2014 s. 32; amended: No. 41 of 2016 s. 13.]</w:t>
      </w:r>
    </w:p>
    <w:p>
      <w:pPr>
        <w:pStyle w:val="Ednotesection"/>
      </w:pPr>
      <w:r>
        <w:t>[</w:t>
      </w:r>
      <w:r>
        <w:rPr>
          <w:b/>
          <w:bCs/>
        </w:rPr>
        <w:t>219.</w:t>
      </w:r>
      <w:r>
        <w:tab/>
        <w:t>Deleted: No. 28 of 2014 s. 32.]</w:t>
      </w:r>
    </w:p>
    <w:p>
      <w:pPr>
        <w:pStyle w:val="Heading5"/>
      </w:pPr>
      <w:bookmarkStart w:id="1138" w:name="_Toc32412088"/>
      <w:bookmarkStart w:id="1139" w:name="_Toc13494521"/>
      <w:r>
        <w:rPr>
          <w:rStyle w:val="CharSectno"/>
        </w:rPr>
        <w:t>220</w:t>
      </w:r>
      <w:r>
        <w:t>.</w:t>
      </w:r>
      <w:r>
        <w:tab/>
        <w:t>When money paid under licence to be paid to school’s General Purposes Fund</w:t>
      </w:r>
      <w:bookmarkEnd w:id="1138"/>
      <w:bookmarkEnd w:id="1139"/>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No. 28 of 2014 s. 33.]</w:t>
      </w:r>
    </w:p>
    <w:p>
      <w:pPr>
        <w:pStyle w:val="Heading5"/>
        <w:keepNext w:val="0"/>
        <w:keepLines w:val="0"/>
        <w:pageBreakBefore/>
        <w:spacing w:before="0"/>
      </w:pPr>
      <w:bookmarkStart w:id="1140" w:name="_Toc32412089"/>
      <w:bookmarkStart w:id="1141" w:name="_Toc13494522"/>
      <w:r>
        <w:rPr>
          <w:rStyle w:val="CharSectno"/>
        </w:rPr>
        <w:t>221</w:t>
      </w:r>
      <w:r>
        <w:t>.</w:t>
      </w:r>
      <w:r>
        <w:tab/>
        <w:t>When money paid for advertising or sponsorship to be paid to school’s General Purposes Fund</w:t>
      </w:r>
      <w:bookmarkEnd w:id="1140"/>
      <w:bookmarkEnd w:id="1141"/>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142" w:name="_Toc32412090"/>
      <w:bookmarkStart w:id="1143" w:name="_Toc13494523"/>
      <w:r>
        <w:rPr>
          <w:rStyle w:val="CharSectno"/>
        </w:rPr>
        <w:t>222</w:t>
      </w:r>
      <w:r>
        <w:t>.</w:t>
      </w:r>
      <w:r>
        <w:tab/>
        <w:t>Exempting school from Act, Minister’s powers as to</w:t>
      </w:r>
      <w:bookmarkEnd w:id="1142"/>
      <w:bookmarkEnd w:id="1143"/>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144" w:name="_Toc32412091"/>
      <w:bookmarkStart w:id="1145" w:name="_Toc13494524"/>
      <w:r>
        <w:rPr>
          <w:rStyle w:val="CharSectno"/>
        </w:rPr>
        <w:t>223</w:t>
      </w:r>
      <w:r>
        <w:t>.</w:t>
      </w:r>
      <w:r>
        <w:tab/>
        <w:t>Decision as to individual student, review of by Minister</w:t>
      </w:r>
      <w:bookmarkEnd w:id="1144"/>
      <w:bookmarkEnd w:id="1145"/>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146" w:name="_Toc32412092"/>
      <w:bookmarkStart w:id="1147" w:name="_Toc13494525"/>
      <w:r>
        <w:rPr>
          <w:rStyle w:val="CharSectno"/>
        </w:rPr>
        <w:t>224</w:t>
      </w:r>
      <w:r>
        <w:t>.</w:t>
      </w:r>
      <w:r>
        <w:tab/>
        <w:t>Delegation by Minister</w:t>
      </w:r>
      <w:bookmarkEnd w:id="1146"/>
      <w:bookmarkEnd w:id="1147"/>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148" w:name="_Toc32412093"/>
      <w:bookmarkStart w:id="1149" w:name="_Toc13494526"/>
      <w:r>
        <w:rPr>
          <w:rStyle w:val="CharSectno"/>
        </w:rPr>
        <w:t>225</w:t>
      </w:r>
      <w:r>
        <w:t>.</w:t>
      </w:r>
      <w:r>
        <w:tab/>
        <w:t>Subdelegation by CEO, Minister may permit</w:t>
      </w:r>
      <w:bookmarkEnd w:id="1148"/>
      <w:bookmarkEnd w:id="1149"/>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150" w:name="_Toc32412094"/>
      <w:bookmarkStart w:id="1151" w:name="_Toc13494527"/>
      <w:r>
        <w:rPr>
          <w:rStyle w:val="CharSectno"/>
        </w:rPr>
        <w:t>226</w:t>
      </w:r>
      <w:r>
        <w:t>.</w:t>
      </w:r>
      <w:r>
        <w:tab/>
        <w:t>Documents presumed duly executed</w:t>
      </w:r>
      <w:bookmarkEnd w:id="1150"/>
      <w:bookmarkEnd w:id="1151"/>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152" w:name="_Toc32412095"/>
      <w:bookmarkStart w:id="1153" w:name="_Toc13494528"/>
      <w:r>
        <w:rPr>
          <w:rStyle w:val="CharSectno"/>
        </w:rPr>
        <w:t>227</w:t>
      </w:r>
      <w:r>
        <w:t>.</w:t>
      </w:r>
      <w:r>
        <w:tab/>
        <w:t xml:space="preserve">Application of </w:t>
      </w:r>
      <w:r>
        <w:rPr>
          <w:i/>
        </w:rPr>
        <w:t>Financial Management Act 2006</w:t>
      </w:r>
      <w:bookmarkEnd w:id="1152"/>
      <w:bookmarkEnd w:id="1153"/>
    </w:p>
    <w:p>
      <w:pPr>
        <w:pStyle w:val="Subsection"/>
      </w:pPr>
      <w:r>
        <w:tab/>
      </w:r>
      <w:r>
        <w:tab/>
        <w:t>Any acts or things done by the Minister under Part 6A or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No. 77 of 2006 Sch. 1 cl. 154(4); No. 41 of 2016 s. 14.]</w:t>
      </w:r>
    </w:p>
    <w:p>
      <w:pPr>
        <w:pStyle w:val="Heading3"/>
      </w:pPr>
      <w:bookmarkStart w:id="1154" w:name="_Toc32411682"/>
      <w:bookmarkStart w:id="1155" w:name="_Toc32412096"/>
      <w:bookmarkStart w:id="1156" w:name="_Toc486516007"/>
      <w:bookmarkStart w:id="1157" w:name="_Toc486517045"/>
      <w:bookmarkStart w:id="1158" w:name="_Toc13494529"/>
      <w:r>
        <w:rPr>
          <w:rStyle w:val="CharDivNo"/>
        </w:rPr>
        <w:t>Division 2</w:t>
      </w:r>
      <w:r>
        <w:t xml:space="preserve"> — </w:t>
      </w:r>
      <w:r>
        <w:rPr>
          <w:rStyle w:val="CharDivText"/>
        </w:rPr>
        <w:t>The department</w:t>
      </w:r>
      <w:bookmarkEnd w:id="1154"/>
      <w:bookmarkEnd w:id="1155"/>
      <w:bookmarkEnd w:id="1156"/>
      <w:bookmarkEnd w:id="1157"/>
      <w:bookmarkEnd w:id="1158"/>
    </w:p>
    <w:p>
      <w:pPr>
        <w:pStyle w:val="Heading5"/>
      </w:pPr>
      <w:bookmarkStart w:id="1159" w:name="_Toc32412097"/>
      <w:bookmarkStart w:id="1160" w:name="_Toc13494530"/>
      <w:r>
        <w:rPr>
          <w:rStyle w:val="CharSectno"/>
        </w:rPr>
        <w:t>228</w:t>
      </w:r>
      <w:r>
        <w:t>.</w:t>
      </w:r>
      <w:r>
        <w:tab/>
        <w:t>Department to assist in administration of Act, other than in relation to non</w:t>
      </w:r>
      <w:r>
        <w:rPr>
          <w:b w:val="0"/>
        </w:rPr>
        <w:t>-</w:t>
      </w:r>
      <w:r>
        <w:t>government schools and students attending non</w:t>
      </w:r>
      <w:r>
        <w:rPr>
          <w:b w:val="0"/>
        </w:rPr>
        <w:t>-</w:t>
      </w:r>
      <w:r>
        <w:t>government schools</w:t>
      </w:r>
      <w:bookmarkEnd w:id="1159"/>
      <w:bookmarkEnd w:id="1160"/>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(except Part 6A) to students enrolled at non-government schools.</w:t>
      </w:r>
    </w:p>
    <w:p>
      <w:pPr>
        <w:pStyle w:val="Footnotesection"/>
        <w:spacing w:before="80"/>
      </w:pPr>
      <w:r>
        <w:tab/>
        <w:t>[Section 228 amended: No. 41 of 2016 s. 15.]</w:t>
      </w:r>
    </w:p>
    <w:p>
      <w:pPr>
        <w:pStyle w:val="Heading5"/>
      </w:pPr>
      <w:bookmarkStart w:id="1161" w:name="_Toc32412098"/>
      <w:bookmarkStart w:id="1162" w:name="_Toc13494531"/>
      <w:r>
        <w:rPr>
          <w:rStyle w:val="CharSectno"/>
        </w:rPr>
        <w:t>229</w:t>
      </w:r>
      <w:r>
        <w:t>.</w:t>
      </w:r>
      <w:r>
        <w:tab/>
        <w:t>Term used: chief executive officer</w:t>
      </w:r>
      <w:bookmarkEnd w:id="1161"/>
      <w:bookmarkEnd w:id="1162"/>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163" w:name="_Toc32412099"/>
      <w:bookmarkStart w:id="1164" w:name="_Toc13494532"/>
      <w:r>
        <w:rPr>
          <w:rStyle w:val="CharSectno"/>
        </w:rPr>
        <w:t>230</w:t>
      </w:r>
      <w:r>
        <w:t>.</w:t>
      </w:r>
      <w:r>
        <w:tab/>
        <w:t>Delegation by chief executive officer</w:t>
      </w:r>
      <w:bookmarkEnd w:id="1163"/>
      <w:bookmarkEnd w:id="1164"/>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keepNext/>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165" w:name="_Toc32412100"/>
      <w:bookmarkStart w:id="1166" w:name="_Toc13494533"/>
      <w:r>
        <w:rPr>
          <w:rStyle w:val="CharSectno"/>
        </w:rPr>
        <w:t>231</w:t>
      </w:r>
      <w:r>
        <w:t>.</w:t>
      </w:r>
      <w:r>
        <w:tab/>
        <w:t>Minister may direct chief executive officer</w:t>
      </w:r>
      <w:bookmarkEnd w:id="1165"/>
      <w:bookmarkEnd w:id="1166"/>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167" w:name="_Toc32412101"/>
      <w:bookmarkStart w:id="1168" w:name="_Toc13494534"/>
      <w:r>
        <w:rPr>
          <w:rStyle w:val="CharSectno"/>
        </w:rPr>
        <w:t>232</w:t>
      </w:r>
      <w:r>
        <w:t>.</w:t>
      </w:r>
      <w:r>
        <w:tab/>
        <w:t>Chief executive officer may direct principal</w:t>
      </w:r>
      <w:bookmarkEnd w:id="1167"/>
      <w:bookmarkEnd w:id="1168"/>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169" w:name="_Toc32412102"/>
      <w:bookmarkStart w:id="1170" w:name="_Toc13494535"/>
      <w:r>
        <w:rPr>
          <w:rStyle w:val="CharSectno"/>
        </w:rPr>
        <w:t>233</w:t>
      </w:r>
      <w:r>
        <w:t>.</w:t>
      </w:r>
      <w:r>
        <w:tab/>
        <w:t>CEO’s Instructions, issue of etc.</w:t>
      </w:r>
      <w:bookmarkEnd w:id="1169"/>
      <w:bookmarkEnd w:id="1170"/>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171" w:name="_Toc32411689"/>
      <w:bookmarkStart w:id="1172" w:name="_Toc32412103"/>
      <w:bookmarkStart w:id="1173" w:name="_Toc486516014"/>
      <w:bookmarkStart w:id="1174" w:name="_Toc486517052"/>
      <w:bookmarkStart w:id="1175" w:name="_Toc13494536"/>
      <w:r>
        <w:rPr>
          <w:rStyle w:val="CharDivNo"/>
        </w:rPr>
        <w:t>Division 3</w:t>
      </w:r>
      <w:r>
        <w:t xml:space="preserve"> — </w:t>
      </w:r>
      <w:r>
        <w:rPr>
          <w:rStyle w:val="CharDivText"/>
        </w:rPr>
        <w:t>Staff employed in the department</w:t>
      </w:r>
      <w:bookmarkEnd w:id="1171"/>
      <w:bookmarkEnd w:id="1172"/>
      <w:bookmarkEnd w:id="1173"/>
      <w:bookmarkEnd w:id="1174"/>
      <w:bookmarkEnd w:id="1175"/>
    </w:p>
    <w:p>
      <w:pPr>
        <w:pStyle w:val="Heading5"/>
        <w:spacing w:before="200"/>
      </w:pPr>
      <w:bookmarkStart w:id="1176" w:name="_Toc32412104"/>
      <w:bookmarkStart w:id="1177" w:name="_Toc13494537"/>
      <w:r>
        <w:rPr>
          <w:rStyle w:val="CharSectno"/>
        </w:rPr>
        <w:t>234</w:t>
      </w:r>
      <w:r>
        <w:t>.</w:t>
      </w:r>
      <w:r>
        <w:tab/>
        <w:t>Terms used</w:t>
      </w:r>
      <w:bookmarkEnd w:id="1176"/>
      <w:bookmarkEnd w:id="1177"/>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1178" w:name="_Toc32412105"/>
      <w:bookmarkStart w:id="1179" w:name="_Toc13494538"/>
      <w:r>
        <w:rPr>
          <w:rStyle w:val="CharSectno"/>
        </w:rPr>
        <w:t>235</w:t>
      </w:r>
      <w:r>
        <w:t>.</w:t>
      </w:r>
      <w:r>
        <w:tab/>
        <w:t>Categories of staff to be employed</w:t>
      </w:r>
      <w:bookmarkEnd w:id="1178"/>
      <w:bookmarkEnd w:id="1179"/>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1180" w:name="_Toc32412106"/>
      <w:bookmarkStart w:id="1181" w:name="_Toc13494539"/>
      <w:r>
        <w:rPr>
          <w:rStyle w:val="CharSectno"/>
        </w:rPr>
        <w:t>236</w:t>
      </w:r>
      <w:r>
        <w:t>.</w:t>
      </w:r>
      <w:r>
        <w:tab/>
        <w:t>Engaging etc. teaching staff, other officers and wages staff</w:t>
      </w:r>
      <w:bookmarkEnd w:id="1180"/>
      <w:bookmarkEnd w:id="1181"/>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keepNext/>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No. 20 of 2002 s. 27; Gazette 15 Aug 2003 p. 3692.]</w:t>
      </w:r>
    </w:p>
    <w:p>
      <w:pPr>
        <w:pStyle w:val="Heading5"/>
      </w:pPr>
      <w:bookmarkStart w:id="1182" w:name="_Toc32412107"/>
      <w:bookmarkStart w:id="1183" w:name="_Toc13494540"/>
      <w:r>
        <w:rPr>
          <w:rStyle w:val="CharSectno"/>
        </w:rPr>
        <w:t>237</w:t>
      </w:r>
      <w:r>
        <w:t>.</w:t>
      </w:r>
      <w:r>
        <w:tab/>
        <w:t>Teaching staff, classes of</w:t>
      </w:r>
      <w:bookmarkEnd w:id="1182"/>
      <w:bookmarkEnd w:id="1183"/>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184" w:name="_Toc32412108"/>
      <w:bookmarkStart w:id="1185" w:name="_Toc13494541"/>
      <w:r>
        <w:rPr>
          <w:rStyle w:val="CharSectno"/>
        </w:rPr>
        <w:t>238</w:t>
      </w:r>
      <w:r>
        <w:t>.</w:t>
      </w:r>
      <w:r>
        <w:tab/>
        <w:t>Transfer etc. of teacher to another category of employee</w:t>
      </w:r>
      <w:bookmarkEnd w:id="1184"/>
      <w:bookmarkEnd w:id="1185"/>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1186" w:name="_Toc32412109"/>
      <w:bookmarkStart w:id="1187" w:name="_Toc13494542"/>
      <w:r>
        <w:rPr>
          <w:rStyle w:val="CharSectno"/>
        </w:rPr>
        <w:t>239</w:t>
      </w:r>
      <w:r>
        <w:t>.</w:t>
      </w:r>
      <w:r>
        <w:tab/>
        <w:t>Teaching staff and other officers, substandard performance by and discipline of</w:t>
      </w:r>
      <w:bookmarkEnd w:id="1186"/>
      <w:bookmarkEnd w:id="1187"/>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No. 39 of 2010 s. 110(2) and (3).]</w:t>
      </w:r>
    </w:p>
    <w:p>
      <w:pPr>
        <w:pStyle w:val="Heading5"/>
        <w:spacing w:before="120"/>
      </w:pPr>
      <w:bookmarkStart w:id="1188" w:name="_Toc32412110"/>
      <w:bookmarkStart w:id="1189" w:name="_Toc13494543"/>
      <w:r>
        <w:rPr>
          <w:rStyle w:val="CharSectno"/>
        </w:rPr>
        <w:t>240</w:t>
      </w:r>
      <w:r>
        <w:t>.</w:t>
      </w:r>
      <w:r>
        <w:tab/>
        <w:t>Employee may be ordered to leave school premises</w:t>
      </w:r>
      <w:bookmarkEnd w:id="1188"/>
      <w:bookmarkEnd w:id="1189"/>
    </w:p>
    <w:p>
      <w:pPr>
        <w:pStyle w:val="Subsection"/>
      </w:pPr>
      <w:r>
        <w:tab/>
        <w:t>(1)</w:t>
      </w:r>
      <w:r>
        <w:tab/>
        <w:t>If the chief executive officer suspects —</w:t>
      </w:r>
    </w:p>
    <w:p>
      <w:pPr>
        <w:pStyle w:val="Indenta"/>
      </w:pPr>
      <w:r>
        <w:tab/>
        <w:t>(a)</w:t>
      </w:r>
      <w:r>
        <w:tab/>
        <w:t>that a person employed at the premises of a government school or a student residential college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or college constitutes a risk to the safety or welfare of students at the premises; or</w:t>
      </w:r>
    </w:p>
    <w:p>
      <w:pPr>
        <w:pStyle w:val="Indenti"/>
      </w:pPr>
      <w:r>
        <w:tab/>
        <w:t>(ii)</w:t>
      </w:r>
      <w:r>
        <w:tab/>
        <w:t>on the premises of any government school or any student residential college constitutes a risk to the safety or welfare of students generally,</w:t>
      </w:r>
    </w:p>
    <w:p>
      <w:pPr>
        <w:pStyle w:val="Subsection"/>
      </w:pPr>
      <w:r>
        <w:tab/>
      </w:r>
      <w:r>
        <w:tab/>
        <w:t>the chief executive officer may, by order in writing given to the person, require the person to leave the premises of the school or college specified in the order and remain away from those premises, or from the premises of all government schools or all student residential colleges, or both,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No. 50 of 2003 s. 94(2); No. 39 of 2010 s. 110(4); No. 28 of 2014 s. 34 and 35; No. 41 of 2016 s. 16.]</w:t>
      </w:r>
    </w:p>
    <w:p>
      <w:pPr>
        <w:pStyle w:val="Heading3"/>
      </w:pPr>
      <w:bookmarkStart w:id="1190" w:name="_Toc32411697"/>
      <w:bookmarkStart w:id="1191" w:name="_Toc32412111"/>
      <w:bookmarkStart w:id="1192" w:name="_Toc486516022"/>
      <w:bookmarkStart w:id="1193" w:name="_Toc486517060"/>
      <w:bookmarkStart w:id="1194" w:name="_Toc13494544"/>
      <w:r>
        <w:rPr>
          <w:rStyle w:val="CharDivNo"/>
        </w:rPr>
        <w:t>Division 4</w:t>
      </w:r>
      <w:r>
        <w:t xml:space="preserve"> — </w:t>
      </w:r>
      <w:r>
        <w:rPr>
          <w:rStyle w:val="CharDivText"/>
        </w:rPr>
        <w:t>Advisory panels</w:t>
      </w:r>
      <w:bookmarkEnd w:id="1190"/>
      <w:bookmarkEnd w:id="1191"/>
      <w:bookmarkEnd w:id="1192"/>
      <w:bookmarkEnd w:id="1193"/>
      <w:bookmarkEnd w:id="1194"/>
    </w:p>
    <w:p>
      <w:pPr>
        <w:pStyle w:val="Heading5"/>
      </w:pPr>
      <w:bookmarkStart w:id="1195" w:name="_Toc32412112"/>
      <w:bookmarkStart w:id="1196" w:name="_Toc13494545"/>
      <w:r>
        <w:rPr>
          <w:rStyle w:val="CharSectno"/>
        </w:rPr>
        <w:t>241</w:t>
      </w:r>
      <w:r>
        <w:t>.</w:t>
      </w:r>
      <w:r>
        <w:tab/>
        <w:t>Advisory panels, establishing etc.</w:t>
      </w:r>
      <w:bookmarkEnd w:id="1195"/>
      <w:bookmarkEnd w:id="1196"/>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keepNext/>
        <w:keepLines/>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No. 39 of 2010 s. 89.]</w:t>
      </w:r>
    </w:p>
    <w:p>
      <w:pPr>
        <w:pStyle w:val="Heading2"/>
      </w:pPr>
      <w:bookmarkStart w:id="1197" w:name="_Toc32411699"/>
      <w:bookmarkStart w:id="1198" w:name="_Toc32412113"/>
      <w:bookmarkStart w:id="1199" w:name="_Toc486516024"/>
      <w:bookmarkStart w:id="1200" w:name="_Toc486517062"/>
      <w:bookmarkStart w:id="1201" w:name="_Toc13494546"/>
      <w:r>
        <w:rPr>
          <w:rStyle w:val="CharPartNo"/>
        </w:rPr>
        <w:t>Part 7</w:t>
      </w:r>
      <w:r>
        <w:rPr>
          <w:rStyle w:val="CharDivNo"/>
        </w:rPr>
        <w:t xml:space="preserve"> </w:t>
      </w:r>
      <w:r>
        <w:t>—</w:t>
      </w:r>
      <w:r>
        <w:rPr>
          <w:rStyle w:val="CharDivText"/>
        </w:rPr>
        <w:t xml:space="preserve"> </w:t>
      </w:r>
      <w:r>
        <w:rPr>
          <w:rStyle w:val="CharPartText"/>
        </w:rPr>
        <w:t>Miscellaneous</w:t>
      </w:r>
      <w:bookmarkEnd w:id="1197"/>
      <w:bookmarkEnd w:id="1198"/>
      <w:bookmarkEnd w:id="1199"/>
      <w:bookmarkEnd w:id="1200"/>
      <w:bookmarkEnd w:id="1201"/>
    </w:p>
    <w:p>
      <w:pPr>
        <w:pStyle w:val="PermNoteHeading"/>
        <w:rPr>
          <w:b/>
          <w:bCs/>
        </w:rPr>
      </w:pPr>
      <w:r>
        <w:rPr>
          <w:b/>
          <w:bCs/>
        </w:rPr>
        <w:t>What this Part is about</w:t>
      </w:r>
    </w:p>
    <w:p>
      <w:pPr>
        <w:pStyle w:val="PermNoteText"/>
      </w:pPr>
      <w:r>
        <w:t>This Part deals with —</w:t>
      </w:r>
    </w:p>
    <w:p>
      <w:pPr>
        <w:pStyle w:val="PermNotePara"/>
        <w:numPr>
          <w:ilvl w:val="0"/>
          <w:numId w:val="8"/>
        </w:numPr>
      </w:pPr>
      <w:r>
        <w:t>the requirement of confidentiality (section 242);</w:t>
      </w:r>
    </w:p>
    <w:p>
      <w:pPr>
        <w:pStyle w:val="PermNotePara"/>
        <w:numPr>
          <w:ilvl w:val="0"/>
          <w:numId w:val="8"/>
        </w:numPr>
      </w:pPr>
      <w:r>
        <w:t>who can take legal proceedings (section 243);</w:t>
      </w:r>
    </w:p>
    <w:p>
      <w:pPr>
        <w:pStyle w:val="PermNotePara"/>
        <w:numPr>
          <w:ilvl w:val="0"/>
          <w:numId w:val="8"/>
        </w:numPr>
      </w:pPr>
      <w:r>
        <w:t>the regulations required for carrying out the Act (section 244);</w:t>
      </w:r>
    </w:p>
    <w:p>
      <w:pPr>
        <w:pStyle w:val="PermNotePara"/>
        <w:numPr>
          <w:ilvl w:val="0"/>
          <w:numId w:val="8"/>
        </w:numPr>
      </w:pPr>
      <w:r>
        <w:t>a review of the Act after 5 years (section 245);</w:t>
      </w:r>
    </w:p>
    <w:p>
      <w:pPr>
        <w:pStyle w:val="PermNotePara"/>
        <w:numPr>
          <w:ilvl w:val="0"/>
          <w:numId w:val="8"/>
        </w:numPr>
      </w:pPr>
      <w:r>
        <w:t xml:space="preserve">the repeal of the </w:t>
      </w:r>
      <w:r>
        <w:rPr>
          <w:i/>
        </w:rPr>
        <w:t xml:space="preserve">Education Act 1928 </w:t>
      </w:r>
      <w:r>
        <w:t>(section 246);</w:t>
      </w:r>
    </w:p>
    <w:p>
      <w:pPr>
        <w:pStyle w:val="PermNotePara"/>
        <w:numPr>
          <w:ilvl w:val="0"/>
          <w:numId w:val="8"/>
        </w:numPr>
      </w:pPr>
      <w:r>
        <w:t>the transition from that Act to this Act, and various other subsequent statutory transitions (Schedule 1).</w:t>
      </w:r>
    </w:p>
    <w:p>
      <w:pPr>
        <w:pStyle w:val="Footnotesection"/>
        <w:rPr>
          <w:sz w:val="20"/>
        </w:rPr>
      </w:pPr>
      <w:r>
        <w:rPr>
          <w:sz w:val="20"/>
        </w:rPr>
        <w:tab/>
        <w:t>[Note altered: No. 41 of 2016 Pt. 3.]</w:t>
      </w:r>
    </w:p>
    <w:p>
      <w:pPr>
        <w:pStyle w:val="Heading5"/>
      </w:pPr>
      <w:bookmarkStart w:id="1202" w:name="_Toc32412114"/>
      <w:bookmarkStart w:id="1203" w:name="_Toc13494547"/>
      <w:r>
        <w:rPr>
          <w:rStyle w:val="CharSectno"/>
        </w:rPr>
        <w:t>242</w:t>
      </w:r>
      <w:r>
        <w:t>.</w:t>
      </w:r>
      <w:r>
        <w:tab/>
        <w:t>Disclosure of official information restricted</w:t>
      </w:r>
      <w:bookmarkEnd w:id="1202"/>
      <w:bookmarkEnd w:id="1203"/>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No. 50 of 2003 s. 94(2); No. 28 of 2014 s. 35.]</w:t>
      </w:r>
    </w:p>
    <w:p>
      <w:pPr>
        <w:pStyle w:val="Heading5"/>
      </w:pPr>
      <w:bookmarkStart w:id="1204" w:name="_Toc32412115"/>
      <w:bookmarkStart w:id="1205" w:name="_Toc13494548"/>
      <w:r>
        <w:rPr>
          <w:rStyle w:val="CharSectno"/>
        </w:rPr>
        <w:t>243</w:t>
      </w:r>
      <w:r>
        <w:t>.</w:t>
      </w:r>
      <w:r>
        <w:tab/>
        <w:t>Prosecutions and s. 109 recovery action, who may commence; evidentiary matters</w:t>
      </w:r>
      <w:bookmarkEnd w:id="1204"/>
      <w:bookmarkEnd w:id="1205"/>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No. 84 of 2004 s. 80.]</w:t>
      </w:r>
    </w:p>
    <w:p>
      <w:pPr>
        <w:pStyle w:val="Heading5"/>
      </w:pPr>
      <w:bookmarkStart w:id="1206" w:name="_Toc32412116"/>
      <w:bookmarkStart w:id="1207" w:name="_Toc13494549"/>
      <w:r>
        <w:rPr>
          <w:rStyle w:val="CharSectno"/>
        </w:rPr>
        <w:t>244</w:t>
      </w:r>
      <w:r>
        <w:t>.</w:t>
      </w:r>
      <w:r>
        <w:tab/>
        <w:t>Regulations</w:t>
      </w:r>
      <w:bookmarkEnd w:id="1206"/>
      <w:bookmarkEnd w:id="1207"/>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No. 1 of 2011 s. 9.]</w:t>
      </w:r>
    </w:p>
    <w:p>
      <w:pPr>
        <w:pStyle w:val="Heading5"/>
      </w:pPr>
      <w:bookmarkStart w:id="1208" w:name="_Toc32412117"/>
      <w:bookmarkStart w:id="1209" w:name="_Toc13494550"/>
      <w:r>
        <w:rPr>
          <w:rStyle w:val="CharSectno"/>
        </w:rPr>
        <w:t>245</w:t>
      </w:r>
      <w:r>
        <w:t>.</w:t>
      </w:r>
      <w:r>
        <w:tab/>
        <w:t>Review of Act</w:t>
      </w:r>
      <w:bookmarkEnd w:id="1208"/>
      <w:bookmarkEnd w:id="1209"/>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210" w:name="_Toc32412118"/>
      <w:bookmarkStart w:id="1211" w:name="_Toc13494551"/>
      <w:r>
        <w:rPr>
          <w:rStyle w:val="CharSectno"/>
        </w:rPr>
        <w:t>246</w:t>
      </w:r>
      <w:r>
        <w:t>.</w:t>
      </w:r>
      <w:r>
        <w:tab/>
        <w:t>Repeal, savings and transitional</w:t>
      </w:r>
      <w:bookmarkEnd w:id="1210"/>
      <w:bookmarkEnd w:id="1211"/>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212" w:name="_Toc32411705"/>
      <w:bookmarkStart w:id="1213" w:name="_Toc32412119"/>
      <w:bookmarkStart w:id="1214" w:name="_Toc486516030"/>
      <w:bookmarkStart w:id="1215" w:name="_Toc486517068"/>
      <w:bookmarkStart w:id="1216" w:name="_Toc13494552"/>
      <w:r>
        <w:rPr>
          <w:rStyle w:val="CharSchNo"/>
        </w:rPr>
        <w:t>Schedule 1</w:t>
      </w:r>
      <w:r>
        <w:t> — </w:t>
      </w:r>
      <w:r>
        <w:rPr>
          <w:rStyle w:val="CharSchText"/>
        </w:rPr>
        <w:t>Transitional provisions</w:t>
      </w:r>
      <w:bookmarkEnd w:id="1212"/>
      <w:bookmarkEnd w:id="1213"/>
      <w:bookmarkEnd w:id="1214"/>
      <w:bookmarkEnd w:id="1215"/>
      <w:bookmarkEnd w:id="1216"/>
    </w:p>
    <w:p>
      <w:pPr>
        <w:pStyle w:val="yShoulderClause"/>
      </w:pPr>
      <w:r>
        <w:t>[Section 246(4)]</w:t>
      </w:r>
    </w:p>
    <w:p>
      <w:pPr>
        <w:pStyle w:val="Heading3"/>
        <w:spacing w:before="120"/>
      </w:pPr>
      <w:bookmarkStart w:id="1217" w:name="_Toc32411706"/>
      <w:bookmarkStart w:id="1218" w:name="_Toc32412120"/>
      <w:bookmarkStart w:id="1219" w:name="_Toc486516031"/>
      <w:bookmarkStart w:id="1220" w:name="_Toc486517069"/>
      <w:bookmarkStart w:id="1221" w:name="_Toc13494553"/>
      <w:r>
        <w:rPr>
          <w:rStyle w:val="CharSDivNo"/>
        </w:rPr>
        <w:t>Division 1</w:t>
      </w:r>
      <w:r>
        <w:t> — </w:t>
      </w:r>
      <w:r>
        <w:rPr>
          <w:rStyle w:val="CharSDivText"/>
        </w:rPr>
        <w:t>Transitional provisions for the commencement of this Act</w:t>
      </w:r>
      <w:bookmarkEnd w:id="1217"/>
      <w:bookmarkEnd w:id="1218"/>
      <w:bookmarkEnd w:id="1219"/>
      <w:bookmarkEnd w:id="1220"/>
      <w:bookmarkEnd w:id="1221"/>
    </w:p>
    <w:p>
      <w:pPr>
        <w:pStyle w:val="yFootnoteheading"/>
      </w:pPr>
      <w:r>
        <w:tab/>
        <w:t>[Heading inserted: No. 11 of 2012 s. 47.]</w:t>
      </w:r>
    </w:p>
    <w:p>
      <w:pPr>
        <w:pStyle w:val="yHeading5"/>
        <w:outlineLvl w:val="9"/>
      </w:pPr>
      <w:bookmarkStart w:id="1222" w:name="_Toc32412121"/>
      <w:bookmarkStart w:id="1223" w:name="_Toc13494554"/>
      <w:r>
        <w:rPr>
          <w:rStyle w:val="CharSClsNo"/>
        </w:rPr>
        <w:t>1</w:t>
      </w:r>
      <w:r>
        <w:t>.</w:t>
      </w:r>
      <w:r>
        <w:tab/>
        <w:t>Terms used</w:t>
      </w:r>
      <w:bookmarkEnd w:id="1222"/>
      <w:bookmarkEnd w:id="1223"/>
    </w:p>
    <w:p>
      <w:pPr>
        <w:pStyle w:val="ySubsection"/>
      </w:pPr>
      <w:r>
        <w:tab/>
      </w:r>
      <w:r>
        <w:tab/>
        <w:t xml:space="preserve">In this </w:t>
      </w:r>
      <w:r>
        <w:rPr>
          <w:szCs w:val="22"/>
        </w:rPr>
        <w:t>Division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Footnotesection"/>
      </w:pPr>
      <w:r>
        <w:tab/>
        <w:t>[Clause 1 amended: No. 41 of 2016 s. 17.]</w:t>
      </w:r>
    </w:p>
    <w:p>
      <w:pPr>
        <w:pStyle w:val="yHeading5"/>
        <w:outlineLvl w:val="9"/>
      </w:pPr>
      <w:bookmarkStart w:id="1224" w:name="_Toc32412122"/>
      <w:bookmarkStart w:id="1225" w:name="_Toc13494555"/>
      <w:r>
        <w:rPr>
          <w:rStyle w:val="CharSClsNo"/>
        </w:rPr>
        <w:t>2</w:t>
      </w:r>
      <w:r>
        <w:t>.</w:t>
      </w:r>
      <w:r>
        <w:tab/>
      </w:r>
      <w:r>
        <w:rPr>
          <w:i/>
          <w:iCs/>
        </w:rPr>
        <w:t>Interpretation Act 1984</w:t>
      </w:r>
      <w:r>
        <w:t xml:space="preserve"> not affected</w:t>
      </w:r>
      <w:bookmarkEnd w:id="1224"/>
      <w:bookmarkEnd w:id="1225"/>
    </w:p>
    <w:p>
      <w:pPr>
        <w:pStyle w:val="ySubsection"/>
      </w:pPr>
      <w:r>
        <w:tab/>
      </w:r>
      <w:r>
        <w:tab/>
        <w:t xml:space="preserve">The provisions of this </w:t>
      </w:r>
      <w:r>
        <w:rPr>
          <w:szCs w:val="22"/>
        </w:rPr>
        <w:t>Division</w:t>
      </w:r>
      <w:r>
        <w:t xml:space="preserv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Footnotesection"/>
      </w:pPr>
      <w:r>
        <w:tab/>
        <w:t>[Clause 2 amended: No. 41 of 2016 s. 18.]</w:t>
      </w:r>
    </w:p>
    <w:p>
      <w:pPr>
        <w:pStyle w:val="yHeading5"/>
        <w:outlineLvl w:val="9"/>
      </w:pPr>
      <w:bookmarkStart w:id="1226" w:name="_Toc32412123"/>
      <w:bookmarkStart w:id="1227" w:name="_Toc13494556"/>
      <w:r>
        <w:rPr>
          <w:rStyle w:val="CharSClsNo"/>
        </w:rPr>
        <w:t>3</w:t>
      </w:r>
      <w:r>
        <w:t>.</w:t>
      </w:r>
      <w:r>
        <w:tab/>
        <w:t>Property vested in Minister at 1 Jan 2001</w:t>
      </w:r>
      <w:bookmarkEnd w:id="1226"/>
      <w:bookmarkEnd w:id="1227"/>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1228" w:name="_Toc32412124"/>
      <w:bookmarkStart w:id="1229" w:name="_Toc13494557"/>
      <w:r>
        <w:rPr>
          <w:rStyle w:val="CharSClsNo"/>
        </w:rPr>
        <w:t>4</w:t>
      </w:r>
      <w:r>
        <w:t>.</w:t>
      </w:r>
      <w:r>
        <w:tab/>
        <w:t>Delegation in force at 1 Jan 2001 under repealed Act s. 6AA</w:t>
      </w:r>
      <w:bookmarkEnd w:id="1228"/>
      <w:bookmarkEnd w:id="1229"/>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1230" w:name="_Toc32412125"/>
      <w:bookmarkStart w:id="1231" w:name="_Toc13494558"/>
      <w:r>
        <w:rPr>
          <w:rStyle w:val="CharSClsNo"/>
        </w:rPr>
        <w:t>5</w:t>
      </w:r>
      <w:r>
        <w:t>.</w:t>
      </w:r>
      <w:r>
        <w:tab/>
        <w:t>Agreement or licence in force at 1 Jan 2001 under repealed Act s. 6A</w:t>
      </w:r>
      <w:bookmarkEnd w:id="1230"/>
      <w:bookmarkEnd w:id="1231"/>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232" w:name="_Toc32412126"/>
      <w:bookmarkStart w:id="1233" w:name="_Toc13494559"/>
      <w:r>
        <w:rPr>
          <w:rStyle w:val="CharSClsNo"/>
        </w:rPr>
        <w:t>6</w:t>
      </w:r>
      <w:r>
        <w:t>.</w:t>
      </w:r>
      <w:r>
        <w:tab/>
        <w:t>Licence in force at 1 Jan 2001 under repealed Act s. 6B</w:t>
      </w:r>
      <w:bookmarkEnd w:id="1232"/>
      <w:bookmarkEnd w:id="1233"/>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234" w:name="_Toc32412127"/>
      <w:bookmarkStart w:id="1235" w:name="_Toc13494560"/>
      <w:r>
        <w:rPr>
          <w:rStyle w:val="CharSClsNo"/>
        </w:rPr>
        <w:t>7</w:t>
      </w:r>
      <w:r>
        <w:t>.</w:t>
      </w:r>
      <w:r>
        <w:tab/>
        <w:t>Staff appointed etc. as at 1 Jan 2001 under repealed Act s. 7(2)</w:t>
      </w:r>
      <w:bookmarkEnd w:id="1234"/>
      <w:bookmarkEnd w:id="1235"/>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keepNext/>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1236" w:name="_Toc32412128"/>
      <w:bookmarkStart w:id="1237" w:name="_Toc13494561"/>
      <w:r>
        <w:rPr>
          <w:rStyle w:val="CharSClsNo"/>
        </w:rPr>
        <w:t>8</w:t>
      </w:r>
      <w:r>
        <w:t>.</w:t>
      </w:r>
      <w:r>
        <w:tab/>
        <w:t>Inquiry incomplete at 1 Jan 2001 under repealed Act s. 7C</w:t>
      </w:r>
      <w:bookmarkEnd w:id="1236"/>
      <w:bookmarkEnd w:id="1237"/>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1238" w:name="_Toc32412129"/>
      <w:bookmarkStart w:id="1239" w:name="_Toc13494562"/>
      <w:r>
        <w:rPr>
          <w:rStyle w:val="CharSClsNo"/>
        </w:rPr>
        <w:t>9</w:t>
      </w:r>
      <w:r>
        <w:t>.</w:t>
      </w:r>
      <w:r>
        <w:tab/>
        <w:t>Enrolment in effect at 1 Jan 2001</w:t>
      </w:r>
      <w:bookmarkEnd w:id="1238"/>
      <w:bookmarkEnd w:id="1239"/>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240" w:name="_Toc32412130"/>
      <w:bookmarkStart w:id="1241" w:name="_Toc13494563"/>
      <w:r>
        <w:rPr>
          <w:rStyle w:val="CharSClsNo"/>
        </w:rPr>
        <w:t>10</w:t>
      </w:r>
      <w:r>
        <w:t>.</w:t>
      </w:r>
      <w:r>
        <w:tab/>
        <w:t>Government school in existence at 1 Jan 2001 under repealed Act s. 9</w:t>
      </w:r>
      <w:bookmarkEnd w:id="1240"/>
      <w:bookmarkEnd w:id="1241"/>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242" w:name="_Toc32412131"/>
      <w:bookmarkStart w:id="1243" w:name="_Toc13494564"/>
      <w:r>
        <w:rPr>
          <w:rStyle w:val="CharSClsNo"/>
        </w:rPr>
        <w:t>11</w:t>
      </w:r>
      <w:r>
        <w:t>.</w:t>
      </w:r>
      <w:r>
        <w:tab/>
        <w:t>Efficient school registered at 1 Jan 2001 under repealed Act s. 32B</w:t>
      </w:r>
      <w:bookmarkEnd w:id="1242"/>
      <w:bookmarkEnd w:id="1243"/>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244" w:name="_Toc32412132"/>
      <w:bookmarkStart w:id="1245" w:name="_Toc13494565"/>
      <w:r>
        <w:rPr>
          <w:rStyle w:val="CharSClsNo"/>
        </w:rPr>
        <w:t>12</w:t>
      </w:r>
      <w:r>
        <w:t>.</w:t>
      </w:r>
      <w:r>
        <w:tab/>
        <w:t>Certain pre</w:t>
      </w:r>
      <w:r>
        <w:noBreakHyphen/>
        <w:t>school centres at 1 Jan 2001 continued as registered schools</w:t>
      </w:r>
      <w:bookmarkEnd w:id="1244"/>
      <w:bookmarkEnd w:id="1245"/>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246" w:name="_Toc32412133"/>
      <w:bookmarkStart w:id="1247" w:name="_Toc13494566"/>
      <w:r>
        <w:rPr>
          <w:rStyle w:val="CharSClsNo"/>
        </w:rPr>
        <w:t>13</w:t>
      </w:r>
      <w:r>
        <w:t>.</w:t>
      </w:r>
      <w:r>
        <w:tab/>
        <w:t>Certain care</w:t>
      </w:r>
      <w:r>
        <w:noBreakHyphen/>
        <w:t>centres and pre</w:t>
      </w:r>
      <w:r>
        <w:noBreakHyphen/>
        <w:t>school centres as at 1 Jan 2001 continued</w:t>
      </w:r>
      <w:bookmarkEnd w:id="1246"/>
      <w:bookmarkEnd w:id="1247"/>
    </w:p>
    <w:p>
      <w:pPr>
        <w:pStyle w:val="ySubsection"/>
        <w:keepNext/>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No. 43 of 2000 s. 62.]</w:t>
      </w:r>
    </w:p>
    <w:p>
      <w:pPr>
        <w:pStyle w:val="yHeading5"/>
        <w:outlineLvl w:val="9"/>
      </w:pPr>
      <w:bookmarkStart w:id="1248" w:name="_Toc32412134"/>
      <w:bookmarkStart w:id="1249" w:name="_Toc13494567"/>
      <w:r>
        <w:rPr>
          <w:rStyle w:val="CharSClsNo"/>
        </w:rPr>
        <w:t>15</w:t>
      </w:r>
      <w:r>
        <w:t>.</w:t>
      </w:r>
      <w:r>
        <w:tab/>
        <w:t>Notices etc. in force at 1 Jan 2001 under repealed Act s. 9A</w:t>
      </w:r>
      <w:bookmarkEnd w:id="1248"/>
      <w:bookmarkEnd w:id="1249"/>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250" w:name="_Toc32412135"/>
      <w:bookmarkStart w:id="1251" w:name="_Toc13494568"/>
      <w:r>
        <w:rPr>
          <w:rStyle w:val="CharSClsNo"/>
        </w:rPr>
        <w:t>16</w:t>
      </w:r>
      <w:r>
        <w:t>.</w:t>
      </w:r>
      <w:r>
        <w:tab/>
        <w:t>Approved account as at 1 Jan 2001 under repealed Act s. 9B</w:t>
      </w:r>
      <w:bookmarkEnd w:id="1250"/>
      <w:bookmarkEnd w:id="1251"/>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252" w:name="_Toc32412136"/>
      <w:bookmarkStart w:id="1253" w:name="_Toc13494569"/>
      <w:r>
        <w:rPr>
          <w:rStyle w:val="CharSClsNo"/>
        </w:rPr>
        <w:t>17</w:t>
      </w:r>
      <w:r>
        <w:t>.</w:t>
      </w:r>
      <w:r>
        <w:tab/>
        <w:t>Decision as to home education in force at 1 Jan 2001 under repealed Act s. 14(a)</w:t>
      </w:r>
      <w:bookmarkEnd w:id="1252"/>
      <w:bookmarkEnd w:id="1253"/>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254" w:name="_Toc32412137"/>
      <w:bookmarkStart w:id="1255" w:name="_Toc13494570"/>
      <w:r>
        <w:rPr>
          <w:rStyle w:val="CharSClsNo"/>
        </w:rPr>
        <w:t>18</w:t>
      </w:r>
      <w:r>
        <w:t>.</w:t>
      </w:r>
      <w:r>
        <w:tab/>
        <w:t>Direction in force at 1 Jan 2001 under repealed Act s. 20A</w:t>
      </w:r>
      <w:bookmarkEnd w:id="1254"/>
      <w:bookmarkEnd w:id="1255"/>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256" w:name="_Toc32412138"/>
      <w:bookmarkStart w:id="1257" w:name="_Toc13494571"/>
      <w:r>
        <w:rPr>
          <w:rStyle w:val="CharSClsNo"/>
        </w:rPr>
        <w:t>19</w:t>
      </w:r>
      <w:r>
        <w:t>.</w:t>
      </w:r>
      <w:r>
        <w:tab/>
        <w:t>Student suspended or excluded as at 1 Jan 2001</w:t>
      </w:r>
      <w:bookmarkEnd w:id="1256"/>
      <w:bookmarkEnd w:id="1257"/>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258" w:name="_Toc32412139"/>
      <w:bookmarkStart w:id="1259" w:name="_Toc13494572"/>
      <w:r>
        <w:rPr>
          <w:rStyle w:val="CharSClsNo"/>
        </w:rPr>
        <w:t>20</w:t>
      </w:r>
      <w:r>
        <w:t>.</w:t>
      </w:r>
      <w:r>
        <w:tab/>
        <w:t>School decision</w:t>
      </w:r>
      <w:r>
        <w:noBreakHyphen/>
        <w:t>making group in being at 1 Jan 2001 under repealed Act Part VA</w:t>
      </w:r>
      <w:bookmarkEnd w:id="1258"/>
      <w:bookmarkEnd w:id="1259"/>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1260" w:name="_Toc32412140"/>
      <w:bookmarkStart w:id="1261" w:name="_Toc13494573"/>
      <w:r>
        <w:rPr>
          <w:rStyle w:val="CharSClsNo"/>
        </w:rPr>
        <w:t>21</w:t>
      </w:r>
      <w:r>
        <w:t>.</w:t>
      </w:r>
      <w:r>
        <w:tab/>
        <w:t>Parents and Citizens’ Association in being at 1 Jan 2001 under repealed Act Part VI</w:t>
      </w:r>
      <w:bookmarkEnd w:id="1260"/>
      <w:bookmarkEnd w:id="1261"/>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262" w:name="_Toc32412141"/>
      <w:bookmarkStart w:id="1263" w:name="_Toc13494574"/>
      <w:r>
        <w:rPr>
          <w:rStyle w:val="CharSClsNo"/>
        </w:rPr>
        <w:t>22</w:t>
      </w:r>
      <w:r>
        <w:t>.</w:t>
      </w:r>
      <w:r>
        <w:tab/>
        <w:t xml:space="preserve">Repeal of </w:t>
      </w:r>
      <w:r>
        <w:rPr>
          <w:i/>
          <w:iCs/>
        </w:rPr>
        <w:t>Industrial Relations Act 1979</w:t>
      </w:r>
      <w:r>
        <w:t xml:space="preserve"> s. 23B, transitional</w:t>
      </w:r>
      <w:bookmarkEnd w:id="1262"/>
      <w:bookmarkEnd w:id="1263"/>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264" w:name="_Toc32412142"/>
      <w:bookmarkStart w:id="1265" w:name="_Toc13494575"/>
      <w:r>
        <w:rPr>
          <w:rStyle w:val="CharSClsNo"/>
        </w:rPr>
        <w:t>23</w:t>
      </w:r>
      <w:r>
        <w:t>.</w:t>
      </w:r>
      <w:r>
        <w:tab/>
        <w:t>Transitional regulations</w:t>
      </w:r>
      <w:bookmarkEnd w:id="1264"/>
      <w:bookmarkEnd w:id="1265"/>
    </w:p>
    <w:p>
      <w:pPr>
        <w:pStyle w:val="ySubsection"/>
      </w:pPr>
      <w:r>
        <w:tab/>
        <w:t>(1)</w:t>
      </w:r>
      <w:r>
        <w:tab/>
        <w:t xml:space="preserve">If there is no sufficient provision in this </w:t>
      </w:r>
      <w:r>
        <w:rPr>
          <w:szCs w:val="22"/>
        </w:rPr>
        <w:t>Division</w:t>
      </w:r>
      <w:r>
        <w:t xml:space="preserv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keepNext/>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Footnotesection"/>
      </w:pPr>
      <w:r>
        <w:tab/>
        <w:t>[Clause 23 amended: No. 41 of 2016 s. 19.]</w:t>
      </w:r>
    </w:p>
    <w:p>
      <w:pPr>
        <w:pStyle w:val="Heading3"/>
      </w:pPr>
      <w:bookmarkStart w:id="1266" w:name="_Toc32411729"/>
      <w:bookmarkStart w:id="1267" w:name="_Toc32412143"/>
      <w:bookmarkStart w:id="1268" w:name="_Toc486516054"/>
      <w:bookmarkStart w:id="1269" w:name="_Toc486517092"/>
      <w:bookmarkStart w:id="1270" w:name="_Toc13494576"/>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1266"/>
      <w:bookmarkEnd w:id="1267"/>
      <w:bookmarkEnd w:id="1268"/>
      <w:bookmarkEnd w:id="1269"/>
      <w:bookmarkEnd w:id="1270"/>
    </w:p>
    <w:p>
      <w:pPr>
        <w:pStyle w:val="yFootnoteheading"/>
        <w:keepNext/>
      </w:pPr>
      <w:r>
        <w:tab/>
        <w:t>[Heading inserted: No. 11 of 2012 s. 48.]</w:t>
      </w:r>
    </w:p>
    <w:p>
      <w:pPr>
        <w:pStyle w:val="yHeading5"/>
      </w:pPr>
      <w:bookmarkStart w:id="1271" w:name="_Toc32412144"/>
      <w:bookmarkStart w:id="1272" w:name="_Toc13494577"/>
      <w:r>
        <w:rPr>
          <w:rStyle w:val="CharSClsNo"/>
        </w:rPr>
        <w:t>24</w:t>
      </w:r>
      <w:r>
        <w:t>.</w:t>
      </w:r>
      <w:r>
        <w:tab/>
        <w:t>Term used: commencement</w:t>
      </w:r>
      <w:bookmarkEnd w:id="1271"/>
      <w:bookmarkEnd w:id="1272"/>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No. 11 of 2012 s. 48.]</w:t>
      </w:r>
    </w:p>
    <w:p>
      <w:pPr>
        <w:pStyle w:val="yHeading5"/>
      </w:pPr>
      <w:bookmarkStart w:id="1273" w:name="_Toc32412145"/>
      <w:bookmarkStart w:id="1274" w:name="_Toc13494578"/>
      <w:r>
        <w:rPr>
          <w:rStyle w:val="CharSClsNo"/>
        </w:rPr>
        <w:t>25</w:t>
      </w:r>
      <w:r>
        <w:t>.</w:t>
      </w:r>
      <w:r>
        <w:tab/>
        <w:t>Registration extended for a period of time</w:t>
      </w:r>
      <w:bookmarkEnd w:id="1273"/>
      <w:bookmarkEnd w:id="1274"/>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No. 11 of 2012 s. 48.]</w:t>
      </w:r>
    </w:p>
    <w:p>
      <w:pPr>
        <w:pStyle w:val="yHeading3"/>
        <w:rPr>
          <w:i/>
        </w:rPr>
      </w:pPr>
      <w:bookmarkStart w:id="1275" w:name="_Toc32411732"/>
      <w:bookmarkStart w:id="1276" w:name="_Toc32412146"/>
      <w:bookmarkStart w:id="1277" w:name="_Toc486516057"/>
      <w:bookmarkStart w:id="1278" w:name="_Toc486517095"/>
      <w:bookmarkStart w:id="1279" w:name="_Toc13494579"/>
      <w:r>
        <w:rPr>
          <w:rStyle w:val="CharSDivNo"/>
        </w:rPr>
        <w:t>Division 3</w:t>
      </w:r>
      <w:r>
        <w:t> — </w:t>
      </w:r>
      <w:r>
        <w:rPr>
          <w:rStyle w:val="CharSDivText"/>
        </w:rPr>
        <w:t xml:space="preserve">Transitional provisions for the </w:t>
      </w:r>
      <w:r>
        <w:rPr>
          <w:rStyle w:val="CharSDivText"/>
          <w:i/>
        </w:rPr>
        <w:t>School Education Amendment Act 2014</w:t>
      </w:r>
      <w:bookmarkEnd w:id="1275"/>
      <w:bookmarkEnd w:id="1276"/>
      <w:bookmarkEnd w:id="1277"/>
      <w:bookmarkEnd w:id="1278"/>
      <w:bookmarkEnd w:id="1279"/>
    </w:p>
    <w:p>
      <w:pPr>
        <w:pStyle w:val="yFootnoteheading"/>
        <w:keepNext/>
      </w:pPr>
      <w:r>
        <w:tab/>
        <w:t>[Heading inserted: No. 28 of 2014 s. 21.]</w:t>
      </w:r>
    </w:p>
    <w:p>
      <w:pPr>
        <w:pStyle w:val="yHeading5"/>
      </w:pPr>
      <w:bookmarkStart w:id="1280" w:name="_Toc32412147"/>
      <w:bookmarkStart w:id="1281" w:name="_Toc13494580"/>
      <w:r>
        <w:rPr>
          <w:rStyle w:val="CharSClsNo"/>
        </w:rPr>
        <w:t>26</w:t>
      </w:r>
      <w:r>
        <w:t>.</w:t>
      </w:r>
      <w:r>
        <w:tab/>
        <w:t>Terms used</w:t>
      </w:r>
      <w:bookmarkEnd w:id="1280"/>
      <w:bookmarkEnd w:id="1281"/>
    </w:p>
    <w:p>
      <w:pPr>
        <w:pStyle w:val="ySubsection"/>
        <w:keepNext/>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No. 28 of 2014 s. 21.]</w:t>
      </w:r>
    </w:p>
    <w:p>
      <w:pPr>
        <w:pStyle w:val="yHeading5"/>
        <w:keepNext w:val="0"/>
        <w:keepLines w:val="0"/>
        <w:rPr>
          <w:rStyle w:val="CharSClsNo"/>
        </w:rPr>
      </w:pPr>
      <w:bookmarkStart w:id="1282" w:name="_Toc32412148"/>
      <w:bookmarkStart w:id="1283" w:name="_Toc13494581"/>
      <w:r>
        <w:rPr>
          <w:rStyle w:val="CharSClsNo"/>
        </w:rPr>
        <w:t>27</w:t>
      </w:r>
      <w:r>
        <w:t>.</w:t>
      </w:r>
      <w:r>
        <w:tab/>
      </w:r>
      <w:r>
        <w:rPr>
          <w:i/>
        </w:rPr>
        <w:t>Interpretation Act 1984</w:t>
      </w:r>
      <w:r>
        <w:t xml:space="preserve"> not affected</w:t>
      </w:r>
      <w:bookmarkEnd w:id="1282"/>
      <w:bookmarkEnd w:id="1283"/>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keepLines w:val="0"/>
      </w:pPr>
      <w:r>
        <w:tab/>
        <w:t>[Clause 27 inserted: No. 28 of 2014 s. 21.]</w:t>
      </w:r>
    </w:p>
    <w:p>
      <w:pPr>
        <w:pStyle w:val="yHeading5"/>
        <w:keepNext w:val="0"/>
        <w:keepLines w:val="0"/>
      </w:pPr>
      <w:bookmarkStart w:id="1284" w:name="_Toc32412149"/>
      <w:bookmarkStart w:id="1285" w:name="_Toc13494582"/>
      <w:r>
        <w:rPr>
          <w:rStyle w:val="CharSClsNo"/>
        </w:rPr>
        <w:t>28</w:t>
      </w:r>
      <w:r>
        <w:t>.</w:t>
      </w:r>
      <w:r>
        <w:tab/>
        <w:t>Pending applications and reviews of certain decisions</w:t>
      </w:r>
      <w:bookmarkEnd w:id="1284"/>
      <w:bookmarkEnd w:id="1285"/>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No. 28 of 2014 s. 21.]</w:t>
      </w:r>
    </w:p>
    <w:p>
      <w:pPr>
        <w:pStyle w:val="yHeading5"/>
      </w:pPr>
      <w:bookmarkStart w:id="1286" w:name="_Toc32412150"/>
      <w:bookmarkStart w:id="1287" w:name="_Toc13494583"/>
      <w:r>
        <w:rPr>
          <w:rStyle w:val="CharSClsNo"/>
        </w:rPr>
        <w:t>29</w:t>
      </w:r>
      <w:r>
        <w:t>.</w:t>
      </w:r>
      <w:r>
        <w:tab/>
        <w:t>Application for imminent renewal of registration</w:t>
      </w:r>
      <w:bookmarkEnd w:id="1286"/>
      <w:bookmarkEnd w:id="1287"/>
    </w:p>
    <w:p>
      <w:pPr>
        <w:pStyle w:val="ySubsection"/>
        <w:keepNext/>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No. 28 of 2014 s. 21.]</w:t>
      </w:r>
    </w:p>
    <w:p>
      <w:pPr>
        <w:pStyle w:val="yHeading5"/>
      </w:pPr>
      <w:bookmarkStart w:id="1288" w:name="_Toc32412151"/>
      <w:bookmarkStart w:id="1289" w:name="_Toc13494584"/>
      <w:r>
        <w:rPr>
          <w:rStyle w:val="CharSClsNo"/>
        </w:rPr>
        <w:t>30</w:t>
      </w:r>
      <w:r>
        <w:t>.</w:t>
      </w:r>
      <w:r>
        <w:tab/>
        <w:t>Advance determinations under former provisions continue</w:t>
      </w:r>
      <w:bookmarkEnd w:id="1288"/>
      <w:bookmarkEnd w:id="1289"/>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No. 28 of 2014 s. 21.]</w:t>
      </w:r>
    </w:p>
    <w:p>
      <w:pPr>
        <w:pStyle w:val="yHeading5"/>
      </w:pPr>
      <w:bookmarkStart w:id="1290" w:name="_Toc32412152"/>
      <w:bookmarkStart w:id="1291" w:name="_Toc13494585"/>
      <w:r>
        <w:rPr>
          <w:rStyle w:val="CharSClsNo"/>
        </w:rPr>
        <w:t>31</w:t>
      </w:r>
      <w:r>
        <w:t>.</w:t>
      </w:r>
      <w:r>
        <w:tab/>
        <w:t>Directions in force before commencement</w:t>
      </w:r>
      <w:bookmarkEnd w:id="1290"/>
      <w:bookmarkEnd w:id="1291"/>
    </w:p>
    <w:p>
      <w:pPr>
        <w:pStyle w:val="ySubsection"/>
      </w:pPr>
      <w:r>
        <w:tab/>
      </w:r>
      <w:r>
        <w:tab/>
        <w:t>Section 167A does not apply in relation to a direction given under section 166 that is in force immediately before commencement.</w:t>
      </w:r>
    </w:p>
    <w:p>
      <w:pPr>
        <w:pStyle w:val="yFootnotesection"/>
      </w:pPr>
      <w:r>
        <w:tab/>
        <w:t>[Clause 31 inserted: No. 28 of 2014 s. 21.]</w:t>
      </w:r>
    </w:p>
    <w:p>
      <w:pPr>
        <w:pStyle w:val="yHeading5"/>
      </w:pPr>
      <w:bookmarkStart w:id="1292" w:name="_Toc32412153"/>
      <w:bookmarkStart w:id="1293" w:name="_Toc13494586"/>
      <w:r>
        <w:rPr>
          <w:rStyle w:val="CharSClsNo"/>
        </w:rPr>
        <w:t>32</w:t>
      </w:r>
      <w:r>
        <w:t>.</w:t>
      </w:r>
      <w:r>
        <w:tab/>
        <w:t>Transitional regulations</w:t>
      </w:r>
      <w:bookmarkEnd w:id="1292"/>
      <w:bookmarkEnd w:id="1293"/>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No. 28 of 2014 s. 21.]</w:t>
      </w:r>
    </w:p>
    <w:p>
      <w:pPr>
        <w:pStyle w:val="yHeading3"/>
        <w:pageBreakBefore/>
      </w:pPr>
      <w:bookmarkStart w:id="1294" w:name="_Toc32411740"/>
      <w:bookmarkStart w:id="1295" w:name="_Toc32412154"/>
      <w:bookmarkStart w:id="1296" w:name="_Toc429492939"/>
      <w:bookmarkStart w:id="1297" w:name="_Toc431830964"/>
      <w:bookmarkStart w:id="1298" w:name="_Toc432168424"/>
      <w:bookmarkStart w:id="1299" w:name="_Toc432170344"/>
      <w:bookmarkStart w:id="1300" w:name="_Toc432763077"/>
      <w:bookmarkStart w:id="1301" w:name="_Toc432776645"/>
      <w:bookmarkStart w:id="1302" w:name="_Toc433034597"/>
      <w:bookmarkStart w:id="1303" w:name="_Toc433035649"/>
      <w:bookmarkStart w:id="1304" w:name="_Toc464633934"/>
      <w:bookmarkStart w:id="1305" w:name="_Toc464634014"/>
      <w:bookmarkStart w:id="1306" w:name="_Toc467148273"/>
      <w:bookmarkStart w:id="1307" w:name="_Toc468166572"/>
      <w:bookmarkStart w:id="1308" w:name="_Toc468172981"/>
      <w:bookmarkStart w:id="1309" w:name="_Toc486516065"/>
      <w:bookmarkStart w:id="1310" w:name="_Toc486517103"/>
      <w:bookmarkStart w:id="1311" w:name="_Toc13494587"/>
      <w:r>
        <w:rPr>
          <w:rStyle w:val="CharSDivNo"/>
        </w:rPr>
        <w:t>Division 4</w:t>
      </w:r>
      <w:r>
        <w:rPr>
          <w:b w:val="0"/>
        </w:rPr>
        <w:t> — </w:t>
      </w:r>
      <w:r>
        <w:rPr>
          <w:rStyle w:val="CharSDivText"/>
        </w:rPr>
        <w:t xml:space="preserve">Transitional provisions for the </w:t>
      </w:r>
      <w:r>
        <w:rPr>
          <w:rStyle w:val="CharSDivText"/>
          <w:i/>
        </w:rPr>
        <w:t>School Boarding Facilities Legislation Amendment and Repeal Act 2016</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yFootnoteheading"/>
      </w:pPr>
      <w:bookmarkStart w:id="1312" w:name="_Toc468166573"/>
      <w:bookmarkStart w:id="1313" w:name="_Toc468172982"/>
      <w:r>
        <w:tab/>
        <w:t>[Heading inserted: No. 41 of 2016 s. 20.]</w:t>
      </w:r>
    </w:p>
    <w:p>
      <w:pPr>
        <w:pStyle w:val="yHeading5"/>
      </w:pPr>
      <w:bookmarkStart w:id="1314" w:name="_Toc32412155"/>
      <w:bookmarkStart w:id="1315" w:name="_Toc13494588"/>
      <w:bookmarkStart w:id="1316" w:name="_Toc468166574"/>
      <w:bookmarkStart w:id="1317" w:name="_Toc468172983"/>
      <w:bookmarkEnd w:id="1312"/>
      <w:bookmarkEnd w:id="1313"/>
      <w:r>
        <w:rPr>
          <w:rStyle w:val="CharSClsNo"/>
        </w:rPr>
        <w:t>33</w:t>
      </w:r>
      <w:r>
        <w:t>.</w:t>
      </w:r>
      <w:r>
        <w:tab/>
        <w:t>Terms used</w:t>
      </w:r>
      <w:bookmarkEnd w:id="1314"/>
      <w:bookmarkEnd w:id="1315"/>
    </w:p>
    <w:p>
      <w:pPr>
        <w:pStyle w:val="ySubsection"/>
      </w:pPr>
      <w:r>
        <w:tab/>
      </w:r>
      <w:r>
        <w:tab/>
        <w:t xml:space="preserve">In this Division, unless the contrary intention appears — </w:t>
      </w:r>
    </w:p>
    <w:p>
      <w:pPr>
        <w:pStyle w:val="yDefstart"/>
      </w:pPr>
      <w:r>
        <w:tab/>
      </w:r>
      <w:r>
        <w:rPr>
          <w:rStyle w:val="CharDefText"/>
        </w:rPr>
        <w:t>1960 Act</w:t>
      </w:r>
      <w:r>
        <w:t xml:space="preserve"> means the </w:t>
      </w:r>
      <w:r>
        <w:rPr>
          <w:i/>
        </w:rPr>
        <w:t>Country High School Hostels Authority Act 1960</w:t>
      </w:r>
      <w:r>
        <w:t>;</w:t>
      </w:r>
    </w:p>
    <w:p>
      <w:pPr>
        <w:pStyle w:val="y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yDefstart"/>
      </w:pPr>
      <w:r>
        <w:tab/>
      </w:r>
      <w:r>
        <w:rPr>
          <w:rStyle w:val="CharDefText"/>
        </w:rPr>
        <w:t>commencement day</w:t>
      </w:r>
      <w:r>
        <w:t xml:space="preserve"> means the day on which the </w:t>
      </w:r>
      <w:r>
        <w:rPr>
          <w:i/>
        </w:rPr>
        <w:t>School Boarding Facilities Legislation Amendment and Repeal Act 2016</w:t>
      </w:r>
      <w:r>
        <w:t xml:space="preserve"> section 20 comes into operation;</w:t>
      </w:r>
    </w:p>
    <w:p>
      <w:pPr>
        <w:pStyle w:val="yDefstart"/>
      </w:pPr>
      <w:r>
        <w:tab/>
      </w:r>
      <w:r>
        <w:rPr>
          <w:rStyle w:val="CharDefText"/>
        </w:rPr>
        <w:t>former Authority</w:t>
      </w:r>
      <w:r>
        <w:t xml:space="preserve"> means the Country High School Hostels Authority — </w:t>
      </w:r>
    </w:p>
    <w:p>
      <w:pPr>
        <w:pStyle w:val="yDefpara"/>
      </w:pPr>
      <w:r>
        <w:tab/>
        <w:t>(a)</w:t>
      </w:r>
      <w:r>
        <w:tab/>
        <w:t>established under the 1960 Act section 4; and</w:t>
      </w:r>
    </w:p>
    <w:p>
      <w:pPr>
        <w:pStyle w:val="yDefpara"/>
      </w:pPr>
      <w:r>
        <w:tab/>
        <w:t>(b)</w:t>
      </w:r>
      <w:r>
        <w:tab/>
        <w:t>as in existence immediately before commencement day;</w:t>
      </w:r>
    </w:p>
    <w:p>
      <w:pPr>
        <w:pStyle w:val="Defstart"/>
      </w:pPr>
      <w:r>
        <w:tab/>
      </w:r>
      <w:r>
        <w:rPr>
          <w:rStyle w:val="CharDefText"/>
        </w:rPr>
        <w:t>hostel</w:t>
      </w:r>
      <w:r>
        <w:t xml:space="preserve"> </w:t>
      </w:r>
      <w:r>
        <w:rPr>
          <w:sz w:val="22"/>
        </w:rPr>
        <w:t>has the meaning given in the 1960 Act section 3;</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Footnotesection"/>
      </w:pPr>
      <w:r>
        <w:tab/>
        <w:t>[Clause 33 inserted: No. 41 of 2016 s. 20.]</w:t>
      </w:r>
    </w:p>
    <w:p>
      <w:pPr>
        <w:pStyle w:val="yHeading5"/>
      </w:pPr>
      <w:bookmarkStart w:id="1318" w:name="_Toc32412156"/>
      <w:bookmarkStart w:id="1319" w:name="_Toc13494589"/>
      <w:r>
        <w:rPr>
          <w:rStyle w:val="CharSClsNo"/>
        </w:rPr>
        <w:t>34</w:t>
      </w:r>
      <w:r>
        <w:t>.</w:t>
      </w:r>
      <w:r>
        <w:tab/>
        <w:t>Hostels</w:t>
      </w:r>
      <w:bookmarkEnd w:id="1318"/>
      <w:bookmarkEnd w:id="1316"/>
      <w:bookmarkEnd w:id="1317"/>
      <w:bookmarkEnd w:id="1319"/>
    </w:p>
    <w:p>
      <w:pPr>
        <w:pStyle w:val="ySubsection"/>
      </w:pPr>
      <w:r>
        <w:tab/>
      </w:r>
      <w:r>
        <w:tab/>
        <w:t>On commencement day, each hostel ceases to be a hostel and becomes, by force of this clause, a student residential college taken to have been established under section 213B.</w:t>
      </w:r>
    </w:p>
    <w:p>
      <w:pPr>
        <w:pStyle w:val="yFootnotesection"/>
      </w:pPr>
      <w:bookmarkStart w:id="1320" w:name="_Toc468166575"/>
      <w:bookmarkStart w:id="1321" w:name="_Toc468172984"/>
      <w:r>
        <w:tab/>
        <w:t>[Clause 34 inserted: No. 41 of 2016 s. 20.]</w:t>
      </w:r>
    </w:p>
    <w:p>
      <w:pPr>
        <w:pStyle w:val="yHeading5"/>
      </w:pPr>
      <w:bookmarkStart w:id="1322" w:name="_Toc32412157"/>
      <w:bookmarkStart w:id="1323" w:name="_Toc13494590"/>
      <w:r>
        <w:rPr>
          <w:rStyle w:val="CharSClsNo"/>
        </w:rPr>
        <w:t>35</w:t>
      </w:r>
      <w:r>
        <w:t>.</w:t>
      </w:r>
      <w:r>
        <w:tab/>
        <w:t>Hostel land</w:t>
      </w:r>
      <w:bookmarkEnd w:id="1322"/>
      <w:bookmarkEnd w:id="1320"/>
      <w:bookmarkEnd w:id="1321"/>
      <w:bookmarkEnd w:id="1323"/>
    </w:p>
    <w:p>
      <w:pPr>
        <w:pStyle w:val="ySubsection"/>
        <w:keepNext/>
      </w:pPr>
      <w:r>
        <w:tab/>
        <w:t>(1)</w:t>
      </w:r>
      <w:r>
        <w:tab/>
        <w:t xml:space="preserve">In this clause — </w:t>
      </w:r>
    </w:p>
    <w:p>
      <w:pPr>
        <w:pStyle w:val="yDefstart"/>
      </w:pPr>
      <w:r>
        <w:tab/>
      </w:r>
      <w:r>
        <w:rPr>
          <w:rStyle w:val="CharDefText"/>
        </w:rPr>
        <w:t>hostel land</w:t>
      </w:r>
      <w:r>
        <w:t xml:space="preserve"> means land the care, control and management of which was, immediately before commencement day, placed with the Authority in accordance with the 1960 Act section 11.</w:t>
      </w:r>
    </w:p>
    <w:p>
      <w:pPr>
        <w:pStyle w:val="ySubsection"/>
      </w:pPr>
      <w:r>
        <w:tab/>
        <w:t>(2)</w:t>
      </w:r>
      <w:r>
        <w:tab/>
        <w:t>On commencement day, hostel land ceases to be under the care, control and management of the former Authority and is placed under the care, control and management of the Minister by force of this clause.</w:t>
      </w:r>
    </w:p>
    <w:p>
      <w:pPr>
        <w:pStyle w:val="yFootnotesection"/>
      </w:pPr>
      <w:bookmarkStart w:id="1324" w:name="_Toc468166576"/>
      <w:bookmarkStart w:id="1325" w:name="_Toc468172985"/>
      <w:r>
        <w:tab/>
        <w:t>[Clause 35 inserted: No. 41 of 2016 s. 20.]</w:t>
      </w:r>
    </w:p>
    <w:p>
      <w:pPr>
        <w:pStyle w:val="yHeading5"/>
      </w:pPr>
      <w:bookmarkStart w:id="1326" w:name="_Toc32412158"/>
      <w:bookmarkStart w:id="1327" w:name="_Toc13494591"/>
      <w:r>
        <w:rPr>
          <w:rStyle w:val="CharSClsNo"/>
        </w:rPr>
        <w:t>36</w:t>
      </w:r>
      <w:r>
        <w:t>.</w:t>
      </w:r>
      <w:r>
        <w:tab/>
        <w:t>Former Authority abolished</w:t>
      </w:r>
      <w:bookmarkEnd w:id="1326"/>
      <w:bookmarkEnd w:id="1324"/>
      <w:bookmarkEnd w:id="1325"/>
      <w:bookmarkEnd w:id="1327"/>
    </w:p>
    <w:p>
      <w:pPr>
        <w:pStyle w:val="ySubsection"/>
        <w:keepNext/>
        <w:keepLines/>
      </w:pPr>
      <w:r>
        <w:tab/>
      </w:r>
      <w:r>
        <w:tab/>
        <w:t>On commencement day, the former Authority is abolished and its members go out of office.</w:t>
      </w:r>
    </w:p>
    <w:p>
      <w:pPr>
        <w:pStyle w:val="yFootnotesection"/>
        <w:keepNext/>
      </w:pPr>
      <w:bookmarkStart w:id="1328" w:name="_Toc468166577"/>
      <w:bookmarkStart w:id="1329" w:name="_Toc468172986"/>
      <w:r>
        <w:tab/>
        <w:t>[Clause 36 inserted: No. 41 of 2016 s. 20.]</w:t>
      </w:r>
    </w:p>
    <w:p>
      <w:pPr>
        <w:pStyle w:val="yHeading5"/>
      </w:pPr>
      <w:bookmarkStart w:id="1330" w:name="_Toc32412159"/>
      <w:bookmarkStart w:id="1331" w:name="_Toc13494592"/>
      <w:r>
        <w:rPr>
          <w:rStyle w:val="CharSClsNo"/>
        </w:rPr>
        <w:t>37</w:t>
      </w:r>
      <w:r>
        <w:t>.</w:t>
      </w:r>
      <w:r>
        <w:tab/>
        <w:t>Staff members of former Authority</w:t>
      </w:r>
      <w:bookmarkEnd w:id="1330"/>
      <w:bookmarkEnd w:id="1328"/>
      <w:bookmarkEnd w:id="1329"/>
      <w:bookmarkEnd w:id="1331"/>
    </w:p>
    <w:p>
      <w:pPr>
        <w:pStyle w:val="ySubsection"/>
      </w:pPr>
      <w:r>
        <w:tab/>
        <w:t>(1)</w:t>
      </w:r>
      <w:r>
        <w:tab/>
        <w:t xml:space="preserve">In this clause — </w:t>
      </w:r>
    </w:p>
    <w:p>
      <w:pPr>
        <w:pStyle w:val="yDefstart"/>
      </w:pPr>
      <w:r>
        <w:tab/>
      </w:r>
      <w:r>
        <w:rPr>
          <w:rStyle w:val="CharDefText"/>
        </w:rPr>
        <w:t>staff member of the former Authority</w:t>
      </w:r>
      <w:r>
        <w:rPr>
          <w:b/>
          <w:i/>
        </w:rPr>
        <w:t xml:space="preserve"> </w:t>
      </w:r>
      <w:r>
        <w:t>means a person who, immediately before commencement day, was an officer or servant of the former Authority appointed under the 1960 Act section 10.</w:t>
      </w:r>
    </w:p>
    <w:p>
      <w:pPr>
        <w:pStyle w:val="ySubsection"/>
      </w:pPr>
      <w:r>
        <w:tab/>
        <w:t>(2)</w:t>
      </w:r>
      <w:r>
        <w:tab/>
        <w:t>At commencement day each staff member of the former Authority becomes a person employed in the department within the class of employees referred to in section 235(1)(c) or (d), as is relevant in accordance with any relevant industrial award or agreement applying to the staff member immediately before commencement day.</w:t>
      </w:r>
    </w:p>
    <w:p>
      <w:pPr>
        <w:pStyle w:val="ySubsection"/>
      </w:pPr>
      <w:r>
        <w:tab/>
        <w:t>(3)</w:t>
      </w:r>
      <w:r>
        <w:tab/>
        <w:t xml:space="preserve">Except as otherwise agreed by a person mentioned in subclause (2) the operation of this clause does not — </w:t>
      </w:r>
    </w:p>
    <w:p>
      <w:pPr>
        <w:pStyle w:val="yIndenta"/>
      </w:pPr>
      <w:r>
        <w:tab/>
        <w:t>(a)</w:t>
      </w:r>
      <w:r>
        <w:tab/>
        <w:t>affect the person’s remuneration; or</w:t>
      </w:r>
    </w:p>
    <w:p>
      <w:pPr>
        <w:pStyle w:val="yIndenta"/>
      </w:pPr>
      <w:r>
        <w:tab/>
        <w:t>(b)</w:t>
      </w:r>
      <w:r>
        <w:tab/>
        <w:t>affect the person’s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the person’s service.</w:t>
      </w:r>
    </w:p>
    <w:p>
      <w:pPr>
        <w:pStyle w:val="ySubsection"/>
      </w:pPr>
      <w:r>
        <w:tab/>
        <w:t>(4)</w:t>
      </w:r>
      <w:r>
        <w:tab/>
        <w:t>For the purposes of subclause (3)(d), the staff member’s service with the former Authority is to be taken to have been with the department.</w:t>
      </w:r>
    </w:p>
    <w:p>
      <w:pPr>
        <w:pStyle w:val="yFootnotesection"/>
      </w:pPr>
      <w:bookmarkStart w:id="1332" w:name="_Toc468166578"/>
      <w:bookmarkStart w:id="1333" w:name="_Toc468172987"/>
      <w:r>
        <w:tab/>
        <w:t>[Clause 37 inserted: No. 41 of 2016 s. 20.]</w:t>
      </w:r>
    </w:p>
    <w:p>
      <w:pPr>
        <w:pStyle w:val="yHeading5"/>
      </w:pPr>
      <w:bookmarkStart w:id="1334" w:name="_Toc32412160"/>
      <w:bookmarkStart w:id="1335" w:name="_Toc13494593"/>
      <w:r>
        <w:rPr>
          <w:rStyle w:val="CharSClsNo"/>
        </w:rPr>
        <w:t>38</w:t>
      </w:r>
      <w:r>
        <w:t>.</w:t>
      </w:r>
      <w:r>
        <w:tab/>
        <w:t>Transfer of assets, liabilities, proceedings, remedies and immunities</w:t>
      </w:r>
      <w:bookmarkEnd w:id="1334"/>
      <w:bookmarkEnd w:id="1332"/>
      <w:bookmarkEnd w:id="1333"/>
      <w:bookmarkEnd w:id="1335"/>
    </w:p>
    <w:p>
      <w:pPr>
        <w:pStyle w:val="ySubsection"/>
      </w:pPr>
      <w:r>
        <w:tab/>
        <w:t>(1)</w:t>
      </w:r>
      <w:r>
        <w:tab/>
        <w:t xml:space="preserve">On commencement day— </w:t>
      </w:r>
    </w:p>
    <w:p>
      <w:pPr>
        <w:pStyle w:val="yIndenta"/>
      </w:pPr>
      <w:r>
        <w:tab/>
        <w:t>(a)</w:t>
      </w:r>
      <w:r>
        <w:tab/>
        <w:t>the assets and rights of the former Authority immediately before that day vest in or become, by force of this clause, the property of the Minister; and</w:t>
      </w:r>
    </w:p>
    <w:p>
      <w:pPr>
        <w:pStyle w:val="yIndenta"/>
      </w:pPr>
      <w:r>
        <w:tab/>
        <w:t>(b)</w:t>
      </w:r>
      <w:r>
        <w:tab/>
        <w:t>the liabilities of the former Authority immediately before that day become, by force of this clause, the liabilities of the Minister.</w:t>
      </w:r>
    </w:p>
    <w:p>
      <w:pPr>
        <w:pStyle w:val="ySubsection"/>
      </w:pPr>
      <w:r>
        <w:tab/>
        <w:t>(2)</w:t>
      </w:r>
      <w:r>
        <w:tab/>
        <w:t>From commencement day, any proceedings or remedy that, immediately before that day, might have been brought or continued by or available against or to the former Authority may be brought or continued by, and are or is available against or to, the Minister.</w:t>
      </w:r>
    </w:p>
    <w:p>
      <w:pPr>
        <w:pStyle w:val="ySubsection"/>
      </w:pPr>
      <w:r>
        <w:tab/>
        <w:t>(3)</w:t>
      </w:r>
      <w:r>
        <w:tab/>
        <w:t>As soon as is practicable after commencement day, all papers, documents, minutes, books of account and other records (however compiled, recorded or stored) relating to the operations of the former Authority are to be delivered to the Minister.</w:t>
      </w:r>
    </w:p>
    <w:p>
      <w:pPr>
        <w:pStyle w:val="ySubsection"/>
      </w:pPr>
      <w:r>
        <w:tab/>
        <w:t>(4)</w:t>
      </w:r>
      <w:r>
        <w:tab/>
        <w:t>As soon as is possible after commencement day, any account maintained by the former Authority must be closed by the Minister and the moneys in the account credited to the Student Residential Colleges Fund.</w:t>
      </w:r>
    </w:p>
    <w:p>
      <w:pPr>
        <w:pStyle w:val="yFootnotesection"/>
      </w:pPr>
      <w:bookmarkStart w:id="1336" w:name="_Toc468166579"/>
      <w:bookmarkStart w:id="1337" w:name="_Toc468172988"/>
      <w:r>
        <w:tab/>
        <w:t>[Clause 38 inserted: No. 41 of 2016 s. 20.]</w:t>
      </w:r>
    </w:p>
    <w:p>
      <w:pPr>
        <w:pStyle w:val="yHeading5"/>
      </w:pPr>
      <w:bookmarkStart w:id="1338" w:name="_Toc32412161"/>
      <w:bookmarkStart w:id="1339" w:name="_Toc13494594"/>
      <w:r>
        <w:rPr>
          <w:rStyle w:val="CharSClsNo"/>
        </w:rPr>
        <w:t>39</w:t>
      </w:r>
      <w:r>
        <w:t>.</w:t>
      </w:r>
      <w:r>
        <w:tab/>
        <w:t>Completion of things commenced</w:t>
      </w:r>
      <w:bookmarkEnd w:id="1338"/>
      <w:bookmarkEnd w:id="1336"/>
      <w:bookmarkEnd w:id="1337"/>
      <w:bookmarkEnd w:id="1339"/>
    </w:p>
    <w:p>
      <w:pPr>
        <w:pStyle w:val="ySubsection"/>
      </w:pPr>
      <w:r>
        <w:tab/>
      </w:r>
      <w:r>
        <w:tab/>
        <w:t>Anything commenced to be done by the former Authority before commencement day may be continued by the Minister so far as the doing of that thing is within the functions of the Minister.</w:t>
      </w:r>
    </w:p>
    <w:p>
      <w:pPr>
        <w:pStyle w:val="yFootnotesection"/>
      </w:pPr>
      <w:bookmarkStart w:id="1340" w:name="_Toc468166580"/>
      <w:bookmarkStart w:id="1341" w:name="_Toc468172989"/>
      <w:r>
        <w:tab/>
        <w:t>[Clause 39 inserted: No. 41 of 2016 s. 20.]</w:t>
      </w:r>
    </w:p>
    <w:p>
      <w:pPr>
        <w:pStyle w:val="yHeading5"/>
      </w:pPr>
      <w:bookmarkStart w:id="1342" w:name="_Toc32412162"/>
      <w:bookmarkStart w:id="1343" w:name="_Toc13494595"/>
      <w:r>
        <w:rPr>
          <w:rStyle w:val="CharSClsNo"/>
        </w:rPr>
        <w:t>40</w:t>
      </w:r>
      <w:r>
        <w:t>.</w:t>
      </w:r>
      <w:r>
        <w:tab/>
        <w:t>Continuing effect of things done</w:t>
      </w:r>
      <w:bookmarkEnd w:id="1342"/>
      <w:bookmarkEnd w:id="1340"/>
      <w:bookmarkEnd w:id="1341"/>
      <w:bookmarkEnd w:id="1343"/>
    </w:p>
    <w:p>
      <w:pPr>
        <w:pStyle w:val="ySubsection"/>
        <w:keepNext/>
      </w:pPr>
      <w:r>
        <w:tab/>
        <w:t>(1)</w:t>
      </w:r>
      <w:r>
        <w:tab/>
        <w:t xml:space="preserve">In this clause — </w:t>
      </w:r>
    </w:p>
    <w:p>
      <w:pPr>
        <w:pStyle w:val="yDefstart"/>
      </w:pPr>
      <w:r>
        <w:tab/>
      </w:r>
      <w:r>
        <w:rPr>
          <w:rStyle w:val="CharDefText"/>
        </w:rPr>
        <w:t>relevant act</w:t>
      </w:r>
      <w:r>
        <w:t xml:space="preserve"> means an act, matter or thing done or omitted to be done before commencement day by, to or in respect of the former Authority.</w:t>
      </w:r>
    </w:p>
    <w:p>
      <w:pPr>
        <w:pStyle w:val="ySubsection"/>
      </w:pPr>
      <w:r>
        <w:tab/>
        <w:t>(2)</w:t>
      </w:r>
      <w:r>
        <w:tab/>
        <w:t>To the extent that a relevant act has force or significance on or after commencement day it is to be taken, from that day, to have been done or omitted by, to or in respect of the Minister so far as the act, matter or thing is relevant to the functions of Minister.</w:t>
      </w:r>
    </w:p>
    <w:p>
      <w:pPr>
        <w:pStyle w:val="ySubsection"/>
      </w:pPr>
      <w:r>
        <w:tab/>
        <w:t>(3)</w:t>
      </w:r>
      <w:r>
        <w:tab/>
        <w:t xml:space="preserve">This clause does not affect the operation of any other provision of this Schedule. </w:t>
      </w:r>
    </w:p>
    <w:p>
      <w:pPr>
        <w:pStyle w:val="yFootnotesection"/>
      </w:pPr>
      <w:bookmarkStart w:id="1344" w:name="_Toc468166581"/>
      <w:bookmarkStart w:id="1345" w:name="_Toc468172990"/>
      <w:r>
        <w:tab/>
        <w:t>[Clause 40 inserted: No. 41 of 2016 s. 20.]</w:t>
      </w:r>
    </w:p>
    <w:p>
      <w:pPr>
        <w:pStyle w:val="yHeading5"/>
      </w:pPr>
      <w:bookmarkStart w:id="1346" w:name="_Toc32412163"/>
      <w:bookmarkStart w:id="1347" w:name="_Toc13494596"/>
      <w:r>
        <w:rPr>
          <w:rStyle w:val="CharSClsNo"/>
        </w:rPr>
        <w:t>41</w:t>
      </w:r>
      <w:r>
        <w:t>.</w:t>
      </w:r>
      <w:r>
        <w:tab/>
        <w:t>Exemption from State tax</w:t>
      </w:r>
      <w:bookmarkEnd w:id="1346"/>
      <w:bookmarkEnd w:id="1344"/>
      <w:bookmarkEnd w:id="1345"/>
      <w:bookmarkEnd w:id="1347"/>
    </w:p>
    <w:p>
      <w:pPr>
        <w:pStyle w:val="ySubsection"/>
      </w:pPr>
      <w:r>
        <w:tab/>
        <w:t>(1)</w:t>
      </w:r>
      <w:r>
        <w:tab/>
        <w:t xml:space="preserve">In this clause — </w:t>
      </w:r>
    </w:p>
    <w:p>
      <w:pPr>
        <w:pStyle w:val="yDefstart"/>
      </w:pPr>
      <w:r>
        <w:tab/>
      </w:r>
      <w:r>
        <w:rPr>
          <w:rStyle w:val="CharDefText"/>
        </w:rPr>
        <w:t>State tax</w:t>
      </w:r>
      <w:r>
        <w:t xml:space="preserve"> includes — </w:t>
      </w:r>
    </w:p>
    <w:p>
      <w:pPr>
        <w:pStyle w:val="yDefpara"/>
      </w:pPr>
      <w:r>
        <w:tab/>
        <w:t>(a)</w:t>
      </w:r>
      <w:r>
        <w:tab/>
        <w:t xml:space="preserve">duty under the </w:t>
      </w:r>
      <w:r>
        <w:rPr>
          <w:i/>
        </w:rPr>
        <w:t>Duties Act 2008</w:t>
      </w:r>
      <w:r>
        <w:t>; and</w:t>
      </w:r>
    </w:p>
    <w:p>
      <w:pPr>
        <w:pStyle w:val="yDefpara"/>
      </w:pPr>
      <w:r>
        <w:tab/>
        <w:t>(b)</w:t>
      </w:r>
      <w:r>
        <w:tab/>
        <w:t>any other tax, duty, fee, levy or charge under a law of the State.</w:t>
      </w:r>
    </w:p>
    <w:p>
      <w:pPr>
        <w:pStyle w:val="ySubsection"/>
      </w:pPr>
      <w:r>
        <w:tab/>
        <w:t>(2)</w:t>
      </w:r>
      <w:r>
        <w:tab/>
        <w:t xml:space="preserve">State tax is not payable in relation to — </w:t>
      </w:r>
    </w:p>
    <w:p>
      <w:pPr>
        <w:pStyle w:val="yIndenta"/>
      </w:pPr>
      <w:r>
        <w:tab/>
        <w:t>(a)</w:t>
      </w:r>
      <w:r>
        <w:tab/>
        <w:t>anything that occurs by operation of this Division; or</w:t>
      </w:r>
    </w:p>
    <w:p>
      <w:pPr>
        <w:pStyle w:val="y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ySubsection"/>
      </w:pPr>
      <w:r>
        <w:tab/>
        <w:t>(3)</w:t>
      </w:r>
      <w:r>
        <w:tab/>
        <w:t xml:space="preserve">The Minister may certify in writing that — </w:t>
      </w:r>
    </w:p>
    <w:p>
      <w:pPr>
        <w:pStyle w:val="yIndenta"/>
      </w:pPr>
      <w:r>
        <w:tab/>
        <w:t>(a)</w:t>
      </w:r>
      <w:r>
        <w:tab/>
        <w:t>a specified thing occurred by operation of this Division; or</w:t>
      </w:r>
    </w:p>
    <w:p>
      <w:pPr>
        <w:pStyle w:val="yIndenta"/>
      </w:pPr>
      <w:r>
        <w:tab/>
        <w:t>(b)</w:t>
      </w:r>
      <w:r>
        <w:tab/>
        <w:t>a specified thing was done under this Division, or to give effect to this Division, or for a purpose connected with or arising out of giving effect to this Division.</w:t>
      </w:r>
    </w:p>
    <w:p>
      <w:pPr>
        <w:pStyle w:val="ySubsection"/>
      </w:pPr>
      <w:r>
        <w:tab/>
        <w:t>(4)</w:t>
      </w:r>
      <w:r>
        <w:tab/>
        <w:t>For all purposes and in all proceedings, a certificate under subclause (3) is sufficient evidence of the matters it certifies, except so far as the contrary is shown.</w:t>
      </w:r>
    </w:p>
    <w:p>
      <w:pPr>
        <w:pStyle w:val="yFootnotesection"/>
      </w:pPr>
      <w:bookmarkStart w:id="1348" w:name="_Toc468166582"/>
      <w:bookmarkStart w:id="1349" w:name="_Toc468172991"/>
      <w:r>
        <w:tab/>
        <w:t>[Clause 41 inserted: No. 41 of 2016 s. 20.]</w:t>
      </w:r>
    </w:p>
    <w:p>
      <w:pPr>
        <w:pStyle w:val="yHeading5"/>
      </w:pPr>
      <w:bookmarkStart w:id="1350" w:name="_Toc32412164"/>
      <w:bookmarkStart w:id="1351" w:name="_Toc13494597"/>
      <w:r>
        <w:rPr>
          <w:rStyle w:val="CharSClsNo"/>
        </w:rPr>
        <w:t>42</w:t>
      </w:r>
      <w:r>
        <w:t>.</w:t>
      </w:r>
      <w:r>
        <w:tab/>
        <w:t>Agreements, instruments and documents</w:t>
      </w:r>
      <w:bookmarkEnd w:id="1350"/>
      <w:bookmarkEnd w:id="1348"/>
      <w:bookmarkEnd w:id="1349"/>
      <w:bookmarkEnd w:id="1351"/>
    </w:p>
    <w:p>
      <w:pPr>
        <w:pStyle w:val="ySubsection"/>
      </w:pPr>
      <w:r>
        <w:tab/>
        <w:t>(1)</w:t>
      </w:r>
      <w:r>
        <w:tab/>
        <w:t xml:space="preserve">In this clause — </w:t>
      </w:r>
    </w:p>
    <w:p>
      <w:pPr>
        <w:pStyle w:val="yDefstart"/>
      </w:pPr>
      <w:r>
        <w:tab/>
      </w:r>
      <w:r>
        <w:rPr>
          <w:rStyle w:val="CharDefText"/>
        </w:rPr>
        <w:t>subsisting</w:t>
      </w:r>
      <w:r>
        <w:t>, in relation to an agreement, instrument or document, means subsisting immediately before commencement day.</w:t>
      </w:r>
    </w:p>
    <w:p>
      <w:pPr>
        <w:pStyle w:val="ySubsection"/>
      </w:pPr>
      <w:r>
        <w:tab/>
        <w:t>(2)</w:t>
      </w:r>
      <w:r>
        <w:tab/>
        <w:t>A subsisting agreement, instrument or document that contains a reference to the former Authority has effect from that day as if that reference were amended to be a reference to the Minister.</w:t>
      </w:r>
    </w:p>
    <w:p>
      <w:pPr>
        <w:pStyle w:val="ySubsection"/>
      </w:pPr>
      <w:r>
        <w:tab/>
        <w:t>(3)</w:t>
      </w:r>
      <w:r>
        <w:tab/>
        <w:t>Subclause (2) does not apply to an agreement or instrument to which the former Authority was a party.</w:t>
      </w:r>
    </w:p>
    <w:p>
      <w:pPr>
        <w:pStyle w:val="ySubsection"/>
      </w:pPr>
      <w:r>
        <w:tab/>
        <w:t>(4)</w:t>
      </w:r>
      <w:r>
        <w:tab/>
        <w:t xml:space="preserve">A subsisting agreement or instrument to which the former Authority was a party has effect from commencement day as if — </w:t>
      </w:r>
    </w:p>
    <w:p>
      <w:pPr>
        <w:pStyle w:val="yIndenta"/>
      </w:pPr>
      <w:r>
        <w:tab/>
        <w:t>(a)</w:t>
      </w:r>
      <w:r>
        <w:tab/>
        <w:t>the Minister were substituted for the former Authority as a party to the agreement or instrument; and</w:t>
      </w:r>
    </w:p>
    <w:p>
      <w:pPr>
        <w:pStyle w:val="yIndenta"/>
      </w:pPr>
      <w:r>
        <w:tab/>
        <w:t>(b)</w:t>
      </w:r>
      <w:r>
        <w:tab/>
        <w:t>a reference to the former Authority in the agreement or instrument were amended to be a reference to the Minister.</w:t>
      </w:r>
    </w:p>
    <w:p>
      <w:pPr>
        <w:pStyle w:val="ySubsection"/>
      </w:pPr>
      <w:r>
        <w:tab/>
        <w:t>(5)</w:t>
      </w:r>
      <w:r>
        <w:tab/>
        <w:t xml:space="preserve">Subclause (2) or (4)(b) does not apply to a reference if — </w:t>
      </w:r>
    </w:p>
    <w:p>
      <w:pPr>
        <w:pStyle w:val="yIndenta"/>
      </w:pPr>
      <w:r>
        <w:tab/>
        <w:t>(a)</w:t>
      </w:r>
      <w:r>
        <w:tab/>
        <w:t>regulations made under clause 45 provide otherwise; or</w:t>
      </w:r>
    </w:p>
    <w:p>
      <w:pPr>
        <w:pStyle w:val="yIndenta"/>
      </w:pPr>
      <w:r>
        <w:tab/>
        <w:t>(b)</w:t>
      </w:r>
      <w:r>
        <w:tab/>
        <w:t>that application would be inappropriate in the context in which the reference occurs.</w:t>
      </w:r>
    </w:p>
    <w:p>
      <w:pPr>
        <w:pStyle w:val="yFootnotesection"/>
      </w:pPr>
      <w:bookmarkStart w:id="1352" w:name="_Toc468166583"/>
      <w:bookmarkStart w:id="1353" w:name="_Toc468172992"/>
      <w:r>
        <w:tab/>
        <w:t>[Clause 42 inserted: No. 41 of 2016 s. 20.]</w:t>
      </w:r>
    </w:p>
    <w:p>
      <w:pPr>
        <w:pStyle w:val="yHeading5"/>
      </w:pPr>
      <w:bookmarkStart w:id="1354" w:name="_Toc32412165"/>
      <w:bookmarkStart w:id="1355" w:name="_Toc13494598"/>
      <w:r>
        <w:rPr>
          <w:rStyle w:val="CharSClsNo"/>
        </w:rPr>
        <w:t>43</w:t>
      </w:r>
      <w:r>
        <w:t>.</w:t>
      </w:r>
      <w:r>
        <w:tab/>
        <w:t>Registration of documents</w:t>
      </w:r>
      <w:bookmarkEnd w:id="1354"/>
      <w:bookmarkEnd w:id="1352"/>
      <w:bookmarkEnd w:id="1353"/>
      <w:bookmarkEnd w:id="1355"/>
    </w:p>
    <w:p>
      <w:pPr>
        <w:pStyle w:val="ySubsection"/>
      </w:pPr>
      <w:r>
        <w:tab/>
        <w:t>(1)</w:t>
      </w:r>
      <w:r>
        <w:tab/>
        <w:t xml:space="preserve">In this clause — </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The relevant officials are to take notice of the provisions of this Division and are to record and register in the appropriate manner the documents necessary to show the effect of this Division.</w:t>
      </w:r>
    </w:p>
    <w:p>
      <w:pPr>
        <w:pStyle w:val="yFootnotesection"/>
      </w:pPr>
      <w:bookmarkStart w:id="1356" w:name="_Toc468166584"/>
      <w:bookmarkStart w:id="1357" w:name="_Toc468172993"/>
      <w:r>
        <w:tab/>
        <w:t>[Clause 43 inserted: No. 41 of 2016 s. 20.]</w:t>
      </w:r>
    </w:p>
    <w:p>
      <w:pPr>
        <w:pStyle w:val="yHeading5"/>
      </w:pPr>
      <w:bookmarkStart w:id="1358" w:name="_Toc32412166"/>
      <w:bookmarkStart w:id="1359" w:name="_Toc13494599"/>
      <w:r>
        <w:rPr>
          <w:rStyle w:val="CharSClsNo"/>
        </w:rPr>
        <w:t>44</w:t>
      </w:r>
      <w:r>
        <w:t>.</w:t>
      </w:r>
      <w:r>
        <w:tab/>
        <w:t>Saving</w:t>
      </w:r>
      <w:bookmarkEnd w:id="1358"/>
      <w:bookmarkEnd w:id="1356"/>
      <w:bookmarkEnd w:id="1357"/>
      <w:bookmarkEnd w:id="1359"/>
    </w:p>
    <w:p>
      <w:pPr>
        <w:pStyle w:val="ySubsection"/>
      </w:pPr>
      <w:r>
        <w:tab/>
        <w:t>(1)</w:t>
      </w:r>
      <w:r>
        <w:tab/>
        <w:t xml:space="preserve">The operation of any provision of this Division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as giving rise to any remedy by a party to an instrument or as causing or permitting the termination of any instrument, because of a change in the beneficial or legal ownership of any asset, right or liability; or</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ubsection"/>
      </w:pPr>
      <w:r>
        <w:tab/>
        <w:t>(2)</w:t>
      </w:r>
      <w:r>
        <w:tab/>
        <w:t xml:space="preserve">This Division is additional to any relevant provisions of the </w:t>
      </w:r>
      <w:r>
        <w:rPr>
          <w:i/>
        </w:rPr>
        <w:t>Interpretation Act 1984</w:t>
      </w:r>
      <w:r>
        <w:t>.</w:t>
      </w:r>
    </w:p>
    <w:p>
      <w:pPr>
        <w:pStyle w:val="yFootnotesection"/>
      </w:pPr>
      <w:bookmarkStart w:id="1360" w:name="_Toc468166585"/>
      <w:bookmarkStart w:id="1361" w:name="_Toc468172994"/>
      <w:r>
        <w:tab/>
        <w:t>[Clause 44 inserted: No. 41 of 2016 s. 20.]</w:t>
      </w:r>
    </w:p>
    <w:p>
      <w:pPr>
        <w:pStyle w:val="yHeading5"/>
      </w:pPr>
      <w:bookmarkStart w:id="1362" w:name="_Toc32412167"/>
      <w:bookmarkStart w:id="1363" w:name="_Toc13494600"/>
      <w:r>
        <w:rPr>
          <w:rStyle w:val="CharSClsNo"/>
        </w:rPr>
        <w:t>45</w:t>
      </w:r>
      <w:r>
        <w:t>.</w:t>
      </w:r>
      <w:r>
        <w:tab/>
        <w:t>Transitional regulations</w:t>
      </w:r>
      <w:bookmarkEnd w:id="1362"/>
      <w:bookmarkEnd w:id="1360"/>
      <w:bookmarkEnd w:id="1361"/>
      <w:bookmarkEnd w:id="1363"/>
    </w:p>
    <w:p>
      <w:pPr>
        <w:pStyle w:val="ySubsection"/>
        <w:keepNext/>
      </w:pPr>
      <w:r>
        <w:tab/>
        <w:t>(1)</w:t>
      </w:r>
      <w:r>
        <w:tab/>
        <w:t xml:space="preserve">In this clause — </w:t>
      </w:r>
    </w:p>
    <w:p>
      <w:pPr>
        <w:pStyle w:val="yDefstart"/>
        <w:keepNext/>
      </w:pPr>
      <w:r>
        <w:tab/>
      </w:r>
      <w:r>
        <w:rPr>
          <w:rStyle w:val="CharDefText"/>
        </w:rPr>
        <w:t xml:space="preserve">specified </w:t>
      </w:r>
      <w:r>
        <w:t>means specified or described in the regulations;</w:t>
      </w:r>
    </w:p>
    <w:p>
      <w:pPr>
        <w:pStyle w:val="yDefstart"/>
        <w:keepNext/>
      </w:pPr>
      <w:r>
        <w:tab/>
      </w:r>
      <w:r>
        <w:rPr>
          <w:rStyle w:val="CharDefText"/>
        </w:rPr>
        <w:t>transitional matter</w:t>
      </w:r>
      <w:r>
        <w:t xml:space="preserve"> — </w:t>
      </w:r>
    </w:p>
    <w:p>
      <w:pPr>
        <w:pStyle w:val="yDefpara"/>
      </w:pPr>
      <w:r>
        <w:tab/>
        <w:t>(a)</w:t>
      </w:r>
      <w:r>
        <w:tab/>
        <w:t>means a matter or issue of a transitional nature that arises as a result of the transition from the 1960 Act to this Act; and</w:t>
      </w:r>
    </w:p>
    <w:p>
      <w:pPr>
        <w:pStyle w:val="yDefpara"/>
      </w:pPr>
      <w:r>
        <w:tab/>
        <w:t>(b)</w:t>
      </w:r>
      <w:r>
        <w:tab/>
        <w:t>includes a saving or application matter.</w:t>
      </w:r>
    </w:p>
    <w:p>
      <w:pPr>
        <w:pStyle w:val="ySubsection"/>
      </w:pPr>
      <w:r>
        <w:tab/>
        <w:t>(2)</w:t>
      </w:r>
      <w:r>
        <w:tab/>
        <w:t>If there is no sufficient provision in this Division for dealing with a transitional matter, regulations under this Act may be made prescribing all matters that are required or necessary or convenient to be prescribed for dealing with the matter.</w:t>
      </w:r>
    </w:p>
    <w:p>
      <w:pPr>
        <w:pStyle w:val="ySubsection"/>
      </w:pPr>
      <w:r>
        <w:tab/>
        <w:t>(3)</w:t>
      </w:r>
      <w:r>
        <w:tab/>
        <w:t xml:space="preserve">Regulations made under subclause (2) may provide that specified provisions of any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If regulations made under subclause (2) contain a provision referred to in subclause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ySubsection"/>
        <w:keepNext/>
      </w:pPr>
      <w:r>
        <w:tab/>
        <w:t>(6)</w:t>
      </w:r>
      <w:r>
        <w:tab/>
        <w:t>Regulations made under subclause (2) in relation to a matter referred to in subclause (3) must be made within such period as is reasonable and practically necessary to deal with a transitional matter.</w:t>
      </w:r>
    </w:p>
    <w:p>
      <w:pPr>
        <w:pStyle w:val="yFootnotesection"/>
        <w:keepNext/>
      </w:pPr>
      <w:r>
        <w:tab/>
        <w:t>[Clause 45 inserted: No. 41 of 2016 s. 20.]</w:t>
      </w:r>
    </w:p>
    <w:p>
      <w:pPr>
        <w:pStyle w:val="yEdnoteschedule"/>
        <w:keepNext/>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365" w:name="_Toc32411754"/>
      <w:bookmarkStart w:id="1366" w:name="_Toc32412168"/>
      <w:bookmarkStart w:id="1367" w:name="_Toc486516079"/>
      <w:bookmarkStart w:id="1368" w:name="_Toc486517117"/>
      <w:bookmarkStart w:id="1369" w:name="_Toc13494601"/>
      <w:r>
        <w:t>Notes</w:t>
      </w:r>
      <w:bookmarkEnd w:id="1365"/>
      <w:bookmarkEnd w:id="1366"/>
      <w:bookmarkEnd w:id="1367"/>
      <w:bookmarkEnd w:id="1368"/>
      <w:bookmarkEnd w:id="1369"/>
    </w:p>
    <w:p>
      <w:pPr>
        <w:pStyle w:val="nStatement"/>
      </w:pPr>
      <w:del w:id="1370" w:author="svcMRProcess" w:date="2020-02-25T12:47:00Z">
        <w:r>
          <w:rPr>
            <w:vertAlign w:val="superscript"/>
          </w:rPr>
          <w:delText>1</w:delText>
        </w:r>
        <w:r>
          <w:tab/>
        </w:r>
      </w:del>
      <w:r>
        <w:t xml:space="preserve">This is a compilation of the </w:t>
      </w:r>
      <w:r>
        <w:rPr>
          <w:i/>
          <w:noProof/>
        </w:rPr>
        <w:t>School Education Act</w:t>
      </w:r>
      <w:del w:id="1371" w:author="svcMRProcess" w:date="2020-02-25T12:47:00Z">
        <w:r>
          <w:rPr>
            <w:i/>
          </w:rPr>
          <w:delText> </w:delText>
        </w:r>
      </w:del>
      <w:ins w:id="1372" w:author="svcMRProcess" w:date="2020-02-25T12:47:00Z">
        <w:r>
          <w:rPr>
            <w:i/>
            <w:noProof/>
          </w:rPr>
          <w:t xml:space="preserve"> </w:t>
        </w:r>
      </w:ins>
      <w:r>
        <w:rPr>
          <w:i/>
          <w:noProof/>
        </w:rPr>
        <w:t>1999</w:t>
      </w:r>
      <w:r>
        <w:t xml:space="preserve"> and includes </w:t>
      </w:r>
      <w:del w:id="1373" w:author="svcMRProcess" w:date="2020-02-25T12:47:00Z">
        <w:r>
          <w:delText xml:space="preserve">the </w:delText>
        </w:r>
      </w:del>
      <w:r>
        <w:t xml:space="preserve">amendments made by </w:t>
      </w:r>
      <w:del w:id="1374" w:author="svcMRProcess" w:date="2020-02-25T12:47:00Z">
        <w:r>
          <w:delText xml:space="preserve">the </w:delText>
        </w:r>
      </w:del>
      <w:r>
        <w:t>other written laws</w:t>
      </w:r>
      <w:del w:id="1375" w:author="svcMRProcess" w:date="2020-02-25T12:47:00Z">
        <w:r>
          <w:delText xml:space="preserve"> referred to in the following table.  The table also contains</w:delText>
        </w:r>
      </w:del>
      <w:ins w:id="1376" w:author="svcMRProcess" w:date="2020-02-25T12:47:00Z">
        <w:r>
          <w:t>. For provisions that have come into operation, and for</w:t>
        </w:r>
      </w:ins>
      <w:r>
        <w:t xml:space="preserve"> information about any </w:t>
      </w:r>
      <w:del w:id="1377" w:author="svcMRProcess" w:date="2020-02-25T12:47:00Z">
        <w:r>
          <w:delText>reprint</w:delText>
        </w:r>
      </w:del>
      <w:ins w:id="1378" w:author="svcMRProcess" w:date="2020-02-25T12:47:00Z">
        <w:r>
          <w:t>reprints, see the compilation table. For provisions that have not yet come into operation see the uncommenced provisions table</w:t>
        </w:r>
      </w:ins>
      <w:r>
        <w:t>.</w:t>
      </w:r>
    </w:p>
    <w:p>
      <w:pPr>
        <w:pStyle w:val="nHeading3"/>
      </w:pPr>
      <w:bookmarkStart w:id="1379" w:name="_Toc32412169"/>
      <w:bookmarkStart w:id="1380" w:name="_Toc13494602"/>
      <w:r>
        <w:t>Compilation table</w:t>
      </w:r>
      <w:bookmarkEnd w:id="1379"/>
      <w:bookmarkEnd w:id="1380"/>
    </w:p>
    <w:tbl>
      <w:tblPr>
        <w:tblW w:w="0" w:type="auto"/>
        <w:tblInd w:w="28" w:type="dxa"/>
        <w:tblLayout w:type="fixed"/>
        <w:tblCellMar>
          <w:left w:w="56" w:type="dxa"/>
          <w:right w:w="56" w:type="dxa"/>
        </w:tblCellMar>
        <w:tblLook w:val="0000" w:firstRow="0" w:lastRow="0" w:firstColumn="0" w:lastColumn="0" w:noHBand="0" w:noVBand="0"/>
      </w:tblPr>
      <w:tblGrid>
        <w:gridCol w:w="15"/>
        <w:gridCol w:w="13"/>
        <w:gridCol w:w="2240"/>
        <w:gridCol w:w="15"/>
        <w:gridCol w:w="13"/>
        <w:gridCol w:w="1106"/>
        <w:gridCol w:w="15"/>
        <w:gridCol w:w="14"/>
        <w:gridCol w:w="1105"/>
        <w:gridCol w:w="15"/>
        <w:gridCol w:w="15"/>
        <w:gridCol w:w="2536"/>
        <w:gridCol w:w="21"/>
      </w:tblGrid>
      <w:tr>
        <w:trPr>
          <w:gridBefore w:val="2"/>
          <w:wBefore w:w="28" w:type="dxa"/>
          <w:cantSplit/>
          <w:tblHeader/>
        </w:trPr>
        <w:tc>
          <w:tcPr>
            <w:tcW w:w="2268" w:type="dxa"/>
            <w:gridSpan w:val="3"/>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2"/>
          <w:wBefore w:w="28" w:type="dxa"/>
          <w:cantSplit/>
        </w:trPr>
        <w:tc>
          <w:tcPr>
            <w:tcW w:w="2268" w:type="dxa"/>
            <w:gridSpan w:val="3"/>
            <w:tcBorders>
              <w:top w:val="single" w:sz="8" w:space="0" w:color="auto"/>
            </w:tcBorders>
          </w:tcPr>
          <w:p>
            <w:pPr>
              <w:pStyle w:val="nTable"/>
              <w:spacing w:after="40"/>
            </w:pPr>
            <w:r>
              <w:rPr>
                <w:i/>
              </w:rPr>
              <w:t>School Education Act 1999</w:t>
            </w:r>
          </w:p>
        </w:tc>
        <w:tc>
          <w:tcPr>
            <w:tcW w:w="1135" w:type="dxa"/>
            <w:gridSpan w:val="3"/>
            <w:tcBorders>
              <w:top w:val="single" w:sz="8" w:space="0" w:color="auto"/>
            </w:tcBorders>
          </w:tcPr>
          <w:p>
            <w:pPr>
              <w:pStyle w:val="nTable"/>
              <w:spacing w:after="40"/>
            </w:pPr>
            <w:r>
              <w:t>36 of 1999</w:t>
            </w:r>
          </w:p>
        </w:tc>
        <w:tc>
          <w:tcPr>
            <w:tcW w:w="1135" w:type="dxa"/>
            <w:gridSpan w:val="3"/>
            <w:tcBorders>
              <w:top w:val="single" w:sz="8" w:space="0" w:color="auto"/>
            </w:tcBorders>
          </w:tcPr>
          <w:p>
            <w:pPr>
              <w:pStyle w:val="nTable"/>
              <w:spacing w:after="40"/>
            </w:pPr>
            <w:r>
              <w:t>2 Nov 1999</w:t>
            </w:r>
          </w:p>
        </w:tc>
        <w:tc>
          <w:tcPr>
            <w:tcW w:w="2552" w:type="dxa"/>
            <w:gridSpan w:val="2"/>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rPr>
          <w:gridBefore w:val="2"/>
          <w:wBefore w:w="28" w:type="dxa"/>
          <w:cantSplit/>
        </w:trPr>
        <w:tc>
          <w:tcPr>
            <w:tcW w:w="2268" w:type="dxa"/>
            <w:gridSpan w:val="3"/>
          </w:tcPr>
          <w:p>
            <w:pPr>
              <w:pStyle w:val="nTable"/>
              <w:spacing w:after="40"/>
              <w:rPr>
                <w:i/>
              </w:rPr>
            </w:pPr>
            <w:r>
              <w:rPr>
                <w:i/>
              </w:rPr>
              <w:t xml:space="preserve">State Superannuation (Transitional and Consequential Provisions) Act 2000 </w:t>
            </w:r>
            <w:r>
              <w:t>s. 62</w:t>
            </w:r>
          </w:p>
        </w:tc>
        <w:tc>
          <w:tcPr>
            <w:tcW w:w="1135" w:type="dxa"/>
            <w:gridSpan w:val="3"/>
          </w:tcPr>
          <w:p>
            <w:pPr>
              <w:pStyle w:val="nTable"/>
              <w:spacing w:after="40"/>
            </w:pPr>
            <w:r>
              <w:t>43 of 2000</w:t>
            </w:r>
          </w:p>
        </w:tc>
        <w:tc>
          <w:tcPr>
            <w:tcW w:w="1135" w:type="dxa"/>
            <w:gridSpan w:val="3"/>
          </w:tcPr>
          <w:p>
            <w:pPr>
              <w:pStyle w:val="nTable"/>
              <w:spacing w:after="40"/>
            </w:pPr>
            <w:r>
              <w:t>2 Nov 2000</w:t>
            </w:r>
          </w:p>
        </w:tc>
        <w:tc>
          <w:tcPr>
            <w:tcW w:w="2552" w:type="dxa"/>
            <w:gridSpan w:val="2"/>
          </w:tcPr>
          <w:p>
            <w:pPr>
              <w:pStyle w:val="nTable"/>
              <w:spacing w:after="40"/>
            </w:pPr>
            <w:r>
              <w:t xml:space="preserve">17 Feb 2001 (see s. 2(2) and </w:t>
            </w:r>
            <w:r>
              <w:rPr>
                <w:i/>
              </w:rPr>
              <w:t>Gazette</w:t>
            </w:r>
            <w:r>
              <w:t xml:space="preserve"> 16 Feb 2001 p.  903)</w:t>
            </w:r>
          </w:p>
        </w:tc>
      </w:tr>
      <w:tr>
        <w:trPr>
          <w:gridBefore w:val="2"/>
          <w:wBefore w:w="28" w:type="dxa"/>
          <w:cantSplit/>
        </w:trPr>
        <w:tc>
          <w:tcPr>
            <w:tcW w:w="2268" w:type="dxa"/>
            <w:gridSpan w:val="3"/>
          </w:tcPr>
          <w:p>
            <w:pPr>
              <w:pStyle w:val="nTable"/>
              <w:spacing w:after="40"/>
              <w:rPr>
                <w:i/>
              </w:rPr>
            </w:pPr>
            <w:r>
              <w:rPr>
                <w:i/>
              </w:rPr>
              <w:t>Labour Relations Reform Act 2002</w:t>
            </w:r>
            <w:r>
              <w:t xml:space="preserve"> s. 27</w:t>
            </w:r>
          </w:p>
        </w:tc>
        <w:tc>
          <w:tcPr>
            <w:tcW w:w="1135" w:type="dxa"/>
            <w:gridSpan w:val="3"/>
          </w:tcPr>
          <w:p>
            <w:pPr>
              <w:pStyle w:val="nTable"/>
              <w:spacing w:after="40"/>
            </w:pPr>
            <w:r>
              <w:t>20 of 2002</w:t>
            </w:r>
          </w:p>
        </w:tc>
        <w:tc>
          <w:tcPr>
            <w:tcW w:w="1135" w:type="dxa"/>
            <w:gridSpan w:val="3"/>
          </w:tcPr>
          <w:p>
            <w:pPr>
              <w:pStyle w:val="nTable"/>
              <w:spacing w:after="40"/>
            </w:pPr>
            <w:r>
              <w:t>8 Jul 2002</w:t>
            </w:r>
          </w:p>
        </w:tc>
        <w:tc>
          <w:tcPr>
            <w:tcW w:w="2552" w:type="dxa"/>
            <w:gridSpan w:val="2"/>
          </w:tcPr>
          <w:p>
            <w:pPr>
              <w:pStyle w:val="nTable"/>
              <w:spacing w:after="40"/>
            </w:pPr>
            <w:r>
              <w:t xml:space="preserve">15 Sep 2002 (see s. 2 and </w:t>
            </w:r>
            <w:r>
              <w:rPr>
                <w:i/>
              </w:rPr>
              <w:t>Gazette</w:t>
            </w:r>
            <w:r>
              <w:t xml:space="preserve"> 6 Sep 2002 p. 4487)</w:t>
            </w:r>
          </w:p>
        </w:tc>
      </w:tr>
      <w:tr>
        <w:trPr>
          <w:gridBefore w:val="2"/>
          <w:wBefore w:w="28" w:type="dxa"/>
          <w:cantSplit/>
        </w:trPr>
        <w:tc>
          <w:tcPr>
            <w:tcW w:w="2268" w:type="dxa"/>
            <w:gridSpan w:val="3"/>
          </w:tcPr>
          <w:p>
            <w:pPr>
              <w:pStyle w:val="nTable"/>
              <w:spacing w:after="40"/>
            </w:pPr>
            <w:r>
              <w:rPr>
                <w:i/>
              </w:rPr>
              <w:t xml:space="preserve">Sentencing Legislation Amendment and Repeal Act 2003 </w:t>
            </w:r>
            <w:r>
              <w:t>s. 94</w:t>
            </w:r>
          </w:p>
        </w:tc>
        <w:tc>
          <w:tcPr>
            <w:tcW w:w="1135" w:type="dxa"/>
            <w:gridSpan w:val="3"/>
          </w:tcPr>
          <w:p>
            <w:pPr>
              <w:pStyle w:val="nTable"/>
              <w:spacing w:after="40"/>
            </w:pPr>
            <w:r>
              <w:t>50 of 2003</w:t>
            </w:r>
          </w:p>
        </w:tc>
        <w:tc>
          <w:tcPr>
            <w:tcW w:w="1135" w:type="dxa"/>
            <w:gridSpan w:val="3"/>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rPr>
          <w:gridBefore w:val="2"/>
          <w:wBefore w:w="28" w:type="dxa"/>
          <w:cantSplit/>
          <w:tblHeader/>
        </w:trPr>
        <w:tc>
          <w:tcPr>
            <w:tcW w:w="4538" w:type="dxa"/>
            <w:gridSpan w:val="9"/>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gridSpan w:val="2"/>
          </w:tcPr>
          <w:p>
            <w:pPr>
              <w:pStyle w:val="nTable"/>
              <w:keepNext/>
              <w:spacing w:after="40"/>
            </w:pPr>
            <w:r>
              <w:rPr>
                <w:spacing w:val="-2"/>
              </w:rPr>
              <w:t>15 Sep 2003 (see r. 2)</w:t>
            </w:r>
          </w:p>
        </w:tc>
      </w:tr>
      <w:tr>
        <w:trPr>
          <w:gridBefore w:val="2"/>
          <w:wBefore w:w="28" w:type="dxa"/>
          <w:cantSplit/>
        </w:trPr>
        <w:tc>
          <w:tcPr>
            <w:tcW w:w="2268" w:type="dxa"/>
            <w:gridSpan w:val="3"/>
          </w:tcPr>
          <w:p>
            <w:pPr>
              <w:pStyle w:val="nTable"/>
              <w:spacing w:after="40"/>
            </w:pPr>
            <w:r>
              <w:rPr>
                <w:i/>
              </w:rPr>
              <w:t>Statutes (Repeals and Minor Amendments) Act 2003</w:t>
            </w:r>
            <w:r>
              <w:t xml:space="preserve"> s. 107</w:t>
            </w:r>
          </w:p>
        </w:tc>
        <w:tc>
          <w:tcPr>
            <w:tcW w:w="1135" w:type="dxa"/>
            <w:gridSpan w:val="3"/>
          </w:tcPr>
          <w:p>
            <w:pPr>
              <w:pStyle w:val="nTable"/>
              <w:spacing w:after="40"/>
            </w:pPr>
            <w:r>
              <w:t>74 of 2003</w:t>
            </w:r>
          </w:p>
        </w:tc>
        <w:tc>
          <w:tcPr>
            <w:tcW w:w="1135" w:type="dxa"/>
            <w:gridSpan w:val="3"/>
          </w:tcPr>
          <w:p>
            <w:pPr>
              <w:pStyle w:val="nTable"/>
              <w:spacing w:after="40"/>
            </w:pPr>
            <w:r>
              <w:t>15 Dec 2003</w:t>
            </w:r>
          </w:p>
        </w:tc>
        <w:tc>
          <w:tcPr>
            <w:tcW w:w="2552" w:type="dxa"/>
            <w:gridSpan w:val="2"/>
          </w:tcPr>
          <w:p>
            <w:pPr>
              <w:pStyle w:val="nTable"/>
              <w:spacing w:after="40"/>
            </w:pPr>
            <w:r>
              <w:rPr>
                <w:spacing w:val="-2"/>
              </w:rPr>
              <w:t>15 Dec 2003 (see s. 2)</w:t>
            </w:r>
          </w:p>
        </w:tc>
      </w:tr>
      <w:tr>
        <w:trPr>
          <w:gridBefore w:val="2"/>
          <w:wBefore w:w="28" w:type="dxa"/>
          <w:cantSplit/>
        </w:trPr>
        <w:tc>
          <w:tcPr>
            <w:tcW w:w="7090" w:type="dxa"/>
            <w:gridSpan w:val="11"/>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rPr>
          <w:gridBefore w:val="2"/>
          <w:wBefore w:w="28" w:type="dxa"/>
          <w:cantSplit/>
        </w:trPr>
        <w:tc>
          <w:tcPr>
            <w:tcW w:w="2268" w:type="dxa"/>
            <w:gridSpan w:val="3"/>
          </w:tcPr>
          <w:p>
            <w:pPr>
              <w:pStyle w:val="nTable"/>
              <w:spacing w:after="40"/>
              <w:rPr>
                <w:i/>
                <w:iCs/>
                <w:snapToGrid w:val="0"/>
              </w:rPr>
            </w:pPr>
            <w:r>
              <w:rPr>
                <w:i/>
                <w:snapToGrid w:val="0"/>
              </w:rPr>
              <w:t>Children and Community Services Act 2004</w:t>
            </w:r>
            <w:r>
              <w:rPr>
                <w:snapToGrid w:val="0"/>
              </w:rPr>
              <w:t xml:space="preserve"> Sch. 2 cl. 24</w:t>
            </w:r>
          </w:p>
        </w:tc>
        <w:tc>
          <w:tcPr>
            <w:tcW w:w="1135" w:type="dxa"/>
            <w:gridSpan w:val="3"/>
          </w:tcPr>
          <w:p>
            <w:pPr>
              <w:pStyle w:val="nTable"/>
              <w:spacing w:after="40"/>
              <w:rPr>
                <w:snapToGrid w:val="0"/>
              </w:rPr>
            </w:pPr>
            <w:r>
              <w:rPr>
                <w:snapToGrid w:val="0"/>
              </w:rPr>
              <w:t>34 of 2004</w:t>
            </w:r>
          </w:p>
        </w:tc>
        <w:tc>
          <w:tcPr>
            <w:tcW w:w="1135" w:type="dxa"/>
            <w:gridSpan w:val="3"/>
          </w:tcPr>
          <w:p>
            <w:pPr>
              <w:pStyle w:val="nTable"/>
              <w:spacing w:after="40"/>
            </w:pPr>
            <w:r>
              <w:t>20 Oct 2004</w:t>
            </w:r>
          </w:p>
        </w:tc>
        <w:tc>
          <w:tcPr>
            <w:tcW w:w="2552" w:type="dxa"/>
            <w:gridSpan w:val="2"/>
          </w:tcPr>
          <w:p>
            <w:pPr>
              <w:pStyle w:val="nTable"/>
              <w:spacing w:after="40"/>
              <w:rPr>
                <w:snapToGrid w:val="0"/>
              </w:rPr>
            </w:pPr>
            <w:r>
              <w:t xml:space="preserve">1 Mar 2006 (see s. 2 and </w:t>
            </w:r>
            <w:r>
              <w:rPr>
                <w:i/>
                <w:iCs/>
              </w:rPr>
              <w:t>Gazette</w:t>
            </w:r>
            <w:r>
              <w:t xml:space="preserve"> 14 Feb 2006 p. 695)</w:t>
            </w:r>
          </w:p>
        </w:tc>
      </w:tr>
      <w:tr>
        <w:trPr>
          <w:gridBefore w:val="2"/>
          <w:wBefore w:w="28" w:type="dxa"/>
          <w:cantSplit/>
        </w:trPr>
        <w:tc>
          <w:tcPr>
            <w:tcW w:w="2268" w:type="dxa"/>
            <w:gridSpan w:val="3"/>
          </w:tcPr>
          <w:p>
            <w:pPr>
              <w:pStyle w:val="nTable"/>
              <w:spacing w:after="40"/>
            </w:pPr>
            <w:r>
              <w:rPr>
                <w:i/>
                <w:iCs/>
                <w:snapToGrid w:val="0"/>
              </w:rPr>
              <w:t>Criminal Procedure and Appeals (Consequential and Other Provisions) Act 2004</w:t>
            </w:r>
            <w:r>
              <w:rPr>
                <w:snapToGrid w:val="0"/>
              </w:rPr>
              <w:t xml:space="preserve"> s. 80</w:t>
            </w:r>
          </w:p>
        </w:tc>
        <w:tc>
          <w:tcPr>
            <w:tcW w:w="1135" w:type="dxa"/>
            <w:gridSpan w:val="3"/>
          </w:tcPr>
          <w:p>
            <w:pPr>
              <w:pStyle w:val="nTable"/>
              <w:spacing w:after="40"/>
            </w:pPr>
            <w:r>
              <w:rPr>
                <w:snapToGrid w:val="0"/>
              </w:rPr>
              <w:t>84 of 2004</w:t>
            </w:r>
          </w:p>
        </w:tc>
        <w:tc>
          <w:tcPr>
            <w:tcW w:w="1135" w:type="dxa"/>
            <w:gridSpan w:val="3"/>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2"/>
          <w:wBefore w:w="28" w:type="dxa"/>
          <w:cantSplit/>
        </w:trPr>
        <w:tc>
          <w:tcPr>
            <w:tcW w:w="2268" w:type="dxa"/>
            <w:gridSpan w:val="3"/>
          </w:tcPr>
          <w:p>
            <w:pPr>
              <w:pStyle w:val="nTable"/>
              <w:spacing w:after="40"/>
              <w:rPr>
                <w:snapToGrid w:val="0"/>
              </w:rPr>
            </w:pPr>
            <w:r>
              <w:rPr>
                <w:i/>
                <w:iCs/>
                <w:snapToGrid w:val="0"/>
              </w:rPr>
              <w:t>Acts Amendment (Higher School Leaving Age and Related Provisions) Act 2005</w:t>
            </w:r>
            <w:r>
              <w:rPr>
                <w:snapToGrid w:val="0"/>
              </w:rPr>
              <w:t xml:space="preserve"> Pt. 2 </w:t>
            </w:r>
            <w:del w:id="1381" w:author="svcMRProcess" w:date="2020-02-25T12:47:00Z">
              <w:r>
                <w:rPr>
                  <w:snapToGrid w:val="0"/>
                  <w:vertAlign w:val="superscript"/>
                </w:rPr>
                <w:delText>5, 6</w:delText>
              </w:r>
            </w:del>
            <w:ins w:id="1382" w:author="svcMRProcess" w:date="2020-02-25T12:47:00Z">
              <w:r>
                <w:rPr>
                  <w:snapToGrid w:val="0"/>
                  <w:vertAlign w:val="superscript"/>
                </w:rPr>
                <w:t>3, 4</w:t>
              </w:r>
            </w:ins>
          </w:p>
        </w:tc>
        <w:tc>
          <w:tcPr>
            <w:tcW w:w="1135" w:type="dxa"/>
            <w:gridSpan w:val="3"/>
          </w:tcPr>
          <w:p>
            <w:pPr>
              <w:pStyle w:val="nTable"/>
              <w:spacing w:after="40"/>
              <w:rPr>
                <w:snapToGrid w:val="0"/>
              </w:rPr>
            </w:pPr>
            <w:r>
              <w:rPr>
                <w:snapToGrid w:val="0"/>
              </w:rPr>
              <w:t>22 of 2005</w:t>
            </w:r>
          </w:p>
        </w:tc>
        <w:tc>
          <w:tcPr>
            <w:tcW w:w="1135" w:type="dxa"/>
            <w:gridSpan w:val="3"/>
          </w:tcPr>
          <w:p>
            <w:pPr>
              <w:pStyle w:val="nTable"/>
              <w:spacing w:after="40"/>
            </w:pPr>
            <w:r>
              <w:t>18 Nov 2005</w:t>
            </w:r>
          </w:p>
        </w:tc>
        <w:tc>
          <w:tcPr>
            <w:tcW w:w="2552" w:type="dxa"/>
            <w:gridSpan w:val="2"/>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gridBefore w:val="2"/>
          <w:wBefore w:w="28" w:type="dxa"/>
          <w:cantSplit/>
        </w:trPr>
        <w:tc>
          <w:tcPr>
            <w:tcW w:w="2268" w:type="dxa"/>
            <w:gridSpan w:val="3"/>
          </w:tcPr>
          <w:p>
            <w:pPr>
              <w:pStyle w:val="nTable"/>
              <w:spacing w:after="40"/>
              <w:rPr>
                <w:i/>
                <w:iCs/>
                <w:snapToGrid w:val="0"/>
              </w:rPr>
            </w:pPr>
            <w:r>
              <w:rPr>
                <w:i/>
                <w:snapToGrid w:val="0"/>
              </w:rPr>
              <w:t xml:space="preserve">Financial Legislation Amendment and Repeal Act 2006 </w:t>
            </w:r>
            <w:r>
              <w:rPr>
                <w:snapToGrid w:val="0"/>
              </w:rPr>
              <w:t>s. 4, 5(1), 6 and Sch. 1 cl. 154 </w:t>
            </w:r>
            <w:del w:id="1383" w:author="svcMRProcess" w:date="2020-02-25T12:47:00Z">
              <w:r>
                <w:rPr>
                  <w:snapToGrid w:val="0"/>
                  <w:vertAlign w:val="superscript"/>
                </w:rPr>
                <w:delText>7</w:delText>
              </w:r>
            </w:del>
            <w:ins w:id="1384" w:author="svcMRProcess" w:date="2020-02-25T12:47:00Z">
              <w:r>
                <w:rPr>
                  <w:snapToGrid w:val="0"/>
                  <w:vertAlign w:val="superscript"/>
                </w:rPr>
                <w:t>5</w:t>
              </w:r>
            </w:ins>
          </w:p>
        </w:tc>
        <w:tc>
          <w:tcPr>
            <w:tcW w:w="1135" w:type="dxa"/>
            <w:gridSpan w:val="3"/>
          </w:tcPr>
          <w:p>
            <w:pPr>
              <w:pStyle w:val="nTable"/>
              <w:spacing w:after="40"/>
              <w:rPr>
                <w:snapToGrid w:val="0"/>
              </w:rPr>
            </w:pPr>
            <w:r>
              <w:rPr>
                <w:snapToGrid w:val="0"/>
              </w:rPr>
              <w:t>77 of 2006</w:t>
            </w:r>
          </w:p>
        </w:tc>
        <w:tc>
          <w:tcPr>
            <w:tcW w:w="1135" w:type="dxa"/>
            <w:gridSpan w:val="3"/>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7090" w:type="dxa"/>
            <w:gridSpan w:val="11"/>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(Higher School Leaving Age and Related Provisions) Act 2005</w:t>
            </w:r>
            <w:r>
              <w:rPr>
                <w:spacing w:val="-2"/>
              </w:rPr>
              <w:t xml:space="preserve"> Pt. 2 Div. 3)</w:t>
            </w:r>
          </w:p>
        </w:tc>
      </w:tr>
      <w:tr>
        <w:trPr>
          <w:gridBefore w:val="2"/>
          <w:wBefore w:w="28" w:type="dxa"/>
          <w:cantSplit/>
        </w:trPr>
        <w:tc>
          <w:tcPr>
            <w:tcW w:w="2268" w:type="dxa"/>
            <w:gridSpan w:val="3"/>
          </w:tcPr>
          <w:p>
            <w:pPr>
              <w:pStyle w:val="nTable"/>
              <w:spacing w:after="40"/>
              <w:rPr>
                <w:iCs/>
                <w:snapToGrid w:val="0"/>
              </w:rPr>
            </w:pPr>
            <w:r>
              <w:rPr>
                <w:i/>
                <w:snapToGrid w:val="0"/>
              </w:rPr>
              <w:t>Training Legislation Amendment and Repeal Act 2008</w:t>
            </w:r>
            <w:r>
              <w:rPr>
                <w:iCs/>
                <w:snapToGrid w:val="0"/>
              </w:rPr>
              <w:t xml:space="preserve"> s. 61</w:t>
            </w:r>
          </w:p>
        </w:tc>
        <w:tc>
          <w:tcPr>
            <w:tcW w:w="1135" w:type="dxa"/>
            <w:gridSpan w:val="3"/>
          </w:tcPr>
          <w:p>
            <w:pPr>
              <w:pStyle w:val="nTable"/>
              <w:spacing w:after="40"/>
              <w:rPr>
                <w:snapToGrid w:val="0"/>
              </w:rPr>
            </w:pPr>
            <w:r>
              <w:rPr>
                <w:snapToGrid w:val="0"/>
              </w:rPr>
              <w:t>44 of 2008</w:t>
            </w:r>
          </w:p>
        </w:tc>
        <w:tc>
          <w:tcPr>
            <w:tcW w:w="1135" w:type="dxa"/>
            <w:gridSpan w:val="3"/>
          </w:tcPr>
          <w:p>
            <w:pPr>
              <w:pStyle w:val="nTable"/>
              <w:spacing w:after="40"/>
            </w:pPr>
            <w:r>
              <w:rPr>
                <w:snapToGrid w:val="0"/>
              </w:rPr>
              <w:t>10 Dec 2008</w:t>
            </w:r>
          </w:p>
        </w:tc>
        <w:tc>
          <w:tcPr>
            <w:tcW w:w="2552" w:type="dxa"/>
            <w:gridSpan w:val="2"/>
          </w:tcPr>
          <w:p>
            <w:pPr>
              <w:pStyle w:val="nTable"/>
              <w:spacing w:after="40"/>
              <w:rPr>
                <w:snapToGrid w:val="0"/>
              </w:rPr>
            </w:pPr>
            <w:r>
              <w:rPr>
                <w:snapToGrid w:val="0"/>
              </w:rPr>
              <w:t>10 Jun 2009 (see s. 2(2))</w:t>
            </w:r>
          </w:p>
        </w:tc>
      </w:tr>
      <w:tr>
        <w:trPr>
          <w:gridBefore w:val="2"/>
          <w:wBefore w:w="28" w:type="dxa"/>
          <w:cantSplit/>
        </w:trPr>
        <w:tc>
          <w:tcPr>
            <w:tcW w:w="2268" w:type="dxa"/>
            <w:gridSpan w:val="3"/>
          </w:tcPr>
          <w:p>
            <w:pPr>
              <w:pStyle w:val="nTable"/>
              <w:spacing w:after="40"/>
              <w:rPr>
                <w:iCs/>
                <w:snapToGrid w:val="0"/>
              </w:rPr>
            </w:pPr>
            <w:r>
              <w:rPr>
                <w:i/>
                <w:iCs/>
                <w:snapToGrid w:val="0"/>
              </w:rPr>
              <w:t>Public Sector Reform Act 2010</w:t>
            </w:r>
            <w:r>
              <w:rPr>
                <w:iCs/>
                <w:snapToGrid w:val="0"/>
              </w:rPr>
              <w:t xml:space="preserve"> s. 89 and 110</w:t>
            </w:r>
          </w:p>
        </w:tc>
        <w:tc>
          <w:tcPr>
            <w:tcW w:w="1135" w:type="dxa"/>
            <w:gridSpan w:val="3"/>
          </w:tcPr>
          <w:p>
            <w:pPr>
              <w:pStyle w:val="nTable"/>
              <w:spacing w:after="40"/>
              <w:rPr>
                <w:snapToGrid w:val="0"/>
              </w:rPr>
            </w:pPr>
            <w:r>
              <w:rPr>
                <w:snapToGrid w:val="0"/>
              </w:rPr>
              <w:t>39 of 2010</w:t>
            </w:r>
          </w:p>
        </w:tc>
        <w:tc>
          <w:tcPr>
            <w:tcW w:w="1135" w:type="dxa"/>
            <w:gridSpan w:val="3"/>
          </w:tcPr>
          <w:p>
            <w:pPr>
              <w:pStyle w:val="nTable"/>
              <w:spacing w:after="40"/>
              <w:rPr>
                <w:snapToGrid w:val="0"/>
              </w:rPr>
            </w:pPr>
            <w:r>
              <w:rPr>
                <w:snapToGrid w:val="0"/>
              </w:rPr>
              <w:t>1 Oct 2010</w:t>
            </w:r>
          </w:p>
        </w:tc>
        <w:tc>
          <w:tcPr>
            <w:tcW w:w="2552" w:type="dxa"/>
            <w:gridSpan w:val="2"/>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gridBefore w:val="2"/>
          <w:wBefore w:w="28" w:type="dxa"/>
          <w:cantSplit/>
        </w:trPr>
        <w:tc>
          <w:tcPr>
            <w:tcW w:w="2268" w:type="dxa"/>
            <w:gridSpan w:val="3"/>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1135" w:type="dxa"/>
            <w:gridSpan w:val="3"/>
          </w:tcPr>
          <w:p>
            <w:pPr>
              <w:pStyle w:val="nTable"/>
              <w:spacing w:after="40"/>
              <w:rPr>
                <w:snapToGrid w:val="0"/>
              </w:rPr>
            </w:pPr>
            <w:r>
              <w:rPr>
                <w:snapToGrid w:val="0"/>
              </w:rPr>
              <w:t>1 of 2011</w:t>
            </w:r>
          </w:p>
        </w:tc>
        <w:tc>
          <w:tcPr>
            <w:tcW w:w="1135" w:type="dxa"/>
            <w:gridSpan w:val="3"/>
          </w:tcPr>
          <w:p>
            <w:pPr>
              <w:pStyle w:val="nTable"/>
              <w:spacing w:after="40"/>
              <w:rPr>
                <w:snapToGrid w:val="0"/>
              </w:rPr>
            </w:pPr>
            <w:r>
              <w:rPr>
                <w:snapToGrid w:val="0"/>
              </w:rPr>
              <w:t>1 Mar 2011</w:t>
            </w:r>
          </w:p>
        </w:tc>
        <w:tc>
          <w:tcPr>
            <w:tcW w:w="2552" w:type="dxa"/>
            <w:gridSpan w:val="2"/>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gridBefore w:val="2"/>
          <w:wBefore w:w="28" w:type="dxa"/>
          <w:cantSplit/>
        </w:trPr>
        <w:tc>
          <w:tcPr>
            <w:tcW w:w="2268" w:type="dxa"/>
            <w:gridSpan w:val="3"/>
          </w:tcPr>
          <w:p>
            <w:pPr>
              <w:pStyle w:val="nTable"/>
              <w:spacing w:after="40"/>
              <w:rPr>
                <w:i/>
                <w:iCs/>
                <w:snapToGrid w:val="0"/>
              </w:rPr>
            </w:pPr>
            <w:r>
              <w:rPr>
                <w:i/>
                <w:snapToGrid w:val="0"/>
              </w:rPr>
              <w:t>Curriculum Council Amendment Act 2011</w:t>
            </w:r>
            <w:r>
              <w:rPr>
                <w:snapToGrid w:val="0"/>
              </w:rPr>
              <w:t xml:space="preserve"> </w:t>
            </w:r>
            <w:r>
              <w:rPr>
                <w:snapToGrid w:val="0"/>
              </w:rPr>
              <w:br/>
              <w:t>Pt. 3 Div. 4</w:t>
            </w:r>
          </w:p>
        </w:tc>
        <w:tc>
          <w:tcPr>
            <w:tcW w:w="1135" w:type="dxa"/>
            <w:gridSpan w:val="3"/>
          </w:tcPr>
          <w:p>
            <w:pPr>
              <w:pStyle w:val="nTable"/>
              <w:spacing w:after="40"/>
              <w:rPr>
                <w:snapToGrid w:val="0"/>
              </w:rPr>
            </w:pPr>
            <w:r>
              <w:rPr>
                <w:snapToGrid w:val="0"/>
              </w:rPr>
              <w:t>37 of 2011</w:t>
            </w:r>
          </w:p>
        </w:tc>
        <w:tc>
          <w:tcPr>
            <w:tcW w:w="1135" w:type="dxa"/>
            <w:gridSpan w:val="3"/>
          </w:tcPr>
          <w:p>
            <w:pPr>
              <w:pStyle w:val="nTable"/>
              <w:spacing w:after="40"/>
              <w:rPr>
                <w:snapToGrid w:val="0"/>
              </w:rPr>
            </w:pPr>
            <w:r>
              <w:t>13 Sep 2011</w:t>
            </w:r>
          </w:p>
        </w:tc>
        <w:tc>
          <w:tcPr>
            <w:tcW w:w="2552" w:type="dxa"/>
            <w:gridSpan w:val="2"/>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1135" w:type="dxa"/>
            <w:gridSpan w:val="3"/>
            <w:tcBorders>
              <w:top w:val="nil"/>
              <w:bottom w:val="nil"/>
            </w:tcBorders>
          </w:tcPr>
          <w:p>
            <w:pPr>
              <w:pStyle w:val="nTable"/>
              <w:spacing w:after="40"/>
              <w:rPr>
                <w:snapToGrid w:val="0"/>
              </w:rPr>
            </w:pPr>
            <w:r>
              <w:rPr>
                <w:snapToGrid w:val="0"/>
              </w:rPr>
              <w:t>11 of 2012</w:t>
            </w:r>
          </w:p>
        </w:tc>
        <w:tc>
          <w:tcPr>
            <w:tcW w:w="1135" w:type="dxa"/>
            <w:gridSpan w:val="3"/>
            <w:tcBorders>
              <w:top w:val="nil"/>
              <w:bottom w:val="nil"/>
            </w:tcBorders>
          </w:tcPr>
          <w:p>
            <w:pPr>
              <w:pStyle w:val="nTable"/>
              <w:spacing w:after="40"/>
              <w:rPr>
                <w:snapToGrid w:val="0"/>
              </w:rPr>
            </w:pPr>
            <w:r>
              <w:t>20 Jun 2012</w:t>
            </w:r>
          </w:p>
        </w:tc>
        <w:tc>
          <w:tcPr>
            <w:tcW w:w="2552" w:type="dxa"/>
            <w:gridSpan w:val="2"/>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1135" w:type="dxa"/>
            <w:gridSpan w:val="3"/>
            <w:tcBorders>
              <w:top w:val="nil"/>
              <w:bottom w:val="nil"/>
            </w:tcBorders>
            <w:shd w:val="clear" w:color="auto" w:fill="auto"/>
          </w:tcPr>
          <w:p>
            <w:pPr>
              <w:pStyle w:val="nTable"/>
              <w:spacing w:after="40"/>
              <w:rPr>
                <w:snapToGrid w:val="0"/>
              </w:rPr>
            </w:pPr>
            <w:r>
              <w:rPr>
                <w:snapToGrid w:val="0"/>
              </w:rPr>
              <w:t>46 of 2012</w:t>
            </w:r>
          </w:p>
        </w:tc>
        <w:tc>
          <w:tcPr>
            <w:tcW w:w="1135" w:type="dxa"/>
            <w:gridSpan w:val="3"/>
            <w:tcBorders>
              <w:top w:val="nil"/>
              <w:bottom w:val="nil"/>
            </w:tcBorders>
            <w:shd w:val="clear" w:color="auto" w:fill="auto"/>
          </w:tcPr>
          <w:p>
            <w:pPr>
              <w:pStyle w:val="nTable"/>
              <w:spacing w:after="40"/>
            </w:pPr>
            <w:r>
              <w:t>29 Nov 2012</w:t>
            </w:r>
          </w:p>
        </w:tc>
        <w:tc>
          <w:tcPr>
            <w:tcW w:w="2552" w:type="dxa"/>
            <w:gridSpan w:val="2"/>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gridBefore w:val="2"/>
          <w:wBefore w:w="28" w:type="dxa"/>
          <w:cantSplit/>
        </w:trPr>
        <w:tc>
          <w:tcPr>
            <w:tcW w:w="7090" w:type="dxa"/>
            <w:gridSpan w:val="11"/>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r>
              <w:rPr>
                <w:i/>
                <w:snapToGrid w:val="0"/>
              </w:rPr>
              <w:br/>
            </w:r>
            <w:r>
              <w:rPr>
                <w:snapToGrid w:val="0"/>
              </w:rPr>
              <w:t>Pt. 2 (s. 3-35)</w:t>
            </w:r>
          </w:p>
        </w:tc>
        <w:tc>
          <w:tcPr>
            <w:tcW w:w="1135" w:type="dxa"/>
            <w:gridSpan w:val="3"/>
            <w:tcBorders>
              <w:top w:val="nil"/>
              <w:bottom w:val="nil"/>
            </w:tcBorders>
            <w:shd w:val="clear" w:color="auto" w:fill="auto"/>
          </w:tcPr>
          <w:p>
            <w:pPr>
              <w:pStyle w:val="nTable"/>
              <w:spacing w:after="40"/>
              <w:rPr>
                <w:snapToGrid w:val="0"/>
              </w:rPr>
            </w:pPr>
            <w:r>
              <w:rPr>
                <w:snapToGrid w:val="0"/>
              </w:rPr>
              <w:t>28 of 2014</w:t>
            </w:r>
          </w:p>
        </w:tc>
        <w:tc>
          <w:tcPr>
            <w:tcW w:w="1135" w:type="dxa"/>
            <w:gridSpan w:val="3"/>
            <w:tcBorders>
              <w:top w:val="nil"/>
              <w:bottom w:val="nil"/>
            </w:tcBorders>
            <w:shd w:val="clear" w:color="auto" w:fill="auto"/>
          </w:tcPr>
          <w:p>
            <w:pPr>
              <w:pStyle w:val="nTable"/>
              <w:spacing w:after="40"/>
            </w:pPr>
            <w:r>
              <w:t>27 Nov 2014</w:t>
            </w:r>
          </w:p>
        </w:tc>
        <w:tc>
          <w:tcPr>
            <w:tcW w:w="2552" w:type="dxa"/>
            <w:gridSpan w:val="2"/>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p>
        </w:tc>
        <w:tc>
          <w:tcPr>
            <w:tcW w:w="1135" w:type="dxa"/>
            <w:gridSpan w:val="3"/>
            <w:tcBorders>
              <w:top w:val="nil"/>
              <w:bottom w:val="nil"/>
            </w:tcBorders>
            <w:shd w:val="clear" w:color="auto" w:fill="auto"/>
          </w:tcPr>
          <w:p>
            <w:pPr>
              <w:pStyle w:val="nTable"/>
              <w:spacing w:after="40"/>
              <w:rPr>
                <w:snapToGrid w:val="0"/>
              </w:rPr>
            </w:pPr>
            <w:r>
              <w:t>23 of 2015</w:t>
            </w:r>
          </w:p>
        </w:tc>
        <w:tc>
          <w:tcPr>
            <w:tcW w:w="1135" w:type="dxa"/>
            <w:gridSpan w:val="3"/>
            <w:tcBorders>
              <w:top w:val="nil"/>
              <w:bottom w:val="nil"/>
            </w:tcBorders>
            <w:shd w:val="clear" w:color="auto" w:fill="auto"/>
          </w:tcPr>
          <w:p>
            <w:pPr>
              <w:pStyle w:val="nTable"/>
              <w:spacing w:after="40"/>
            </w:pPr>
            <w:r>
              <w:t>17 Sep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i/>
              </w:rPr>
            </w:pPr>
            <w:r>
              <w:rPr>
                <w:i/>
                <w:noProof/>
              </w:rPr>
              <w:t xml:space="preserve">Associations Incorporation Act 2015 </w:t>
            </w:r>
            <w:r>
              <w:rPr>
                <w:noProof/>
              </w:rPr>
              <w:t>s. 228</w:t>
            </w:r>
          </w:p>
        </w:tc>
        <w:tc>
          <w:tcPr>
            <w:tcW w:w="1135" w:type="dxa"/>
            <w:gridSpan w:val="3"/>
            <w:tcBorders>
              <w:top w:val="nil"/>
              <w:bottom w:val="nil"/>
            </w:tcBorders>
            <w:shd w:val="clear" w:color="auto" w:fill="auto"/>
          </w:tcPr>
          <w:p>
            <w:pPr>
              <w:pStyle w:val="nTable"/>
              <w:spacing w:after="40"/>
            </w:pPr>
            <w:r>
              <w:t>30 of 2015</w:t>
            </w:r>
          </w:p>
        </w:tc>
        <w:tc>
          <w:tcPr>
            <w:tcW w:w="1135" w:type="dxa"/>
            <w:gridSpan w:val="3"/>
            <w:tcBorders>
              <w:top w:val="nil"/>
              <w:bottom w:val="nil"/>
            </w:tcBorders>
            <w:shd w:val="clear" w:color="auto" w:fill="auto"/>
          </w:tcPr>
          <w:p>
            <w:pPr>
              <w:pStyle w:val="nTable"/>
              <w:spacing w:after="40"/>
            </w:pPr>
            <w:r>
              <w:t>2 Nov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2"/>
          <w:wBefore w:w="28" w:type="dxa"/>
          <w:cantSplit/>
        </w:trPr>
        <w:tc>
          <w:tcPr>
            <w:tcW w:w="7090" w:type="dxa"/>
            <w:gridSpan w:val="11"/>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 except the </w:t>
            </w:r>
            <w:r>
              <w:rPr>
                <w:i/>
                <w:noProof/>
              </w:rPr>
              <w:t>Associations Incorporation Act 2015</w:t>
            </w:r>
            <w:r>
              <w:rPr>
                <w:snapToGrid w:val="0"/>
              </w:rPr>
              <w:t>)</w:t>
            </w:r>
          </w:p>
        </w:tc>
      </w:tr>
      <w:tr>
        <w:tblPrEx>
          <w:tblBorders>
            <w:top w:val="single" w:sz="8" w:space="0" w:color="auto"/>
            <w:bottom w:val="single" w:sz="8" w:space="0" w:color="auto"/>
            <w:insideH w:val="single" w:sz="8" w:space="0" w:color="auto"/>
          </w:tblBorders>
        </w:tblPrEx>
        <w:trPr>
          <w:gridBefore w:val="1"/>
          <w:gridAfter w:val="1"/>
          <w:wBefore w:w="15" w:type="dxa"/>
          <w:wAfter w:w="16" w:type="dxa"/>
          <w:cantSplit/>
        </w:trPr>
        <w:tc>
          <w:tcPr>
            <w:tcW w:w="2268" w:type="dxa"/>
            <w:gridSpan w:val="3"/>
            <w:tcBorders>
              <w:top w:val="nil"/>
              <w:bottom w:val="nil"/>
            </w:tcBorders>
          </w:tcPr>
          <w:p>
            <w:pPr>
              <w:pStyle w:val="nTable"/>
              <w:spacing w:after="40"/>
              <w:rPr>
                <w:noProof/>
                <w:snapToGrid w:val="0"/>
                <w:vertAlign w:val="superscript"/>
              </w:rPr>
            </w:pPr>
            <w:r>
              <w:rPr>
                <w:i/>
              </w:rPr>
              <w:t>Public Health (Consequential Provisions) Act 2016</w:t>
            </w:r>
            <w:r>
              <w:t xml:space="preserve"> Pt. 3 Div. 25</w:t>
            </w:r>
          </w:p>
        </w:tc>
        <w:tc>
          <w:tcPr>
            <w:tcW w:w="1134" w:type="dxa"/>
            <w:gridSpan w:val="3"/>
            <w:tcBorders>
              <w:top w:val="nil"/>
              <w:bottom w:val="nil"/>
            </w:tcBorders>
          </w:tcPr>
          <w:p>
            <w:pPr>
              <w:pStyle w:val="nTable"/>
              <w:spacing w:after="40"/>
            </w:pPr>
            <w:r>
              <w:t>19 of 2016</w:t>
            </w:r>
          </w:p>
        </w:tc>
        <w:tc>
          <w:tcPr>
            <w:tcW w:w="1134" w:type="dxa"/>
            <w:gridSpan w:val="3"/>
            <w:tcBorders>
              <w:top w:val="nil"/>
              <w:bottom w:val="nil"/>
            </w:tcBorders>
          </w:tcPr>
          <w:p>
            <w:pPr>
              <w:pStyle w:val="nTable"/>
              <w:spacing w:after="40"/>
            </w:pPr>
            <w:r>
              <w:t>25 Jul 2016</w:t>
            </w:r>
          </w:p>
        </w:tc>
        <w:tc>
          <w:tcPr>
            <w:tcW w:w="2551" w:type="dxa"/>
            <w:gridSpan w:val="2"/>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PrEx>
        <w:trPr>
          <w:gridBefore w:val="1"/>
          <w:gridAfter w:val="1"/>
          <w:wBefore w:w="15" w:type="dxa"/>
          <w:wAfter w:w="16" w:type="dxa"/>
          <w:cantSplit/>
        </w:trPr>
        <w:tc>
          <w:tcPr>
            <w:tcW w:w="2268" w:type="dxa"/>
            <w:gridSpan w:val="3"/>
            <w:tcBorders>
              <w:top w:val="nil"/>
              <w:bottom w:val="nil"/>
            </w:tcBorders>
          </w:tcPr>
          <w:p>
            <w:pPr>
              <w:pStyle w:val="nTable"/>
              <w:spacing w:after="40"/>
              <w:rPr>
                <w:i/>
              </w:rPr>
            </w:pPr>
            <w:r>
              <w:rPr>
                <w:i/>
                <w:snapToGrid w:val="0"/>
              </w:rPr>
              <w:t xml:space="preserve">School Boarding Facilities Legislation Amendment and Repeal Act 2016 </w:t>
            </w:r>
            <w:r>
              <w:rPr>
                <w:snapToGrid w:val="0"/>
              </w:rPr>
              <w:t>Pt. 3</w:t>
            </w:r>
          </w:p>
        </w:tc>
        <w:tc>
          <w:tcPr>
            <w:tcW w:w="1134" w:type="dxa"/>
            <w:gridSpan w:val="3"/>
            <w:tcBorders>
              <w:top w:val="nil"/>
              <w:bottom w:val="nil"/>
            </w:tcBorders>
          </w:tcPr>
          <w:p>
            <w:pPr>
              <w:pStyle w:val="nTable"/>
              <w:spacing w:after="40"/>
            </w:pPr>
            <w:r>
              <w:t>41 of 2016</w:t>
            </w:r>
          </w:p>
        </w:tc>
        <w:tc>
          <w:tcPr>
            <w:tcW w:w="1134" w:type="dxa"/>
            <w:gridSpan w:val="3"/>
            <w:tcBorders>
              <w:top w:val="nil"/>
              <w:bottom w:val="nil"/>
            </w:tcBorders>
          </w:tcPr>
          <w:p>
            <w:pPr>
              <w:pStyle w:val="nTable"/>
              <w:spacing w:after="40"/>
            </w:pPr>
            <w:r>
              <w:t>28 Nov 2016</w:t>
            </w:r>
          </w:p>
        </w:tc>
        <w:tc>
          <w:tcPr>
            <w:tcW w:w="2551" w:type="dxa"/>
            <w:gridSpan w:val="2"/>
            <w:tcBorders>
              <w:top w:val="nil"/>
              <w:bottom w:val="nil"/>
            </w:tcBorders>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blPrEx>
          <w:tblBorders>
            <w:top w:val="single" w:sz="8" w:space="0" w:color="auto"/>
            <w:bottom w:val="single" w:sz="8" w:space="0" w:color="auto"/>
            <w:insideH w:val="single" w:sz="8" w:space="0" w:color="auto"/>
          </w:tblBorders>
        </w:tblPrEx>
        <w:trPr>
          <w:gridAfter w:val="1"/>
          <w:wAfter w:w="21" w:type="dxa"/>
          <w:cantSplit/>
        </w:trPr>
        <w:tc>
          <w:tcPr>
            <w:tcW w:w="2268" w:type="dxa"/>
            <w:gridSpan w:val="3"/>
            <w:tcBorders>
              <w:top w:val="nil"/>
              <w:bottom w:val="single" w:sz="8" w:space="0" w:color="auto"/>
              <w:right w:val="nil"/>
            </w:tcBorders>
            <w:shd w:val="clear" w:color="auto" w:fill="auto"/>
          </w:tcPr>
          <w:p>
            <w:pPr>
              <w:pStyle w:val="nTable"/>
              <w:spacing w:after="40"/>
              <w:rPr>
                <w:i/>
              </w:rPr>
            </w:pPr>
            <w:r>
              <w:rPr>
                <w:i/>
                <w:noProof/>
              </w:rPr>
              <w:t>Public Health Amendment (Immunisation Requirements for Enrolment) Act 2019</w:t>
            </w:r>
            <w:r>
              <w:rPr>
                <w:noProof/>
              </w:rPr>
              <w:t xml:space="preserve"> Pt. </w:t>
            </w:r>
            <w:del w:id="1385" w:author="svcMRProcess" w:date="2020-02-25T12:47:00Z">
              <w:r>
                <w:rPr>
                  <w:noProof/>
                </w:rPr>
                <w:delText>3 (other than s. 14</w:delText>
              </w:r>
              <w:r>
                <w:rPr>
                  <w:noProof/>
                </w:rPr>
                <w:noBreakHyphen/>
                <w:delText>22)</w:delText>
              </w:r>
            </w:del>
            <w:ins w:id="1386" w:author="svcMRProcess" w:date="2020-02-25T12:47:00Z">
              <w:r>
                <w:rPr>
                  <w:noProof/>
                </w:rPr>
                <w:t xml:space="preserve">3 </w:t>
              </w:r>
            </w:ins>
          </w:p>
        </w:tc>
        <w:tc>
          <w:tcPr>
            <w:tcW w:w="1134" w:type="dxa"/>
            <w:gridSpan w:val="3"/>
            <w:tcBorders>
              <w:top w:val="nil"/>
              <w:left w:val="nil"/>
              <w:bottom w:val="single" w:sz="8" w:space="0" w:color="auto"/>
              <w:right w:val="nil"/>
            </w:tcBorders>
            <w:shd w:val="clear" w:color="auto" w:fill="auto"/>
          </w:tcPr>
          <w:p>
            <w:pPr>
              <w:pStyle w:val="nTable"/>
              <w:spacing w:after="40"/>
            </w:pPr>
            <w:r>
              <w:t>14 of 2019</w:t>
            </w:r>
          </w:p>
        </w:tc>
        <w:tc>
          <w:tcPr>
            <w:tcW w:w="1134" w:type="dxa"/>
            <w:gridSpan w:val="3"/>
            <w:tcBorders>
              <w:top w:val="nil"/>
              <w:left w:val="nil"/>
              <w:bottom w:val="single" w:sz="8" w:space="0" w:color="auto"/>
              <w:right w:val="nil"/>
            </w:tcBorders>
            <w:shd w:val="clear" w:color="auto" w:fill="auto"/>
          </w:tcPr>
          <w:p>
            <w:pPr>
              <w:pStyle w:val="nTable"/>
              <w:spacing w:after="40"/>
            </w:pPr>
            <w:r>
              <w:t>5 Jul 2019</w:t>
            </w:r>
          </w:p>
        </w:tc>
        <w:tc>
          <w:tcPr>
            <w:tcW w:w="2561" w:type="dxa"/>
            <w:gridSpan w:val="3"/>
            <w:tcBorders>
              <w:top w:val="nil"/>
              <w:left w:val="nil"/>
              <w:bottom w:val="single" w:sz="8" w:space="0" w:color="auto"/>
            </w:tcBorders>
            <w:shd w:val="clear" w:color="auto" w:fill="auto"/>
          </w:tcPr>
          <w:p>
            <w:pPr>
              <w:pStyle w:val="nTable"/>
              <w:spacing w:after="40"/>
            </w:pPr>
            <w:ins w:id="1387" w:author="svcMRProcess" w:date="2020-02-25T12:47:00Z">
              <w:r>
                <w:t xml:space="preserve">s. 13: </w:t>
              </w:r>
            </w:ins>
            <w:r>
              <w:t>5 Jul 2019 (see s. 2(a</w:t>
            </w:r>
            <w:del w:id="1388" w:author="svcMRProcess" w:date="2020-02-25T12:47:00Z">
              <w:r>
                <w:delText>))</w:delText>
              </w:r>
            </w:del>
            <w:ins w:id="1389" w:author="svcMRProcess" w:date="2020-02-25T12:47:00Z">
              <w:r>
                <w:t>));</w:t>
              </w:r>
              <w:r>
                <w:br/>
                <w:t>s. 14</w:t>
              </w:r>
              <w:r>
                <w:noBreakHyphen/>
                <w:t xml:space="preserve">22: 22 Jul 2019 (see s. 2(b) and </w:t>
              </w:r>
              <w:r>
                <w:rPr>
                  <w:i/>
                </w:rPr>
                <w:t>Gazette</w:t>
              </w:r>
              <w:r>
                <w:t xml:space="preserve"> 19 Jul 2019 p. 2841)</w:t>
              </w:r>
            </w:ins>
          </w:p>
        </w:tc>
      </w:tr>
    </w:tbl>
    <w:p>
      <w:pPr>
        <w:pStyle w:val="nHeading3"/>
        <w:rPr>
          <w:ins w:id="1390" w:author="svcMRProcess" w:date="2020-02-25T12:47:00Z"/>
        </w:rPr>
      </w:pPr>
      <w:bookmarkStart w:id="1391" w:name="_Toc32412170"/>
      <w:del w:id="1392" w:author="svcMRProcess" w:date="2020-02-25T12:47:00Z">
        <w:r>
          <w:rPr>
            <w:vertAlign w:val="superscript"/>
          </w:rPr>
          <w:delText>1a</w:delText>
        </w:r>
        <w:r>
          <w:rPr>
            <w:snapToGrid w:val="0"/>
          </w:rPr>
          <w:tab/>
          <w:delText>On the date as at which this compilation was prepared,</w:delText>
        </w:r>
      </w:del>
      <w:ins w:id="1393" w:author="svcMRProcess" w:date="2020-02-25T12:47:00Z">
        <w:r>
          <w:t>Uncommenced</w:t>
        </w:r>
      </w:ins>
      <w:r>
        <w:t xml:space="preserve"> provisions </w:t>
      </w:r>
      <w:del w:id="1394" w:author="svcMRProcess" w:date="2020-02-25T12:47:00Z">
        <w:r>
          <w:rPr>
            <w:snapToGrid w:val="0"/>
          </w:rPr>
          <w:delText xml:space="preserve">referred to in the following </w:delText>
        </w:r>
      </w:del>
      <w:r>
        <w:t>table</w:t>
      </w:r>
      <w:bookmarkEnd w:id="1391"/>
      <w:del w:id="1395" w:author="svcMRProcess" w:date="2020-02-25T12:47:00Z">
        <w:r>
          <w:rPr>
            <w:snapToGrid w:val="0"/>
          </w:rPr>
          <w:delText xml:space="preserve"> had not come into operation and were therefore not included in this compilation.  For</w:delText>
        </w:r>
      </w:del>
    </w:p>
    <w:p>
      <w:pPr>
        <w:pStyle w:val="nStatement"/>
        <w:keepNext/>
        <w:spacing w:after="240"/>
      </w:pPr>
      <w:ins w:id="1396" w:author="svcMRProcess" w:date="2020-02-25T12:47:00Z">
        <w:r>
          <w:t>To view</w:t>
        </w:r>
      </w:ins>
      <w:r>
        <w:t xml:space="preserve"> the text of the </w:t>
      </w:r>
      <w:ins w:id="1397" w:author="svcMRProcess" w:date="2020-02-25T12:47:00Z">
        <w:r>
          <w:t xml:space="preserve">uncommenced </w:t>
        </w:r>
      </w:ins>
      <w:r>
        <w:t xml:space="preserve">provisions see </w:t>
      </w:r>
      <w:del w:id="1398" w:author="svcMRProcess" w:date="2020-02-25T12:47:00Z">
        <w:r>
          <w:rPr>
            <w:snapToGrid w:val="0"/>
          </w:rPr>
          <w:delText>the endnotes referred to in the table</w:delText>
        </w:r>
      </w:del>
      <w:ins w:id="1399" w:author="svcMRProcess" w:date="2020-02-25T12:47:00Z">
        <w:r>
          <w:rPr>
            <w:i/>
          </w:rPr>
          <w:t>Acts as passed</w:t>
        </w:r>
        <w:r>
          <w:t xml:space="preserve"> on the WA Legislation website</w:t>
        </w:r>
      </w:ins>
      <w:r>
        <w:t>.</w:t>
      </w:r>
    </w:p>
    <w:p>
      <w:pPr>
        <w:pStyle w:val="nHeading3"/>
        <w:rPr>
          <w:del w:id="1400" w:author="svcMRProcess" w:date="2020-02-25T12:47:00Z"/>
          <w:snapToGrid w:val="0"/>
        </w:rPr>
      </w:pPr>
      <w:bookmarkStart w:id="1401" w:name="_Toc13494603"/>
      <w:del w:id="1402" w:author="svcMRProcess" w:date="2020-02-25T12:47:00Z">
        <w:r>
          <w:rPr>
            <w:snapToGrid w:val="0"/>
          </w:rPr>
          <w:delText>Provisions that have not come into operation</w:delText>
        </w:r>
        <w:bookmarkEnd w:id="1401"/>
      </w:del>
    </w:p>
    <w:tbl>
      <w:tblPr>
        <w:tblW w:w="7027" w:type="dxa"/>
        <w:tblInd w:w="28" w:type="dxa"/>
        <w:tblLayout w:type="fixed"/>
        <w:tblCellMar>
          <w:left w:w="56" w:type="dxa"/>
          <w:right w:w="56" w:type="dxa"/>
        </w:tblCellMar>
        <w:tblLook w:val="0000" w:firstRow="0" w:lastRow="0" w:firstColumn="0" w:lastColumn="0" w:noHBand="0" w:noVBand="0"/>
      </w:tblPr>
      <w:tblGrid>
        <w:gridCol w:w="1928"/>
        <w:gridCol w:w="963"/>
        <w:gridCol w:w="978"/>
        <w:gridCol w:w="979"/>
        <w:gridCol w:w="2179"/>
      </w:tblGrid>
      <w:tr>
        <w:trPr>
          <w:cantSplit/>
          <w:tblHeader/>
        </w:trPr>
        <w:tc>
          <w:tcPr>
            <w:tcW w:w="2246" w:type="dxa"/>
            <w:gridSpan w:val="2"/>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3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46" w:type="dxa"/>
            <w:gridSpan w:val="2"/>
            <w:tcBorders>
              <w:top w:val="single" w:sz="8" w:space="0" w:color="auto"/>
              <w:bottom w:val="single" w:sz="4" w:space="0" w:color="auto"/>
            </w:tcBorders>
            <w:shd w:val="clear" w:color="auto" w:fill="auto"/>
          </w:tcPr>
          <w:p>
            <w:pPr>
              <w:pStyle w:val="nTable"/>
              <w:spacing w:after="40"/>
              <w:ind w:right="113"/>
            </w:pPr>
            <w:r>
              <w:rPr>
                <w:i/>
              </w:rPr>
              <w:t>School Education Act 1999</w:t>
            </w:r>
            <w:r>
              <w:t xml:space="preserve"> s. 182(3) and 208</w:t>
            </w:r>
            <w:del w:id="1403" w:author="svcMRProcess" w:date="2020-02-25T12:47:00Z">
              <w:r>
                <w:rPr>
                  <w:vertAlign w:val="superscript"/>
                </w:rPr>
                <w:delText> 4</w:delText>
              </w:r>
            </w:del>
          </w:p>
        </w:tc>
        <w:tc>
          <w:tcPr>
            <w:tcW w:w="1124" w:type="dxa"/>
            <w:tcBorders>
              <w:top w:val="single" w:sz="8" w:space="0" w:color="auto"/>
              <w:bottom w:val="single" w:sz="4" w:space="0" w:color="auto"/>
            </w:tcBorders>
            <w:shd w:val="clear" w:color="auto" w:fill="auto"/>
          </w:tcPr>
          <w:p>
            <w:pPr>
              <w:pStyle w:val="nTable"/>
              <w:spacing w:after="40"/>
            </w:pPr>
            <w:r>
              <w:t>36 of 1999</w:t>
            </w:r>
          </w:p>
        </w:tc>
        <w:tc>
          <w:tcPr>
            <w:tcW w:w="1125" w:type="dxa"/>
            <w:tcBorders>
              <w:top w:val="single" w:sz="8" w:space="0" w:color="auto"/>
              <w:bottom w:val="single" w:sz="4" w:space="0" w:color="auto"/>
            </w:tcBorders>
            <w:shd w:val="clear" w:color="auto" w:fill="auto"/>
          </w:tcPr>
          <w:p>
            <w:pPr>
              <w:pStyle w:val="nTable"/>
              <w:spacing w:after="40"/>
            </w:pPr>
            <w:r>
              <w:t>2 Nov 1999</w:t>
            </w:r>
          </w:p>
        </w:tc>
        <w:tc>
          <w:tcPr>
            <w:tcW w:w="2532" w:type="dxa"/>
            <w:tcBorders>
              <w:top w:val="single" w:sz="8" w:space="0" w:color="auto"/>
              <w:bottom w:val="single" w:sz="4" w:space="0" w:color="auto"/>
            </w:tcBorders>
            <w:shd w:val="clear" w:color="auto" w:fill="auto"/>
          </w:tcPr>
          <w:p>
            <w:pPr>
              <w:pStyle w:val="nTable"/>
              <w:spacing w:after="40"/>
            </w:pPr>
            <w:r>
              <w:t>To be proclaimed (see s. 2)</w:t>
            </w:r>
          </w:p>
        </w:tc>
      </w:tr>
      <w:tr>
        <w:tblPrEx>
          <w:tblBorders>
            <w:top w:val="single" w:sz="8" w:space="0" w:color="auto"/>
            <w:bottom w:val="single" w:sz="8" w:space="0" w:color="auto"/>
            <w:insideH w:val="single" w:sz="8" w:space="0" w:color="auto"/>
          </w:tblBorders>
        </w:tblPrEx>
        <w:trPr>
          <w:cantSplit/>
          <w:del w:id="1404" w:author="svcMRProcess" w:date="2020-02-25T12:47:00Z"/>
        </w:trPr>
        <w:tc>
          <w:tcPr>
            <w:tcW w:w="2238" w:type="dxa"/>
            <w:tcBorders>
              <w:top w:val="nil"/>
              <w:bottom w:val="single" w:sz="8" w:space="0" w:color="auto"/>
            </w:tcBorders>
          </w:tcPr>
          <w:p>
            <w:pPr>
              <w:pStyle w:val="nTable"/>
              <w:keepNext/>
              <w:spacing w:after="40"/>
              <w:rPr>
                <w:del w:id="1405" w:author="svcMRProcess" w:date="2020-02-25T12:47:00Z"/>
                <w:noProof/>
              </w:rPr>
            </w:pPr>
            <w:bookmarkStart w:id="1406" w:name="_Toc32412171"/>
            <w:del w:id="1407" w:author="svcMRProcess" w:date="2020-02-25T12:47:00Z">
              <w:r>
                <w:rPr>
                  <w:i/>
                  <w:noProof/>
                </w:rPr>
                <w:delText>Public Health Amendment (Immunisation Requirements for Enrolment) Act 2019</w:delText>
              </w:r>
              <w:r>
                <w:rPr>
                  <w:noProof/>
                </w:rPr>
                <w:delText xml:space="preserve"> s. 14</w:delText>
              </w:r>
              <w:r>
                <w:rPr>
                  <w:noProof/>
                </w:rPr>
                <w:noBreakHyphen/>
                <w:delText>22</w:delText>
              </w:r>
              <w:r>
                <w:rPr>
                  <w:noProof/>
                  <w:vertAlign w:val="superscript"/>
                </w:rPr>
                <w:delText> 8</w:delText>
              </w:r>
            </w:del>
          </w:p>
        </w:tc>
        <w:tc>
          <w:tcPr>
            <w:tcW w:w="1106" w:type="dxa"/>
            <w:tcBorders>
              <w:top w:val="nil"/>
              <w:bottom w:val="single" w:sz="8" w:space="0" w:color="auto"/>
            </w:tcBorders>
          </w:tcPr>
          <w:p>
            <w:pPr>
              <w:pStyle w:val="nTable"/>
              <w:keepNext/>
              <w:spacing w:after="40"/>
              <w:rPr>
                <w:del w:id="1408" w:author="svcMRProcess" w:date="2020-02-25T12:47:00Z"/>
              </w:rPr>
            </w:pPr>
            <w:del w:id="1409" w:author="svcMRProcess" w:date="2020-02-25T12:47:00Z">
              <w:r>
                <w:delText>14 of 2019</w:delText>
              </w:r>
            </w:del>
          </w:p>
        </w:tc>
        <w:tc>
          <w:tcPr>
            <w:tcW w:w="1151" w:type="dxa"/>
            <w:gridSpan w:val="2"/>
            <w:tcBorders>
              <w:top w:val="nil"/>
              <w:bottom w:val="single" w:sz="8" w:space="0" w:color="auto"/>
            </w:tcBorders>
          </w:tcPr>
          <w:p>
            <w:pPr>
              <w:pStyle w:val="nTable"/>
              <w:keepNext/>
              <w:spacing w:after="40"/>
              <w:rPr>
                <w:del w:id="1410" w:author="svcMRProcess" w:date="2020-02-25T12:47:00Z"/>
              </w:rPr>
            </w:pPr>
            <w:del w:id="1411" w:author="svcMRProcess" w:date="2020-02-25T12:47:00Z">
              <w:r>
                <w:delText>5 Jul 2019</w:delText>
              </w:r>
            </w:del>
          </w:p>
        </w:tc>
        <w:tc>
          <w:tcPr>
            <w:tcW w:w="2532" w:type="dxa"/>
            <w:tcBorders>
              <w:top w:val="nil"/>
              <w:bottom w:val="single" w:sz="8" w:space="0" w:color="auto"/>
            </w:tcBorders>
          </w:tcPr>
          <w:p>
            <w:pPr>
              <w:pStyle w:val="nTable"/>
              <w:keepNext/>
              <w:spacing w:after="40"/>
              <w:rPr>
                <w:del w:id="1412" w:author="svcMRProcess" w:date="2020-02-25T12:47:00Z"/>
              </w:rPr>
            </w:pPr>
            <w:del w:id="1413" w:author="svcMRProcess" w:date="2020-02-25T12:47:00Z">
              <w:r>
                <w:delText>To be proclaimed (see s. 2(b))</w:delText>
              </w:r>
            </w:del>
          </w:p>
        </w:tc>
      </w:tr>
    </w:tbl>
    <w:p>
      <w:pPr>
        <w:pStyle w:val="nHeading3"/>
        <w:rPr>
          <w:ins w:id="1414" w:author="svcMRProcess" w:date="2020-02-25T12:47:00Z"/>
        </w:rPr>
      </w:pPr>
      <w:del w:id="1415" w:author="svcMRProcess" w:date="2020-02-25T12:47:00Z">
        <w:r>
          <w:rPr>
            <w:vertAlign w:val="superscript"/>
          </w:rPr>
          <w:delText>2</w:delText>
        </w:r>
      </w:del>
      <w:ins w:id="1416" w:author="svcMRProcess" w:date="2020-02-25T12:47:00Z">
        <w:r>
          <w:t>Other notes</w:t>
        </w:r>
        <w:bookmarkEnd w:id="1406"/>
      </w:ins>
    </w:p>
    <w:p>
      <w:pPr>
        <w:pStyle w:val="nNote"/>
        <w:spacing w:before="160"/>
      </w:pPr>
      <w:ins w:id="1417" w:author="svcMRProcess" w:date="2020-02-25T12:47:00Z">
        <w:r>
          <w:rPr>
            <w:vertAlign w:val="superscript"/>
          </w:rPr>
          <w:t>1</w:t>
        </w:r>
      </w:ins>
      <w:r>
        <w:tab/>
        <w:t xml:space="preserve">The provisions in this Act amending the other Acts have been omitted under the </w:t>
      </w:r>
      <w:r>
        <w:rPr>
          <w:i/>
          <w:iCs/>
        </w:rPr>
        <w:t>Reprints Act 1984</w:t>
      </w:r>
      <w:r>
        <w:t xml:space="preserve"> s. 7(4)(e).</w:t>
      </w:r>
    </w:p>
    <w:p>
      <w:pPr>
        <w:pStyle w:val="nNote"/>
      </w:pPr>
      <w:del w:id="1418" w:author="svcMRProcess" w:date="2020-02-25T12:47:00Z">
        <w:r>
          <w:rPr>
            <w:vertAlign w:val="superscript"/>
          </w:rPr>
          <w:delText>3</w:delText>
        </w:r>
      </w:del>
      <w:ins w:id="1419" w:author="svcMRProcess" w:date="2020-02-25T12:47:00Z">
        <w:r>
          <w:rPr>
            <w:vertAlign w:val="superscript"/>
          </w:rPr>
          <w:t>2</w:t>
        </w:r>
      </w:ins>
      <w:r>
        <w:tab/>
        <w:t xml:space="preserve">Repealed by the </w:t>
      </w:r>
      <w:r>
        <w:rPr>
          <w:i/>
          <w:iCs/>
        </w:rPr>
        <w:t>Children and Community Services Act 2004</w:t>
      </w:r>
      <w:r>
        <w:t>.</w:t>
      </w:r>
    </w:p>
    <w:p>
      <w:pPr>
        <w:pStyle w:val="nSubsection"/>
        <w:keepNext/>
        <w:rPr>
          <w:del w:id="1420" w:author="svcMRProcess" w:date="2020-02-25T12:47:00Z"/>
        </w:rPr>
      </w:pPr>
      <w:del w:id="1421" w:author="svcMRProcess" w:date="2020-02-25T12:47:00Z">
        <w:r>
          <w:rPr>
            <w:vertAlign w:val="superscript"/>
          </w:rPr>
          <w:delText>4</w:delText>
        </w:r>
        <w:r>
          <w:tab/>
          <w:delText>On the date as at which this compilation</w:delText>
        </w:r>
        <w:r>
          <w:rPr>
            <w:snapToGrid w:val="0"/>
          </w:rPr>
          <w:delText xml:space="preserve"> was prepared, the</w:delText>
        </w:r>
        <w:r>
          <w:rPr>
            <w:i/>
            <w:snapToGrid w:val="0"/>
          </w:rPr>
          <w:delText xml:space="preserve"> </w:delText>
        </w:r>
        <w:r>
          <w:rPr>
            <w:i/>
          </w:rPr>
          <w:delText>School Education Act 1999</w:delText>
        </w:r>
        <w:r>
          <w:delText xml:space="preserve"> s. 182(3) and 208 </w:delText>
        </w:r>
        <w:r>
          <w:rPr>
            <w:snapToGrid w:val="0"/>
          </w:rPr>
          <w:delText>had not come into operation.  They read as follows:</w:delText>
        </w:r>
      </w:del>
    </w:p>
    <w:p>
      <w:pPr>
        <w:pStyle w:val="BlankOpen"/>
        <w:rPr>
          <w:del w:id="1422" w:author="svcMRProcess" w:date="2020-02-25T12:47:00Z"/>
        </w:rPr>
      </w:pPr>
    </w:p>
    <w:p>
      <w:pPr>
        <w:pStyle w:val="nzHeading5"/>
        <w:rPr>
          <w:del w:id="1423" w:author="svcMRProcess" w:date="2020-02-25T12:47:00Z"/>
        </w:rPr>
      </w:pPr>
      <w:del w:id="1424" w:author="svcMRProcess" w:date="2020-02-25T12:47:00Z">
        <w:r>
          <w:delText>182.</w:delText>
        </w:r>
        <w:r>
          <w:tab/>
          <w:delText>Minister may allocate moneys</w:delText>
        </w:r>
      </w:del>
    </w:p>
    <w:p>
      <w:pPr>
        <w:pStyle w:val="nzSubsection"/>
        <w:rPr>
          <w:del w:id="1425" w:author="svcMRProcess" w:date="2020-02-25T12:47:00Z"/>
        </w:rPr>
      </w:pPr>
      <w:del w:id="1426" w:author="svcMRProcess" w:date="2020-02-25T12:47:00Z">
        <w:r>
          <w:tab/>
          <w:delText>(3)</w:delText>
        </w:r>
        <w:r>
          <w:tab/>
          <w:delText>In the case of moneys appropriated for distribution according to the number of students at a school, account may only be taken of students who are in their pre-compulsory, compulsory or post</w:delText>
        </w:r>
        <w:r>
          <w:noBreakHyphen/>
          <w:delText>compulsory education periods and are —</w:delText>
        </w:r>
      </w:del>
    </w:p>
    <w:p>
      <w:pPr>
        <w:pStyle w:val="nzIndenta"/>
        <w:rPr>
          <w:del w:id="1427" w:author="svcMRProcess" w:date="2020-02-25T12:47:00Z"/>
        </w:rPr>
      </w:pPr>
      <w:del w:id="1428" w:author="svcMRProcess" w:date="2020-02-25T12:47:00Z">
        <w:r>
          <w:tab/>
          <w:delText>(a)</w:delText>
        </w:r>
        <w:r>
          <w:tab/>
          <w:delText>entitled to reside permanently in Australia; or</w:delText>
        </w:r>
      </w:del>
    </w:p>
    <w:p>
      <w:pPr>
        <w:pStyle w:val="nzIndenta"/>
        <w:rPr>
          <w:del w:id="1429" w:author="svcMRProcess" w:date="2020-02-25T12:47:00Z"/>
        </w:rPr>
      </w:pPr>
      <w:del w:id="1430" w:author="svcMRProcess" w:date="2020-02-25T12:47:00Z">
        <w:r>
          <w:tab/>
          <w:delText>(b)</w:delText>
        </w:r>
        <w:r>
          <w:tab/>
          <w:delText>members of a class of students prescribed by the regulations.</w:delText>
        </w:r>
      </w:del>
    </w:p>
    <w:p>
      <w:pPr>
        <w:pStyle w:val="nzHeading5"/>
        <w:spacing w:before="240"/>
        <w:rPr>
          <w:del w:id="1431" w:author="svcMRProcess" w:date="2020-02-25T12:47:00Z"/>
        </w:rPr>
      </w:pPr>
      <w:del w:id="1432" w:author="svcMRProcess" w:date="2020-02-25T12:47:00Z">
        <w:r>
          <w:delText>208.</w:delText>
        </w:r>
        <w:r>
          <w:tab/>
          <w:delText>Management and control of community kindergarten premises</w:delText>
        </w:r>
      </w:del>
    </w:p>
    <w:p>
      <w:pPr>
        <w:pStyle w:val="nzSubsection"/>
        <w:rPr>
          <w:del w:id="1433" w:author="svcMRProcess" w:date="2020-02-25T12:47:00Z"/>
        </w:rPr>
      </w:pPr>
      <w:del w:id="1434" w:author="svcMRProcess" w:date="2020-02-25T12:47:00Z">
        <w:r>
          <w:tab/>
        </w:r>
        <w:r>
          <w:tab/>
          <w:delText>Regulations made under section 119(2)(a), (b), (f), (g), (h), (i) and (j) have effect as if the references in those paragraphs —</w:delText>
        </w:r>
      </w:del>
    </w:p>
    <w:p>
      <w:pPr>
        <w:pStyle w:val="nzIndenta"/>
        <w:rPr>
          <w:del w:id="1435" w:author="svcMRProcess" w:date="2020-02-25T12:47:00Z"/>
        </w:rPr>
      </w:pPr>
      <w:del w:id="1436" w:author="svcMRProcess" w:date="2020-02-25T12:47:00Z">
        <w:r>
          <w:tab/>
          <w:delText>(a)</w:delText>
        </w:r>
        <w:r>
          <w:tab/>
          <w:delText>to school premises included community kindergarten premises; and</w:delText>
        </w:r>
      </w:del>
    </w:p>
    <w:p>
      <w:pPr>
        <w:pStyle w:val="nzIndenta"/>
        <w:rPr>
          <w:del w:id="1437" w:author="svcMRProcess" w:date="2020-02-25T12:47:00Z"/>
        </w:rPr>
      </w:pPr>
      <w:del w:id="1438" w:author="svcMRProcess" w:date="2020-02-25T12:47:00Z">
        <w:r>
          <w:tab/>
          <w:delText>(b)</w:delText>
        </w:r>
        <w:r>
          <w:tab/>
          <w:delText>to school officials included teaching staff and other persons appointed under section 236(2) who are employed at a community kindergarten.</w:delText>
        </w:r>
      </w:del>
    </w:p>
    <w:p>
      <w:pPr>
        <w:pStyle w:val="BlankClose"/>
        <w:rPr>
          <w:del w:id="1439" w:author="svcMRProcess" w:date="2020-02-25T12:47:00Z"/>
        </w:rPr>
      </w:pPr>
    </w:p>
    <w:p>
      <w:pPr>
        <w:pStyle w:val="nNote"/>
        <w:keepNext/>
      </w:pPr>
      <w:del w:id="1440" w:author="svcMRProcess" w:date="2020-02-25T12:47:00Z">
        <w:r>
          <w:rPr>
            <w:vertAlign w:val="superscript"/>
          </w:rPr>
          <w:delText>5</w:delText>
        </w:r>
      </w:del>
      <w:ins w:id="1441" w:author="svcMRProcess" w:date="2020-02-25T12:47:00Z">
        <w:r>
          <w:rPr>
            <w:vertAlign w:val="superscript"/>
          </w:rPr>
          <w:t>3</w:t>
        </w:r>
      </w:ins>
      <w:r>
        <w:tab/>
        <w:t xml:space="preserve">The </w:t>
      </w:r>
      <w:r>
        <w:rPr>
          <w:i/>
          <w:iCs/>
        </w:rPr>
        <w:t xml:space="preserve">Acts Amendment (Higher School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Note"/>
      </w:pPr>
      <w:del w:id="1442" w:author="svcMRProcess" w:date="2020-02-25T12:47:00Z">
        <w:r>
          <w:rPr>
            <w:vertAlign w:val="superscript"/>
          </w:rPr>
          <w:delText>6</w:delText>
        </w:r>
      </w:del>
      <w:ins w:id="1443" w:author="svcMRProcess" w:date="2020-02-25T12:47:00Z">
        <w:r>
          <w:rPr>
            <w:vertAlign w:val="superscript"/>
          </w:rPr>
          <w:t>4</w:t>
        </w:r>
      </w:ins>
      <w:r>
        <w:tab/>
        <w:t xml:space="preserve">The </w:t>
      </w:r>
      <w:r>
        <w:rPr>
          <w:i/>
          <w:iCs/>
        </w:rPr>
        <w:t xml:space="preserve">Acts Amendment (Higher School Leaving Age and Related Provisions) Act 2005 </w:t>
      </w:r>
      <w:r>
        <w:t>s. 21 is a transitional provision of no further effect.</w:t>
      </w:r>
    </w:p>
    <w:p>
      <w:pPr>
        <w:pStyle w:val="nNote"/>
      </w:pPr>
      <w:del w:id="1444" w:author="svcMRProcess" w:date="2020-02-25T12:47:00Z">
        <w:r>
          <w:rPr>
            <w:vertAlign w:val="superscript"/>
          </w:rPr>
          <w:delText>7</w:delText>
        </w:r>
      </w:del>
      <w:ins w:id="1445" w:author="svcMRProcess" w:date="2020-02-25T12:47:00Z">
        <w:r>
          <w:rPr>
            <w:vertAlign w:val="superscript"/>
          </w:rPr>
          <w:t>5</w:t>
        </w:r>
      </w:ins>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keepNext/>
        <w:spacing w:before="360"/>
        <w:rPr>
          <w:del w:id="1446" w:author="svcMRProcess" w:date="2020-02-25T12:47:00Z"/>
          <w:snapToGrid w:val="0"/>
        </w:rPr>
      </w:pPr>
      <w:del w:id="1447" w:author="svcMRProcess" w:date="2020-02-25T12:47:00Z">
        <w:r>
          <w:rPr>
            <w:vertAlign w:val="superscript"/>
          </w:rPr>
          <w:delText>8</w:delText>
        </w:r>
        <w:r>
          <w:rPr>
            <w:snapToGrid w:val="0"/>
          </w:rPr>
          <w:tab/>
          <w:delText xml:space="preserve">On the date as at which this compilation was prepared, the </w:delText>
        </w:r>
        <w:r>
          <w:rPr>
            <w:i/>
            <w:noProof/>
          </w:rPr>
          <w:delText>Public Health Amendment (Immunisation Requirements for Enrolment) Act 2019</w:delText>
        </w:r>
        <w:r>
          <w:rPr>
            <w:noProof/>
          </w:rPr>
          <w:delText xml:space="preserve"> s. 14</w:delText>
        </w:r>
        <w:r>
          <w:rPr>
            <w:noProof/>
          </w:rPr>
          <w:noBreakHyphen/>
          <w:delText>22</w:delText>
        </w:r>
        <w:r>
          <w:rPr>
            <w:i/>
            <w:noProof/>
          </w:rPr>
          <w:delText xml:space="preserve"> </w:delText>
        </w:r>
        <w:r>
          <w:delText>had not</w:delText>
        </w:r>
        <w:r>
          <w:rPr>
            <w:snapToGrid w:val="0"/>
          </w:rPr>
          <w:delText xml:space="preserve"> come into operation.  They read as follows:</w:delText>
        </w:r>
      </w:del>
    </w:p>
    <w:p>
      <w:pPr>
        <w:pStyle w:val="BlankOpen"/>
        <w:rPr>
          <w:del w:id="1448" w:author="svcMRProcess" w:date="2020-02-25T12:47:00Z"/>
        </w:rPr>
      </w:pPr>
    </w:p>
    <w:p>
      <w:pPr>
        <w:pStyle w:val="nzHeading5"/>
        <w:rPr>
          <w:del w:id="1449" w:author="svcMRProcess" w:date="2020-02-25T12:47:00Z"/>
        </w:rPr>
      </w:pPr>
      <w:bookmarkStart w:id="1450" w:name="_Toc12465510"/>
      <w:bookmarkStart w:id="1451" w:name="_Toc13468588"/>
      <w:del w:id="1452" w:author="svcMRProcess" w:date="2020-02-25T12:47:00Z">
        <w:r>
          <w:rPr>
            <w:rStyle w:val="CharSectno"/>
          </w:rPr>
          <w:delText>14</w:delText>
        </w:r>
        <w:r>
          <w:delText>.</w:delText>
        </w:r>
        <w:r>
          <w:tab/>
          <w:delText>Section 3 amended</w:delText>
        </w:r>
        <w:bookmarkEnd w:id="1450"/>
        <w:bookmarkEnd w:id="1451"/>
      </w:del>
    </w:p>
    <w:p>
      <w:pPr>
        <w:pStyle w:val="nzSubsection"/>
        <w:rPr>
          <w:del w:id="1453" w:author="svcMRProcess" w:date="2020-02-25T12:47:00Z"/>
        </w:rPr>
      </w:pPr>
      <w:del w:id="1454" w:author="svcMRProcess" w:date="2020-02-25T12:47:00Z">
        <w:r>
          <w:tab/>
        </w:r>
        <w:r>
          <w:tab/>
          <w:delText>In section 3(1)(a) delete “education; and” and insert:</w:delText>
        </w:r>
      </w:del>
    </w:p>
    <w:p>
      <w:pPr>
        <w:pStyle w:val="BlankOpen"/>
        <w:keepNext w:val="0"/>
        <w:keepLines w:val="0"/>
        <w:rPr>
          <w:del w:id="1455" w:author="svcMRProcess" w:date="2020-02-25T12:47:00Z"/>
        </w:rPr>
      </w:pPr>
    </w:p>
    <w:p>
      <w:pPr>
        <w:pStyle w:val="nzSubsection"/>
        <w:rPr>
          <w:del w:id="1456" w:author="svcMRProcess" w:date="2020-02-25T12:47:00Z"/>
        </w:rPr>
      </w:pPr>
      <w:del w:id="1457" w:author="svcMRProcess" w:date="2020-02-25T12:47:00Z">
        <w:r>
          <w:tab/>
        </w:r>
        <w:r>
          <w:tab/>
          <w:delText>education during the child’s compulsory education period; and</w:delText>
        </w:r>
      </w:del>
    </w:p>
    <w:p>
      <w:pPr>
        <w:pStyle w:val="BlankClose"/>
        <w:keepLines w:val="0"/>
        <w:rPr>
          <w:del w:id="1458" w:author="svcMRProcess" w:date="2020-02-25T12:47:00Z"/>
        </w:rPr>
      </w:pPr>
    </w:p>
    <w:p>
      <w:pPr>
        <w:pStyle w:val="nzHeading5"/>
        <w:rPr>
          <w:del w:id="1459" w:author="svcMRProcess" w:date="2020-02-25T12:47:00Z"/>
        </w:rPr>
      </w:pPr>
      <w:bookmarkStart w:id="1460" w:name="_Toc12465511"/>
      <w:bookmarkStart w:id="1461" w:name="_Toc13468589"/>
      <w:del w:id="1462" w:author="svcMRProcess" w:date="2020-02-25T12:47:00Z">
        <w:r>
          <w:rPr>
            <w:rStyle w:val="CharSectno"/>
          </w:rPr>
          <w:delText>15</w:delText>
        </w:r>
        <w:r>
          <w:delText>.</w:delText>
        </w:r>
        <w:r>
          <w:tab/>
          <w:delText>Section 16 amended</w:delText>
        </w:r>
        <w:bookmarkEnd w:id="1460"/>
        <w:bookmarkEnd w:id="1461"/>
      </w:del>
    </w:p>
    <w:p>
      <w:pPr>
        <w:pStyle w:val="nzSubsection"/>
        <w:rPr>
          <w:del w:id="1463" w:author="svcMRProcess" w:date="2020-02-25T12:47:00Z"/>
        </w:rPr>
      </w:pPr>
      <w:del w:id="1464" w:author="svcMRProcess" w:date="2020-02-25T12:47:00Z">
        <w:r>
          <w:tab/>
          <w:delText>(1)</w:delText>
        </w:r>
        <w:r>
          <w:tab/>
          <w:delText>Before section 16(1) insert:</w:delText>
        </w:r>
      </w:del>
    </w:p>
    <w:p>
      <w:pPr>
        <w:pStyle w:val="BlankOpen"/>
        <w:rPr>
          <w:del w:id="1465" w:author="svcMRProcess" w:date="2020-02-25T12:47:00Z"/>
        </w:rPr>
      </w:pPr>
    </w:p>
    <w:p>
      <w:pPr>
        <w:pStyle w:val="nzSubsection"/>
        <w:rPr>
          <w:del w:id="1466" w:author="svcMRProcess" w:date="2020-02-25T12:47:00Z"/>
        </w:rPr>
      </w:pPr>
      <w:del w:id="1467" w:author="svcMRProcess" w:date="2020-02-25T12:47:00Z">
        <w:r>
          <w:tab/>
          <w:delText>(1A)</w:delText>
        </w:r>
        <w:r>
          <w:tab/>
          <w:delText xml:space="preserve">In this section — </w:delText>
        </w:r>
      </w:del>
    </w:p>
    <w:p>
      <w:pPr>
        <w:pStyle w:val="nzDefstart"/>
        <w:rPr>
          <w:del w:id="1468" w:author="svcMRProcess" w:date="2020-02-25T12:47:00Z"/>
        </w:rPr>
      </w:pPr>
      <w:del w:id="1469" w:author="svcMRProcess" w:date="2020-02-25T12:47:00Z">
        <w:r>
          <w:tab/>
        </w:r>
        <w:r>
          <w:rPr>
            <w:rStyle w:val="CharDefText"/>
          </w:rPr>
          <w:delText>immunisation status</w:delText>
        </w:r>
        <w:r>
          <w:delText xml:space="preserve"> has the meaning given in the </w:delText>
        </w:r>
        <w:r>
          <w:rPr>
            <w:i/>
          </w:rPr>
          <w:delText>Public Health Act 2016</w:delText>
        </w:r>
        <w:r>
          <w:delText xml:space="preserve"> section 141A.</w:delText>
        </w:r>
      </w:del>
    </w:p>
    <w:p>
      <w:pPr>
        <w:pStyle w:val="BlankClose"/>
        <w:rPr>
          <w:del w:id="1470" w:author="svcMRProcess" w:date="2020-02-25T12:47:00Z"/>
        </w:rPr>
      </w:pPr>
    </w:p>
    <w:p>
      <w:pPr>
        <w:pStyle w:val="nzSubsection"/>
        <w:rPr>
          <w:del w:id="1471" w:author="svcMRProcess" w:date="2020-02-25T12:47:00Z"/>
        </w:rPr>
      </w:pPr>
      <w:del w:id="1472" w:author="svcMRProcess" w:date="2020-02-25T12:47:00Z">
        <w:r>
          <w:tab/>
          <w:delText>(2)</w:delText>
        </w:r>
        <w:r>
          <w:tab/>
          <w:delText>Delete section 16(1)(f).</w:delText>
        </w:r>
      </w:del>
    </w:p>
    <w:p>
      <w:pPr>
        <w:pStyle w:val="nzSubsection"/>
        <w:rPr>
          <w:del w:id="1473" w:author="svcMRProcess" w:date="2020-02-25T12:47:00Z"/>
        </w:rPr>
      </w:pPr>
      <w:del w:id="1474" w:author="svcMRProcess" w:date="2020-02-25T12:47:00Z">
        <w:r>
          <w:tab/>
          <w:delText>(3)</w:delText>
        </w:r>
        <w:r>
          <w:tab/>
          <w:delText>In section 16(2) delete “applicant.” and insert:</w:delText>
        </w:r>
      </w:del>
    </w:p>
    <w:p>
      <w:pPr>
        <w:pStyle w:val="BlankOpen"/>
        <w:rPr>
          <w:del w:id="1475" w:author="svcMRProcess" w:date="2020-02-25T12:47:00Z"/>
        </w:rPr>
      </w:pPr>
    </w:p>
    <w:p>
      <w:pPr>
        <w:pStyle w:val="nzSubsection"/>
        <w:rPr>
          <w:del w:id="1476" w:author="svcMRProcess" w:date="2020-02-25T12:47:00Z"/>
        </w:rPr>
      </w:pPr>
      <w:del w:id="1477" w:author="svcMRProcess" w:date="2020-02-25T12:47:00Z">
        <w:r>
          <w:tab/>
        </w:r>
        <w:r>
          <w:tab/>
          <w:delText>applicant under subsection (1).</w:delText>
        </w:r>
      </w:del>
    </w:p>
    <w:p>
      <w:pPr>
        <w:pStyle w:val="BlankClose"/>
        <w:rPr>
          <w:del w:id="1478" w:author="svcMRProcess" w:date="2020-02-25T12:47:00Z"/>
        </w:rPr>
      </w:pPr>
    </w:p>
    <w:p>
      <w:pPr>
        <w:pStyle w:val="nzSubsection"/>
        <w:rPr>
          <w:del w:id="1479" w:author="svcMRProcess" w:date="2020-02-25T12:47:00Z"/>
        </w:rPr>
      </w:pPr>
      <w:del w:id="1480" w:author="svcMRProcess" w:date="2020-02-25T12:47:00Z">
        <w:r>
          <w:tab/>
          <w:delText>(4)</w:delText>
        </w:r>
        <w:r>
          <w:tab/>
          <w:delText>After section 16(2) insert:</w:delText>
        </w:r>
      </w:del>
    </w:p>
    <w:p>
      <w:pPr>
        <w:pStyle w:val="BlankOpen"/>
        <w:rPr>
          <w:del w:id="1481" w:author="svcMRProcess" w:date="2020-02-25T12:47:00Z"/>
        </w:rPr>
      </w:pPr>
    </w:p>
    <w:p>
      <w:pPr>
        <w:pStyle w:val="nzSubsection"/>
        <w:rPr>
          <w:del w:id="1482" w:author="svcMRProcess" w:date="2020-02-25T12:47:00Z"/>
        </w:rPr>
      </w:pPr>
      <w:del w:id="1483" w:author="svcMRProcess" w:date="2020-02-25T12:47:00Z">
        <w:r>
          <w:tab/>
          <w:delText>(3)</w:delText>
        </w:r>
        <w:r>
          <w:tab/>
          <w:delText xml:space="preserve">A person who wishes to make an application for enrolment of a child at a school is to provide the immunisation status of the enrollee in accordance with the </w:delText>
        </w:r>
        <w:r>
          <w:rPr>
            <w:i/>
          </w:rPr>
          <w:delText>Public Health Act 2016</w:delText>
        </w:r>
        <w:r>
          <w:delText xml:space="preserve"> section 141B.</w:delText>
        </w:r>
      </w:del>
    </w:p>
    <w:p>
      <w:pPr>
        <w:pStyle w:val="BlankClose"/>
        <w:rPr>
          <w:del w:id="1484" w:author="svcMRProcess" w:date="2020-02-25T12:47:00Z"/>
        </w:rPr>
      </w:pPr>
    </w:p>
    <w:p>
      <w:pPr>
        <w:pStyle w:val="nzHeading5"/>
        <w:rPr>
          <w:del w:id="1485" w:author="svcMRProcess" w:date="2020-02-25T12:47:00Z"/>
        </w:rPr>
      </w:pPr>
      <w:bookmarkStart w:id="1486" w:name="_Toc12465512"/>
      <w:bookmarkStart w:id="1487" w:name="_Toc13468590"/>
      <w:del w:id="1488" w:author="svcMRProcess" w:date="2020-02-25T12:47:00Z">
        <w:r>
          <w:rPr>
            <w:rStyle w:val="CharSectno"/>
          </w:rPr>
          <w:delText>16</w:delText>
        </w:r>
        <w:r>
          <w:delText>.</w:delText>
        </w:r>
        <w:r>
          <w:tab/>
          <w:delText>Section 17 amended</w:delText>
        </w:r>
        <w:bookmarkEnd w:id="1486"/>
        <w:bookmarkEnd w:id="1487"/>
      </w:del>
    </w:p>
    <w:p>
      <w:pPr>
        <w:pStyle w:val="nzSubsection"/>
        <w:rPr>
          <w:del w:id="1489" w:author="svcMRProcess" w:date="2020-02-25T12:47:00Z"/>
        </w:rPr>
      </w:pPr>
      <w:del w:id="1490" w:author="svcMRProcess" w:date="2020-02-25T12:47:00Z">
        <w:r>
          <w:tab/>
        </w:r>
        <w:r>
          <w:tab/>
          <w:delText>In section 17(1)(b) after “(c) or (g)” insert:</w:delText>
        </w:r>
      </w:del>
    </w:p>
    <w:p>
      <w:pPr>
        <w:pStyle w:val="BlankOpen"/>
        <w:rPr>
          <w:del w:id="1491" w:author="svcMRProcess" w:date="2020-02-25T12:47:00Z"/>
        </w:rPr>
      </w:pPr>
    </w:p>
    <w:p>
      <w:pPr>
        <w:pStyle w:val="nzSubsection"/>
        <w:rPr>
          <w:del w:id="1492" w:author="svcMRProcess" w:date="2020-02-25T12:47:00Z"/>
        </w:rPr>
      </w:pPr>
      <w:del w:id="1493" w:author="svcMRProcess" w:date="2020-02-25T12:47:00Z">
        <w:r>
          <w:tab/>
        </w:r>
        <w:r>
          <w:tab/>
          <w:delText xml:space="preserve">or section 16(3) </w:delText>
        </w:r>
      </w:del>
    </w:p>
    <w:p>
      <w:pPr>
        <w:pStyle w:val="BlankClose"/>
        <w:rPr>
          <w:del w:id="1494" w:author="svcMRProcess" w:date="2020-02-25T12:47:00Z"/>
        </w:rPr>
      </w:pPr>
    </w:p>
    <w:p>
      <w:pPr>
        <w:pStyle w:val="nzHeading5"/>
        <w:rPr>
          <w:del w:id="1495" w:author="svcMRProcess" w:date="2020-02-25T12:47:00Z"/>
          <w:rStyle w:val="CharSectno"/>
        </w:rPr>
      </w:pPr>
      <w:bookmarkStart w:id="1496" w:name="_Toc12465513"/>
      <w:bookmarkStart w:id="1497" w:name="_Toc13468591"/>
      <w:del w:id="1498" w:author="svcMRProcess" w:date="2020-02-25T12:47:00Z">
        <w:r>
          <w:rPr>
            <w:rStyle w:val="CharSectno"/>
          </w:rPr>
          <w:delText>17.</w:delText>
        </w:r>
        <w:r>
          <w:rPr>
            <w:rStyle w:val="CharSectno"/>
          </w:rPr>
          <w:tab/>
          <w:delText>Section 23 amended</w:delText>
        </w:r>
        <w:bookmarkEnd w:id="1496"/>
        <w:bookmarkEnd w:id="1497"/>
      </w:del>
    </w:p>
    <w:p>
      <w:pPr>
        <w:pStyle w:val="nzSubsection"/>
        <w:rPr>
          <w:del w:id="1499" w:author="svcMRProcess" w:date="2020-02-25T12:47:00Z"/>
        </w:rPr>
      </w:pPr>
      <w:del w:id="1500" w:author="svcMRProcess" w:date="2020-02-25T12:47:00Z">
        <w:r>
          <w:tab/>
          <w:delText>(1)</w:delText>
        </w:r>
        <w:r>
          <w:tab/>
          <w:delText>In section 23(1):</w:delText>
        </w:r>
      </w:del>
    </w:p>
    <w:p>
      <w:pPr>
        <w:pStyle w:val="nzIndenta"/>
        <w:rPr>
          <w:del w:id="1501" w:author="svcMRProcess" w:date="2020-02-25T12:47:00Z"/>
        </w:rPr>
      </w:pPr>
      <w:del w:id="1502" w:author="svcMRProcess" w:date="2020-02-25T12:47:00Z">
        <w:r>
          <w:tab/>
          <w:delText>(a)</w:delText>
        </w:r>
        <w:r>
          <w:tab/>
          <w:delText>delete “must” and insert:</w:delText>
        </w:r>
      </w:del>
    </w:p>
    <w:p>
      <w:pPr>
        <w:pStyle w:val="BlankOpen"/>
        <w:rPr>
          <w:del w:id="1503" w:author="svcMRProcess" w:date="2020-02-25T12:47:00Z"/>
        </w:rPr>
      </w:pPr>
    </w:p>
    <w:p>
      <w:pPr>
        <w:pStyle w:val="nzIndenta"/>
        <w:rPr>
          <w:del w:id="1504" w:author="svcMRProcess" w:date="2020-02-25T12:47:00Z"/>
        </w:rPr>
      </w:pPr>
      <w:del w:id="1505" w:author="svcMRProcess" w:date="2020-02-25T12:47:00Z">
        <w:r>
          <w:tab/>
        </w:r>
        <w:r>
          <w:tab/>
          <w:delText>must, for every year of the student’s compulsory education period,</w:delText>
        </w:r>
      </w:del>
    </w:p>
    <w:p>
      <w:pPr>
        <w:pStyle w:val="BlankClose"/>
        <w:rPr>
          <w:del w:id="1506" w:author="svcMRProcess" w:date="2020-02-25T12:47:00Z"/>
        </w:rPr>
      </w:pPr>
    </w:p>
    <w:p>
      <w:pPr>
        <w:pStyle w:val="nzIndenta"/>
        <w:rPr>
          <w:del w:id="1507" w:author="svcMRProcess" w:date="2020-02-25T12:47:00Z"/>
        </w:rPr>
      </w:pPr>
      <w:del w:id="1508" w:author="svcMRProcess" w:date="2020-02-25T12:47:00Z">
        <w:r>
          <w:tab/>
          <w:delText>(b)</w:delText>
        </w:r>
        <w:r>
          <w:tab/>
          <w:delText>in paragraph (a)(i) delete “he or she” and insert:</w:delText>
        </w:r>
      </w:del>
    </w:p>
    <w:p>
      <w:pPr>
        <w:pStyle w:val="BlankOpen"/>
        <w:rPr>
          <w:del w:id="1509" w:author="svcMRProcess" w:date="2020-02-25T12:47:00Z"/>
        </w:rPr>
      </w:pPr>
    </w:p>
    <w:p>
      <w:pPr>
        <w:pStyle w:val="nzIndenta"/>
        <w:rPr>
          <w:del w:id="1510" w:author="svcMRProcess" w:date="2020-02-25T12:47:00Z"/>
        </w:rPr>
      </w:pPr>
      <w:del w:id="1511" w:author="svcMRProcess" w:date="2020-02-25T12:47:00Z">
        <w:r>
          <w:tab/>
        </w:r>
        <w:r>
          <w:tab/>
          <w:delText>the student</w:delText>
        </w:r>
      </w:del>
    </w:p>
    <w:p>
      <w:pPr>
        <w:pStyle w:val="BlankClose"/>
        <w:rPr>
          <w:del w:id="1512" w:author="svcMRProcess" w:date="2020-02-25T12:47:00Z"/>
        </w:rPr>
      </w:pPr>
    </w:p>
    <w:p>
      <w:pPr>
        <w:pStyle w:val="nzSubsection"/>
        <w:rPr>
          <w:del w:id="1513" w:author="svcMRProcess" w:date="2020-02-25T12:47:00Z"/>
        </w:rPr>
      </w:pPr>
      <w:del w:id="1514" w:author="svcMRProcess" w:date="2020-02-25T12:47:00Z">
        <w:r>
          <w:tab/>
          <w:delText>(2)</w:delText>
        </w:r>
        <w:r>
          <w:tab/>
          <w:delText>Delete section 23(2)(b) and insert:</w:delText>
        </w:r>
      </w:del>
    </w:p>
    <w:p>
      <w:pPr>
        <w:pStyle w:val="BlankOpen"/>
        <w:rPr>
          <w:del w:id="1515" w:author="svcMRProcess" w:date="2020-02-25T12:47:00Z"/>
        </w:rPr>
      </w:pPr>
    </w:p>
    <w:p>
      <w:pPr>
        <w:pStyle w:val="nzIndenta"/>
        <w:rPr>
          <w:del w:id="1516" w:author="svcMRProcess" w:date="2020-02-25T12:47:00Z"/>
        </w:rPr>
      </w:pPr>
      <w:del w:id="1517" w:author="svcMRProcess" w:date="2020-02-25T12:47:00Z">
        <w:r>
          <w:tab/>
          <w:delText>(b)</w:delText>
        </w:r>
        <w:r>
          <w:tab/>
          <w:delText>section 27 (which relates to non</w:delText>
        </w:r>
        <w:r>
          <w:noBreakHyphen/>
          <w:delText>attendance for public health reasons); and</w:delText>
        </w:r>
      </w:del>
    </w:p>
    <w:p>
      <w:pPr>
        <w:pStyle w:val="BlankClose"/>
        <w:rPr>
          <w:del w:id="1518" w:author="svcMRProcess" w:date="2020-02-25T12:47:00Z"/>
        </w:rPr>
      </w:pPr>
    </w:p>
    <w:p>
      <w:pPr>
        <w:pStyle w:val="nzHeading5"/>
        <w:rPr>
          <w:del w:id="1519" w:author="svcMRProcess" w:date="2020-02-25T12:47:00Z"/>
        </w:rPr>
      </w:pPr>
      <w:bookmarkStart w:id="1520" w:name="_Toc12465514"/>
      <w:bookmarkStart w:id="1521" w:name="_Toc13468592"/>
      <w:del w:id="1522" w:author="svcMRProcess" w:date="2020-02-25T12:47:00Z">
        <w:r>
          <w:rPr>
            <w:rStyle w:val="CharSectno"/>
          </w:rPr>
          <w:delText>18</w:delText>
        </w:r>
        <w:r>
          <w:delText>.</w:delText>
        </w:r>
        <w:r>
          <w:tab/>
          <w:delText>Section 27 amended</w:delText>
        </w:r>
        <w:bookmarkEnd w:id="1520"/>
        <w:bookmarkEnd w:id="1521"/>
      </w:del>
    </w:p>
    <w:p>
      <w:pPr>
        <w:pStyle w:val="nzSubsection"/>
        <w:rPr>
          <w:del w:id="1523" w:author="svcMRProcess" w:date="2020-02-25T12:47:00Z"/>
        </w:rPr>
      </w:pPr>
      <w:del w:id="1524" w:author="svcMRProcess" w:date="2020-02-25T12:47:00Z">
        <w:r>
          <w:tab/>
          <w:delText>(1)</w:delText>
        </w:r>
        <w:r>
          <w:tab/>
          <w:delText>Before section 27(1) insert:</w:delText>
        </w:r>
      </w:del>
    </w:p>
    <w:p>
      <w:pPr>
        <w:pStyle w:val="BlankOpen"/>
        <w:rPr>
          <w:del w:id="1525" w:author="svcMRProcess" w:date="2020-02-25T12:47:00Z"/>
        </w:rPr>
      </w:pPr>
    </w:p>
    <w:p>
      <w:pPr>
        <w:pStyle w:val="nzSubsection"/>
        <w:rPr>
          <w:del w:id="1526" w:author="svcMRProcess" w:date="2020-02-25T12:47:00Z"/>
        </w:rPr>
      </w:pPr>
      <w:del w:id="1527" w:author="svcMRProcess" w:date="2020-02-25T12:47:00Z">
        <w:r>
          <w:tab/>
          <w:delText>(1A)</w:delText>
        </w:r>
        <w:r>
          <w:tab/>
          <w:delText xml:space="preserve">In this section — </w:delText>
        </w:r>
      </w:del>
    </w:p>
    <w:p>
      <w:pPr>
        <w:pStyle w:val="nzDefstart"/>
        <w:rPr>
          <w:del w:id="1528" w:author="svcMRProcess" w:date="2020-02-25T12:47:00Z"/>
        </w:rPr>
      </w:pPr>
      <w:del w:id="1529" w:author="svcMRProcess" w:date="2020-02-25T12:47:00Z">
        <w:r>
          <w:tab/>
        </w:r>
        <w:r>
          <w:rPr>
            <w:rStyle w:val="CharDefText"/>
          </w:rPr>
          <w:delText>Chief Health Officer</w:delText>
        </w:r>
        <w:r>
          <w:delText xml:space="preserve"> has the meaning given in the</w:delText>
        </w:r>
        <w:r>
          <w:rPr>
            <w:i/>
          </w:rPr>
          <w:delText xml:space="preserve"> Public Health Act 2016</w:delText>
        </w:r>
        <w:r>
          <w:delText xml:space="preserve"> section 4(1).</w:delText>
        </w:r>
      </w:del>
    </w:p>
    <w:p>
      <w:pPr>
        <w:pStyle w:val="nzSubsection"/>
        <w:rPr>
          <w:del w:id="1530" w:author="svcMRProcess" w:date="2020-02-25T12:47:00Z"/>
        </w:rPr>
      </w:pPr>
      <w:del w:id="1531" w:author="svcMRProcess" w:date="2020-02-25T12:47:00Z">
        <w:r>
          <w:tab/>
          <w:delText>(1B)</w:delText>
        </w:r>
        <w:r>
          <w:tab/>
          <w:delText xml:space="preserve">The principal of a school must comply with a direction given by the Chief Health Officer under regulations made for the purposes of the </w:delText>
        </w:r>
        <w:r>
          <w:rPr>
            <w:i/>
          </w:rPr>
          <w:delText>Public Health Act 2016</w:delText>
        </w:r>
        <w:r>
          <w:delText xml:space="preserve"> section 142(1)(d) to not permit a child to attend the school or participate in an educational programme of the school.</w:delText>
        </w:r>
      </w:del>
    </w:p>
    <w:p>
      <w:pPr>
        <w:pStyle w:val="BlankClose"/>
        <w:rPr>
          <w:del w:id="1532" w:author="svcMRProcess" w:date="2020-02-25T12:47:00Z"/>
        </w:rPr>
      </w:pPr>
    </w:p>
    <w:p>
      <w:pPr>
        <w:pStyle w:val="nzSubsection"/>
        <w:rPr>
          <w:del w:id="1533" w:author="svcMRProcess" w:date="2020-02-25T12:47:00Z"/>
        </w:rPr>
      </w:pPr>
      <w:del w:id="1534" w:author="svcMRProcess" w:date="2020-02-25T12:47:00Z">
        <w:r>
          <w:tab/>
          <w:delText>(2)</w:delText>
        </w:r>
        <w:r>
          <w:tab/>
          <w:delText>In section 27(2) delete “This section” and insert:</w:delText>
        </w:r>
      </w:del>
    </w:p>
    <w:p>
      <w:pPr>
        <w:pStyle w:val="BlankOpen"/>
        <w:rPr>
          <w:del w:id="1535" w:author="svcMRProcess" w:date="2020-02-25T12:47:00Z"/>
        </w:rPr>
      </w:pPr>
    </w:p>
    <w:p>
      <w:pPr>
        <w:pStyle w:val="nzSubsection"/>
        <w:rPr>
          <w:del w:id="1536" w:author="svcMRProcess" w:date="2020-02-25T12:47:00Z"/>
        </w:rPr>
      </w:pPr>
      <w:del w:id="1537" w:author="svcMRProcess" w:date="2020-02-25T12:47:00Z">
        <w:r>
          <w:tab/>
        </w:r>
        <w:r>
          <w:tab/>
          <w:delText xml:space="preserve">Subsection (1) </w:delText>
        </w:r>
      </w:del>
    </w:p>
    <w:p>
      <w:pPr>
        <w:pStyle w:val="BlankClose"/>
        <w:rPr>
          <w:del w:id="1538" w:author="svcMRProcess" w:date="2020-02-25T12:47:00Z"/>
        </w:rPr>
      </w:pPr>
    </w:p>
    <w:p>
      <w:pPr>
        <w:pStyle w:val="nzSubsection"/>
        <w:rPr>
          <w:del w:id="1539" w:author="svcMRProcess" w:date="2020-02-25T12:47:00Z"/>
        </w:rPr>
      </w:pPr>
      <w:del w:id="1540" w:author="svcMRProcess" w:date="2020-02-25T12:47:00Z">
        <w:r>
          <w:tab/>
          <w:delText>(3)</w:delText>
        </w:r>
        <w:r>
          <w:tab/>
          <w:delText>Delete section 27(3A).</w:delText>
        </w:r>
      </w:del>
    </w:p>
    <w:p>
      <w:pPr>
        <w:pStyle w:val="nzSectAltNote"/>
        <w:rPr>
          <w:del w:id="1541" w:author="svcMRProcess" w:date="2020-02-25T12:47:00Z"/>
        </w:rPr>
      </w:pPr>
      <w:del w:id="1542" w:author="svcMRProcess" w:date="2020-02-25T12:47:00Z">
        <w:r>
          <w:tab/>
          <w:delText>Note:</w:delText>
        </w:r>
        <w:r>
          <w:tab/>
          <w:delText>The heading to amended section 27 is to read:</w:delText>
        </w:r>
      </w:del>
    </w:p>
    <w:p>
      <w:pPr>
        <w:pStyle w:val="nzSectAltHeading"/>
        <w:rPr>
          <w:del w:id="1543" w:author="svcMRProcess" w:date="2020-02-25T12:47:00Z"/>
        </w:rPr>
      </w:pPr>
      <w:del w:id="1544" w:author="svcMRProcess" w:date="2020-02-25T12:47:00Z">
        <w:r>
          <w:tab/>
        </w:r>
        <w:r>
          <w:tab/>
          <w:delText>Non</w:delText>
        </w:r>
        <w:r>
          <w:noBreakHyphen/>
          <w:delText>attendance of student may be required on public health grounds</w:delText>
        </w:r>
      </w:del>
    </w:p>
    <w:p>
      <w:pPr>
        <w:pStyle w:val="nzHeading5"/>
        <w:rPr>
          <w:del w:id="1545" w:author="svcMRProcess" w:date="2020-02-25T12:47:00Z"/>
        </w:rPr>
      </w:pPr>
      <w:bookmarkStart w:id="1546" w:name="_Toc12465515"/>
      <w:bookmarkStart w:id="1547" w:name="_Toc13468593"/>
      <w:del w:id="1548" w:author="svcMRProcess" w:date="2020-02-25T12:47:00Z">
        <w:r>
          <w:rPr>
            <w:rStyle w:val="CharSectno"/>
          </w:rPr>
          <w:delText>19</w:delText>
        </w:r>
        <w:r>
          <w:delText>.</w:delText>
        </w:r>
        <w:r>
          <w:tab/>
          <w:delText>Section 77 amended</w:delText>
        </w:r>
        <w:bookmarkEnd w:id="1546"/>
        <w:bookmarkEnd w:id="1547"/>
      </w:del>
    </w:p>
    <w:p>
      <w:pPr>
        <w:pStyle w:val="nzSubsection"/>
        <w:rPr>
          <w:del w:id="1549" w:author="svcMRProcess" w:date="2020-02-25T12:47:00Z"/>
        </w:rPr>
      </w:pPr>
      <w:del w:id="1550" w:author="svcMRProcess" w:date="2020-02-25T12:47:00Z">
        <w:r>
          <w:tab/>
        </w:r>
        <w:r>
          <w:tab/>
          <w:delText>After section 77(a) insert:</w:delText>
        </w:r>
      </w:del>
    </w:p>
    <w:p>
      <w:pPr>
        <w:pStyle w:val="BlankOpen"/>
        <w:rPr>
          <w:del w:id="1551" w:author="svcMRProcess" w:date="2020-02-25T12:47:00Z"/>
        </w:rPr>
      </w:pPr>
    </w:p>
    <w:p>
      <w:pPr>
        <w:pStyle w:val="nzIndenta"/>
        <w:rPr>
          <w:del w:id="1552" w:author="svcMRProcess" w:date="2020-02-25T12:47:00Z"/>
        </w:rPr>
      </w:pPr>
      <w:del w:id="1553" w:author="svcMRProcess" w:date="2020-02-25T12:47:00Z">
        <w:r>
          <w:tab/>
          <w:delText>(aa)</w:delText>
        </w:r>
        <w:r>
          <w:tab/>
          <w:delText xml:space="preserve">the enrolment would not contravene the </w:delText>
        </w:r>
        <w:r>
          <w:rPr>
            <w:i/>
          </w:rPr>
          <w:delText>Public Health Act 2016</w:delText>
        </w:r>
        <w:r>
          <w:delText xml:space="preserve"> section 141D; and</w:delText>
        </w:r>
      </w:del>
    </w:p>
    <w:p>
      <w:pPr>
        <w:pStyle w:val="BlankClose"/>
        <w:rPr>
          <w:del w:id="1554" w:author="svcMRProcess" w:date="2020-02-25T12:47:00Z"/>
        </w:rPr>
      </w:pPr>
    </w:p>
    <w:p>
      <w:pPr>
        <w:pStyle w:val="nzHeading5"/>
        <w:rPr>
          <w:del w:id="1555" w:author="svcMRProcess" w:date="2020-02-25T12:47:00Z"/>
        </w:rPr>
      </w:pPr>
      <w:bookmarkStart w:id="1556" w:name="_Toc7794269"/>
      <w:bookmarkStart w:id="1557" w:name="_Toc12465516"/>
      <w:bookmarkStart w:id="1558" w:name="_Toc13468594"/>
      <w:del w:id="1559" w:author="svcMRProcess" w:date="2020-02-25T12:47:00Z">
        <w:r>
          <w:rPr>
            <w:rStyle w:val="CharSectno"/>
          </w:rPr>
          <w:delText>20</w:delText>
        </w:r>
        <w:r>
          <w:delText>.</w:delText>
        </w:r>
        <w:r>
          <w:tab/>
          <w:delText>Section 82 amended</w:delText>
        </w:r>
        <w:bookmarkEnd w:id="1556"/>
        <w:bookmarkEnd w:id="1557"/>
        <w:bookmarkEnd w:id="1558"/>
      </w:del>
    </w:p>
    <w:p>
      <w:pPr>
        <w:pStyle w:val="nzSubsection"/>
        <w:rPr>
          <w:del w:id="1560" w:author="svcMRProcess" w:date="2020-02-25T12:47:00Z"/>
        </w:rPr>
      </w:pPr>
      <w:del w:id="1561" w:author="svcMRProcess" w:date="2020-02-25T12:47:00Z">
        <w:r>
          <w:tab/>
          <w:delText>(1)</w:delText>
        </w:r>
        <w:r>
          <w:tab/>
          <w:delText>After section 82(1) insert:</w:delText>
        </w:r>
      </w:del>
    </w:p>
    <w:p>
      <w:pPr>
        <w:pStyle w:val="BlankOpen"/>
        <w:rPr>
          <w:del w:id="1562" w:author="svcMRProcess" w:date="2020-02-25T12:47:00Z"/>
        </w:rPr>
      </w:pPr>
    </w:p>
    <w:p>
      <w:pPr>
        <w:pStyle w:val="nzSubsection"/>
        <w:rPr>
          <w:del w:id="1563" w:author="svcMRProcess" w:date="2020-02-25T12:47:00Z"/>
        </w:rPr>
      </w:pPr>
      <w:del w:id="1564" w:author="svcMRProcess" w:date="2020-02-25T12:47:00Z">
        <w:r>
          <w:tab/>
          <w:delText>(1A)</w:delText>
        </w:r>
        <w:r>
          <w:tab/>
          <w:delText xml:space="preserve">However, this section does not apply to a child in the child’s pre-compulsory education period if the enrolment of the child would contravene the </w:delText>
        </w:r>
        <w:r>
          <w:rPr>
            <w:i/>
          </w:rPr>
          <w:delText>Public Health Act 2016</w:delText>
        </w:r>
        <w:r>
          <w:delText xml:space="preserve"> section 141D.</w:delText>
        </w:r>
      </w:del>
    </w:p>
    <w:p>
      <w:pPr>
        <w:pStyle w:val="BlankClose"/>
        <w:rPr>
          <w:del w:id="1565" w:author="svcMRProcess" w:date="2020-02-25T12:47:00Z"/>
        </w:rPr>
      </w:pPr>
    </w:p>
    <w:p>
      <w:pPr>
        <w:pStyle w:val="nzSubsection"/>
        <w:rPr>
          <w:del w:id="1566" w:author="svcMRProcess" w:date="2020-02-25T12:47:00Z"/>
        </w:rPr>
      </w:pPr>
      <w:del w:id="1567" w:author="svcMRProcess" w:date="2020-02-25T12:47:00Z">
        <w:r>
          <w:tab/>
          <w:delText>(2)</w:delText>
        </w:r>
        <w:r>
          <w:tab/>
          <w:delText>Delete section 82(2)(d) and insert:</w:delText>
        </w:r>
      </w:del>
    </w:p>
    <w:p>
      <w:pPr>
        <w:pStyle w:val="BlankOpen"/>
        <w:rPr>
          <w:del w:id="1568" w:author="svcMRProcess" w:date="2020-02-25T12:47:00Z"/>
        </w:rPr>
      </w:pPr>
    </w:p>
    <w:p>
      <w:pPr>
        <w:pStyle w:val="nzIndenta"/>
        <w:rPr>
          <w:del w:id="1569" w:author="svcMRProcess" w:date="2020-02-25T12:47:00Z"/>
        </w:rPr>
      </w:pPr>
      <w:del w:id="1570" w:author="svcMRProcess" w:date="2020-02-25T12:47:00Z">
        <w:r>
          <w:tab/>
          <w:delText>(d)</w:delText>
        </w:r>
        <w:r>
          <w:tab/>
          <w:delText>any other criteria prescribed for the purposes of section 76(2), 77(b), 78(2)(b) or 79(1)(b), as the case requires, are satisfied,</w:delText>
        </w:r>
      </w:del>
    </w:p>
    <w:p>
      <w:pPr>
        <w:pStyle w:val="BlankClose"/>
        <w:rPr>
          <w:del w:id="1571" w:author="svcMRProcess" w:date="2020-02-25T12:47:00Z"/>
        </w:rPr>
      </w:pPr>
    </w:p>
    <w:p>
      <w:pPr>
        <w:pStyle w:val="nzSubsection"/>
        <w:rPr>
          <w:del w:id="1572" w:author="svcMRProcess" w:date="2020-02-25T12:47:00Z"/>
        </w:rPr>
      </w:pPr>
      <w:del w:id="1573" w:author="svcMRProcess" w:date="2020-02-25T12:47:00Z">
        <w:r>
          <w:tab/>
          <w:delText>(3)</w:delText>
        </w:r>
        <w:r>
          <w:tab/>
          <w:delText>In section 82(3):</w:delText>
        </w:r>
      </w:del>
    </w:p>
    <w:p>
      <w:pPr>
        <w:pStyle w:val="nzIndenta"/>
        <w:rPr>
          <w:del w:id="1574" w:author="svcMRProcess" w:date="2020-02-25T12:47:00Z"/>
        </w:rPr>
      </w:pPr>
      <w:del w:id="1575" w:author="svcMRProcess" w:date="2020-02-25T12:47:00Z">
        <w:r>
          <w:tab/>
          <w:delText>(a)</w:delText>
        </w:r>
        <w:r>
          <w:tab/>
          <w:delText>delete “decides that —” and insert:</w:delText>
        </w:r>
      </w:del>
    </w:p>
    <w:p>
      <w:pPr>
        <w:pStyle w:val="BlankOpen"/>
        <w:rPr>
          <w:del w:id="1576" w:author="svcMRProcess" w:date="2020-02-25T12:47:00Z"/>
        </w:rPr>
      </w:pPr>
    </w:p>
    <w:p>
      <w:pPr>
        <w:pStyle w:val="nzIndenta"/>
        <w:rPr>
          <w:del w:id="1577" w:author="svcMRProcess" w:date="2020-02-25T12:47:00Z"/>
        </w:rPr>
      </w:pPr>
      <w:del w:id="1578" w:author="svcMRProcess" w:date="2020-02-25T12:47:00Z">
        <w:r>
          <w:tab/>
        </w:r>
        <w:r>
          <w:tab/>
          <w:delText>decides under subsection (2) that —</w:delText>
        </w:r>
      </w:del>
    </w:p>
    <w:p>
      <w:pPr>
        <w:pStyle w:val="BlankClose"/>
        <w:rPr>
          <w:del w:id="1579" w:author="svcMRProcess" w:date="2020-02-25T12:47:00Z"/>
        </w:rPr>
      </w:pPr>
    </w:p>
    <w:p>
      <w:pPr>
        <w:pStyle w:val="nzIndenta"/>
        <w:rPr>
          <w:del w:id="1580" w:author="svcMRProcess" w:date="2020-02-25T12:47:00Z"/>
        </w:rPr>
      </w:pPr>
      <w:del w:id="1581" w:author="svcMRProcess" w:date="2020-02-25T12:47:00Z">
        <w:r>
          <w:tab/>
          <w:delText>(b)</w:delText>
        </w:r>
        <w:r>
          <w:tab/>
          <w:delText>delete paragraph (d) and insert:</w:delText>
        </w:r>
      </w:del>
    </w:p>
    <w:p>
      <w:pPr>
        <w:pStyle w:val="BlankOpen"/>
        <w:rPr>
          <w:del w:id="1582" w:author="svcMRProcess" w:date="2020-02-25T12:47:00Z"/>
        </w:rPr>
      </w:pPr>
    </w:p>
    <w:p>
      <w:pPr>
        <w:pStyle w:val="nzIndenta"/>
        <w:rPr>
          <w:del w:id="1583" w:author="svcMRProcess" w:date="2020-02-25T12:47:00Z"/>
        </w:rPr>
      </w:pPr>
      <w:del w:id="1584" w:author="svcMRProcess" w:date="2020-02-25T12:47:00Z">
        <w:r>
          <w:tab/>
          <w:delText>(d)</w:delText>
        </w:r>
        <w:r>
          <w:tab/>
          <w:delText>any other criteria prescribed for the purposes of section 77(b), 78(2)(b) or 79(1)(b), as the case requires, are not satisfied in relation to the child,</w:delText>
        </w:r>
      </w:del>
    </w:p>
    <w:p>
      <w:pPr>
        <w:pStyle w:val="BlankClose"/>
        <w:rPr>
          <w:del w:id="1585" w:author="svcMRProcess" w:date="2020-02-25T12:47:00Z"/>
        </w:rPr>
      </w:pPr>
    </w:p>
    <w:p>
      <w:pPr>
        <w:pStyle w:val="nzSectAltNote"/>
        <w:rPr>
          <w:del w:id="1586" w:author="svcMRProcess" w:date="2020-02-25T12:47:00Z"/>
        </w:rPr>
      </w:pPr>
      <w:del w:id="1587" w:author="svcMRProcess" w:date="2020-02-25T12:47:00Z">
        <w:r>
          <w:tab/>
          <w:delText>Note:</w:delText>
        </w:r>
        <w:r>
          <w:tab/>
          <w:delText>The heading to amended section 82 is to read:</w:delText>
        </w:r>
      </w:del>
    </w:p>
    <w:p>
      <w:pPr>
        <w:pStyle w:val="nzSectAltHeading"/>
        <w:rPr>
          <w:del w:id="1588" w:author="svcMRProcess" w:date="2020-02-25T12:47:00Z"/>
        </w:rPr>
      </w:pPr>
      <w:del w:id="1589" w:author="svcMRProcess" w:date="2020-02-25T12:47:00Z">
        <w:r>
          <w:rPr>
            <w:b w:val="0"/>
          </w:rPr>
          <w:tab/>
        </w:r>
        <w:r>
          <w:rPr>
            <w:b w:val="0"/>
          </w:rPr>
          <w:tab/>
        </w:r>
        <w:r>
          <w:delText>Resolving question under s. 76, 77, 78 or 79</w:delText>
        </w:r>
      </w:del>
    </w:p>
    <w:p>
      <w:pPr>
        <w:pStyle w:val="nzHeading5"/>
        <w:rPr>
          <w:del w:id="1590" w:author="svcMRProcess" w:date="2020-02-25T12:47:00Z"/>
        </w:rPr>
      </w:pPr>
      <w:bookmarkStart w:id="1591" w:name="_Toc12465517"/>
      <w:bookmarkStart w:id="1592" w:name="_Toc13468595"/>
      <w:del w:id="1593" w:author="svcMRProcess" w:date="2020-02-25T12:47:00Z">
        <w:r>
          <w:rPr>
            <w:rStyle w:val="CharSectno"/>
          </w:rPr>
          <w:delText>21</w:delText>
        </w:r>
        <w:r>
          <w:delText>.</w:delText>
        </w:r>
        <w:r>
          <w:tab/>
          <w:delText>Section 159 amended</w:delText>
        </w:r>
        <w:bookmarkEnd w:id="1591"/>
        <w:bookmarkEnd w:id="1592"/>
      </w:del>
    </w:p>
    <w:p>
      <w:pPr>
        <w:pStyle w:val="nzSubsection"/>
        <w:rPr>
          <w:del w:id="1594" w:author="svcMRProcess" w:date="2020-02-25T12:47:00Z"/>
        </w:rPr>
      </w:pPr>
      <w:del w:id="1595" w:author="svcMRProcess" w:date="2020-02-25T12:47:00Z">
        <w:r>
          <w:tab/>
        </w:r>
        <w:r>
          <w:tab/>
          <w:delText>After section 159(1)(h) insert:</w:delText>
        </w:r>
      </w:del>
    </w:p>
    <w:p>
      <w:pPr>
        <w:pStyle w:val="BlankOpen"/>
        <w:rPr>
          <w:del w:id="1596" w:author="svcMRProcess" w:date="2020-02-25T12:47:00Z"/>
        </w:rPr>
      </w:pPr>
    </w:p>
    <w:p>
      <w:pPr>
        <w:pStyle w:val="nzIndenta"/>
        <w:rPr>
          <w:del w:id="1597" w:author="svcMRProcess" w:date="2020-02-25T12:47:00Z"/>
        </w:rPr>
      </w:pPr>
      <w:del w:id="1598" w:author="svcMRProcess" w:date="2020-02-25T12:47:00Z">
        <w:r>
          <w:tab/>
          <w:delText>(ha)</w:delText>
        </w:r>
        <w:r>
          <w:tab/>
          <w:delText>the health and safety procedures at schools, including immunisation requirements for enrolment;</w:delText>
        </w:r>
      </w:del>
    </w:p>
    <w:p>
      <w:pPr>
        <w:pStyle w:val="BlankClose"/>
        <w:rPr>
          <w:del w:id="1599" w:author="svcMRProcess" w:date="2020-02-25T12:47:00Z"/>
        </w:rPr>
      </w:pPr>
    </w:p>
    <w:p>
      <w:pPr>
        <w:pStyle w:val="nzHeading5"/>
        <w:rPr>
          <w:del w:id="1600" w:author="svcMRProcess" w:date="2020-02-25T12:47:00Z"/>
        </w:rPr>
      </w:pPr>
      <w:bookmarkStart w:id="1601" w:name="_Toc12465518"/>
      <w:bookmarkStart w:id="1602" w:name="_Toc13468596"/>
      <w:del w:id="1603" w:author="svcMRProcess" w:date="2020-02-25T12:47:00Z">
        <w:r>
          <w:rPr>
            <w:rStyle w:val="CharSectno"/>
          </w:rPr>
          <w:delText>22</w:delText>
        </w:r>
        <w:r>
          <w:delText>.</w:delText>
        </w:r>
        <w:r>
          <w:tab/>
          <w:delText>Section 206 amended</w:delText>
        </w:r>
        <w:bookmarkEnd w:id="1601"/>
        <w:bookmarkEnd w:id="1602"/>
      </w:del>
    </w:p>
    <w:p>
      <w:pPr>
        <w:pStyle w:val="nzSubsection"/>
        <w:rPr>
          <w:del w:id="1604" w:author="svcMRProcess" w:date="2020-02-25T12:47:00Z"/>
        </w:rPr>
      </w:pPr>
      <w:del w:id="1605" w:author="svcMRProcess" w:date="2020-02-25T12:47:00Z">
        <w:r>
          <w:tab/>
        </w:r>
        <w:r>
          <w:tab/>
          <w:delText>Delete section 206(2) and insert:</w:delText>
        </w:r>
      </w:del>
    </w:p>
    <w:p>
      <w:pPr>
        <w:pStyle w:val="BlankOpen"/>
        <w:rPr>
          <w:del w:id="1606" w:author="svcMRProcess" w:date="2020-02-25T12:47:00Z"/>
        </w:rPr>
      </w:pPr>
    </w:p>
    <w:p>
      <w:pPr>
        <w:pStyle w:val="nzSubsection"/>
        <w:rPr>
          <w:del w:id="1607" w:author="svcMRProcess" w:date="2020-02-25T12:47:00Z"/>
        </w:rPr>
      </w:pPr>
      <w:del w:id="1608" w:author="svcMRProcess" w:date="2020-02-25T12:47:00Z">
        <w:r>
          <w:tab/>
          <w:delText>(2)</w:delText>
        </w:r>
        <w:r>
          <w:tab/>
          <w:delText xml:space="preserve">The enrolment of a child at a community kindergarten is to be in accordance with — </w:delText>
        </w:r>
      </w:del>
    </w:p>
    <w:p>
      <w:pPr>
        <w:pStyle w:val="nzIndenta"/>
        <w:rPr>
          <w:del w:id="1609" w:author="svcMRProcess" w:date="2020-02-25T12:47:00Z"/>
        </w:rPr>
      </w:pPr>
      <w:del w:id="1610" w:author="svcMRProcess" w:date="2020-02-25T12:47:00Z">
        <w:r>
          <w:tab/>
          <w:delText>(a)</w:delText>
        </w:r>
        <w:r>
          <w:tab/>
          <w:delText xml:space="preserve">the </w:delText>
        </w:r>
        <w:r>
          <w:rPr>
            <w:i/>
          </w:rPr>
          <w:delText>Public Health Act 2016</w:delText>
        </w:r>
        <w:r>
          <w:delText xml:space="preserve"> section 141D; and</w:delText>
        </w:r>
      </w:del>
    </w:p>
    <w:p>
      <w:pPr>
        <w:pStyle w:val="nzIndenta"/>
        <w:rPr>
          <w:del w:id="1611" w:author="svcMRProcess" w:date="2020-02-25T12:47:00Z"/>
        </w:rPr>
      </w:pPr>
      <w:del w:id="1612" w:author="svcMRProcess" w:date="2020-02-25T12:47:00Z">
        <w:r>
          <w:tab/>
          <w:delText>(b)</w:delText>
        </w:r>
        <w:r>
          <w:tab/>
          <w:delText>the regulations.</w:delText>
        </w:r>
      </w:del>
    </w:p>
    <w:p>
      <w:pPr>
        <w:pStyle w:val="BlankClose"/>
        <w:rPr>
          <w:del w:id="1613" w:author="svcMRProcess" w:date="2020-02-25T12:47:00Z"/>
        </w:rPr>
      </w:pPr>
    </w:p>
    <w:p>
      <w:pPr>
        <w:rPr>
          <w:del w:id="1614" w:author="svcMRProcess" w:date="2020-02-25T12:47: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15" w:name="Compilation"/>
    <w:bookmarkEnd w:id="16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16" w:name="Coversheet"/>
    <w:bookmarkEnd w:id="16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64" w:name="Schedule"/>
    <w:bookmarkEnd w:id="13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C362CC6"/>
    <w:multiLevelType w:val="hybridMultilevel"/>
    <w:tmpl w:val="D34A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18A7B9D"/>
    <w:multiLevelType w:val="hybridMultilevel"/>
    <w:tmpl w:val="2DDA7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C4050B2"/>
    <w:multiLevelType w:val="hybridMultilevel"/>
    <w:tmpl w:val="13A4E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3F7137B"/>
    <w:multiLevelType w:val="hybridMultilevel"/>
    <w:tmpl w:val="1C1A8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6EF52F4"/>
    <w:multiLevelType w:val="hybridMultilevel"/>
    <w:tmpl w:val="2F809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8B0F0A"/>
    <w:multiLevelType w:val="hybridMultilevel"/>
    <w:tmpl w:val="69B81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60026564"/>
    <w:multiLevelType w:val="hybridMultilevel"/>
    <w:tmpl w:val="12EC5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C1A39B2"/>
    <w:multiLevelType w:val="hybridMultilevel"/>
    <w:tmpl w:val="407A0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10"/>
  </w:num>
  <w:num w:numId="3">
    <w:abstractNumId w:val="12"/>
  </w:num>
  <w:num w:numId="4">
    <w:abstractNumId w:val="23"/>
  </w:num>
  <w:num w:numId="5">
    <w:abstractNumId w:val="24"/>
  </w:num>
  <w:num w:numId="6">
    <w:abstractNumId w:val="30"/>
  </w:num>
  <w:num w:numId="7">
    <w:abstractNumId w:val="21"/>
  </w:num>
  <w:num w:numId="8">
    <w:abstractNumId w:val="26"/>
  </w:num>
  <w:num w:numId="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4257"/>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 w:name="WAFER_20170125090248" w:val="RemoveTocBookmarks,RemoveUnusedBookmarks,RemoveLanguageTags,UsedStyles,ResetPageSize"/>
    <w:docVar w:name="WAFER_20170125090248_GUID" w:val="85945419-9edd-405f-899b-ba81cfb484ee"/>
    <w:docVar w:name="WAFER_20170622145300" w:val="RemoveTocBookmarks,RemoveUnusedBookmarks,RemoveLanguageTags,UsedStyles,ResetPageSize"/>
    <w:docVar w:name="WAFER_20170622145300_GUID" w:val="36e09d3d-a3d4-4d67-815a-93d9157eacb4"/>
    <w:docVar w:name="WAFER_2020021214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4257_GUID" w:val="873391dd-b13e-4185-9748-cedb926169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Defstart">
    <w:name w:val="nzDefstart"/>
    <w:pPr>
      <w:spacing w:before="40"/>
      <w:ind w:left="1446" w:right="284" w:hanging="879"/>
    </w:pPr>
    <w:rPr>
      <w:snapToGrid w:val="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Defstart">
    <w:name w:val="nzDefstart"/>
    <w:pPr>
      <w:spacing w:before="40"/>
      <w:ind w:left="1446" w:right="284" w:hanging="879"/>
    </w:pPr>
    <w:rPr>
      <w:snapToGrid w:val="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6342">
      <w:bodyDiv w:val="1"/>
      <w:marLeft w:val="0"/>
      <w:marRight w:val="0"/>
      <w:marTop w:val="0"/>
      <w:marBottom w:val="0"/>
      <w:divBdr>
        <w:top w:val="none" w:sz="0" w:space="0" w:color="auto"/>
        <w:left w:val="none" w:sz="0" w:space="0" w:color="auto"/>
        <w:bottom w:val="none" w:sz="0" w:space="0" w:color="auto"/>
        <w:right w:val="none" w:sz="0" w:space="0" w:color="auto"/>
      </w:divBdr>
    </w:div>
    <w:div w:id="69155389">
      <w:bodyDiv w:val="1"/>
      <w:marLeft w:val="0"/>
      <w:marRight w:val="0"/>
      <w:marTop w:val="0"/>
      <w:marBottom w:val="0"/>
      <w:divBdr>
        <w:top w:val="none" w:sz="0" w:space="0" w:color="auto"/>
        <w:left w:val="none" w:sz="0" w:space="0" w:color="auto"/>
        <w:bottom w:val="none" w:sz="0" w:space="0" w:color="auto"/>
        <w:right w:val="none" w:sz="0" w:space="0" w:color="auto"/>
      </w:divBdr>
    </w:div>
    <w:div w:id="98530428">
      <w:bodyDiv w:val="1"/>
      <w:marLeft w:val="0"/>
      <w:marRight w:val="0"/>
      <w:marTop w:val="0"/>
      <w:marBottom w:val="0"/>
      <w:divBdr>
        <w:top w:val="none" w:sz="0" w:space="0" w:color="auto"/>
        <w:left w:val="none" w:sz="0" w:space="0" w:color="auto"/>
        <w:bottom w:val="none" w:sz="0" w:space="0" w:color="auto"/>
        <w:right w:val="none" w:sz="0" w:space="0" w:color="auto"/>
      </w:divBdr>
    </w:div>
    <w:div w:id="100687007">
      <w:bodyDiv w:val="1"/>
      <w:marLeft w:val="0"/>
      <w:marRight w:val="0"/>
      <w:marTop w:val="0"/>
      <w:marBottom w:val="0"/>
      <w:divBdr>
        <w:top w:val="none" w:sz="0" w:space="0" w:color="auto"/>
        <w:left w:val="none" w:sz="0" w:space="0" w:color="auto"/>
        <w:bottom w:val="none" w:sz="0" w:space="0" w:color="auto"/>
        <w:right w:val="none" w:sz="0" w:space="0" w:color="auto"/>
      </w:divBdr>
    </w:div>
    <w:div w:id="102582034">
      <w:bodyDiv w:val="1"/>
      <w:marLeft w:val="0"/>
      <w:marRight w:val="0"/>
      <w:marTop w:val="0"/>
      <w:marBottom w:val="0"/>
      <w:divBdr>
        <w:top w:val="none" w:sz="0" w:space="0" w:color="auto"/>
        <w:left w:val="none" w:sz="0" w:space="0" w:color="auto"/>
        <w:bottom w:val="none" w:sz="0" w:space="0" w:color="auto"/>
        <w:right w:val="none" w:sz="0" w:space="0" w:color="auto"/>
      </w:divBdr>
    </w:div>
    <w:div w:id="168718588">
      <w:bodyDiv w:val="1"/>
      <w:marLeft w:val="0"/>
      <w:marRight w:val="0"/>
      <w:marTop w:val="0"/>
      <w:marBottom w:val="0"/>
      <w:divBdr>
        <w:top w:val="none" w:sz="0" w:space="0" w:color="auto"/>
        <w:left w:val="none" w:sz="0" w:space="0" w:color="auto"/>
        <w:bottom w:val="none" w:sz="0" w:space="0" w:color="auto"/>
        <w:right w:val="none" w:sz="0" w:space="0" w:color="auto"/>
      </w:divBdr>
    </w:div>
    <w:div w:id="182714835">
      <w:bodyDiv w:val="1"/>
      <w:marLeft w:val="0"/>
      <w:marRight w:val="0"/>
      <w:marTop w:val="0"/>
      <w:marBottom w:val="0"/>
      <w:divBdr>
        <w:top w:val="none" w:sz="0" w:space="0" w:color="auto"/>
        <w:left w:val="none" w:sz="0" w:space="0" w:color="auto"/>
        <w:bottom w:val="none" w:sz="0" w:space="0" w:color="auto"/>
        <w:right w:val="none" w:sz="0" w:space="0" w:color="auto"/>
      </w:divBdr>
    </w:div>
    <w:div w:id="185562047">
      <w:bodyDiv w:val="1"/>
      <w:marLeft w:val="0"/>
      <w:marRight w:val="0"/>
      <w:marTop w:val="0"/>
      <w:marBottom w:val="0"/>
      <w:divBdr>
        <w:top w:val="none" w:sz="0" w:space="0" w:color="auto"/>
        <w:left w:val="none" w:sz="0" w:space="0" w:color="auto"/>
        <w:bottom w:val="none" w:sz="0" w:space="0" w:color="auto"/>
        <w:right w:val="none" w:sz="0" w:space="0" w:color="auto"/>
      </w:divBdr>
    </w:div>
    <w:div w:id="278143792">
      <w:bodyDiv w:val="1"/>
      <w:marLeft w:val="0"/>
      <w:marRight w:val="0"/>
      <w:marTop w:val="0"/>
      <w:marBottom w:val="0"/>
      <w:divBdr>
        <w:top w:val="none" w:sz="0" w:space="0" w:color="auto"/>
        <w:left w:val="none" w:sz="0" w:space="0" w:color="auto"/>
        <w:bottom w:val="none" w:sz="0" w:space="0" w:color="auto"/>
        <w:right w:val="none" w:sz="0" w:space="0" w:color="auto"/>
      </w:divBdr>
    </w:div>
    <w:div w:id="293098476">
      <w:bodyDiv w:val="1"/>
      <w:marLeft w:val="0"/>
      <w:marRight w:val="0"/>
      <w:marTop w:val="0"/>
      <w:marBottom w:val="0"/>
      <w:divBdr>
        <w:top w:val="none" w:sz="0" w:space="0" w:color="auto"/>
        <w:left w:val="none" w:sz="0" w:space="0" w:color="auto"/>
        <w:bottom w:val="none" w:sz="0" w:space="0" w:color="auto"/>
        <w:right w:val="none" w:sz="0" w:space="0" w:color="auto"/>
      </w:divBdr>
    </w:div>
    <w:div w:id="301039516">
      <w:bodyDiv w:val="1"/>
      <w:marLeft w:val="0"/>
      <w:marRight w:val="0"/>
      <w:marTop w:val="0"/>
      <w:marBottom w:val="0"/>
      <w:divBdr>
        <w:top w:val="none" w:sz="0" w:space="0" w:color="auto"/>
        <w:left w:val="none" w:sz="0" w:space="0" w:color="auto"/>
        <w:bottom w:val="none" w:sz="0" w:space="0" w:color="auto"/>
        <w:right w:val="none" w:sz="0" w:space="0" w:color="auto"/>
      </w:divBdr>
    </w:div>
    <w:div w:id="418648359">
      <w:bodyDiv w:val="1"/>
      <w:marLeft w:val="0"/>
      <w:marRight w:val="0"/>
      <w:marTop w:val="0"/>
      <w:marBottom w:val="0"/>
      <w:divBdr>
        <w:top w:val="none" w:sz="0" w:space="0" w:color="auto"/>
        <w:left w:val="none" w:sz="0" w:space="0" w:color="auto"/>
        <w:bottom w:val="none" w:sz="0" w:space="0" w:color="auto"/>
        <w:right w:val="none" w:sz="0" w:space="0" w:color="auto"/>
      </w:divBdr>
    </w:div>
    <w:div w:id="459961214">
      <w:bodyDiv w:val="1"/>
      <w:marLeft w:val="0"/>
      <w:marRight w:val="0"/>
      <w:marTop w:val="0"/>
      <w:marBottom w:val="0"/>
      <w:divBdr>
        <w:top w:val="none" w:sz="0" w:space="0" w:color="auto"/>
        <w:left w:val="none" w:sz="0" w:space="0" w:color="auto"/>
        <w:bottom w:val="none" w:sz="0" w:space="0" w:color="auto"/>
        <w:right w:val="none" w:sz="0" w:space="0" w:color="auto"/>
      </w:divBdr>
    </w:div>
    <w:div w:id="484862716">
      <w:bodyDiv w:val="1"/>
      <w:marLeft w:val="0"/>
      <w:marRight w:val="0"/>
      <w:marTop w:val="0"/>
      <w:marBottom w:val="0"/>
      <w:divBdr>
        <w:top w:val="none" w:sz="0" w:space="0" w:color="auto"/>
        <w:left w:val="none" w:sz="0" w:space="0" w:color="auto"/>
        <w:bottom w:val="none" w:sz="0" w:space="0" w:color="auto"/>
        <w:right w:val="none" w:sz="0" w:space="0" w:color="auto"/>
      </w:divBdr>
    </w:div>
    <w:div w:id="492767329">
      <w:bodyDiv w:val="1"/>
      <w:marLeft w:val="0"/>
      <w:marRight w:val="0"/>
      <w:marTop w:val="0"/>
      <w:marBottom w:val="0"/>
      <w:divBdr>
        <w:top w:val="none" w:sz="0" w:space="0" w:color="auto"/>
        <w:left w:val="none" w:sz="0" w:space="0" w:color="auto"/>
        <w:bottom w:val="none" w:sz="0" w:space="0" w:color="auto"/>
        <w:right w:val="none" w:sz="0" w:space="0" w:color="auto"/>
      </w:divBdr>
    </w:div>
    <w:div w:id="523176049">
      <w:bodyDiv w:val="1"/>
      <w:marLeft w:val="0"/>
      <w:marRight w:val="0"/>
      <w:marTop w:val="0"/>
      <w:marBottom w:val="0"/>
      <w:divBdr>
        <w:top w:val="none" w:sz="0" w:space="0" w:color="auto"/>
        <w:left w:val="none" w:sz="0" w:space="0" w:color="auto"/>
        <w:bottom w:val="none" w:sz="0" w:space="0" w:color="auto"/>
        <w:right w:val="none" w:sz="0" w:space="0" w:color="auto"/>
      </w:divBdr>
    </w:div>
    <w:div w:id="524251540">
      <w:bodyDiv w:val="1"/>
      <w:marLeft w:val="0"/>
      <w:marRight w:val="0"/>
      <w:marTop w:val="0"/>
      <w:marBottom w:val="0"/>
      <w:divBdr>
        <w:top w:val="none" w:sz="0" w:space="0" w:color="auto"/>
        <w:left w:val="none" w:sz="0" w:space="0" w:color="auto"/>
        <w:bottom w:val="none" w:sz="0" w:space="0" w:color="auto"/>
        <w:right w:val="none" w:sz="0" w:space="0" w:color="auto"/>
      </w:divBdr>
    </w:div>
    <w:div w:id="526874775">
      <w:bodyDiv w:val="1"/>
      <w:marLeft w:val="0"/>
      <w:marRight w:val="0"/>
      <w:marTop w:val="0"/>
      <w:marBottom w:val="0"/>
      <w:divBdr>
        <w:top w:val="none" w:sz="0" w:space="0" w:color="auto"/>
        <w:left w:val="none" w:sz="0" w:space="0" w:color="auto"/>
        <w:bottom w:val="none" w:sz="0" w:space="0" w:color="auto"/>
        <w:right w:val="none" w:sz="0" w:space="0" w:color="auto"/>
      </w:divBdr>
    </w:div>
    <w:div w:id="557667317">
      <w:bodyDiv w:val="1"/>
      <w:marLeft w:val="0"/>
      <w:marRight w:val="0"/>
      <w:marTop w:val="0"/>
      <w:marBottom w:val="0"/>
      <w:divBdr>
        <w:top w:val="none" w:sz="0" w:space="0" w:color="auto"/>
        <w:left w:val="none" w:sz="0" w:space="0" w:color="auto"/>
        <w:bottom w:val="none" w:sz="0" w:space="0" w:color="auto"/>
        <w:right w:val="none" w:sz="0" w:space="0" w:color="auto"/>
      </w:divBdr>
    </w:div>
    <w:div w:id="600066426">
      <w:bodyDiv w:val="1"/>
      <w:marLeft w:val="0"/>
      <w:marRight w:val="0"/>
      <w:marTop w:val="0"/>
      <w:marBottom w:val="0"/>
      <w:divBdr>
        <w:top w:val="none" w:sz="0" w:space="0" w:color="auto"/>
        <w:left w:val="none" w:sz="0" w:space="0" w:color="auto"/>
        <w:bottom w:val="none" w:sz="0" w:space="0" w:color="auto"/>
        <w:right w:val="none" w:sz="0" w:space="0" w:color="auto"/>
      </w:divBdr>
    </w:div>
    <w:div w:id="605313495">
      <w:bodyDiv w:val="1"/>
      <w:marLeft w:val="0"/>
      <w:marRight w:val="0"/>
      <w:marTop w:val="0"/>
      <w:marBottom w:val="0"/>
      <w:divBdr>
        <w:top w:val="none" w:sz="0" w:space="0" w:color="auto"/>
        <w:left w:val="none" w:sz="0" w:space="0" w:color="auto"/>
        <w:bottom w:val="none" w:sz="0" w:space="0" w:color="auto"/>
        <w:right w:val="none" w:sz="0" w:space="0" w:color="auto"/>
      </w:divBdr>
    </w:div>
    <w:div w:id="678118635">
      <w:bodyDiv w:val="1"/>
      <w:marLeft w:val="0"/>
      <w:marRight w:val="0"/>
      <w:marTop w:val="0"/>
      <w:marBottom w:val="0"/>
      <w:divBdr>
        <w:top w:val="none" w:sz="0" w:space="0" w:color="auto"/>
        <w:left w:val="none" w:sz="0" w:space="0" w:color="auto"/>
        <w:bottom w:val="none" w:sz="0" w:space="0" w:color="auto"/>
        <w:right w:val="none" w:sz="0" w:space="0" w:color="auto"/>
      </w:divBdr>
    </w:div>
    <w:div w:id="815756944">
      <w:bodyDiv w:val="1"/>
      <w:marLeft w:val="0"/>
      <w:marRight w:val="0"/>
      <w:marTop w:val="0"/>
      <w:marBottom w:val="0"/>
      <w:divBdr>
        <w:top w:val="none" w:sz="0" w:space="0" w:color="auto"/>
        <w:left w:val="none" w:sz="0" w:space="0" w:color="auto"/>
        <w:bottom w:val="none" w:sz="0" w:space="0" w:color="auto"/>
        <w:right w:val="none" w:sz="0" w:space="0" w:color="auto"/>
      </w:divBdr>
    </w:div>
    <w:div w:id="938417477">
      <w:bodyDiv w:val="1"/>
      <w:marLeft w:val="0"/>
      <w:marRight w:val="0"/>
      <w:marTop w:val="0"/>
      <w:marBottom w:val="0"/>
      <w:divBdr>
        <w:top w:val="none" w:sz="0" w:space="0" w:color="auto"/>
        <w:left w:val="none" w:sz="0" w:space="0" w:color="auto"/>
        <w:bottom w:val="none" w:sz="0" w:space="0" w:color="auto"/>
        <w:right w:val="none" w:sz="0" w:space="0" w:color="auto"/>
      </w:divBdr>
    </w:div>
    <w:div w:id="966158682">
      <w:bodyDiv w:val="1"/>
      <w:marLeft w:val="0"/>
      <w:marRight w:val="0"/>
      <w:marTop w:val="0"/>
      <w:marBottom w:val="0"/>
      <w:divBdr>
        <w:top w:val="none" w:sz="0" w:space="0" w:color="auto"/>
        <w:left w:val="none" w:sz="0" w:space="0" w:color="auto"/>
        <w:bottom w:val="none" w:sz="0" w:space="0" w:color="auto"/>
        <w:right w:val="none" w:sz="0" w:space="0" w:color="auto"/>
      </w:divBdr>
    </w:div>
    <w:div w:id="1008599107">
      <w:bodyDiv w:val="1"/>
      <w:marLeft w:val="0"/>
      <w:marRight w:val="0"/>
      <w:marTop w:val="0"/>
      <w:marBottom w:val="0"/>
      <w:divBdr>
        <w:top w:val="none" w:sz="0" w:space="0" w:color="auto"/>
        <w:left w:val="none" w:sz="0" w:space="0" w:color="auto"/>
        <w:bottom w:val="none" w:sz="0" w:space="0" w:color="auto"/>
        <w:right w:val="none" w:sz="0" w:space="0" w:color="auto"/>
      </w:divBdr>
    </w:div>
    <w:div w:id="1130705185">
      <w:bodyDiv w:val="1"/>
      <w:marLeft w:val="0"/>
      <w:marRight w:val="0"/>
      <w:marTop w:val="0"/>
      <w:marBottom w:val="0"/>
      <w:divBdr>
        <w:top w:val="none" w:sz="0" w:space="0" w:color="auto"/>
        <w:left w:val="none" w:sz="0" w:space="0" w:color="auto"/>
        <w:bottom w:val="none" w:sz="0" w:space="0" w:color="auto"/>
        <w:right w:val="none" w:sz="0" w:space="0" w:color="auto"/>
      </w:divBdr>
    </w:div>
    <w:div w:id="1175002260">
      <w:bodyDiv w:val="1"/>
      <w:marLeft w:val="0"/>
      <w:marRight w:val="0"/>
      <w:marTop w:val="0"/>
      <w:marBottom w:val="0"/>
      <w:divBdr>
        <w:top w:val="none" w:sz="0" w:space="0" w:color="auto"/>
        <w:left w:val="none" w:sz="0" w:space="0" w:color="auto"/>
        <w:bottom w:val="none" w:sz="0" w:space="0" w:color="auto"/>
        <w:right w:val="none" w:sz="0" w:space="0" w:color="auto"/>
      </w:divBdr>
    </w:div>
    <w:div w:id="1215504531">
      <w:bodyDiv w:val="1"/>
      <w:marLeft w:val="0"/>
      <w:marRight w:val="0"/>
      <w:marTop w:val="0"/>
      <w:marBottom w:val="0"/>
      <w:divBdr>
        <w:top w:val="none" w:sz="0" w:space="0" w:color="auto"/>
        <w:left w:val="none" w:sz="0" w:space="0" w:color="auto"/>
        <w:bottom w:val="none" w:sz="0" w:space="0" w:color="auto"/>
        <w:right w:val="none" w:sz="0" w:space="0" w:color="auto"/>
      </w:divBdr>
    </w:div>
    <w:div w:id="1222865136">
      <w:bodyDiv w:val="1"/>
      <w:marLeft w:val="0"/>
      <w:marRight w:val="0"/>
      <w:marTop w:val="0"/>
      <w:marBottom w:val="0"/>
      <w:divBdr>
        <w:top w:val="none" w:sz="0" w:space="0" w:color="auto"/>
        <w:left w:val="none" w:sz="0" w:space="0" w:color="auto"/>
        <w:bottom w:val="none" w:sz="0" w:space="0" w:color="auto"/>
        <w:right w:val="none" w:sz="0" w:space="0" w:color="auto"/>
      </w:divBdr>
    </w:div>
    <w:div w:id="1265571121">
      <w:bodyDiv w:val="1"/>
      <w:marLeft w:val="0"/>
      <w:marRight w:val="0"/>
      <w:marTop w:val="0"/>
      <w:marBottom w:val="0"/>
      <w:divBdr>
        <w:top w:val="none" w:sz="0" w:space="0" w:color="auto"/>
        <w:left w:val="none" w:sz="0" w:space="0" w:color="auto"/>
        <w:bottom w:val="none" w:sz="0" w:space="0" w:color="auto"/>
        <w:right w:val="none" w:sz="0" w:space="0" w:color="auto"/>
      </w:divBdr>
    </w:div>
    <w:div w:id="1272277787">
      <w:bodyDiv w:val="1"/>
      <w:marLeft w:val="0"/>
      <w:marRight w:val="0"/>
      <w:marTop w:val="0"/>
      <w:marBottom w:val="0"/>
      <w:divBdr>
        <w:top w:val="none" w:sz="0" w:space="0" w:color="auto"/>
        <w:left w:val="none" w:sz="0" w:space="0" w:color="auto"/>
        <w:bottom w:val="none" w:sz="0" w:space="0" w:color="auto"/>
        <w:right w:val="none" w:sz="0" w:space="0" w:color="auto"/>
      </w:divBdr>
    </w:div>
    <w:div w:id="1306087657">
      <w:bodyDiv w:val="1"/>
      <w:marLeft w:val="0"/>
      <w:marRight w:val="0"/>
      <w:marTop w:val="0"/>
      <w:marBottom w:val="0"/>
      <w:divBdr>
        <w:top w:val="none" w:sz="0" w:space="0" w:color="auto"/>
        <w:left w:val="none" w:sz="0" w:space="0" w:color="auto"/>
        <w:bottom w:val="none" w:sz="0" w:space="0" w:color="auto"/>
        <w:right w:val="none" w:sz="0" w:space="0" w:color="auto"/>
      </w:divBdr>
    </w:div>
    <w:div w:id="1313825745">
      <w:bodyDiv w:val="1"/>
      <w:marLeft w:val="0"/>
      <w:marRight w:val="0"/>
      <w:marTop w:val="0"/>
      <w:marBottom w:val="0"/>
      <w:divBdr>
        <w:top w:val="none" w:sz="0" w:space="0" w:color="auto"/>
        <w:left w:val="none" w:sz="0" w:space="0" w:color="auto"/>
        <w:bottom w:val="none" w:sz="0" w:space="0" w:color="auto"/>
        <w:right w:val="none" w:sz="0" w:space="0" w:color="auto"/>
      </w:divBdr>
    </w:div>
    <w:div w:id="1384910345">
      <w:bodyDiv w:val="1"/>
      <w:marLeft w:val="0"/>
      <w:marRight w:val="0"/>
      <w:marTop w:val="0"/>
      <w:marBottom w:val="0"/>
      <w:divBdr>
        <w:top w:val="none" w:sz="0" w:space="0" w:color="auto"/>
        <w:left w:val="none" w:sz="0" w:space="0" w:color="auto"/>
        <w:bottom w:val="none" w:sz="0" w:space="0" w:color="auto"/>
        <w:right w:val="none" w:sz="0" w:space="0" w:color="auto"/>
      </w:divBdr>
    </w:div>
    <w:div w:id="1398548418">
      <w:bodyDiv w:val="1"/>
      <w:marLeft w:val="0"/>
      <w:marRight w:val="0"/>
      <w:marTop w:val="0"/>
      <w:marBottom w:val="0"/>
      <w:divBdr>
        <w:top w:val="none" w:sz="0" w:space="0" w:color="auto"/>
        <w:left w:val="none" w:sz="0" w:space="0" w:color="auto"/>
        <w:bottom w:val="none" w:sz="0" w:space="0" w:color="auto"/>
        <w:right w:val="none" w:sz="0" w:space="0" w:color="auto"/>
      </w:divBdr>
    </w:div>
    <w:div w:id="1398698968">
      <w:bodyDiv w:val="1"/>
      <w:marLeft w:val="0"/>
      <w:marRight w:val="0"/>
      <w:marTop w:val="0"/>
      <w:marBottom w:val="0"/>
      <w:divBdr>
        <w:top w:val="none" w:sz="0" w:space="0" w:color="auto"/>
        <w:left w:val="none" w:sz="0" w:space="0" w:color="auto"/>
        <w:bottom w:val="none" w:sz="0" w:space="0" w:color="auto"/>
        <w:right w:val="none" w:sz="0" w:space="0" w:color="auto"/>
      </w:divBdr>
    </w:div>
    <w:div w:id="1401172762">
      <w:bodyDiv w:val="1"/>
      <w:marLeft w:val="0"/>
      <w:marRight w:val="0"/>
      <w:marTop w:val="0"/>
      <w:marBottom w:val="0"/>
      <w:divBdr>
        <w:top w:val="none" w:sz="0" w:space="0" w:color="auto"/>
        <w:left w:val="none" w:sz="0" w:space="0" w:color="auto"/>
        <w:bottom w:val="none" w:sz="0" w:space="0" w:color="auto"/>
        <w:right w:val="none" w:sz="0" w:space="0" w:color="auto"/>
      </w:divBdr>
    </w:div>
    <w:div w:id="1418986113">
      <w:bodyDiv w:val="1"/>
      <w:marLeft w:val="0"/>
      <w:marRight w:val="0"/>
      <w:marTop w:val="0"/>
      <w:marBottom w:val="0"/>
      <w:divBdr>
        <w:top w:val="none" w:sz="0" w:space="0" w:color="auto"/>
        <w:left w:val="none" w:sz="0" w:space="0" w:color="auto"/>
        <w:bottom w:val="none" w:sz="0" w:space="0" w:color="auto"/>
        <w:right w:val="none" w:sz="0" w:space="0" w:color="auto"/>
      </w:divBdr>
    </w:div>
    <w:div w:id="1436049205">
      <w:bodyDiv w:val="1"/>
      <w:marLeft w:val="0"/>
      <w:marRight w:val="0"/>
      <w:marTop w:val="0"/>
      <w:marBottom w:val="0"/>
      <w:divBdr>
        <w:top w:val="none" w:sz="0" w:space="0" w:color="auto"/>
        <w:left w:val="none" w:sz="0" w:space="0" w:color="auto"/>
        <w:bottom w:val="none" w:sz="0" w:space="0" w:color="auto"/>
        <w:right w:val="none" w:sz="0" w:space="0" w:color="auto"/>
      </w:divBdr>
    </w:div>
    <w:div w:id="1464274952">
      <w:bodyDiv w:val="1"/>
      <w:marLeft w:val="0"/>
      <w:marRight w:val="0"/>
      <w:marTop w:val="0"/>
      <w:marBottom w:val="0"/>
      <w:divBdr>
        <w:top w:val="none" w:sz="0" w:space="0" w:color="auto"/>
        <w:left w:val="none" w:sz="0" w:space="0" w:color="auto"/>
        <w:bottom w:val="none" w:sz="0" w:space="0" w:color="auto"/>
        <w:right w:val="none" w:sz="0" w:space="0" w:color="auto"/>
      </w:divBdr>
    </w:div>
    <w:div w:id="1541086301">
      <w:bodyDiv w:val="1"/>
      <w:marLeft w:val="0"/>
      <w:marRight w:val="0"/>
      <w:marTop w:val="0"/>
      <w:marBottom w:val="0"/>
      <w:divBdr>
        <w:top w:val="none" w:sz="0" w:space="0" w:color="auto"/>
        <w:left w:val="none" w:sz="0" w:space="0" w:color="auto"/>
        <w:bottom w:val="none" w:sz="0" w:space="0" w:color="auto"/>
        <w:right w:val="none" w:sz="0" w:space="0" w:color="auto"/>
      </w:divBdr>
    </w:div>
    <w:div w:id="1594314620">
      <w:bodyDiv w:val="1"/>
      <w:marLeft w:val="0"/>
      <w:marRight w:val="0"/>
      <w:marTop w:val="0"/>
      <w:marBottom w:val="0"/>
      <w:divBdr>
        <w:top w:val="none" w:sz="0" w:space="0" w:color="auto"/>
        <w:left w:val="none" w:sz="0" w:space="0" w:color="auto"/>
        <w:bottom w:val="none" w:sz="0" w:space="0" w:color="auto"/>
        <w:right w:val="none" w:sz="0" w:space="0" w:color="auto"/>
      </w:divBdr>
    </w:div>
    <w:div w:id="1639920386">
      <w:bodyDiv w:val="1"/>
      <w:marLeft w:val="0"/>
      <w:marRight w:val="0"/>
      <w:marTop w:val="0"/>
      <w:marBottom w:val="0"/>
      <w:divBdr>
        <w:top w:val="none" w:sz="0" w:space="0" w:color="auto"/>
        <w:left w:val="none" w:sz="0" w:space="0" w:color="auto"/>
        <w:bottom w:val="none" w:sz="0" w:space="0" w:color="auto"/>
        <w:right w:val="none" w:sz="0" w:space="0" w:color="auto"/>
      </w:divBdr>
    </w:div>
    <w:div w:id="1658804516">
      <w:bodyDiv w:val="1"/>
      <w:marLeft w:val="0"/>
      <w:marRight w:val="0"/>
      <w:marTop w:val="0"/>
      <w:marBottom w:val="0"/>
      <w:divBdr>
        <w:top w:val="none" w:sz="0" w:space="0" w:color="auto"/>
        <w:left w:val="none" w:sz="0" w:space="0" w:color="auto"/>
        <w:bottom w:val="none" w:sz="0" w:space="0" w:color="auto"/>
        <w:right w:val="none" w:sz="0" w:space="0" w:color="auto"/>
      </w:divBdr>
    </w:div>
    <w:div w:id="1659070179">
      <w:bodyDiv w:val="1"/>
      <w:marLeft w:val="0"/>
      <w:marRight w:val="0"/>
      <w:marTop w:val="0"/>
      <w:marBottom w:val="0"/>
      <w:divBdr>
        <w:top w:val="none" w:sz="0" w:space="0" w:color="auto"/>
        <w:left w:val="none" w:sz="0" w:space="0" w:color="auto"/>
        <w:bottom w:val="none" w:sz="0" w:space="0" w:color="auto"/>
        <w:right w:val="none" w:sz="0" w:space="0" w:color="auto"/>
      </w:divBdr>
    </w:div>
    <w:div w:id="1740051307">
      <w:bodyDiv w:val="1"/>
      <w:marLeft w:val="0"/>
      <w:marRight w:val="0"/>
      <w:marTop w:val="0"/>
      <w:marBottom w:val="0"/>
      <w:divBdr>
        <w:top w:val="none" w:sz="0" w:space="0" w:color="auto"/>
        <w:left w:val="none" w:sz="0" w:space="0" w:color="auto"/>
        <w:bottom w:val="none" w:sz="0" w:space="0" w:color="auto"/>
        <w:right w:val="none" w:sz="0" w:space="0" w:color="auto"/>
      </w:divBdr>
    </w:div>
    <w:div w:id="1754619557">
      <w:bodyDiv w:val="1"/>
      <w:marLeft w:val="0"/>
      <w:marRight w:val="0"/>
      <w:marTop w:val="0"/>
      <w:marBottom w:val="0"/>
      <w:divBdr>
        <w:top w:val="none" w:sz="0" w:space="0" w:color="auto"/>
        <w:left w:val="none" w:sz="0" w:space="0" w:color="auto"/>
        <w:bottom w:val="none" w:sz="0" w:space="0" w:color="auto"/>
        <w:right w:val="none" w:sz="0" w:space="0" w:color="auto"/>
      </w:divBdr>
    </w:div>
    <w:div w:id="1767457595">
      <w:bodyDiv w:val="1"/>
      <w:marLeft w:val="0"/>
      <w:marRight w:val="0"/>
      <w:marTop w:val="0"/>
      <w:marBottom w:val="0"/>
      <w:divBdr>
        <w:top w:val="none" w:sz="0" w:space="0" w:color="auto"/>
        <w:left w:val="none" w:sz="0" w:space="0" w:color="auto"/>
        <w:bottom w:val="none" w:sz="0" w:space="0" w:color="auto"/>
        <w:right w:val="none" w:sz="0" w:space="0" w:color="auto"/>
      </w:divBdr>
    </w:div>
    <w:div w:id="1811363387">
      <w:bodyDiv w:val="1"/>
      <w:marLeft w:val="0"/>
      <w:marRight w:val="0"/>
      <w:marTop w:val="0"/>
      <w:marBottom w:val="0"/>
      <w:divBdr>
        <w:top w:val="none" w:sz="0" w:space="0" w:color="auto"/>
        <w:left w:val="none" w:sz="0" w:space="0" w:color="auto"/>
        <w:bottom w:val="none" w:sz="0" w:space="0" w:color="auto"/>
        <w:right w:val="none" w:sz="0" w:space="0" w:color="auto"/>
      </w:divBdr>
    </w:div>
    <w:div w:id="1826430430">
      <w:bodyDiv w:val="1"/>
      <w:marLeft w:val="0"/>
      <w:marRight w:val="0"/>
      <w:marTop w:val="0"/>
      <w:marBottom w:val="0"/>
      <w:divBdr>
        <w:top w:val="none" w:sz="0" w:space="0" w:color="auto"/>
        <w:left w:val="none" w:sz="0" w:space="0" w:color="auto"/>
        <w:bottom w:val="none" w:sz="0" w:space="0" w:color="auto"/>
        <w:right w:val="none" w:sz="0" w:space="0" w:color="auto"/>
      </w:divBdr>
    </w:div>
    <w:div w:id="1828521481">
      <w:bodyDiv w:val="1"/>
      <w:marLeft w:val="0"/>
      <w:marRight w:val="0"/>
      <w:marTop w:val="0"/>
      <w:marBottom w:val="0"/>
      <w:divBdr>
        <w:top w:val="none" w:sz="0" w:space="0" w:color="auto"/>
        <w:left w:val="none" w:sz="0" w:space="0" w:color="auto"/>
        <w:bottom w:val="none" w:sz="0" w:space="0" w:color="auto"/>
        <w:right w:val="none" w:sz="0" w:space="0" w:color="auto"/>
      </w:divBdr>
    </w:div>
    <w:div w:id="1959993746">
      <w:bodyDiv w:val="1"/>
      <w:marLeft w:val="0"/>
      <w:marRight w:val="0"/>
      <w:marTop w:val="0"/>
      <w:marBottom w:val="0"/>
      <w:divBdr>
        <w:top w:val="none" w:sz="0" w:space="0" w:color="auto"/>
        <w:left w:val="none" w:sz="0" w:space="0" w:color="auto"/>
        <w:bottom w:val="none" w:sz="0" w:space="0" w:color="auto"/>
        <w:right w:val="none" w:sz="0" w:space="0" w:color="auto"/>
      </w:divBdr>
    </w:div>
    <w:div w:id="1962106512">
      <w:bodyDiv w:val="1"/>
      <w:marLeft w:val="0"/>
      <w:marRight w:val="0"/>
      <w:marTop w:val="0"/>
      <w:marBottom w:val="0"/>
      <w:divBdr>
        <w:top w:val="none" w:sz="0" w:space="0" w:color="auto"/>
        <w:left w:val="none" w:sz="0" w:space="0" w:color="auto"/>
        <w:bottom w:val="none" w:sz="0" w:space="0" w:color="auto"/>
        <w:right w:val="none" w:sz="0" w:space="0" w:color="auto"/>
      </w:divBdr>
    </w:div>
    <w:div w:id="2019844678">
      <w:bodyDiv w:val="1"/>
      <w:marLeft w:val="0"/>
      <w:marRight w:val="0"/>
      <w:marTop w:val="0"/>
      <w:marBottom w:val="0"/>
      <w:divBdr>
        <w:top w:val="none" w:sz="0" w:space="0" w:color="auto"/>
        <w:left w:val="none" w:sz="0" w:space="0" w:color="auto"/>
        <w:bottom w:val="none" w:sz="0" w:space="0" w:color="auto"/>
        <w:right w:val="none" w:sz="0" w:space="0" w:color="auto"/>
      </w:divBdr>
    </w:div>
    <w:div w:id="2045904602">
      <w:bodyDiv w:val="1"/>
      <w:marLeft w:val="0"/>
      <w:marRight w:val="0"/>
      <w:marTop w:val="0"/>
      <w:marBottom w:val="0"/>
      <w:divBdr>
        <w:top w:val="none" w:sz="0" w:space="0" w:color="auto"/>
        <w:left w:val="none" w:sz="0" w:space="0" w:color="auto"/>
        <w:bottom w:val="none" w:sz="0" w:space="0" w:color="auto"/>
        <w:right w:val="none" w:sz="0" w:space="0" w:color="auto"/>
      </w:divBdr>
    </w:div>
    <w:div w:id="20804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28A8-9E27-4791-B0F8-2487DBDA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54645</Words>
  <Characters>263391</Characters>
  <Application>Microsoft Office Word</Application>
  <DocSecurity>0</DocSecurity>
  <Lines>6931</Lines>
  <Paragraphs>4240</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04-g0-00 - 04-h0-01</dc:title>
  <dc:subject/>
  <dc:creator/>
  <cp:keywords/>
  <dc:description/>
  <cp:lastModifiedBy>svcMRProcess</cp:lastModifiedBy>
  <cp:revision>2</cp:revision>
  <cp:lastPrinted>2020-01-07T01:26:00Z</cp:lastPrinted>
  <dcterms:created xsi:type="dcterms:W3CDTF">2020-02-25T04:47:00Z</dcterms:created>
  <dcterms:modified xsi:type="dcterms:W3CDTF">2020-02-25T04:48:00Z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CommencementDate">
    <vt:lpwstr>20190722</vt:lpwstr>
  </property>
  <property fmtid="{D5CDD505-2E9C-101B-9397-08002B2CF9AE}" pid="8" name="FromSuffix">
    <vt:lpwstr>04-g0-00</vt:lpwstr>
  </property>
  <property fmtid="{D5CDD505-2E9C-101B-9397-08002B2CF9AE}" pid="9" name="FromAsAtDate">
    <vt:lpwstr>05 Jul 2019</vt:lpwstr>
  </property>
  <property fmtid="{D5CDD505-2E9C-101B-9397-08002B2CF9AE}" pid="10" name="ToSuffix">
    <vt:lpwstr>04-h0-01</vt:lpwstr>
  </property>
  <property fmtid="{D5CDD505-2E9C-101B-9397-08002B2CF9AE}" pid="11" name="ToAsAtDate">
    <vt:lpwstr>22 Jul 2019</vt:lpwstr>
  </property>
</Properties>
</file>