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2020</w:t>
      </w:r>
      <w:r>
        <w:fldChar w:fldCharType="end"/>
      </w:r>
      <w:r>
        <w:t xml:space="preserve">, </w:t>
      </w:r>
      <w:r>
        <w:fldChar w:fldCharType="begin"/>
      </w:r>
      <w:r>
        <w:instrText xml:space="preserve"> DocProperty FromSuffix </w:instrText>
      </w:r>
      <w:r>
        <w:fldChar w:fldCharType="separate"/>
      </w:r>
      <w:r>
        <w:t>09-b0-00</w:t>
      </w:r>
      <w:r>
        <w:fldChar w:fldCharType="end"/>
      </w:r>
      <w:r>
        <w:t>] and [</w:t>
      </w:r>
      <w:r>
        <w:fldChar w:fldCharType="begin"/>
      </w:r>
      <w:r>
        <w:instrText xml:space="preserve"> DocProperty ToAsAtDate</w:instrText>
      </w:r>
      <w:r>
        <w:fldChar w:fldCharType="separate"/>
      </w:r>
      <w:r>
        <w:t>27 Jun 2020</w:t>
      </w:r>
      <w:r>
        <w:fldChar w:fldCharType="end"/>
      </w:r>
      <w:r>
        <w:t xml:space="preserve">, </w:t>
      </w:r>
      <w:r>
        <w:fldChar w:fldCharType="begin"/>
      </w:r>
      <w:r>
        <w:instrText xml:space="preserve"> DocProperty ToSuffix</w:instrText>
      </w:r>
      <w:r>
        <w:fldChar w:fldCharType="separate"/>
      </w:r>
      <w:r>
        <w:t>09-c0-00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720" w:after="1640"/>
      </w:pPr>
      <w:r>
        <w:t xml:space="preserve">Prisons Act 1981 </w:t>
      </w:r>
    </w:p>
    <w:p>
      <w:pPr>
        <w:pStyle w:val="LongTitle"/>
        <w:rPr>
          <w:snapToGrid w:val="0"/>
        </w:rPr>
      </w:pPr>
      <w:r>
        <w:rPr>
          <w:snapToGrid w:val="0"/>
        </w:rPr>
        <w:t>A</w:t>
      </w:r>
      <w:bookmarkStart w:id="1" w:name="_GoBack"/>
      <w:bookmarkEnd w:id="1"/>
      <w:r>
        <w:rPr>
          <w:snapToGrid w:val="0"/>
        </w:rPr>
        <w:t xml:space="preserve">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2" w:name="_Toc43906311"/>
      <w:bookmarkStart w:id="3" w:name="_Toc43907383"/>
      <w:bookmarkStart w:id="4" w:name="_Toc43971705"/>
      <w:bookmarkStart w:id="5" w:name="_Toc41031374"/>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spacing w:before="240"/>
        <w:rPr>
          <w:snapToGrid w:val="0"/>
        </w:rPr>
      </w:pPr>
      <w:bookmarkStart w:id="6" w:name="_Toc43971706"/>
      <w:bookmarkStart w:id="7" w:name="_Toc41031375"/>
      <w:r>
        <w:rPr>
          <w:rStyle w:val="CharSectno"/>
        </w:rPr>
        <w:t>1</w:t>
      </w:r>
      <w:r>
        <w:rPr>
          <w:snapToGrid w:val="0"/>
        </w:rPr>
        <w:t>.</w:t>
      </w:r>
      <w:r>
        <w:rPr>
          <w:snapToGrid w:val="0"/>
        </w:rPr>
        <w:tab/>
        <w:t>Short title</w:t>
      </w:r>
      <w:bookmarkEnd w:id="6"/>
      <w:bookmarkEnd w:id="7"/>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Prisons Act 1981</w:t>
      </w:r>
      <w:r>
        <w:rPr>
          <w:snapToGrid w:val="0"/>
        </w:rPr>
        <w:t>.</w:t>
      </w:r>
    </w:p>
    <w:p>
      <w:pPr>
        <w:pStyle w:val="Heading5"/>
        <w:spacing w:before="240"/>
        <w:rPr>
          <w:snapToGrid w:val="0"/>
        </w:rPr>
      </w:pPr>
      <w:bookmarkStart w:id="8" w:name="_Toc43971707"/>
      <w:bookmarkStart w:id="9" w:name="_Toc41031376"/>
      <w:r>
        <w:rPr>
          <w:rStyle w:val="CharSectno"/>
        </w:rPr>
        <w:t>2</w:t>
      </w:r>
      <w:r>
        <w:rPr>
          <w:snapToGrid w:val="0"/>
        </w:rPr>
        <w:t>.</w:t>
      </w:r>
      <w:r>
        <w:rPr>
          <w:snapToGrid w:val="0"/>
        </w:rPr>
        <w:tab/>
        <w:t>Commencement</w:t>
      </w:r>
      <w:bookmarkEnd w:id="8"/>
      <w:bookmarkEnd w:id="9"/>
      <w:r>
        <w:rPr>
          <w:snapToGrid w:val="0"/>
        </w:rPr>
        <w:t xml:space="preserve"> </w:t>
      </w:r>
    </w:p>
    <w:p>
      <w:pPr>
        <w:pStyle w:val="Subsection"/>
        <w:spacing w:before="180"/>
        <w:rPr>
          <w:snapToGrid w:val="0"/>
        </w:rPr>
      </w:pPr>
      <w:r>
        <w:rPr>
          <w:snapToGrid w:val="0"/>
        </w:rPr>
        <w:tab/>
      </w:r>
      <w:r>
        <w:rPr>
          <w:snapToGrid w:val="0"/>
        </w:rPr>
        <w:tab/>
        <w:t>This Act shall come into operation on a day to be fixed by proclamation.</w:t>
      </w:r>
    </w:p>
    <w:p>
      <w:pPr>
        <w:pStyle w:val="Heading5"/>
        <w:spacing w:before="240"/>
        <w:rPr>
          <w:snapToGrid w:val="0"/>
        </w:rPr>
      </w:pPr>
      <w:bookmarkStart w:id="10" w:name="_Toc43971708"/>
      <w:bookmarkStart w:id="11" w:name="_Toc41031377"/>
      <w:r>
        <w:rPr>
          <w:rStyle w:val="CharSectno"/>
        </w:rPr>
        <w:t>3</w:t>
      </w:r>
      <w:r>
        <w:rPr>
          <w:snapToGrid w:val="0"/>
        </w:rPr>
        <w:t>.</w:t>
      </w:r>
      <w:r>
        <w:rPr>
          <w:snapToGrid w:val="0"/>
        </w:rPr>
        <w:tab/>
        <w:t>Terms used</w:t>
      </w:r>
      <w:bookmarkEnd w:id="10"/>
      <w:bookmarkEnd w:id="11"/>
    </w:p>
    <w:p>
      <w:pPr>
        <w:pStyle w:val="Subsection"/>
        <w:spacing w:before="180"/>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lastRenderedPageBreak/>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rPr>
        <w:t>Corruption, Crime and Misconduct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tab/>
      </w:r>
      <w:r>
        <w:rPr>
          <w:rStyle w:val="CharDefText"/>
        </w:rPr>
        <w:t>medical practitioner</w:t>
      </w:r>
      <w:r>
        <w:t xml:space="preserve"> means a person —</w:t>
      </w:r>
    </w:p>
    <w:p>
      <w:pPr>
        <w:pStyle w:val="Defpara"/>
      </w:pPr>
      <w:r>
        <w:tab/>
        <w:t>(a)</w:t>
      </w:r>
      <w:r>
        <w:tab/>
      </w:r>
      <w:del w:id="12" w:author="svcMRProcess" w:date="2020-06-26T12:27:00Z">
        <w:r>
          <w:delText xml:space="preserve">a person </w:delText>
        </w:r>
      </w:del>
      <w:r>
        <w:t xml:space="preserve">who is registered under the </w:t>
      </w:r>
      <w:r>
        <w:rPr>
          <w:i/>
        </w:rPr>
        <w:t>Health Practitioner Regulation National Law (Western Australia)</w:t>
      </w:r>
      <w:r>
        <w:t xml:space="preserve"> in the medical profession;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keepNext/>
      </w:pPr>
      <w:r>
        <w:rPr>
          <w:b/>
        </w:rPr>
        <w:lastRenderedPageBreak/>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tab/>
      </w:r>
      <w:r>
        <w:rPr>
          <w:rStyle w:val="CharDefText"/>
        </w:rPr>
        <w:t>remove</w:t>
      </w:r>
      <w:r>
        <w:t>, in relation to a prison officer, means terminate the employment of the prison officer;</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NAm"/>
            </w:pPr>
            <w:r>
              <w:t>s. 18</w:t>
            </w:r>
          </w:p>
        </w:tc>
        <w:tc>
          <w:tcPr>
            <w:tcW w:w="1984" w:type="dxa"/>
          </w:tcPr>
          <w:p>
            <w:pPr>
              <w:pStyle w:val="TableNAm"/>
            </w:pPr>
            <w:r>
              <w:t>s. 84</w:t>
            </w:r>
          </w:p>
        </w:tc>
      </w:tr>
      <w:tr>
        <w:tc>
          <w:tcPr>
            <w:tcW w:w="1701" w:type="dxa"/>
          </w:tcPr>
          <w:p>
            <w:pPr>
              <w:pStyle w:val="TableNAm"/>
            </w:pPr>
            <w:r>
              <w:t>s. 26(1)</w:t>
            </w:r>
          </w:p>
        </w:tc>
        <w:tc>
          <w:tcPr>
            <w:tcW w:w="1984" w:type="dxa"/>
          </w:tcPr>
          <w:p>
            <w:pPr>
              <w:pStyle w:val="TableNAm"/>
            </w:pPr>
            <w:r>
              <w:t>s. 86(2)(a)</w:t>
            </w:r>
          </w:p>
        </w:tc>
      </w:tr>
    </w:tbl>
    <w:p>
      <w:pPr>
        <w:pStyle w:val="Footnotesection"/>
        <w:keepLines w:val="0"/>
      </w:pPr>
      <w:r>
        <w:tab/>
        <w:t>[Section 3 amended: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Sch. 3 cl. 47(2); No. 35 of 2010 s. 136; No. 29 of 2014 s. 4; No. 35 of 2014 s. </w:t>
      </w:r>
      <w:del w:id="13" w:author="svcMRProcess" w:date="2020-06-26T12:27:00Z">
        <w:r>
          <w:delText>39.]</w:delText>
        </w:r>
      </w:del>
      <w:ins w:id="14" w:author="svcMRProcess" w:date="2020-06-26T12:27:00Z">
        <w:r>
          <w:t>39; No. 20 of 2020 s. 4(2).]</w:t>
        </w:r>
      </w:ins>
    </w:p>
    <w:p>
      <w:pPr>
        <w:pStyle w:val="Footnotesection"/>
        <w:keepLines w:val="0"/>
      </w:pPr>
      <w:r>
        <w:tab/>
        <w:t>[Section 3. Modifications to be applied in order to give effect to Cross</w:t>
      </w:r>
      <w:r>
        <w:noBreakHyphen/>
        <w:t>border Justice Act 2008: section altered 1 Nov 2009. See endnote 1M.]</w:t>
      </w:r>
    </w:p>
    <w:p>
      <w:pPr>
        <w:pStyle w:val="Heading2"/>
      </w:pPr>
      <w:bookmarkStart w:id="15" w:name="_Toc43906315"/>
      <w:bookmarkStart w:id="16" w:name="_Toc43907387"/>
      <w:bookmarkStart w:id="17" w:name="_Toc43971709"/>
      <w:bookmarkStart w:id="18" w:name="_Toc41031378"/>
      <w:r>
        <w:rPr>
          <w:rStyle w:val="CharPartNo"/>
        </w:rPr>
        <w:t>Part II</w:t>
      </w:r>
      <w:r>
        <w:rPr>
          <w:rStyle w:val="CharDivNo"/>
        </w:rPr>
        <w:t> </w:t>
      </w:r>
      <w:r>
        <w:t>—</w:t>
      </w:r>
      <w:r>
        <w:rPr>
          <w:rStyle w:val="CharDivText"/>
        </w:rPr>
        <w:t> </w:t>
      </w:r>
      <w:r>
        <w:rPr>
          <w:rStyle w:val="CharPartText"/>
        </w:rPr>
        <w:t>Establishment of prisons</w:t>
      </w:r>
      <w:bookmarkEnd w:id="15"/>
      <w:bookmarkEnd w:id="16"/>
      <w:bookmarkEnd w:id="17"/>
      <w:bookmarkEnd w:id="18"/>
      <w:r>
        <w:rPr>
          <w:rStyle w:val="CharPartText"/>
        </w:rPr>
        <w:t xml:space="preserve"> </w:t>
      </w:r>
    </w:p>
    <w:p>
      <w:pPr>
        <w:pStyle w:val="Heading5"/>
        <w:spacing w:before="180"/>
        <w:rPr>
          <w:snapToGrid w:val="0"/>
        </w:rPr>
      </w:pPr>
      <w:bookmarkStart w:id="19" w:name="_Toc43971710"/>
      <w:bookmarkStart w:id="20" w:name="_Toc41031379"/>
      <w:r>
        <w:rPr>
          <w:rStyle w:val="CharSectno"/>
        </w:rPr>
        <w:t>4</w:t>
      </w:r>
      <w:r>
        <w:rPr>
          <w:snapToGrid w:val="0"/>
        </w:rPr>
        <w:t>.</w:t>
      </w:r>
      <w:r>
        <w:rPr>
          <w:snapToGrid w:val="0"/>
        </w:rPr>
        <w:tab/>
        <w:t>Existing prisons continued</w:t>
      </w:r>
      <w:bookmarkEnd w:id="19"/>
      <w:bookmarkEnd w:id="20"/>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21" w:name="_Toc43971711"/>
      <w:bookmarkStart w:id="22" w:name="_Toc41031380"/>
      <w:r>
        <w:rPr>
          <w:rStyle w:val="CharSectno"/>
        </w:rPr>
        <w:t>5</w:t>
      </w:r>
      <w:r>
        <w:rPr>
          <w:snapToGrid w:val="0"/>
        </w:rPr>
        <w:t>.</w:t>
      </w:r>
      <w:r>
        <w:rPr>
          <w:snapToGrid w:val="0"/>
        </w:rPr>
        <w:tab/>
        <w:t>Orders for prisons</w:t>
      </w:r>
      <w:bookmarkEnd w:id="21"/>
      <w:bookmarkEnd w:id="22"/>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 and</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spacing w:before="60"/>
        <w:ind w:left="890" w:hanging="890"/>
      </w:pPr>
      <w:r>
        <w:tab/>
        <w:t>[Section 5 amended: No. 65 of 2006 s. 5.]</w:t>
      </w:r>
    </w:p>
    <w:p>
      <w:pPr>
        <w:pStyle w:val="Heading2"/>
      </w:pPr>
      <w:bookmarkStart w:id="23" w:name="_Toc43906318"/>
      <w:bookmarkStart w:id="24" w:name="_Toc43907390"/>
      <w:bookmarkStart w:id="25" w:name="_Toc43971712"/>
      <w:bookmarkStart w:id="26" w:name="_Toc41031381"/>
      <w:r>
        <w:rPr>
          <w:rStyle w:val="CharPartNo"/>
        </w:rPr>
        <w:t>Part III</w:t>
      </w:r>
      <w:r>
        <w:rPr>
          <w:rStyle w:val="CharDivNo"/>
        </w:rPr>
        <w:t> </w:t>
      </w:r>
      <w:r>
        <w:t>—</w:t>
      </w:r>
      <w:r>
        <w:rPr>
          <w:rStyle w:val="CharDivText"/>
        </w:rPr>
        <w:t> </w:t>
      </w:r>
      <w:r>
        <w:rPr>
          <w:rStyle w:val="CharPartText"/>
        </w:rPr>
        <w:t>Officers</w:t>
      </w:r>
      <w:bookmarkEnd w:id="23"/>
      <w:bookmarkEnd w:id="24"/>
      <w:bookmarkEnd w:id="25"/>
      <w:bookmarkEnd w:id="26"/>
      <w:r>
        <w:rPr>
          <w:rStyle w:val="CharPartText"/>
        </w:rPr>
        <w:t xml:space="preserve"> </w:t>
      </w:r>
    </w:p>
    <w:p>
      <w:pPr>
        <w:pStyle w:val="Heading5"/>
        <w:rPr>
          <w:snapToGrid w:val="0"/>
        </w:rPr>
      </w:pPr>
      <w:bookmarkStart w:id="27" w:name="_Toc43971713"/>
      <w:bookmarkStart w:id="28" w:name="_Toc41031382"/>
      <w:r>
        <w:rPr>
          <w:rStyle w:val="CharSectno"/>
        </w:rPr>
        <w:t>6</w:t>
      </w:r>
      <w:r>
        <w:rPr>
          <w:snapToGrid w:val="0"/>
        </w:rPr>
        <w:t>.</w:t>
      </w:r>
      <w:r>
        <w:rPr>
          <w:snapToGrid w:val="0"/>
        </w:rPr>
        <w:tab/>
        <w:t>Appointment of officers</w:t>
      </w:r>
      <w:bookmarkEnd w:id="27"/>
      <w:bookmarkEnd w:id="28"/>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 xml:space="preserve">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Ednotesubsection"/>
      </w:pPr>
      <w:r>
        <w:tab/>
      </w:r>
      <w:del w:id="29" w:author="svcMRProcess" w:date="2020-06-26T12:27:00Z">
        <w:r>
          <w:delText>(</w:delText>
        </w:r>
      </w:del>
      <w:ins w:id="30" w:author="svcMRProcess" w:date="2020-06-26T12:27:00Z">
        <w:r>
          <w:t>[(</w:t>
        </w:r>
      </w:ins>
      <w:r>
        <w:t>6)</w:t>
      </w:r>
      <w:r>
        <w:tab/>
      </w:r>
      <w:del w:id="31" w:author="svcMRProcess" w:date="2020-06-26T12:27:00Z">
        <w:r>
          <w:delText>In this section —</w:delText>
        </w:r>
      </w:del>
      <w:ins w:id="32" w:author="svcMRProcess" w:date="2020-06-26T12:27:00Z">
        <w:r>
          <w:t>deleted]</w:t>
        </w:r>
      </w:ins>
    </w:p>
    <w:p>
      <w:pPr>
        <w:pStyle w:val="Defstart"/>
        <w:keepNext/>
        <w:rPr>
          <w:del w:id="33" w:author="svcMRProcess" w:date="2020-06-26T12:27:00Z"/>
        </w:rPr>
      </w:pPr>
      <w:del w:id="34" w:author="svcMRProcess" w:date="2020-06-26T12:27:00Z">
        <w:r>
          <w:tab/>
        </w:r>
        <w:r>
          <w:rPr>
            <w:rStyle w:val="CharDefText"/>
          </w:rPr>
          <w:delText>this Act</w:delText>
        </w:r>
        <w:r>
          <w:delText xml:space="preserve"> does not include Part XA.</w:delText>
        </w:r>
      </w:del>
    </w:p>
    <w:p>
      <w:pPr>
        <w:pStyle w:val="Footnotesection"/>
      </w:pPr>
      <w:r>
        <w:tab/>
        <w:t xml:space="preserve">[Section 6 amended: No. 66 of 1982 s. 2; No. 47 of 1987 s. 5 and 11; No. 113 of 1987 s. 32; No. 47 of 1991 s. 7; No. 31 of 1993 s. 56; No. 32 of 1994 s. 3(2); No. 43 of 1999 s. 5; No. 65 of 2006 s. 6; No. 39 of 2010 s. </w:t>
      </w:r>
      <w:del w:id="35" w:author="svcMRProcess" w:date="2020-06-26T12:27:00Z">
        <w:r>
          <w:delText>89</w:delText>
        </w:r>
      </w:del>
      <w:ins w:id="36" w:author="svcMRProcess" w:date="2020-06-26T12:27:00Z">
        <w:r>
          <w:t>89; No. 20 of 2020 s. 5</w:t>
        </w:r>
      </w:ins>
      <w:r>
        <w:t>.]</w:t>
      </w:r>
    </w:p>
    <w:p>
      <w:pPr>
        <w:pStyle w:val="Heading5"/>
        <w:rPr>
          <w:snapToGrid w:val="0"/>
        </w:rPr>
      </w:pPr>
      <w:bookmarkStart w:id="37" w:name="_Toc43971714"/>
      <w:bookmarkStart w:id="38" w:name="_Toc41031383"/>
      <w:r>
        <w:rPr>
          <w:rStyle w:val="CharSectno"/>
        </w:rPr>
        <w:t>7</w:t>
      </w:r>
      <w:r>
        <w:rPr>
          <w:snapToGrid w:val="0"/>
        </w:rPr>
        <w:t>.</w:t>
      </w:r>
      <w:r>
        <w:rPr>
          <w:snapToGrid w:val="0"/>
        </w:rPr>
        <w:tab/>
        <w:t>Powers and duties of chief executive officer</w:t>
      </w:r>
      <w:bookmarkEnd w:id="37"/>
      <w:bookmarkEnd w:id="38"/>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spacing w:before="120"/>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spacing w:before="120"/>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No. 47 of 1987 s. 11; No. 113 of 1987 s. 32; No. 43 of 1999 s. 6; No. 65 of 2006 s. 7.]</w:t>
      </w:r>
    </w:p>
    <w:p>
      <w:pPr>
        <w:pStyle w:val="Heading5"/>
        <w:spacing w:before="180"/>
      </w:pPr>
      <w:bookmarkStart w:id="39" w:name="_Toc43971715"/>
      <w:bookmarkStart w:id="40" w:name="_Toc41031384"/>
      <w:r>
        <w:rPr>
          <w:rStyle w:val="CharSectno"/>
        </w:rPr>
        <w:t>8</w:t>
      </w:r>
      <w:r>
        <w:t>.</w:t>
      </w:r>
      <w:r>
        <w:tab/>
        <w:t>Delegation by chief executive officer</w:t>
      </w:r>
      <w:bookmarkEnd w:id="39"/>
      <w:bookmarkEnd w:id="40"/>
    </w:p>
    <w:p>
      <w:pPr>
        <w:pStyle w:val="Subsection"/>
        <w:spacing w:before="120"/>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w:t>
      </w:r>
      <w:r>
        <w:t xml:space="preserve"> section 9 or 35.</w:t>
      </w:r>
    </w:p>
    <w:p>
      <w:pPr>
        <w:pStyle w:val="Subsection"/>
        <w:spacing w:before="120"/>
      </w:pPr>
      <w:r>
        <w:tab/>
        <w:t>(2)</w:t>
      </w:r>
      <w:r>
        <w:tab/>
        <w:t>The delegation must be in writing signed by the chief executive officer.</w:t>
      </w:r>
    </w:p>
    <w:p>
      <w:pPr>
        <w:pStyle w:val="Subsection"/>
        <w:spacing w:before="120"/>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No. 65 of 2006 s. 8; amended: No. 29 of 2014 s. 5.]</w:t>
      </w:r>
    </w:p>
    <w:p>
      <w:pPr>
        <w:pStyle w:val="Heading5"/>
        <w:spacing w:before="180"/>
        <w:rPr>
          <w:snapToGrid w:val="0"/>
        </w:rPr>
      </w:pPr>
      <w:bookmarkStart w:id="41" w:name="_Toc43971716"/>
      <w:bookmarkStart w:id="42" w:name="_Toc41031385"/>
      <w:r>
        <w:rPr>
          <w:rStyle w:val="CharSectno"/>
        </w:rPr>
        <w:t>9</w:t>
      </w:r>
      <w:r>
        <w:rPr>
          <w:snapToGrid w:val="0"/>
        </w:rPr>
        <w:t>.</w:t>
      </w:r>
      <w:r>
        <w:rPr>
          <w:snapToGrid w:val="0"/>
        </w:rPr>
        <w:tab/>
        <w:t>Chief executive officer may set up inquiry</w:t>
      </w:r>
      <w:bookmarkEnd w:id="41"/>
      <w:bookmarkEnd w:id="42"/>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20"/>
        <w:rPr>
          <w:snapToGrid w:val="0"/>
        </w:rPr>
      </w:pPr>
      <w:r>
        <w:rPr>
          <w:snapToGrid w:val="0"/>
        </w:rPr>
        <w:tab/>
      </w:r>
      <w:r>
        <w:rPr>
          <w:snapToGrid w:val="0"/>
        </w:rPr>
        <w:tab/>
        <w:t>in relation to any matter, incident or occurrence that is the subject of the inquiry.</w:t>
      </w:r>
    </w:p>
    <w:p>
      <w:pPr>
        <w:pStyle w:val="Subsection"/>
        <w:spacing w:before="120"/>
        <w:rPr>
          <w:snapToGrid w:val="0"/>
        </w:rPr>
      </w:pPr>
      <w:r>
        <w:rPr>
          <w:snapToGrid w:val="0"/>
        </w:rPr>
        <w:tab/>
        <w:t>(3)</w:t>
      </w:r>
      <w:r>
        <w:rPr>
          <w:snapToGrid w:val="0"/>
        </w:rPr>
        <w:tab/>
        <w:t>A requirement made under subsection (2) — </w:t>
      </w:r>
    </w:p>
    <w:p>
      <w:pPr>
        <w:pStyle w:val="Indenta"/>
        <w:spacing w:before="60"/>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 and</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 and</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No. 47 of 1987 s. 11; No. 113 of 1987 s. 32; No. 43 of 1999 s. 8; No. 74 of 2003 s. 94(2) and (3); No. 24 of 2005 s. 63.]</w:t>
      </w:r>
    </w:p>
    <w:p>
      <w:pPr>
        <w:pStyle w:val="Heading5"/>
        <w:rPr>
          <w:snapToGrid w:val="0"/>
        </w:rPr>
      </w:pPr>
      <w:bookmarkStart w:id="43" w:name="_Toc43971717"/>
      <w:bookmarkStart w:id="44" w:name="_Toc41031386"/>
      <w:r>
        <w:rPr>
          <w:rStyle w:val="CharSectno"/>
        </w:rPr>
        <w:t>10</w:t>
      </w:r>
      <w:r>
        <w:rPr>
          <w:snapToGrid w:val="0"/>
        </w:rPr>
        <w:t>.</w:t>
      </w:r>
      <w:r>
        <w:rPr>
          <w:snapToGrid w:val="0"/>
        </w:rPr>
        <w:tab/>
        <w:t>Failure to supply information to inquiry</w:t>
      </w:r>
      <w:bookmarkEnd w:id="43"/>
      <w:bookmarkEnd w:id="44"/>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pPr>
      <w:r>
        <w:tab/>
        <w:t>Penalty</w:t>
      </w:r>
      <w:del w:id="45" w:author="svcMRProcess" w:date="2020-06-26T12:27:00Z">
        <w:r>
          <w:rPr>
            <w:snapToGrid w:val="0"/>
          </w:rPr>
          <w:delText>: $300</w:delText>
        </w:r>
      </w:del>
      <w:ins w:id="46" w:author="svcMRProcess" w:date="2020-06-26T12:27:00Z">
        <w:r>
          <w:t xml:space="preserve"> for this subsection: a fine of $3 000</w:t>
        </w:r>
      </w:ins>
      <w:r>
        <w:t>.</w:t>
      </w:r>
    </w:p>
    <w:p>
      <w:pPr>
        <w:pStyle w:val="Subsection"/>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No. 47 of 1991 s. 7; No. 74 of 2003 s. 94(4</w:t>
      </w:r>
      <w:del w:id="47" w:author="svcMRProcess" w:date="2020-06-26T12:27:00Z">
        <w:r>
          <w:delText>).]</w:delText>
        </w:r>
      </w:del>
      <w:ins w:id="48" w:author="svcMRProcess" w:date="2020-06-26T12:27:00Z">
        <w:r>
          <w:t>); No. 20 of 2020 s. 6.]</w:t>
        </w:r>
      </w:ins>
    </w:p>
    <w:p>
      <w:pPr>
        <w:pStyle w:val="Heading5"/>
        <w:rPr>
          <w:snapToGrid w:val="0"/>
        </w:rPr>
      </w:pPr>
      <w:bookmarkStart w:id="49" w:name="_Toc43971718"/>
      <w:bookmarkStart w:id="50" w:name="_Toc41031387"/>
      <w:r>
        <w:rPr>
          <w:rStyle w:val="CharSectno"/>
        </w:rPr>
        <w:t>11</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49"/>
      <w:bookmarkEnd w:id="50"/>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No. 98 of 1985 s. 3; amended: No. 47 of 1987 s. 7; No. 77 of 2006 Sch. 1 cl. 132.]</w:t>
      </w:r>
    </w:p>
    <w:p>
      <w:pPr>
        <w:pStyle w:val="Heading5"/>
        <w:spacing w:before="260"/>
        <w:rPr>
          <w:snapToGrid w:val="0"/>
        </w:rPr>
      </w:pPr>
      <w:bookmarkStart w:id="51" w:name="_Toc43971719"/>
      <w:bookmarkStart w:id="52" w:name="_Toc41031388"/>
      <w:r>
        <w:rPr>
          <w:rStyle w:val="CharSectno"/>
        </w:rPr>
        <w:t>12</w:t>
      </w:r>
      <w:r>
        <w:rPr>
          <w:snapToGrid w:val="0"/>
        </w:rPr>
        <w:t>.</w:t>
      </w:r>
      <w:r>
        <w:rPr>
          <w:snapToGrid w:val="0"/>
        </w:rPr>
        <w:tab/>
        <w:t>Duties of officers</w:t>
      </w:r>
      <w:bookmarkEnd w:id="51"/>
      <w:bookmarkEnd w:id="52"/>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No. 47 of 1987 s. 11; No. 113 of 1987 s. 32; No. 65 of 2006 s. 9.] </w:t>
      </w:r>
    </w:p>
    <w:p>
      <w:pPr>
        <w:pStyle w:val="Heading5"/>
        <w:pageBreakBefore/>
        <w:spacing w:before="0"/>
        <w:rPr>
          <w:snapToGrid w:val="0"/>
        </w:rPr>
      </w:pPr>
      <w:bookmarkStart w:id="53" w:name="_Toc43971720"/>
      <w:bookmarkStart w:id="54" w:name="_Toc41031389"/>
      <w:r>
        <w:rPr>
          <w:rStyle w:val="CharSectno"/>
        </w:rPr>
        <w:t>13</w:t>
      </w:r>
      <w:r>
        <w:rPr>
          <w:snapToGrid w:val="0"/>
        </w:rPr>
        <w:t>.</w:t>
      </w:r>
      <w:r>
        <w:rPr>
          <w:snapToGrid w:val="0"/>
        </w:rPr>
        <w:tab/>
        <w:t>Engagement of prison officers</w:t>
      </w:r>
      <w:bookmarkEnd w:id="53"/>
      <w:bookmarkEnd w:id="54"/>
      <w:r>
        <w:rPr>
          <w:snapToGrid w:val="0"/>
        </w:rPr>
        <w:t xml:space="preserve"> </w:t>
      </w:r>
    </w:p>
    <w:p>
      <w:pPr>
        <w:pStyle w:val="Subsection"/>
        <w:rPr>
          <w:snapToGrid w:val="0"/>
        </w:rPr>
      </w:pPr>
      <w:r>
        <w:rPr>
          <w:snapToGrid w:val="0"/>
        </w:rPr>
        <w:tab/>
        <w:t>(1)</w:t>
      </w:r>
      <w:r>
        <w:rPr>
          <w:snapToGrid w:val="0"/>
        </w:rPr>
        <w:tab/>
        <w:t xml:space="preserve">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State as a prison officer of Western Australia; and</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 and</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 and</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pPr>
      <w:r>
        <w:tab/>
        <w:t>(3)</w:t>
      </w:r>
      <w:r>
        <w:tab/>
        <w:t>The Minister may, on the recommendation of the chief executive officer under section 101(1)(b), remove a prison officer engaged under subsection (1).</w:t>
      </w:r>
    </w:p>
    <w:p>
      <w:pPr>
        <w:pStyle w:val="Subsection"/>
        <w:rPr>
          <w:snapToGrid w:val="0"/>
        </w:rPr>
      </w:pPr>
      <w:r>
        <w:rPr>
          <w:snapToGrid w:val="0"/>
        </w:rPr>
        <w:tab/>
        <w:t>(4)</w:t>
      </w:r>
      <w:r>
        <w:rPr>
          <w:snapToGrid w:val="0"/>
        </w:rPr>
        <w:tab/>
        <w:t xml:space="preserve">The Minister may, by instrument in writing signed by him, delegate to the chief executive officer his powers under this section, other than the power of </w:t>
      </w:r>
      <w:r>
        <w:t>removal</w:t>
      </w:r>
      <w:r>
        <w:rPr>
          <w:snapToGrid w:val="0"/>
        </w:rPr>
        <w:t xml:space="preserve">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No. 47 of 1987 s. 8 and 11; No. 113 of 1987 s. 32; No. 47 of 1991 s. 7; No. 65 of 2006 s. 10; No. 39 of 2010 s. 89; No. 29 of 2014 s. 6.] </w:t>
      </w:r>
    </w:p>
    <w:p>
      <w:pPr>
        <w:pStyle w:val="Heading5"/>
        <w:rPr>
          <w:snapToGrid w:val="0"/>
        </w:rPr>
      </w:pPr>
      <w:bookmarkStart w:id="55" w:name="_Toc43971721"/>
      <w:bookmarkStart w:id="56" w:name="_Toc41031390"/>
      <w:r>
        <w:rPr>
          <w:rStyle w:val="CharSectno"/>
        </w:rPr>
        <w:t>14</w:t>
      </w:r>
      <w:r>
        <w:rPr>
          <w:snapToGrid w:val="0"/>
        </w:rPr>
        <w:t>.</w:t>
      </w:r>
      <w:r>
        <w:rPr>
          <w:snapToGrid w:val="0"/>
        </w:rPr>
        <w:tab/>
        <w:t>Powers and duties of prison officers</w:t>
      </w:r>
      <w:bookmarkEnd w:id="55"/>
      <w:bookmarkEnd w:id="56"/>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 and</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 and</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No. 47 of 1999 s. 34; No. 65 of 2006 s. 11.]</w:t>
      </w:r>
    </w:p>
    <w:p>
      <w:pPr>
        <w:pStyle w:val="Heading5"/>
        <w:rPr>
          <w:snapToGrid w:val="0"/>
        </w:rPr>
      </w:pPr>
      <w:bookmarkStart w:id="57" w:name="_Toc43971722"/>
      <w:bookmarkStart w:id="58" w:name="_Toc41031391"/>
      <w:r>
        <w:rPr>
          <w:rStyle w:val="CharSectno"/>
        </w:rPr>
        <w:t>15</w:t>
      </w:r>
      <w:r>
        <w:rPr>
          <w:snapToGrid w:val="0"/>
        </w:rPr>
        <w:t>.</w:t>
      </w:r>
      <w:r>
        <w:rPr>
          <w:snapToGrid w:val="0"/>
        </w:rPr>
        <w:tab/>
        <w:t>Assistance by police officers</w:t>
      </w:r>
      <w:bookmarkEnd w:id="57"/>
      <w:bookmarkEnd w:id="58"/>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No. 47 of 1987 s. 11; No. 113 of 1987 s. 32.]</w:t>
      </w:r>
    </w:p>
    <w:p>
      <w:pPr>
        <w:pStyle w:val="Heading2"/>
      </w:pPr>
      <w:bookmarkStart w:id="59" w:name="_Toc43906329"/>
      <w:bookmarkStart w:id="60" w:name="_Toc43907401"/>
      <w:bookmarkStart w:id="61" w:name="_Toc43971723"/>
      <w:bookmarkStart w:id="62" w:name="_Toc41031392"/>
      <w:r>
        <w:rPr>
          <w:rStyle w:val="CharPartNo"/>
        </w:rPr>
        <w:t>Part IIIA</w:t>
      </w:r>
      <w:r>
        <w:t xml:space="preserve"> — </w:t>
      </w:r>
      <w:r>
        <w:rPr>
          <w:rStyle w:val="CharPartText"/>
        </w:rPr>
        <w:t>Contracts for prison services</w:t>
      </w:r>
      <w:bookmarkEnd w:id="59"/>
      <w:bookmarkEnd w:id="60"/>
      <w:bookmarkEnd w:id="61"/>
      <w:bookmarkEnd w:id="62"/>
    </w:p>
    <w:p>
      <w:pPr>
        <w:pStyle w:val="Footnoteheading"/>
        <w:tabs>
          <w:tab w:val="clear" w:pos="879"/>
          <w:tab w:val="left" w:pos="882"/>
        </w:tabs>
      </w:pPr>
      <w:r>
        <w:tab/>
        <w:t>[Heading inserted: No. 43 of 1999 s. 7.]</w:t>
      </w:r>
    </w:p>
    <w:p>
      <w:pPr>
        <w:pStyle w:val="Heading3"/>
      </w:pPr>
      <w:bookmarkStart w:id="63" w:name="_Toc43906330"/>
      <w:bookmarkStart w:id="64" w:name="_Toc43907402"/>
      <w:bookmarkStart w:id="65" w:name="_Toc43971724"/>
      <w:bookmarkStart w:id="66" w:name="_Toc41031393"/>
      <w:r>
        <w:rPr>
          <w:rStyle w:val="CharDivNo"/>
        </w:rPr>
        <w:t>Division 1</w:t>
      </w:r>
      <w:r>
        <w:t xml:space="preserve"> — </w:t>
      </w:r>
      <w:r>
        <w:rPr>
          <w:rStyle w:val="CharDivText"/>
        </w:rPr>
        <w:t>Preliminary</w:t>
      </w:r>
      <w:bookmarkEnd w:id="63"/>
      <w:bookmarkEnd w:id="64"/>
      <w:bookmarkEnd w:id="65"/>
      <w:bookmarkEnd w:id="66"/>
    </w:p>
    <w:p>
      <w:pPr>
        <w:pStyle w:val="Footnoteheading"/>
        <w:tabs>
          <w:tab w:val="clear" w:pos="879"/>
          <w:tab w:val="left" w:pos="882"/>
        </w:tabs>
      </w:pPr>
      <w:r>
        <w:tab/>
        <w:t>[Heading inserted: No. 43 of 1999 s. 7.]</w:t>
      </w:r>
    </w:p>
    <w:p>
      <w:pPr>
        <w:pStyle w:val="Heading5"/>
      </w:pPr>
      <w:bookmarkStart w:id="67" w:name="_Toc43971725"/>
      <w:bookmarkStart w:id="68" w:name="_Toc41031394"/>
      <w:r>
        <w:rPr>
          <w:rStyle w:val="CharSectno"/>
        </w:rPr>
        <w:t>15A</w:t>
      </w:r>
      <w:r>
        <w:t>.</w:t>
      </w:r>
      <w:r>
        <w:tab/>
        <w:t>Terms used</w:t>
      </w:r>
      <w:bookmarkEnd w:id="67"/>
      <w:bookmarkEnd w:id="68"/>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No. 43 of 1999 s. 7.]</w:t>
      </w:r>
    </w:p>
    <w:p>
      <w:pPr>
        <w:pStyle w:val="Heading3"/>
        <w:pageBreakBefore/>
        <w:spacing w:before="0"/>
      </w:pPr>
      <w:bookmarkStart w:id="69" w:name="_Toc43906332"/>
      <w:bookmarkStart w:id="70" w:name="_Toc43907404"/>
      <w:bookmarkStart w:id="71" w:name="_Toc43971726"/>
      <w:bookmarkStart w:id="72" w:name="_Toc41031395"/>
      <w:r>
        <w:rPr>
          <w:rStyle w:val="CharDivNo"/>
        </w:rPr>
        <w:t>Division 2</w:t>
      </w:r>
      <w:r>
        <w:t xml:space="preserve"> — </w:t>
      </w:r>
      <w:r>
        <w:rPr>
          <w:rStyle w:val="CharDivText"/>
        </w:rPr>
        <w:t>Matters relating to contracts generally</w:t>
      </w:r>
      <w:bookmarkEnd w:id="69"/>
      <w:bookmarkEnd w:id="70"/>
      <w:bookmarkEnd w:id="71"/>
      <w:bookmarkEnd w:id="72"/>
    </w:p>
    <w:p>
      <w:pPr>
        <w:pStyle w:val="Footnoteheading"/>
        <w:keepNext/>
        <w:tabs>
          <w:tab w:val="clear" w:pos="879"/>
          <w:tab w:val="left" w:pos="882"/>
        </w:tabs>
      </w:pPr>
      <w:r>
        <w:tab/>
        <w:t>[Heading inserted: No. 43 of 1999 s. 7.]</w:t>
      </w:r>
    </w:p>
    <w:p>
      <w:pPr>
        <w:pStyle w:val="Heading5"/>
      </w:pPr>
      <w:bookmarkStart w:id="73" w:name="_Toc43971727"/>
      <w:bookmarkStart w:id="74" w:name="_Toc41031396"/>
      <w:r>
        <w:rPr>
          <w:rStyle w:val="CharSectno"/>
        </w:rPr>
        <w:t>15B</w:t>
      </w:r>
      <w:r>
        <w:t>.</w:t>
      </w:r>
      <w:r>
        <w:tab/>
        <w:t>Contracts for prison services</w:t>
      </w:r>
      <w:bookmarkEnd w:id="73"/>
      <w:bookmarkEnd w:id="74"/>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No. 43 of 1999 s. 7.]</w:t>
      </w:r>
    </w:p>
    <w:p>
      <w:pPr>
        <w:pStyle w:val="Heading5"/>
      </w:pPr>
      <w:bookmarkStart w:id="75" w:name="_Toc43971728"/>
      <w:bookmarkStart w:id="76" w:name="_Toc41031397"/>
      <w:r>
        <w:rPr>
          <w:rStyle w:val="CharSectno"/>
        </w:rPr>
        <w:t>15C</w:t>
      </w:r>
      <w:r>
        <w:t>.</w:t>
      </w:r>
      <w:r>
        <w:tab/>
        <w:t>Minimum matters to be included in contracts</w:t>
      </w:r>
      <w:bookmarkEnd w:id="75"/>
      <w:bookmarkEnd w:id="76"/>
    </w:p>
    <w:p>
      <w:pPr>
        <w:pStyle w:val="Subsection"/>
      </w:pPr>
      <w:r>
        <w:tab/>
      </w:r>
      <w:r>
        <w:tab/>
        <w:t>A contract must provide for —</w:t>
      </w:r>
    </w:p>
    <w:p>
      <w:pPr>
        <w:pStyle w:val="Indenta"/>
      </w:pPr>
      <w:r>
        <w:tab/>
        <w:t>(a)</w:t>
      </w:r>
      <w:r>
        <w:tab/>
        <w:t>compliance by the contractor with this Act, any other written law and the rules; and</w:t>
      </w:r>
    </w:p>
    <w:p>
      <w:pPr>
        <w:pStyle w:val="Indenta"/>
      </w:pPr>
      <w:r>
        <w:tab/>
        <w:t>(b)</w:t>
      </w:r>
      <w:r>
        <w:tab/>
        <w:t>objectives and performance standards in relation to the provision of prison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15D in relation to the provision of prison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r>
      <w:r>
        <w:tab/>
        <w:t>and</w:t>
      </w:r>
    </w:p>
    <w:p>
      <w:pPr>
        <w:pStyle w:val="Indenta"/>
        <w:keepLines/>
      </w:pPr>
      <w:r>
        <w:tab/>
        <w:t>(g)</w:t>
      </w:r>
      <w:r>
        <w:tab/>
        <w:t>the financial and other consequences of intervening in a contract under section 15W, terminating or suspending a contract under section 15X and of requisitioning property under section 15ZC; and</w:t>
      </w:r>
    </w:p>
    <w:p>
      <w:pPr>
        <w:pStyle w:val="Indenta"/>
      </w:pPr>
      <w:r>
        <w:tab/>
        <w:t>(h)</w:t>
      </w:r>
      <w:r>
        <w:tab/>
        <w:t>codes of ethics and conduct, as approved by the chief executive officer, to apply to the contractor, any subcontractor and their employees and agents; and</w:t>
      </w:r>
    </w:p>
    <w:p>
      <w:pPr>
        <w:pStyle w:val="Indenta"/>
      </w:pPr>
      <w:r>
        <w:tab/>
        <w:t>(i)</w:t>
      </w:r>
      <w:r>
        <w:tab/>
        <w:t>reporting procedures to notify the chief executive officer of escapes, deaths of prisoners and other emergencies or serious irregularities; and</w:t>
      </w:r>
    </w:p>
    <w:p>
      <w:pPr>
        <w:pStyle w:val="Indenta"/>
      </w:pPr>
      <w:r>
        <w:tab/>
        <w:t>(j)</w:t>
      </w:r>
      <w:r>
        <w:tab/>
        <w:t>investigation procedures and dispute resolution mechanisms for complaints about the provision of prison services under the contract; and</w:t>
      </w:r>
    </w:p>
    <w:p>
      <w:pPr>
        <w:pStyle w:val="Indenta"/>
      </w:pPr>
      <w:r>
        <w:tab/>
        <w:t>(k)</w:t>
      </w:r>
      <w:r>
        <w:tab/>
        <w:t>an indemnity by the contractor in favour of the State of Western Australia; and</w:t>
      </w:r>
    </w:p>
    <w:p>
      <w:pPr>
        <w:pStyle w:val="Indenta"/>
      </w:pPr>
      <w:r>
        <w:tab/>
        <w:t>(l)</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Crime and Misconduct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No. 43 of 1999 s. 7; amended: No. 48 of 2003 s. 62; No. 78 of 2003 s. 74(2); No. 35 of 2014 s. 39; No. 4 of 2015 s. 88(2).]</w:t>
      </w:r>
    </w:p>
    <w:p>
      <w:pPr>
        <w:pStyle w:val="Heading5"/>
      </w:pPr>
      <w:bookmarkStart w:id="77" w:name="_Toc43971729"/>
      <w:bookmarkStart w:id="78" w:name="_Toc41031398"/>
      <w:r>
        <w:rPr>
          <w:rStyle w:val="CharSectno"/>
        </w:rPr>
        <w:t>15D</w:t>
      </w:r>
      <w:r>
        <w:t>.</w:t>
      </w:r>
      <w:r>
        <w:tab/>
        <w:t>Minimum standards</w:t>
      </w:r>
      <w:bookmarkEnd w:id="77"/>
      <w:bookmarkEnd w:id="78"/>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No. 43 of 1999 s. 7.]</w:t>
      </w:r>
    </w:p>
    <w:p>
      <w:pPr>
        <w:pStyle w:val="Heading5"/>
      </w:pPr>
      <w:bookmarkStart w:id="79" w:name="_Toc43971730"/>
      <w:bookmarkStart w:id="80" w:name="_Toc41031399"/>
      <w:r>
        <w:rPr>
          <w:rStyle w:val="CharSectno"/>
        </w:rPr>
        <w:t>15DA</w:t>
      </w:r>
      <w:r>
        <w:t>.</w:t>
      </w:r>
      <w:r>
        <w:tab/>
        <w:t>Penalty for breach</w:t>
      </w:r>
      <w:bookmarkEnd w:id="79"/>
      <w:bookmarkEnd w:id="80"/>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No. 65 of 2006 s. 12.]</w:t>
      </w:r>
    </w:p>
    <w:p>
      <w:pPr>
        <w:pStyle w:val="Heading5"/>
      </w:pPr>
      <w:bookmarkStart w:id="81" w:name="_Toc43971731"/>
      <w:bookmarkStart w:id="82" w:name="_Toc41031400"/>
      <w:r>
        <w:rPr>
          <w:rStyle w:val="CharSectno"/>
        </w:rPr>
        <w:t>15E</w:t>
      </w:r>
      <w:r>
        <w:t>.</w:t>
      </w:r>
      <w:r>
        <w:tab/>
        <w:t>Minister, chief executive officer etc. may have access to certain prisons, persons, vehicles and documents</w:t>
      </w:r>
      <w:bookmarkEnd w:id="81"/>
      <w:bookmarkEnd w:id="82"/>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 and</w:t>
      </w:r>
    </w:p>
    <w:p>
      <w:pPr>
        <w:pStyle w:val="Indenta"/>
      </w:pPr>
      <w:r>
        <w:tab/>
        <w:t>(b)</w:t>
      </w:r>
      <w:r>
        <w:tab/>
        <w:t>a prisoner in such a prison; and</w:t>
      </w:r>
    </w:p>
    <w:p>
      <w:pPr>
        <w:pStyle w:val="Indenta"/>
      </w:pPr>
      <w:r>
        <w:tab/>
        <w:t>(c)</w:t>
      </w:r>
      <w:r>
        <w:tab/>
        <w:t>a contract worker whose work is concerned with such a prison; and</w:t>
      </w:r>
    </w:p>
    <w:p>
      <w:pPr>
        <w:pStyle w:val="Indenta"/>
      </w:pPr>
      <w:r>
        <w:tab/>
        <w:t>(d)</w:t>
      </w:r>
      <w:r>
        <w:tab/>
        <w:t>a vehicle used by a contractor to provide prison services under a contract; and</w:t>
      </w:r>
    </w:p>
    <w:p>
      <w:pPr>
        <w:pStyle w:val="Indenta"/>
      </w:pPr>
      <w:r>
        <w:tab/>
        <w:t>(e)</w:t>
      </w:r>
      <w:r>
        <w:tab/>
        <w:t>a prisoner in such a vehicle; and</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w:t>
      </w:r>
      <w:del w:id="83" w:author="svcMRProcess" w:date="2020-06-26T12:27:00Z">
        <w:r>
          <w:delText>: $20</w:delText>
        </w:r>
      </w:del>
      <w:ins w:id="84" w:author="svcMRProcess" w:date="2020-06-26T12:27:00Z">
        <w:r>
          <w:t xml:space="preserve"> for this subsection: a fine of $30</w:t>
        </w:r>
      </w:ins>
      <w:r>
        <w:t>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No. 43 of 1999 s. </w:t>
      </w:r>
      <w:ins w:id="85" w:author="svcMRProcess" w:date="2020-06-26T12:27:00Z">
        <w:r>
          <w:t>7; amended: No. 20 of 2020 s. </w:t>
        </w:r>
      </w:ins>
      <w:r>
        <w:t>7.]</w:t>
      </w:r>
    </w:p>
    <w:p>
      <w:pPr>
        <w:pStyle w:val="Heading5"/>
      </w:pPr>
      <w:bookmarkStart w:id="86" w:name="_Toc43971732"/>
      <w:bookmarkStart w:id="87" w:name="_Toc41031401"/>
      <w:r>
        <w:rPr>
          <w:rStyle w:val="CharSectno"/>
        </w:rPr>
        <w:t>15F</w:t>
      </w:r>
      <w:r>
        <w:t>.</w:t>
      </w:r>
      <w:r>
        <w:tab/>
        <w:t>Administrators and reporting officers may have access to certain prisons, persons, vehicles and documents</w:t>
      </w:r>
      <w:bookmarkEnd w:id="86"/>
      <w:bookmarkEnd w:id="87"/>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w:t>
      </w:r>
      <w:del w:id="88" w:author="svcMRProcess" w:date="2020-06-26T12:27:00Z">
        <w:r>
          <w:delText>: $20</w:delText>
        </w:r>
      </w:del>
      <w:ins w:id="89" w:author="svcMRProcess" w:date="2020-06-26T12:27:00Z">
        <w:r>
          <w:t xml:space="preserve"> for this subsection: a fine of $30</w:t>
        </w:r>
      </w:ins>
      <w:r>
        <w:t>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No. 43 of 1999 s. </w:t>
      </w:r>
      <w:del w:id="90" w:author="svcMRProcess" w:date="2020-06-26T12:27:00Z">
        <w:r>
          <w:delText>7</w:delText>
        </w:r>
      </w:del>
      <w:ins w:id="91" w:author="svcMRProcess" w:date="2020-06-26T12:27:00Z">
        <w:r>
          <w:t>7; amended: No. 20 of 2020 s. 8</w:t>
        </w:r>
      </w:ins>
      <w:r>
        <w:t>.]</w:t>
      </w:r>
    </w:p>
    <w:p>
      <w:pPr>
        <w:pStyle w:val="Heading5"/>
      </w:pPr>
      <w:bookmarkStart w:id="92" w:name="_Toc43971733"/>
      <w:bookmarkStart w:id="93" w:name="_Toc41031402"/>
      <w:r>
        <w:rPr>
          <w:rStyle w:val="CharSectno"/>
        </w:rPr>
        <w:t>15G</w:t>
      </w:r>
      <w:r>
        <w:t>.</w:t>
      </w:r>
      <w:r>
        <w:tab/>
        <w:t>Annual reports and tabling of contracts</w:t>
      </w:r>
      <w:bookmarkEnd w:id="92"/>
      <w:bookmarkEnd w:id="93"/>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keepNext/>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No. 43 of 1999 s. 7.]</w:t>
      </w:r>
    </w:p>
    <w:p>
      <w:pPr>
        <w:pStyle w:val="Heading5"/>
      </w:pPr>
      <w:bookmarkStart w:id="94" w:name="_Toc43971734"/>
      <w:bookmarkStart w:id="95" w:name="_Toc41031403"/>
      <w:r>
        <w:rPr>
          <w:rStyle w:val="CharSectno"/>
        </w:rPr>
        <w:t>15H</w:t>
      </w:r>
      <w:r>
        <w:t>.</w:t>
      </w:r>
      <w:r>
        <w:tab/>
        <w:t>No contracting out</w:t>
      </w:r>
      <w:bookmarkEnd w:id="94"/>
      <w:bookmarkEnd w:id="95"/>
    </w:p>
    <w:p>
      <w:pPr>
        <w:pStyle w:val="Subsection"/>
      </w:pPr>
      <w:r>
        <w:tab/>
      </w:r>
      <w:r>
        <w:tab/>
        <w:t>The provisions of this Part apply despite anything to the contrary in the contract.</w:t>
      </w:r>
    </w:p>
    <w:p>
      <w:pPr>
        <w:pStyle w:val="Footnotesection"/>
      </w:pPr>
      <w:r>
        <w:tab/>
        <w:t>[Section 15H inserted: No. 43 of 1999 s. 7.]</w:t>
      </w:r>
    </w:p>
    <w:p>
      <w:pPr>
        <w:pStyle w:val="Heading3"/>
      </w:pPr>
      <w:bookmarkStart w:id="96" w:name="_Toc43906341"/>
      <w:bookmarkStart w:id="97" w:name="_Toc43907413"/>
      <w:bookmarkStart w:id="98" w:name="_Toc43971735"/>
      <w:bookmarkStart w:id="99" w:name="_Toc41031404"/>
      <w:r>
        <w:rPr>
          <w:rStyle w:val="CharDivNo"/>
        </w:rPr>
        <w:t>Division 3</w:t>
      </w:r>
      <w:r>
        <w:t xml:space="preserve"> — </w:t>
      </w:r>
      <w:r>
        <w:rPr>
          <w:rStyle w:val="CharDivText"/>
        </w:rPr>
        <w:t>Authorisation of contract workers to perform functions</w:t>
      </w:r>
      <w:bookmarkEnd w:id="96"/>
      <w:bookmarkEnd w:id="97"/>
      <w:bookmarkEnd w:id="98"/>
      <w:bookmarkEnd w:id="99"/>
    </w:p>
    <w:p>
      <w:pPr>
        <w:pStyle w:val="Footnoteheading"/>
        <w:keepNext/>
        <w:tabs>
          <w:tab w:val="clear" w:pos="879"/>
          <w:tab w:val="left" w:pos="882"/>
        </w:tabs>
      </w:pPr>
      <w:r>
        <w:tab/>
        <w:t>[Heading inserted: No. 43 of 1999 s. 7.]</w:t>
      </w:r>
    </w:p>
    <w:p>
      <w:pPr>
        <w:pStyle w:val="Heading5"/>
      </w:pPr>
      <w:bookmarkStart w:id="100" w:name="_Toc43971736"/>
      <w:bookmarkStart w:id="101" w:name="_Toc41031405"/>
      <w:r>
        <w:rPr>
          <w:rStyle w:val="CharSectno"/>
        </w:rPr>
        <w:t>15I</w:t>
      </w:r>
      <w:r>
        <w:t>.</w:t>
      </w:r>
      <w:r>
        <w:tab/>
        <w:t>Contract workers’ functions</w:t>
      </w:r>
      <w:bookmarkEnd w:id="100"/>
      <w:bookmarkEnd w:id="101"/>
    </w:p>
    <w:p>
      <w:pPr>
        <w:pStyle w:val="Subsection"/>
      </w:pPr>
      <w:r>
        <w:tab/>
        <w:t>(1)</w:t>
      </w:r>
      <w:r>
        <w:tab/>
        <w:t>The chief executive officer may authorise a contract worker who holds a permit, to perform any of the functions that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No. 43 of 1999 s. 7.]</w:t>
      </w:r>
    </w:p>
    <w:p>
      <w:pPr>
        <w:pStyle w:val="Heading5"/>
      </w:pPr>
      <w:bookmarkStart w:id="102" w:name="_Toc43971737"/>
      <w:bookmarkStart w:id="103" w:name="_Toc41031406"/>
      <w:r>
        <w:rPr>
          <w:rStyle w:val="CharSectno"/>
        </w:rPr>
        <w:t>15J</w:t>
      </w:r>
      <w:r>
        <w:t>.</w:t>
      </w:r>
      <w:r>
        <w:tab/>
        <w:t>Limitation on functions of contract workers</w:t>
      </w:r>
      <w:bookmarkEnd w:id="102"/>
      <w:bookmarkEnd w:id="103"/>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THeadingNAm"/>
        <w:ind w:left="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8"/>
        <w:gridCol w:w="2438"/>
      </w:tblGrid>
      <w:tr>
        <w:trPr>
          <w:jc w:val="center"/>
        </w:trPr>
        <w:tc>
          <w:tcPr>
            <w:tcW w:w="2438" w:type="dxa"/>
            <w:noWrap/>
          </w:tcPr>
          <w:p>
            <w:pPr>
              <w:pStyle w:val="TableNAm"/>
            </w:pPr>
            <w:r>
              <w:t>s. 31(2)</w:t>
            </w:r>
          </w:p>
        </w:tc>
        <w:tc>
          <w:tcPr>
            <w:tcW w:w="2438" w:type="dxa"/>
            <w:noWrap/>
          </w:tcPr>
          <w:p>
            <w:pPr>
              <w:pStyle w:val="TableNAm"/>
            </w:pPr>
            <w:r>
              <w:t>s. </w:t>
            </w:r>
            <w:del w:id="104" w:author="svcMRProcess" w:date="2020-06-26T12:27:00Z">
              <w:r>
                <w:delText>74(3</w:delText>
              </w:r>
            </w:del>
            <w:ins w:id="105" w:author="svcMRProcess" w:date="2020-06-26T12:27:00Z">
              <w:r>
                <w:t>32(1)(b</w:t>
              </w:r>
            </w:ins>
            <w:r>
              <w:t>)</w:t>
            </w:r>
          </w:p>
        </w:tc>
      </w:tr>
      <w:tr>
        <w:trPr>
          <w:jc w:val="center"/>
        </w:trPr>
        <w:tc>
          <w:tcPr>
            <w:tcW w:w="2438" w:type="dxa"/>
            <w:noWrap/>
          </w:tcPr>
          <w:p>
            <w:pPr>
              <w:pStyle w:val="TableNAm"/>
            </w:pPr>
            <w:r>
              <w:t>s. </w:t>
            </w:r>
            <w:del w:id="106" w:author="svcMRProcess" w:date="2020-06-26T12:27:00Z">
              <w:r>
                <w:delText>32</w:delText>
              </w:r>
            </w:del>
            <w:ins w:id="107" w:author="svcMRProcess" w:date="2020-06-26T12:27:00Z">
              <w:r>
                <w:t>47</w:t>
              </w:r>
            </w:ins>
            <w:r>
              <w:t>(1</w:t>
            </w:r>
            <w:del w:id="108" w:author="svcMRProcess" w:date="2020-06-26T12:27:00Z">
              <w:r>
                <w:delText>)(b</w:delText>
              </w:r>
            </w:del>
            <w:ins w:id="109" w:author="svcMRProcess" w:date="2020-06-26T12:27:00Z">
              <w:r>
                <w:t>) and (2</w:t>
              </w:r>
            </w:ins>
            <w:r>
              <w:t>)</w:t>
            </w:r>
          </w:p>
        </w:tc>
        <w:tc>
          <w:tcPr>
            <w:tcW w:w="2438" w:type="dxa"/>
            <w:noWrap/>
          </w:tcPr>
          <w:p>
            <w:pPr>
              <w:pStyle w:val="TableNAm"/>
            </w:pPr>
            <w:r>
              <w:t>s. </w:t>
            </w:r>
            <w:del w:id="110" w:author="svcMRProcess" w:date="2020-06-26T12:27:00Z">
              <w:r>
                <w:delText>75</w:delText>
              </w:r>
            </w:del>
            <w:ins w:id="111" w:author="svcMRProcess" w:date="2020-06-26T12:27:00Z">
              <w:r>
                <w:t>71</w:t>
              </w:r>
            </w:ins>
            <w:r>
              <w:t>(1) and (2)</w:t>
            </w:r>
          </w:p>
        </w:tc>
      </w:tr>
      <w:tr>
        <w:trPr>
          <w:jc w:val="center"/>
        </w:trPr>
        <w:tc>
          <w:tcPr>
            <w:tcW w:w="2438" w:type="dxa"/>
            <w:noWrap/>
          </w:tcPr>
          <w:p>
            <w:pPr>
              <w:pStyle w:val="TableNAm"/>
            </w:pPr>
            <w:r>
              <w:t>s. </w:t>
            </w:r>
            <w:del w:id="112" w:author="svcMRProcess" w:date="2020-06-26T12:27:00Z">
              <w:r>
                <w:delText>47</w:delText>
              </w:r>
            </w:del>
            <w:ins w:id="113" w:author="svcMRProcess" w:date="2020-06-26T12:27:00Z">
              <w:r>
                <w:t>73</w:t>
              </w:r>
            </w:ins>
            <w:r>
              <w:t>(1</w:t>
            </w:r>
            <w:del w:id="114" w:author="svcMRProcess" w:date="2020-06-26T12:27:00Z">
              <w:r>
                <w:delText>) and (2</w:delText>
              </w:r>
            </w:del>
            <w:ins w:id="115" w:author="svcMRProcess" w:date="2020-06-26T12:27:00Z">
              <w:r>
                <w:t>)(a</w:t>
              </w:r>
            </w:ins>
            <w:r>
              <w:t>)</w:t>
            </w:r>
          </w:p>
        </w:tc>
        <w:tc>
          <w:tcPr>
            <w:tcW w:w="2438" w:type="dxa"/>
            <w:noWrap/>
          </w:tcPr>
          <w:p>
            <w:pPr>
              <w:pStyle w:val="TableNAm"/>
            </w:pPr>
            <w:r>
              <w:t>s. </w:t>
            </w:r>
            <w:del w:id="116" w:author="svcMRProcess" w:date="2020-06-26T12:27:00Z">
              <w:r>
                <w:delText>76(1) and (2</w:delText>
              </w:r>
            </w:del>
            <w:ins w:id="117" w:author="svcMRProcess" w:date="2020-06-26T12:27:00Z">
              <w:r>
                <w:t>74(3</w:t>
              </w:r>
            </w:ins>
            <w:r>
              <w:t>)</w:t>
            </w:r>
          </w:p>
        </w:tc>
      </w:tr>
      <w:tr>
        <w:trPr>
          <w:jc w:val="center"/>
        </w:trPr>
        <w:tc>
          <w:tcPr>
            <w:tcW w:w="2438" w:type="dxa"/>
            <w:noWrap/>
          </w:tcPr>
          <w:p>
            <w:pPr>
              <w:pStyle w:val="TableNAm"/>
            </w:pPr>
            <w:r>
              <w:t>s. </w:t>
            </w:r>
            <w:del w:id="118" w:author="svcMRProcess" w:date="2020-06-26T12:27:00Z">
              <w:r>
                <w:delText>71</w:delText>
              </w:r>
            </w:del>
            <w:ins w:id="119" w:author="svcMRProcess" w:date="2020-06-26T12:27:00Z">
              <w:r>
                <w:t>75</w:t>
              </w:r>
            </w:ins>
            <w:r>
              <w:t>(1) and (2)</w:t>
            </w:r>
          </w:p>
        </w:tc>
        <w:tc>
          <w:tcPr>
            <w:tcW w:w="2438" w:type="dxa"/>
            <w:noWrap/>
          </w:tcPr>
          <w:p>
            <w:pPr>
              <w:pStyle w:val="TableNAm"/>
            </w:pPr>
            <w:r>
              <w:t>s. </w:t>
            </w:r>
            <w:del w:id="120" w:author="svcMRProcess" w:date="2020-06-26T12:27:00Z">
              <w:r>
                <w:delText>77</w:delText>
              </w:r>
            </w:del>
            <w:ins w:id="121" w:author="svcMRProcess" w:date="2020-06-26T12:27:00Z">
              <w:r>
                <w:t>76</w:t>
              </w:r>
            </w:ins>
            <w:r>
              <w:t>(1) and (2)</w:t>
            </w:r>
          </w:p>
        </w:tc>
      </w:tr>
      <w:tr>
        <w:trPr>
          <w:jc w:val="center"/>
        </w:trPr>
        <w:tc>
          <w:tcPr>
            <w:tcW w:w="2438" w:type="dxa"/>
            <w:noWrap/>
          </w:tcPr>
          <w:p>
            <w:pPr>
              <w:pStyle w:val="TableNAm"/>
            </w:pPr>
            <w:del w:id="122" w:author="svcMRProcess" w:date="2020-06-26T12:27:00Z">
              <w:r>
                <w:delText>s. 73(a) (second reference to superintendent only)</w:delText>
              </w:r>
            </w:del>
            <w:ins w:id="123" w:author="svcMRProcess" w:date="2020-06-26T12:27:00Z">
              <w:r>
                <w:t>s. 77(1) and (2)</w:t>
              </w:r>
            </w:ins>
          </w:p>
        </w:tc>
        <w:tc>
          <w:tcPr>
            <w:tcW w:w="2438" w:type="dxa"/>
            <w:noWrap/>
          </w:tcPr>
          <w:p>
            <w:pPr>
              <w:pStyle w:val="TableNAm"/>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No. 43 of 1999 s. </w:t>
      </w:r>
      <w:del w:id="124" w:author="svcMRProcess" w:date="2020-06-26T12:27:00Z">
        <w:r>
          <w:delText>7</w:delText>
        </w:r>
      </w:del>
      <w:ins w:id="125" w:author="svcMRProcess" w:date="2020-06-26T12:27:00Z">
        <w:r>
          <w:t>7; amended: No. 20 of 2020 s. 9</w:t>
        </w:r>
      </w:ins>
      <w:r>
        <w:t>.]</w:t>
      </w:r>
    </w:p>
    <w:p>
      <w:pPr>
        <w:pStyle w:val="Heading5"/>
      </w:pPr>
      <w:bookmarkStart w:id="126" w:name="_Toc43971738"/>
      <w:bookmarkStart w:id="127" w:name="_Toc41031407"/>
      <w:r>
        <w:rPr>
          <w:rStyle w:val="CharSectno"/>
        </w:rPr>
        <w:t>15K</w:t>
      </w:r>
      <w:r>
        <w:t>.</w:t>
      </w:r>
      <w:r>
        <w:tab/>
        <w:t>Effect of authorisation</w:t>
      </w:r>
      <w:bookmarkEnd w:id="126"/>
      <w:bookmarkEnd w:id="127"/>
    </w:p>
    <w:p>
      <w:pPr>
        <w:pStyle w:val="Subsection"/>
      </w:pPr>
      <w:r>
        <w:tab/>
        <w:t>(1)</w:t>
      </w:r>
      <w:r>
        <w:tab/>
        <w:t>Subject to subsections (2), (3), (4), (5) and (6), a contract worker who is authorised under section 15I to perform a function of —</w:t>
      </w:r>
    </w:p>
    <w:p>
      <w:pPr>
        <w:pStyle w:val="Indenta"/>
      </w:pPr>
      <w:r>
        <w:tab/>
        <w:t>(a)</w:t>
      </w:r>
      <w:r>
        <w:tab/>
        <w:t>a superintendent; or</w:t>
      </w:r>
    </w:p>
    <w:p>
      <w:pPr>
        <w:pStyle w:val="Indenta"/>
      </w:pPr>
      <w:r>
        <w:tab/>
        <w:t>(b)</w:t>
      </w:r>
      <w:r>
        <w:tab/>
        <w:t>a prison officer; or</w:t>
      </w:r>
    </w:p>
    <w:p>
      <w:pPr>
        <w:pStyle w:val="Indenta"/>
        <w:keepNext/>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THeadingNAm"/>
        <w:ind w:right="1143"/>
        <w:rPr>
          <w:b w:val="0"/>
        </w:rPr>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NAm"/>
            </w:pPr>
            <w:r>
              <w:t>s. 13(1), (2) and (3)</w:t>
            </w:r>
          </w:p>
        </w:tc>
        <w:tc>
          <w:tcPr>
            <w:tcW w:w="3118" w:type="dxa"/>
          </w:tcPr>
          <w:p>
            <w:pPr>
              <w:pStyle w:val="TableNAm"/>
            </w:pPr>
            <w:r>
              <w:t>s. 110(1)(b), (d), (e), (v), and (w)</w:t>
            </w:r>
          </w:p>
        </w:tc>
      </w:tr>
      <w:tr>
        <w:tc>
          <w:tcPr>
            <w:tcW w:w="2835" w:type="dxa"/>
          </w:tcPr>
          <w:p>
            <w:pPr>
              <w:pStyle w:val="TableNAm"/>
            </w:pPr>
            <w:r>
              <w:t>Part X</w:t>
            </w:r>
          </w:p>
        </w:tc>
        <w:tc>
          <w:tcPr>
            <w:tcW w:w="3118" w:type="dxa"/>
          </w:tcPr>
          <w:p>
            <w:pPr>
              <w:pStyle w:val="TableNAm"/>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No. 43 of 1999 s. 7.]</w:t>
      </w:r>
    </w:p>
    <w:p>
      <w:pPr>
        <w:pStyle w:val="Heading3"/>
        <w:keepNext w:val="0"/>
        <w:pageBreakBefore/>
        <w:spacing w:before="0"/>
      </w:pPr>
      <w:bookmarkStart w:id="128" w:name="_Toc43906345"/>
      <w:bookmarkStart w:id="129" w:name="_Toc43907417"/>
      <w:bookmarkStart w:id="130" w:name="_Toc43971739"/>
      <w:bookmarkStart w:id="131" w:name="_Toc41031408"/>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128"/>
      <w:bookmarkEnd w:id="129"/>
      <w:bookmarkEnd w:id="130"/>
      <w:bookmarkEnd w:id="131"/>
    </w:p>
    <w:p>
      <w:pPr>
        <w:pStyle w:val="Footnoteheading"/>
        <w:keepNext/>
        <w:tabs>
          <w:tab w:val="clear" w:pos="879"/>
          <w:tab w:val="left" w:pos="882"/>
        </w:tabs>
      </w:pPr>
      <w:r>
        <w:tab/>
        <w:t>[Heading inserted: No. 43 of 1999 s. 7.]</w:t>
      </w:r>
    </w:p>
    <w:p>
      <w:pPr>
        <w:pStyle w:val="Heading5"/>
        <w:spacing w:before="180"/>
      </w:pPr>
      <w:bookmarkStart w:id="132" w:name="_Toc43971740"/>
      <w:bookmarkStart w:id="133" w:name="_Toc41031409"/>
      <w:r>
        <w:rPr>
          <w:rStyle w:val="CharSectno"/>
        </w:rPr>
        <w:t>15L</w:t>
      </w:r>
      <w:r>
        <w:t>.</w:t>
      </w:r>
      <w:r>
        <w:tab/>
        <w:t>Term used: offence for which the contract worker is convicted</w:t>
      </w:r>
      <w:bookmarkEnd w:id="132"/>
      <w:bookmarkEnd w:id="133"/>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Footnotesection"/>
      </w:pPr>
      <w:r>
        <w:tab/>
        <w:t>[Section 15L inserted: No. 43 of 1999 s. 7; amended: No. 8 of 2012 s. 163.]</w:t>
      </w:r>
    </w:p>
    <w:p>
      <w:pPr>
        <w:pStyle w:val="Heading5"/>
      </w:pPr>
      <w:bookmarkStart w:id="134" w:name="_Toc43971741"/>
      <w:bookmarkStart w:id="135" w:name="_Toc41031410"/>
      <w:r>
        <w:rPr>
          <w:rStyle w:val="CharSectno"/>
        </w:rPr>
        <w:t>15M</w:t>
      </w:r>
      <w:r>
        <w:t>.</w:t>
      </w:r>
      <w:r>
        <w:tab/>
        <w:t>High</w:t>
      </w:r>
      <w:r>
        <w:noBreakHyphen/>
        <w:t>level security work</w:t>
      </w:r>
      <w:bookmarkEnd w:id="134"/>
      <w:bookmarkEnd w:id="135"/>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No. 43 of 1999 s. 7.]</w:t>
      </w:r>
    </w:p>
    <w:p>
      <w:pPr>
        <w:pStyle w:val="Heading5"/>
      </w:pPr>
      <w:bookmarkStart w:id="136" w:name="_Toc43971742"/>
      <w:bookmarkStart w:id="137" w:name="_Toc41031411"/>
      <w:r>
        <w:rPr>
          <w:rStyle w:val="CharSectno"/>
        </w:rPr>
        <w:t>15N</w:t>
      </w:r>
      <w:r>
        <w:t>.</w:t>
      </w:r>
      <w:r>
        <w:tab/>
        <w:t>Chief executive officer may declare other kinds of work to be high</w:t>
      </w:r>
      <w:r>
        <w:noBreakHyphen/>
        <w:t>level security work</w:t>
      </w:r>
      <w:bookmarkEnd w:id="136"/>
      <w:bookmarkEnd w:id="137"/>
    </w:p>
    <w:p>
      <w:pPr>
        <w:pStyle w:val="Subsection"/>
      </w:pPr>
      <w:r>
        <w:tab/>
        <w:t>(1)</w:t>
      </w:r>
      <w:r>
        <w:tab/>
        <w:t>The chief executive officer may, in writing, declare as high</w:t>
      </w:r>
      <w:r>
        <w:noBreakHyphen/>
        <w:t>level security work —</w:t>
      </w:r>
    </w:p>
    <w:p>
      <w:pPr>
        <w:pStyle w:val="Indenta"/>
      </w:pPr>
      <w:r>
        <w:tab/>
        <w:t>(a)</w:t>
      </w:r>
      <w:r>
        <w:tab/>
        <w:t>a prison service of a kind that requires a contract worker to deal directly with prisoners except a prison service referred to in section 15M; or</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No. 43 of 1999 s. 7.]</w:t>
      </w:r>
    </w:p>
    <w:p>
      <w:pPr>
        <w:pStyle w:val="Heading5"/>
      </w:pPr>
      <w:bookmarkStart w:id="138" w:name="_Toc43971743"/>
      <w:bookmarkStart w:id="139" w:name="_Toc41031412"/>
      <w:r>
        <w:rPr>
          <w:rStyle w:val="CharSectno"/>
        </w:rPr>
        <w:t>15O</w:t>
      </w:r>
      <w:r>
        <w:t>.</w:t>
      </w:r>
      <w:r>
        <w:tab/>
        <w:t>Contract workers require permits to do high</w:t>
      </w:r>
      <w:r>
        <w:noBreakHyphen/>
        <w:t>level security work</w:t>
      </w:r>
      <w:bookmarkEnd w:id="138"/>
      <w:bookmarkEnd w:id="139"/>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No. 43 of 1999 s. 7.]</w:t>
      </w:r>
    </w:p>
    <w:p>
      <w:pPr>
        <w:pStyle w:val="Heading5"/>
      </w:pPr>
      <w:bookmarkStart w:id="140" w:name="_Toc43971744"/>
      <w:bookmarkStart w:id="141" w:name="_Toc41031413"/>
      <w:r>
        <w:rPr>
          <w:rStyle w:val="CharSectno"/>
        </w:rPr>
        <w:t>15P</w:t>
      </w:r>
      <w:r>
        <w:t>.</w:t>
      </w:r>
      <w:r>
        <w:tab/>
        <w:t>Issue of permits to do high</w:t>
      </w:r>
      <w:r>
        <w:noBreakHyphen/>
        <w:t>level security work</w:t>
      </w:r>
      <w:bookmarkEnd w:id="140"/>
      <w:bookmarkEnd w:id="141"/>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spacing w:before="120"/>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(3)</w:t>
      </w:r>
      <w:r>
        <w:tab/>
        <w:t>A permit may be issued subject to such conditions and limitations specified in the permit as the chief executive officer thinks fit.</w:t>
      </w:r>
    </w:p>
    <w:p>
      <w:pPr>
        <w:pStyle w:val="Subsection"/>
        <w:spacing w:before="120"/>
      </w:pPr>
      <w:r>
        <w:tab/>
        <w:t>(4)</w:t>
      </w:r>
      <w:r>
        <w:tab/>
        <w:t>A permit is not transferable.</w:t>
      </w:r>
    </w:p>
    <w:p>
      <w:pPr>
        <w:pStyle w:val="Footnotesection"/>
      </w:pPr>
      <w:r>
        <w:tab/>
        <w:t>[Section 15P inserted: No. 43 of 1999 s. 7.]</w:t>
      </w:r>
    </w:p>
    <w:p>
      <w:pPr>
        <w:pStyle w:val="Heading5"/>
        <w:spacing w:before="180"/>
      </w:pPr>
      <w:bookmarkStart w:id="142" w:name="_Toc43971745"/>
      <w:bookmarkStart w:id="143" w:name="_Toc41031414"/>
      <w:r>
        <w:rPr>
          <w:rStyle w:val="CharSectno"/>
        </w:rPr>
        <w:t>15Q</w:t>
      </w:r>
      <w:r>
        <w:t>.</w:t>
      </w:r>
      <w:r>
        <w:tab/>
        <w:t>Information about applicants for permits</w:t>
      </w:r>
      <w:bookmarkEnd w:id="142"/>
      <w:bookmarkEnd w:id="143"/>
    </w:p>
    <w:p>
      <w:pPr>
        <w:pStyle w:val="Subsection"/>
        <w:spacing w:before="120"/>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spacing w:before="120"/>
      </w:pPr>
      <w:r>
        <w:tab/>
        <w:t>(2)</w:t>
      </w:r>
      <w:r>
        <w:tab/>
        <w:t>A person must not give information or a photograph that is false or misleading in a material particular in response to a requirement under subsection (1).</w:t>
      </w:r>
    </w:p>
    <w:p>
      <w:pPr>
        <w:pStyle w:val="Penstart"/>
      </w:pPr>
      <w:r>
        <w:tab/>
        <w:t>Penalty</w:t>
      </w:r>
      <w:del w:id="144" w:author="svcMRProcess" w:date="2020-06-26T12:27:00Z">
        <w:r>
          <w:delText>: Imprisonment</w:delText>
        </w:r>
      </w:del>
      <w:ins w:id="145" w:author="svcMRProcess" w:date="2020-06-26T12:27:00Z">
        <w:r>
          <w:t xml:space="preserve"> for this subsection: imprisonment</w:t>
        </w:r>
      </w:ins>
      <w:r>
        <w:t xml:space="preserve"> for 3 years.</w:t>
      </w:r>
    </w:p>
    <w:p>
      <w:pPr>
        <w:pStyle w:val="Subsection"/>
        <w:spacing w:before="120"/>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spacing w:before="120"/>
      </w:pPr>
      <w:r>
        <w:tab/>
        <w:t>(4)</w:t>
      </w:r>
      <w:r>
        <w:tab/>
        <w:t>A person must not give information that is false or misleading in a material particular in an authority under subsection (3).</w:t>
      </w:r>
    </w:p>
    <w:p>
      <w:pPr>
        <w:pStyle w:val="Penstart"/>
      </w:pPr>
      <w:r>
        <w:tab/>
        <w:t>Penalty</w:t>
      </w:r>
      <w:del w:id="146" w:author="svcMRProcess" w:date="2020-06-26T12:27:00Z">
        <w:r>
          <w:delText>: Imprisonment</w:delText>
        </w:r>
      </w:del>
      <w:ins w:id="147" w:author="svcMRProcess" w:date="2020-06-26T12:27:00Z">
        <w:r>
          <w:t xml:space="preserve"> for this subsection: imprisonment</w:t>
        </w:r>
      </w:ins>
      <w:r>
        <w:t xml:space="preserve"> for 3 years.</w:t>
      </w:r>
    </w:p>
    <w:p>
      <w:pPr>
        <w:pStyle w:val="Footnotesection"/>
      </w:pPr>
      <w:r>
        <w:tab/>
        <w:t>[Section 15Q inserted: No. 43 of 1999 s. </w:t>
      </w:r>
      <w:del w:id="148" w:author="svcMRProcess" w:date="2020-06-26T12:27:00Z">
        <w:r>
          <w:delText>7</w:delText>
        </w:r>
      </w:del>
      <w:ins w:id="149" w:author="svcMRProcess" w:date="2020-06-26T12:27:00Z">
        <w:r>
          <w:t>7; amended: No. 20 of 2020 s. 10</w:t>
        </w:r>
      </w:ins>
      <w:r>
        <w:t>.]</w:t>
      </w:r>
    </w:p>
    <w:p>
      <w:pPr>
        <w:pStyle w:val="Heading5"/>
        <w:keepNext w:val="0"/>
        <w:keepLines w:val="0"/>
        <w:spacing w:before="180"/>
      </w:pPr>
      <w:bookmarkStart w:id="150" w:name="_Toc43971746"/>
      <w:bookmarkStart w:id="151" w:name="_Toc41031415"/>
      <w:r>
        <w:rPr>
          <w:rStyle w:val="CharSectno"/>
        </w:rPr>
        <w:t>15R</w:t>
      </w:r>
      <w:r>
        <w:t>.</w:t>
      </w:r>
      <w:r>
        <w:tab/>
        <w:t>Taking of fingerprints and palmprints</w:t>
      </w:r>
      <w:bookmarkEnd w:id="150"/>
      <w:bookmarkEnd w:id="151"/>
    </w:p>
    <w:p>
      <w:pPr>
        <w:pStyle w:val="Subsection"/>
        <w:spacing w:before="120"/>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No. 43 of 1999 s. 7.]</w:t>
      </w:r>
    </w:p>
    <w:p>
      <w:pPr>
        <w:pStyle w:val="Heading5"/>
      </w:pPr>
      <w:bookmarkStart w:id="152" w:name="_Toc43971747"/>
      <w:bookmarkStart w:id="153" w:name="_Toc41031416"/>
      <w:r>
        <w:rPr>
          <w:rStyle w:val="CharSectno"/>
        </w:rPr>
        <w:t>15S</w:t>
      </w:r>
      <w:r>
        <w:t>.</w:t>
      </w:r>
      <w:r>
        <w:tab/>
        <w:t>Refusal to issue permit</w:t>
      </w:r>
      <w:bookmarkEnd w:id="152"/>
      <w:bookmarkEnd w:id="153"/>
    </w:p>
    <w:p>
      <w:pPr>
        <w:pStyle w:val="Subsection"/>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 or</w:t>
      </w:r>
    </w:p>
    <w:p>
      <w:pPr>
        <w:pStyle w:val="Indenta"/>
      </w:pPr>
      <w:r>
        <w:tab/>
        <w:t>(b)</w:t>
      </w:r>
      <w:r>
        <w:tab/>
        <w:t>the contract worker has not given an authority under section 15Q(3); or</w:t>
      </w:r>
    </w:p>
    <w:p>
      <w:pPr>
        <w:pStyle w:val="Indenta"/>
      </w:pPr>
      <w:r>
        <w:tab/>
        <w:t>(c)</w:t>
      </w:r>
      <w:r>
        <w:tab/>
        <w:t>the contract worker has not complied with a requirement under section 15R(1); or</w:t>
      </w:r>
    </w:p>
    <w:p>
      <w:pPr>
        <w:pStyle w:val="Indenta"/>
      </w:pPr>
      <w:r>
        <w:tab/>
        <w:t>(d)</w:t>
      </w:r>
      <w:r>
        <w:tab/>
        <w:t>the contract worker has not completed training approved by the chief executive officer; or</w:t>
      </w:r>
    </w:p>
    <w:p>
      <w:pPr>
        <w:pStyle w:val="Indenta"/>
      </w:pPr>
      <w:r>
        <w:tab/>
        <w:t>(e)</w:t>
      </w:r>
      <w:r>
        <w:tab/>
        <w:t>the contract worker has failed to satisfy the chief executive officer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Footnotesection"/>
      </w:pPr>
      <w:r>
        <w:tab/>
        <w:t>[Section 15S inserted: No. 43 of 1999 s. 7.]</w:t>
      </w:r>
    </w:p>
    <w:p>
      <w:pPr>
        <w:pStyle w:val="Heading5"/>
      </w:pPr>
      <w:bookmarkStart w:id="154" w:name="_Toc43971748"/>
      <w:bookmarkStart w:id="155" w:name="_Toc41031417"/>
      <w:r>
        <w:rPr>
          <w:rStyle w:val="CharSectno"/>
        </w:rPr>
        <w:t>15T</w:t>
      </w:r>
      <w:r>
        <w:t>.</w:t>
      </w:r>
      <w:r>
        <w:tab/>
        <w:t>Determining suitability of contract workers to keep holding permits</w:t>
      </w:r>
      <w:bookmarkEnd w:id="154"/>
      <w:bookmarkEnd w:id="155"/>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subsections (2) and (4)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chief executive officer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No. 43 of 1999 s. 7.]</w:t>
      </w:r>
    </w:p>
    <w:p>
      <w:pPr>
        <w:pStyle w:val="Heading5"/>
        <w:pageBreakBefore/>
        <w:spacing w:before="0"/>
      </w:pPr>
      <w:bookmarkStart w:id="156" w:name="_Toc43971749"/>
      <w:bookmarkStart w:id="157" w:name="_Toc41031418"/>
      <w:r>
        <w:rPr>
          <w:rStyle w:val="CharSectno"/>
        </w:rPr>
        <w:t>15U</w:t>
      </w:r>
      <w:r>
        <w:t>.</w:t>
      </w:r>
      <w:r>
        <w:tab/>
        <w:t>Suspension or revocation of permits</w:t>
      </w:r>
      <w:bookmarkEnd w:id="156"/>
      <w:bookmarkEnd w:id="157"/>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 or</w:t>
      </w:r>
    </w:p>
    <w:p>
      <w:pPr>
        <w:pStyle w:val="Indenti"/>
      </w:pPr>
      <w:r>
        <w:tab/>
        <w:t>(ii)</w:t>
      </w:r>
      <w:r>
        <w:tab/>
        <w:t>a direction given to the contract worker under this Act, the rules, a standing order or the relevant contract; or</w:t>
      </w:r>
    </w:p>
    <w:p>
      <w:pPr>
        <w:pStyle w:val="Indenti"/>
      </w:pPr>
      <w:r>
        <w:tab/>
        <w:t>(iii)</w:t>
      </w:r>
      <w:r>
        <w:tab/>
        <w:t>an order, direction, warrant or other instrument under any law directed to the contract worker in relation to a prisoner; or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No. 43 of 1999 s. 7.]</w:t>
      </w:r>
    </w:p>
    <w:p>
      <w:pPr>
        <w:pStyle w:val="Heading5"/>
        <w:spacing w:before="180"/>
      </w:pPr>
      <w:bookmarkStart w:id="158" w:name="_Toc43971750"/>
      <w:bookmarkStart w:id="159" w:name="_Toc41031419"/>
      <w:r>
        <w:rPr>
          <w:rStyle w:val="CharSectno"/>
        </w:rPr>
        <w:t>15V</w:t>
      </w:r>
      <w:r>
        <w:t>.</w:t>
      </w:r>
      <w:r>
        <w:tab/>
        <w:t>Gazettal of permit details</w:t>
      </w:r>
      <w:bookmarkEnd w:id="158"/>
      <w:bookmarkEnd w:id="159"/>
    </w:p>
    <w:p>
      <w:pPr>
        <w:pStyle w:val="Subsection"/>
        <w:spacing w:before="120"/>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spacing w:before="120"/>
      </w:pPr>
      <w:r>
        <w:tab/>
        <w:t>(2)</w:t>
      </w:r>
      <w:r>
        <w:tab/>
        <w:t>The validity of the issue, suspension, reinstatement or revocation of a permit is not affected by failure to publish the notice.</w:t>
      </w:r>
    </w:p>
    <w:p>
      <w:pPr>
        <w:pStyle w:val="Footnotesection"/>
      </w:pPr>
      <w:r>
        <w:tab/>
        <w:t>[Section 15V inserted: No. 43 of 1999 s. 7.]</w:t>
      </w:r>
    </w:p>
    <w:p>
      <w:pPr>
        <w:pStyle w:val="Heading3"/>
      </w:pPr>
      <w:bookmarkStart w:id="160" w:name="_Toc43906357"/>
      <w:bookmarkStart w:id="161" w:name="_Toc43907429"/>
      <w:bookmarkStart w:id="162" w:name="_Toc43971751"/>
      <w:bookmarkStart w:id="163" w:name="_Toc41031420"/>
      <w:r>
        <w:rPr>
          <w:rStyle w:val="CharDivNo"/>
        </w:rPr>
        <w:t>Division 5</w:t>
      </w:r>
      <w:r>
        <w:t xml:space="preserve"> — </w:t>
      </w:r>
      <w:r>
        <w:rPr>
          <w:rStyle w:val="CharDivText"/>
        </w:rPr>
        <w:t>Intervention in, and termination of, contracts</w:t>
      </w:r>
      <w:bookmarkEnd w:id="160"/>
      <w:bookmarkEnd w:id="161"/>
      <w:bookmarkEnd w:id="162"/>
      <w:bookmarkEnd w:id="163"/>
    </w:p>
    <w:p>
      <w:pPr>
        <w:pStyle w:val="Footnoteheading"/>
        <w:keepNext/>
        <w:tabs>
          <w:tab w:val="clear" w:pos="879"/>
          <w:tab w:val="left" w:pos="882"/>
        </w:tabs>
      </w:pPr>
      <w:r>
        <w:tab/>
        <w:t>[Heading inserted: No. 43 of 1999 s. 7.]</w:t>
      </w:r>
    </w:p>
    <w:p>
      <w:pPr>
        <w:pStyle w:val="Heading5"/>
        <w:spacing w:before="180"/>
      </w:pPr>
      <w:bookmarkStart w:id="164" w:name="_Toc43971752"/>
      <w:bookmarkStart w:id="165" w:name="_Toc41031421"/>
      <w:r>
        <w:rPr>
          <w:rStyle w:val="CharSectno"/>
        </w:rPr>
        <w:t>15W</w:t>
      </w:r>
      <w:r>
        <w:t>.</w:t>
      </w:r>
      <w:r>
        <w:tab/>
        <w:t>Intervention in contracts</w:t>
      </w:r>
      <w:bookmarkEnd w:id="164"/>
      <w:bookmarkEnd w:id="165"/>
    </w:p>
    <w:p>
      <w:pPr>
        <w:pStyle w:val="Subsection"/>
        <w:spacing w:before="120"/>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spacing w:before="120"/>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No. 43 of 1999 s. 7.]</w:t>
      </w:r>
    </w:p>
    <w:p>
      <w:pPr>
        <w:pStyle w:val="Heading5"/>
      </w:pPr>
      <w:bookmarkStart w:id="166" w:name="_Toc43971753"/>
      <w:bookmarkStart w:id="167" w:name="_Toc41031422"/>
      <w:r>
        <w:rPr>
          <w:rStyle w:val="CharSectno"/>
        </w:rPr>
        <w:t>15X</w:t>
      </w:r>
      <w:r>
        <w:t>.</w:t>
      </w:r>
      <w:r>
        <w:tab/>
        <w:t>Termination or suspension of contracts</w:t>
      </w:r>
      <w:bookmarkEnd w:id="166"/>
      <w:bookmarkEnd w:id="167"/>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chief executive officer;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No. 43 of 1999 s. 7.]</w:t>
      </w:r>
    </w:p>
    <w:p>
      <w:pPr>
        <w:pStyle w:val="Heading5"/>
        <w:keepLines w:val="0"/>
        <w:spacing w:before="180"/>
      </w:pPr>
      <w:bookmarkStart w:id="168" w:name="_Toc43971754"/>
      <w:bookmarkStart w:id="169" w:name="_Toc41031423"/>
      <w:r>
        <w:rPr>
          <w:rStyle w:val="CharSectno"/>
        </w:rPr>
        <w:t>15Y</w:t>
      </w:r>
      <w:r>
        <w:t>.</w:t>
      </w:r>
      <w:r>
        <w:tab/>
        <w:t>Administrator where intervention in contract</w:t>
      </w:r>
      <w:bookmarkEnd w:id="168"/>
      <w:bookmarkEnd w:id="169"/>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spacing w:before="120"/>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keepNext/>
        <w:keepLines/>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No. 43 of 1999 s. 7.]</w:t>
      </w:r>
    </w:p>
    <w:p>
      <w:pPr>
        <w:pStyle w:val="Heading5"/>
      </w:pPr>
      <w:bookmarkStart w:id="170" w:name="_Toc43971755"/>
      <w:bookmarkStart w:id="171" w:name="_Toc41031424"/>
      <w:r>
        <w:rPr>
          <w:rStyle w:val="CharSectno"/>
        </w:rPr>
        <w:t>15Z</w:t>
      </w:r>
      <w:r>
        <w:t>.</w:t>
      </w:r>
      <w:r>
        <w:tab/>
        <w:t>Administrator where termination or suspension of contract</w:t>
      </w:r>
      <w:bookmarkEnd w:id="170"/>
      <w:bookmarkEnd w:id="171"/>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No. 43 of 1999 s. 7.]</w:t>
      </w:r>
    </w:p>
    <w:p>
      <w:pPr>
        <w:pStyle w:val="Heading5"/>
      </w:pPr>
      <w:bookmarkStart w:id="172" w:name="_Toc43971756"/>
      <w:bookmarkStart w:id="173" w:name="_Toc41031425"/>
      <w:r>
        <w:rPr>
          <w:rStyle w:val="CharSectno"/>
        </w:rPr>
        <w:t>15ZA</w:t>
      </w:r>
      <w:r>
        <w:t>.</w:t>
      </w:r>
      <w:r>
        <w:tab/>
        <w:t>Administrator’s functions</w:t>
      </w:r>
      <w:bookmarkEnd w:id="172"/>
      <w:bookmarkEnd w:id="173"/>
    </w:p>
    <w:p>
      <w:pPr>
        <w:pStyle w:val="Subsection"/>
        <w:keepNext/>
        <w:keepLines/>
      </w:pPr>
      <w:r>
        <w:tab/>
      </w:r>
      <w:r>
        <w:tab/>
        <w:t>An administrator may, for the purposes of performing his or her functions —</w:t>
      </w:r>
    </w:p>
    <w:p>
      <w:pPr>
        <w:pStyle w:val="Indenta"/>
        <w:keepNext/>
        <w:keepLines/>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No. 43 of 1999 s. 7.]</w:t>
      </w:r>
    </w:p>
    <w:p>
      <w:pPr>
        <w:pStyle w:val="Heading5"/>
      </w:pPr>
      <w:bookmarkStart w:id="174" w:name="_Toc43971757"/>
      <w:bookmarkStart w:id="175" w:name="_Toc41031426"/>
      <w:r>
        <w:rPr>
          <w:rStyle w:val="CharSectno"/>
        </w:rPr>
        <w:t>15ZB</w:t>
      </w:r>
      <w:r>
        <w:t>.</w:t>
      </w:r>
      <w:r>
        <w:tab/>
        <w:t>Compliance with administrator’s directions</w:t>
      </w:r>
      <w:bookmarkEnd w:id="174"/>
      <w:bookmarkEnd w:id="175"/>
    </w:p>
    <w:p>
      <w:pPr>
        <w:pStyle w:val="Subsection"/>
      </w:pPr>
      <w:r>
        <w:tab/>
        <w:t>(1)</w:t>
      </w:r>
      <w:r>
        <w:tab/>
        <w:t>If an administrator is appointed under section 15Y then for the period of the appointment or engagement —</w:t>
      </w:r>
    </w:p>
    <w:p>
      <w:pPr>
        <w:pStyle w:val="Indenta"/>
      </w:pPr>
      <w:r>
        <w:tab/>
        <w:t>(a)</w:t>
      </w:r>
      <w:r>
        <w:tab/>
        <w:t>the contractor; and</w:t>
      </w:r>
    </w:p>
    <w:p>
      <w:pPr>
        <w:pStyle w:val="Indenta"/>
      </w:pPr>
      <w:r>
        <w:tab/>
        <w:t>(b)</w:t>
      </w:r>
      <w:r>
        <w:tab/>
        <w:t>each subcontractor; and</w:t>
      </w:r>
    </w:p>
    <w:p>
      <w:pPr>
        <w:pStyle w:val="Indenta"/>
        <w:keepNext/>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w:t>
      </w:r>
      <w:del w:id="176" w:author="svcMRProcess" w:date="2020-06-26T12:27:00Z">
        <w:r>
          <w:delText>: $50</w:delText>
        </w:r>
      </w:del>
      <w:ins w:id="177" w:author="svcMRProcess" w:date="2020-06-26T12:27:00Z">
        <w:r>
          <w:t xml:space="preserve"> for this subsection: a fine of $80</w:t>
        </w:r>
      </w:ins>
      <w:r>
        <w:t> 000.</w:t>
      </w:r>
    </w:p>
    <w:p>
      <w:pPr>
        <w:pStyle w:val="Subsection"/>
        <w:keepNext/>
        <w:keepLines/>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w:t>
      </w:r>
      <w:del w:id="178" w:author="svcMRProcess" w:date="2020-06-26T12:27:00Z">
        <w:r>
          <w:delText>: $5</w:delText>
        </w:r>
      </w:del>
      <w:ins w:id="179" w:author="svcMRProcess" w:date="2020-06-26T12:27:00Z">
        <w:r>
          <w:t xml:space="preserve"> for this subsection: a fine of $8</w:t>
        </w:r>
      </w:ins>
      <w:r>
        <w:t> 000.</w:t>
      </w:r>
    </w:p>
    <w:p>
      <w:pPr>
        <w:pStyle w:val="Footnotesection"/>
      </w:pPr>
      <w:r>
        <w:tab/>
        <w:t>[Section 15ZB inserted: No. 43 of 1999 s. </w:t>
      </w:r>
      <w:del w:id="180" w:author="svcMRProcess" w:date="2020-06-26T12:27:00Z">
        <w:r>
          <w:delText>7</w:delText>
        </w:r>
      </w:del>
      <w:ins w:id="181" w:author="svcMRProcess" w:date="2020-06-26T12:27:00Z">
        <w:r>
          <w:t>7; amended: No. 20 of 2020 s. 11</w:t>
        </w:r>
      </w:ins>
      <w:r>
        <w:t>.]</w:t>
      </w:r>
    </w:p>
    <w:p>
      <w:pPr>
        <w:pStyle w:val="Heading5"/>
      </w:pPr>
      <w:bookmarkStart w:id="182" w:name="_Toc43971758"/>
      <w:bookmarkStart w:id="183" w:name="_Toc41031427"/>
      <w:r>
        <w:rPr>
          <w:rStyle w:val="CharSectno"/>
        </w:rPr>
        <w:t>15ZC</w:t>
      </w:r>
      <w:r>
        <w:t>.</w:t>
      </w:r>
      <w:r>
        <w:tab/>
        <w:t>Requisitioning property on intervention in, or termination of, contract</w:t>
      </w:r>
      <w:bookmarkEnd w:id="182"/>
      <w:bookmarkEnd w:id="183"/>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No. 43 of 1999 s. 7.]</w:t>
      </w:r>
    </w:p>
    <w:p>
      <w:pPr>
        <w:pStyle w:val="Heading2"/>
      </w:pPr>
      <w:bookmarkStart w:id="184" w:name="_Toc43906365"/>
      <w:bookmarkStart w:id="185" w:name="_Toc43907437"/>
      <w:bookmarkStart w:id="186" w:name="_Toc43971759"/>
      <w:bookmarkStart w:id="187" w:name="_Toc41031428"/>
      <w:r>
        <w:rPr>
          <w:rStyle w:val="CharPartNo"/>
        </w:rPr>
        <w:t>Part IV</w:t>
      </w:r>
      <w:r>
        <w:rPr>
          <w:rStyle w:val="CharDivNo"/>
        </w:rPr>
        <w:t> </w:t>
      </w:r>
      <w:r>
        <w:t>—</w:t>
      </w:r>
      <w:r>
        <w:rPr>
          <w:rStyle w:val="CharDivText"/>
        </w:rPr>
        <w:t> </w:t>
      </w:r>
      <w:r>
        <w:rPr>
          <w:rStyle w:val="CharPartText"/>
        </w:rPr>
        <w:t>Custody, removal and release of prisoners</w:t>
      </w:r>
      <w:bookmarkEnd w:id="184"/>
      <w:bookmarkEnd w:id="185"/>
      <w:bookmarkEnd w:id="186"/>
      <w:bookmarkEnd w:id="187"/>
      <w:r>
        <w:rPr>
          <w:rStyle w:val="CharPartText"/>
        </w:rPr>
        <w:t xml:space="preserve"> </w:t>
      </w:r>
    </w:p>
    <w:p>
      <w:pPr>
        <w:pStyle w:val="Heading5"/>
        <w:spacing w:before="180"/>
        <w:rPr>
          <w:snapToGrid w:val="0"/>
        </w:rPr>
      </w:pPr>
      <w:bookmarkStart w:id="188" w:name="_Toc43971760"/>
      <w:bookmarkStart w:id="189" w:name="_Toc41031429"/>
      <w:r>
        <w:rPr>
          <w:rStyle w:val="CharSectno"/>
        </w:rPr>
        <w:t>16</w:t>
      </w:r>
      <w:r>
        <w:rPr>
          <w:snapToGrid w:val="0"/>
        </w:rPr>
        <w:t>.</w:t>
      </w:r>
      <w:r>
        <w:rPr>
          <w:snapToGrid w:val="0"/>
        </w:rPr>
        <w:tab/>
        <w:t>Prisoners in custody of chief executive officer</w:t>
      </w:r>
      <w:bookmarkEnd w:id="188"/>
      <w:bookmarkEnd w:id="189"/>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2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 or</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2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No. 47 of 1987 s. 11; No. 113 of 1987 s. 32; No. 47 of 1999 s. 35.]</w:t>
      </w:r>
    </w:p>
    <w:p>
      <w:pPr>
        <w:pStyle w:val="Heading5"/>
        <w:rPr>
          <w:snapToGrid w:val="0"/>
        </w:rPr>
      </w:pPr>
      <w:bookmarkStart w:id="190" w:name="_Toc43971761"/>
      <w:bookmarkStart w:id="191" w:name="_Toc41031430"/>
      <w:r>
        <w:rPr>
          <w:rStyle w:val="CharSectno"/>
        </w:rPr>
        <w:t>17</w:t>
      </w:r>
      <w:r>
        <w:rPr>
          <w:snapToGrid w:val="0"/>
        </w:rPr>
        <w:t>.</w:t>
      </w:r>
      <w:r>
        <w:rPr>
          <w:snapToGrid w:val="0"/>
        </w:rPr>
        <w:tab/>
        <w:t>Reckoning of sentence</w:t>
      </w:r>
      <w:bookmarkEnd w:id="190"/>
      <w:bookmarkEnd w:id="191"/>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192" w:name="_Toc43971762"/>
      <w:bookmarkStart w:id="193" w:name="_Toc41031431"/>
      <w:r>
        <w:rPr>
          <w:rStyle w:val="CharSectno"/>
        </w:rPr>
        <w:t>18</w:t>
      </w:r>
      <w:r>
        <w:rPr>
          <w:snapToGrid w:val="0"/>
        </w:rPr>
        <w:t>.</w:t>
      </w:r>
      <w:r>
        <w:rPr>
          <w:snapToGrid w:val="0"/>
        </w:rPr>
        <w:tab/>
        <w:t>Conveyance of prisoners for trial etc.</w:t>
      </w:r>
      <w:bookmarkEnd w:id="192"/>
      <w:bookmarkEnd w:id="193"/>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194" w:name="_Toc43971763"/>
      <w:bookmarkStart w:id="195" w:name="_Toc41031432"/>
      <w:r>
        <w:rPr>
          <w:rStyle w:val="CharSectno"/>
        </w:rPr>
        <w:t>19</w:t>
      </w:r>
      <w:r>
        <w:rPr>
          <w:snapToGrid w:val="0"/>
        </w:rPr>
        <w:t>.</w:t>
      </w:r>
      <w:r>
        <w:rPr>
          <w:snapToGrid w:val="0"/>
        </w:rPr>
        <w:tab/>
        <w:t>Warrants of commitment</w:t>
      </w:r>
      <w:bookmarkEnd w:id="194"/>
      <w:bookmarkEnd w:id="195"/>
      <w:r>
        <w:rPr>
          <w:snapToGrid w:val="0"/>
        </w:rPr>
        <w:t xml:space="preserve"> </w:t>
      </w:r>
    </w:p>
    <w:p>
      <w:pPr>
        <w:pStyle w:val="Subsection"/>
        <w:spacing w:before="120"/>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spacing w:before="120"/>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No. 47 of 1987 s. 11; No. 113 of 1987 s. 32.]</w:t>
      </w:r>
    </w:p>
    <w:p>
      <w:pPr>
        <w:pStyle w:val="Heading5"/>
        <w:spacing w:before="180"/>
        <w:rPr>
          <w:snapToGrid w:val="0"/>
        </w:rPr>
      </w:pPr>
      <w:bookmarkStart w:id="196" w:name="_Toc43971764"/>
      <w:bookmarkStart w:id="197" w:name="_Toc41031433"/>
      <w:r>
        <w:rPr>
          <w:rStyle w:val="CharSectno"/>
        </w:rPr>
        <w:t>20</w:t>
      </w:r>
      <w:r>
        <w:rPr>
          <w:snapToGrid w:val="0"/>
        </w:rPr>
        <w:t>.</w:t>
      </w:r>
      <w:r>
        <w:rPr>
          <w:snapToGrid w:val="0"/>
        </w:rPr>
        <w:tab/>
        <w:t>Proof of imprisonment</w:t>
      </w:r>
      <w:bookmarkEnd w:id="196"/>
      <w:bookmarkEnd w:id="197"/>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No. 47 of 1987 s. 11; No. 113 of 1987 s. 32.]</w:t>
      </w:r>
    </w:p>
    <w:p>
      <w:pPr>
        <w:pStyle w:val="Ednotesection"/>
      </w:pPr>
      <w:r>
        <w:t>[</w:t>
      </w:r>
      <w:r>
        <w:rPr>
          <w:b/>
          <w:bCs/>
        </w:rPr>
        <w:t>21, 22.</w:t>
      </w:r>
      <w:r>
        <w:tab/>
        <w:t>Deleted: No. 65 of 2006 s. 13.]</w:t>
      </w:r>
    </w:p>
    <w:p>
      <w:pPr>
        <w:pStyle w:val="Heading5"/>
      </w:pPr>
      <w:bookmarkStart w:id="198" w:name="_Toc43971765"/>
      <w:bookmarkStart w:id="199" w:name="_Toc41031434"/>
      <w:r>
        <w:rPr>
          <w:rStyle w:val="CharSectno"/>
        </w:rPr>
        <w:t>23</w:t>
      </w:r>
      <w:r>
        <w:t>.</w:t>
      </w:r>
      <w:r>
        <w:tab/>
        <w:t>Prisoner assigned to external facility in lawful custody</w:t>
      </w:r>
      <w:bookmarkEnd w:id="198"/>
      <w:bookmarkEnd w:id="199"/>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No. 65 of 2006 s. 14.]</w:t>
      </w:r>
    </w:p>
    <w:p>
      <w:pPr>
        <w:pStyle w:val="Heading5"/>
      </w:pPr>
      <w:bookmarkStart w:id="200" w:name="_Toc43971766"/>
      <w:bookmarkStart w:id="201" w:name="_Toc41031435"/>
      <w:r>
        <w:rPr>
          <w:rStyle w:val="CharSectno"/>
        </w:rPr>
        <w:t>24</w:t>
      </w:r>
      <w:r>
        <w:t>.</w:t>
      </w:r>
      <w:r>
        <w:tab/>
        <w:t>Prisoner absent under permit in lawful custody</w:t>
      </w:r>
      <w:bookmarkEnd w:id="200"/>
      <w:bookmarkEnd w:id="201"/>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No. 65 of 2006 s. 14.]</w:t>
      </w:r>
    </w:p>
    <w:p>
      <w:pPr>
        <w:pStyle w:val="Heading5"/>
      </w:pPr>
      <w:bookmarkStart w:id="202" w:name="_Toc43971767"/>
      <w:bookmarkStart w:id="203" w:name="_Toc41031436"/>
      <w:r>
        <w:rPr>
          <w:rStyle w:val="CharSectno"/>
        </w:rPr>
        <w:t>25</w:t>
      </w:r>
      <w:r>
        <w:t>.</w:t>
      </w:r>
      <w:r>
        <w:tab/>
        <w:t xml:space="preserve">Prisoner attending </w:t>
      </w:r>
      <w:r>
        <w:rPr>
          <w:snapToGrid w:val="0"/>
        </w:rPr>
        <w:t>legal or investigative</w:t>
      </w:r>
      <w:r>
        <w:t xml:space="preserve"> proceedings in lawful custody</w:t>
      </w:r>
      <w:bookmarkEnd w:id="202"/>
      <w:bookmarkEnd w:id="203"/>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No. 65 of 2006 s. 14.]</w:t>
      </w:r>
    </w:p>
    <w:p>
      <w:pPr>
        <w:pStyle w:val="Heading5"/>
        <w:rPr>
          <w:snapToGrid w:val="0"/>
        </w:rPr>
      </w:pPr>
      <w:bookmarkStart w:id="204" w:name="_Toc43971768"/>
      <w:bookmarkStart w:id="205" w:name="_Toc41031437"/>
      <w:r>
        <w:rPr>
          <w:rStyle w:val="CharSectno"/>
        </w:rPr>
        <w:t>26</w:t>
      </w:r>
      <w:r>
        <w:rPr>
          <w:snapToGrid w:val="0"/>
        </w:rPr>
        <w:t>.</w:t>
      </w:r>
      <w:r>
        <w:rPr>
          <w:snapToGrid w:val="0"/>
        </w:rPr>
        <w:tab/>
        <w:t>Removal of prisoner to another prison</w:t>
      </w:r>
      <w:bookmarkEnd w:id="204"/>
      <w:bookmarkEnd w:id="205"/>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rPr>
          <w:snapToGrid w:val="0"/>
        </w:rPr>
      </w:pPr>
      <w:r>
        <w:rPr>
          <w:snapToGrid w:val="0"/>
        </w:rPr>
        <w:tab/>
        <w:t>(a)</w:t>
      </w:r>
      <w:r>
        <w:rPr>
          <w:snapToGrid w:val="0"/>
        </w:rPr>
        <w:tab/>
        <w:t>the Governor may make an order of the kind mentioned in subsection (1); and</w:t>
      </w:r>
    </w:p>
    <w:p>
      <w:pPr>
        <w:pStyle w:val="Indenta"/>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vertAlign w:val="superscript"/>
        </w:rPr>
        <w:t> 1</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No. 65 of 2006 s. 15.]</w:t>
      </w:r>
    </w:p>
    <w:p>
      <w:pPr>
        <w:pStyle w:val="Ednotesection"/>
        <w:spacing w:before="200"/>
      </w:pPr>
      <w:r>
        <w:t>[</w:t>
      </w:r>
      <w:r>
        <w:rPr>
          <w:b/>
        </w:rPr>
        <w:t>29, 30.</w:t>
      </w:r>
      <w:r>
        <w:tab/>
        <w:t xml:space="preserve">Deleted: No. 78 of 1995 s. 110.] </w:t>
      </w:r>
    </w:p>
    <w:p>
      <w:pPr>
        <w:pStyle w:val="Heading5"/>
        <w:spacing w:before="200"/>
        <w:rPr>
          <w:snapToGrid w:val="0"/>
        </w:rPr>
      </w:pPr>
      <w:bookmarkStart w:id="206" w:name="_Toc43971769"/>
      <w:bookmarkStart w:id="207" w:name="_Toc41031438"/>
      <w:r>
        <w:rPr>
          <w:rStyle w:val="CharSectno"/>
        </w:rPr>
        <w:t>31</w:t>
      </w:r>
      <w:r>
        <w:rPr>
          <w:snapToGrid w:val="0"/>
        </w:rPr>
        <w:t>.</w:t>
      </w:r>
      <w:r>
        <w:rPr>
          <w:snapToGrid w:val="0"/>
        </w:rPr>
        <w:tab/>
        <w:t>Chief executive officer and superintendent’s powers of early discharge</w:t>
      </w:r>
      <w:bookmarkEnd w:id="206"/>
      <w:bookmarkEnd w:id="207"/>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No. 47 of 1987 s. 11; No. 113 of 1987 s. 32; No. 24 of 2003 s. 4.]</w:t>
      </w:r>
    </w:p>
    <w:p>
      <w:pPr>
        <w:pStyle w:val="Heading5"/>
        <w:rPr>
          <w:snapToGrid w:val="0"/>
        </w:rPr>
      </w:pPr>
      <w:bookmarkStart w:id="208" w:name="_Toc43971770"/>
      <w:bookmarkStart w:id="209" w:name="_Toc41031439"/>
      <w:r>
        <w:rPr>
          <w:rStyle w:val="CharSectno"/>
        </w:rPr>
        <w:t>32</w:t>
      </w:r>
      <w:r>
        <w:rPr>
          <w:snapToGrid w:val="0"/>
        </w:rPr>
        <w:t>.</w:t>
      </w:r>
      <w:r>
        <w:rPr>
          <w:snapToGrid w:val="0"/>
        </w:rPr>
        <w:tab/>
        <w:t>Prison offences by prisoners due for release</w:t>
      </w:r>
      <w:bookmarkEnd w:id="208"/>
      <w:bookmarkEnd w:id="209"/>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No. 84 of 2004 s. 80.] </w:t>
      </w:r>
    </w:p>
    <w:p>
      <w:pPr>
        <w:pStyle w:val="Heading5"/>
        <w:rPr>
          <w:snapToGrid w:val="0"/>
        </w:rPr>
      </w:pPr>
      <w:bookmarkStart w:id="210" w:name="_Toc43971771"/>
      <w:bookmarkStart w:id="211" w:name="_Toc41031440"/>
      <w:r>
        <w:rPr>
          <w:rStyle w:val="CharSectno"/>
        </w:rPr>
        <w:t>33</w:t>
      </w:r>
      <w:r>
        <w:rPr>
          <w:snapToGrid w:val="0"/>
        </w:rPr>
        <w:t>.</w:t>
      </w:r>
      <w:r>
        <w:rPr>
          <w:snapToGrid w:val="0"/>
        </w:rPr>
        <w:tab/>
        <w:t>Provision of fare home on release</w:t>
      </w:r>
      <w:bookmarkEnd w:id="210"/>
      <w:bookmarkEnd w:id="211"/>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No. 47 of 1987 s. 11; No. 113 of 1987 s. 32.]</w:t>
      </w:r>
    </w:p>
    <w:p>
      <w:pPr>
        <w:pStyle w:val="Footnotesection"/>
      </w:pPr>
      <w:r>
        <w:tab/>
        <w:t>[Section 33. Modifications to be applied in order to give effect to Cross</w:t>
      </w:r>
      <w:r>
        <w:noBreakHyphen/>
        <w:t>border Justice Act 2008: section altered 1 Nov 2009. See endnote 1M.]</w:t>
      </w:r>
    </w:p>
    <w:p>
      <w:pPr>
        <w:pStyle w:val="Ednotesection"/>
      </w:pPr>
      <w:r>
        <w:t>[</w:t>
      </w:r>
      <w:r>
        <w:rPr>
          <w:b/>
        </w:rPr>
        <w:t>34.</w:t>
      </w:r>
      <w:r>
        <w:tab/>
        <w:t xml:space="preserve">Deleted: No. 2 of 1996 s. 61.] </w:t>
      </w:r>
    </w:p>
    <w:p>
      <w:pPr>
        <w:pStyle w:val="Heading2"/>
      </w:pPr>
      <w:bookmarkStart w:id="212" w:name="_Toc43906378"/>
      <w:bookmarkStart w:id="213" w:name="_Toc43907450"/>
      <w:bookmarkStart w:id="214" w:name="_Toc43971772"/>
      <w:bookmarkStart w:id="215" w:name="_Toc41031441"/>
      <w:r>
        <w:rPr>
          <w:rStyle w:val="CharPartNo"/>
        </w:rPr>
        <w:t>Part V</w:t>
      </w:r>
      <w:r>
        <w:rPr>
          <w:rStyle w:val="CharDivNo"/>
        </w:rPr>
        <w:t> </w:t>
      </w:r>
      <w:r>
        <w:t>—</w:t>
      </w:r>
      <w:r>
        <w:rPr>
          <w:rStyle w:val="CharDivText"/>
        </w:rPr>
        <w:t> </w:t>
      </w:r>
      <w:r>
        <w:rPr>
          <w:rStyle w:val="CharPartText"/>
        </w:rPr>
        <w:t>Management, control and security of prisons</w:t>
      </w:r>
      <w:bookmarkEnd w:id="212"/>
      <w:bookmarkEnd w:id="213"/>
      <w:bookmarkEnd w:id="214"/>
      <w:bookmarkEnd w:id="215"/>
      <w:r>
        <w:rPr>
          <w:rStyle w:val="CharPartText"/>
        </w:rPr>
        <w:t xml:space="preserve"> </w:t>
      </w:r>
    </w:p>
    <w:p>
      <w:pPr>
        <w:pStyle w:val="Heading5"/>
        <w:rPr>
          <w:snapToGrid w:val="0"/>
        </w:rPr>
      </w:pPr>
      <w:bookmarkStart w:id="216" w:name="_Toc43971773"/>
      <w:bookmarkStart w:id="217" w:name="_Toc41031442"/>
      <w:r>
        <w:rPr>
          <w:rStyle w:val="CharSectno"/>
        </w:rPr>
        <w:t>35</w:t>
      </w:r>
      <w:r>
        <w:rPr>
          <w:snapToGrid w:val="0"/>
        </w:rPr>
        <w:t>.</w:t>
      </w:r>
      <w:r>
        <w:rPr>
          <w:snapToGrid w:val="0"/>
        </w:rPr>
        <w:tab/>
        <w:t>Chief executive officer may make rules</w:t>
      </w:r>
      <w:bookmarkEnd w:id="216"/>
      <w:bookmarkEnd w:id="217"/>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No. 47 of 1987 s. 9 and 11; No. 113 of 1987 s. 32; No. 31 of 1993 s. 59; No. 65 of 2006 s. 16.] </w:t>
      </w:r>
    </w:p>
    <w:p>
      <w:pPr>
        <w:pStyle w:val="Heading5"/>
        <w:rPr>
          <w:snapToGrid w:val="0"/>
        </w:rPr>
      </w:pPr>
      <w:bookmarkStart w:id="218" w:name="_Toc43971774"/>
      <w:bookmarkStart w:id="219" w:name="_Toc41031443"/>
      <w:r>
        <w:rPr>
          <w:rStyle w:val="CharSectno"/>
        </w:rPr>
        <w:t>36</w:t>
      </w:r>
      <w:r>
        <w:rPr>
          <w:snapToGrid w:val="0"/>
        </w:rPr>
        <w:t>.</w:t>
      </w:r>
      <w:r>
        <w:rPr>
          <w:snapToGrid w:val="0"/>
        </w:rPr>
        <w:tab/>
        <w:t>Superintendents of prisons</w:t>
      </w:r>
      <w:bookmarkEnd w:id="218"/>
      <w:bookmarkEnd w:id="219"/>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No. 47 of 1987 s. 11; No. 113 of 1987 s. 32.]</w:t>
      </w:r>
    </w:p>
    <w:p>
      <w:pPr>
        <w:pStyle w:val="Heading5"/>
        <w:rPr>
          <w:snapToGrid w:val="0"/>
        </w:rPr>
      </w:pPr>
      <w:bookmarkStart w:id="220" w:name="_Toc43971775"/>
      <w:bookmarkStart w:id="221" w:name="_Toc41031444"/>
      <w:r>
        <w:rPr>
          <w:rStyle w:val="CharSectno"/>
        </w:rPr>
        <w:t>37</w:t>
      </w:r>
      <w:r>
        <w:rPr>
          <w:snapToGrid w:val="0"/>
        </w:rPr>
        <w:t>.</w:t>
      </w:r>
      <w:r>
        <w:rPr>
          <w:snapToGrid w:val="0"/>
        </w:rPr>
        <w:tab/>
        <w:t>Superintendent may issue standing orders</w:t>
      </w:r>
      <w:bookmarkEnd w:id="220"/>
      <w:bookmarkEnd w:id="221"/>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keepLines/>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No. 47 of 1987 s. 11; No. 113 of 1987 s. 32.] </w:t>
      </w:r>
    </w:p>
    <w:p>
      <w:pPr>
        <w:pStyle w:val="Ednotesection"/>
      </w:pPr>
      <w:r>
        <w:t>[</w:t>
      </w:r>
      <w:r>
        <w:rPr>
          <w:b/>
          <w:bCs/>
        </w:rPr>
        <w:t>38</w:t>
      </w:r>
      <w:r>
        <w:rPr>
          <w:b/>
          <w:bCs/>
        </w:rPr>
        <w:noBreakHyphen/>
        <w:t>40.</w:t>
      </w:r>
      <w:r>
        <w:tab/>
        <w:t>Deleted: No. 65 of 2006 s. 17.]</w:t>
      </w:r>
    </w:p>
    <w:p>
      <w:pPr>
        <w:pStyle w:val="Heading5"/>
        <w:rPr>
          <w:snapToGrid w:val="0"/>
        </w:rPr>
      </w:pPr>
      <w:bookmarkStart w:id="222" w:name="_Toc43971776"/>
      <w:bookmarkStart w:id="223" w:name="_Toc41031445"/>
      <w:r>
        <w:rPr>
          <w:rStyle w:val="CharSectno"/>
        </w:rPr>
        <w:t>41</w:t>
      </w:r>
      <w:r>
        <w:rPr>
          <w:snapToGrid w:val="0"/>
        </w:rPr>
        <w:t>.</w:t>
      </w:r>
      <w:r>
        <w:rPr>
          <w:snapToGrid w:val="0"/>
        </w:rPr>
        <w:tab/>
        <w:t>Search of prisoners and taking of things found</w:t>
      </w:r>
      <w:bookmarkEnd w:id="222"/>
      <w:bookmarkEnd w:id="223"/>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 or</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 or</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No. 47 of 1987 s. 11; No. 113 of 1987 s. 32; No. 43 of 1999 s. 11.] </w:t>
      </w:r>
    </w:p>
    <w:p>
      <w:pPr>
        <w:pStyle w:val="Heading5"/>
        <w:rPr>
          <w:snapToGrid w:val="0"/>
        </w:rPr>
      </w:pPr>
      <w:bookmarkStart w:id="224" w:name="_Toc43971777"/>
      <w:bookmarkStart w:id="225" w:name="_Toc41031446"/>
      <w:r>
        <w:rPr>
          <w:rStyle w:val="CharSectno"/>
        </w:rPr>
        <w:t>42</w:t>
      </w:r>
      <w:r>
        <w:rPr>
          <w:snapToGrid w:val="0"/>
        </w:rPr>
        <w:t>.</w:t>
      </w:r>
      <w:r>
        <w:rPr>
          <w:snapToGrid w:val="0"/>
        </w:rPr>
        <w:tab/>
        <w:t>Restraint</w:t>
      </w:r>
      <w:bookmarkEnd w:id="224"/>
      <w:bookmarkEnd w:id="225"/>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No. 66 of 1982 s. 3; No. 47 of 1987 s. 11; No. 113 of 1987 s. 32; No. 43 of 1999 s. 12.]</w:t>
      </w:r>
    </w:p>
    <w:p>
      <w:pPr>
        <w:pStyle w:val="Heading5"/>
        <w:rPr>
          <w:snapToGrid w:val="0"/>
        </w:rPr>
      </w:pPr>
      <w:bookmarkStart w:id="226" w:name="_Toc43971778"/>
      <w:bookmarkStart w:id="227" w:name="_Toc41031447"/>
      <w:r>
        <w:rPr>
          <w:rStyle w:val="CharSectno"/>
        </w:rPr>
        <w:t>43</w:t>
      </w:r>
      <w:r>
        <w:rPr>
          <w:snapToGrid w:val="0"/>
        </w:rPr>
        <w:t>.</w:t>
      </w:r>
      <w:r>
        <w:rPr>
          <w:snapToGrid w:val="0"/>
        </w:rPr>
        <w:tab/>
        <w:t>Separate confinement</w:t>
      </w:r>
      <w:bookmarkEnd w:id="226"/>
      <w:bookmarkEnd w:id="227"/>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keepNext/>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No. 47 of 1987 s. 11; No. 113 of 1987 s. 32.]</w:t>
      </w:r>
    </w:p>
    <w:p>
      <w:pPr>
        <w:pStyle w:val="Heading5"/>
        <w:rPr>
          <w:snapToGrid w:val="0"/>
        </w:rPr>
      </w:pPr>
      <w:bookmarkStart w:id="228" w:name="_Toc43971779"/>
      <w:bookmarkStart w:id="229" w:name="_Toc41031448"/>
      <w:r>
        <w:rPr>
          <w:rStyle w:val="CharSectno"/>
        </w:rPr>
        <w:t>44</w:t>
      </w:r>
      <w:r>
        <w:rPr>
          <w:snapToGrid w:val="0"/>
        </w:rPr>
        <w:t>.</w:t>
      </w:r>
      <w:r>
        <w:rPr>
          <w:snapToGrid w:val="0"/>
        </w:rPr>
        <w:tab/>
        <w:t>Separation of male and female prisoners</w:t>
      </w:r>
      <w:bookmarkEnd w:id="228"/>
      <w:bookmarkEnd w:id="229"/>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No. 65 of 2006 s. 18.]</w:t>
      </w:r>
    </w:p>
    <w:p>
      <w:pPr>
        <w:pStyle w:val="Heading5"/>
        <w:rPr>
          <w:snapToGrid w:val="0"/>
        </w:rPr>
      </w:pPr>
      <w:bookmarkStart w:id="230" w:name="_Toc43971780"/>
      <w:bookmarkStart w:id="231" w:name="_Toc41031449"/>
      <w:r>
        <w:rPr>
          <w:rStyle w:val="CharSectno"/>
        </w:rPr>
        <w:t>46</w:t>
      </w:r>
      <w:r>
        <w:rPr>
          <w:snapToGrid w:val="0"/>
        </w:rPr>
        <w:t>.</w:t>
      </w:r>
      <w:r>
        <w:rPr>
          <w:snapToGrid w:val="0"/>
        </w:rPr>
        <w:tab/>
        <w:t>Medical examination for evidentiary purposes</w:t>
      </w:r>
      <w:bookmarkEnd w:id="230"/>
      <w:bookmarkEnd w:id="231"/>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w:t>
      </w:r>
      <w:r>
        <w:t xml:space="preserve">a person who is registered under the </w:t>
      </w:r>
      <w:r>
        <w:rPr>
          <w:i/>
        </w:rPr>
        <w:t>Health Practitioner Regulation National Law (Western Australia)</w:t>
      </w:r>
      <w:r>
        <w:t xml:space="preserve"> in the medical profession</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No. 47 of 1987 s. 11; No. 113 of 1987 s. 32; No. 43 of 1999 s. 14; No. 22 of 2008 Sch. 3 cl. 47(3); No. 35 of 2010 s. 137.]</w:t>
      </w:r>
    </w:p>
    <w:p>
      <w:pPr>
        <w:pStyle w:val="Heading5"/>
        <w:keepNext w:val="0"/>
        <w:keepLines w:val="0"/>
        <w:pageBreakBefore/>
        <w:spacing w:before="0"/>
        <w:rPr>
          <w:snapToGrid w:val="0"/>
        </w:rPr>
      </w:pPr>
      <w:bookmarkStart w:id="232" w:name="_Toc43971781"/>
      <w:bookmarkStart w:id="233" w:name="_Toc41031450"/>
      <w:r>
        <w:rPr>
          <w:rStyle w:val="CharSectno"/>
        </w:rPr>
        <w:t>47</w:t>
      </w:r>
      <w:r>
        <w:rPr>
          <w:snapToGrid w:val="0"/>
        </w:rPr>
        <w:t>.</w:t>
      </w:r>
      <w:r>
        <w:rPr>
          <w:snapToGrid w:val="0"/>
        </w:rPr>
        <w:tab/>
        <w:t>Use of firearms</w:t>
      </w:r>
      <w:bookmarkEnd w:id="232"/>
      <w:bookmarkEnd w:id="233"/>
      <w:r>
        <w:rPr>
          <w:snapToGrid w:val="0"/>
        </w:rPr>
        <w:t xml:space="preserve"> </w:t>
      </w:r>
    </w:p>
    <w:p>
      <w:pPr>
        <w:pStyle w:val="Subsection"/>
        <w:spacing w:before="120"/>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spacing w:before="120"/>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 or</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keepLines w:val="0"/>
        <w:spacing w:before="80"/>
        <w:ind w:left="890" w:hanging="890"/>
      </w:pPr>
      <w:r>
        <w:tab/>
        <w:t>[Section 47 amended: No. 47 of 1987 s. 11; No. 113 of 1987 s. 32.]</w:t>
      </w:r>
    </w:p>
    <w:p>
      <w:pPr>
        <w:pStyle w:val="Heading5"/>
        <w:rPr>
          <w:snapToGrid w:val="0"/>
        </w:rPr>
      </w:pPr>
      <w:bookmarkStart w:id="234" w:name="_Toc43971782"/>
      <w:bookmarkStart w:id="235" w:name="_Toc41031451"/>
      <w:r>
        <w:rPr>
          <w:rStyle w:val="CharSectno"/>
        </w:rPr>
        <w:t>48</w:t>
      </w:r>
      <w:r>
        <w:rPr>
          <w:snapToGrid w:val="0"/>
        </w:rPr>
        <w:t>.</w:t>
      </w:r>
      <w:r>
        <w:rPr>
          <w:snapToGrid w:val="0"/>
        </w:rPr>
        <w:tab/>
        <w:t>Use of force on serious breach of security</w:t>
      </w:r>
      <w:bookmarkEnd w:id="234"/>
      <w:bookmarkEnd w:id="235"/>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No. 47 of 1987 s. 11; No. 113 of 1987 s. 32.]</w:t>
      </w:r>
    </w:p>
    <w:p>
      <w:pPr>
        <w:pStyle w:val="Heading5"/>
        <w:rPr>
          <w:snapToGrid w:val="0"/>
        </w:rPr>
      </w:pPr>
      <w:bookmarkStart w:id="236" w:name="_Toc43971783"/>
      <w:bookmarkStart w:id="237" w:name="_Toc41031452"/>
      <w:r>
        <w:rPr>
          <w:rStyle w:val="CharSectno"/>
        </w:rPr>
        <w:t>49</w:t>
      </w:r>
      <w:r>
        <w:rPr>
          <w:snapToGrid w:val="0"/>
        </w:rPr>
        <w:t>.</w:t>
      </w:r>
      <w:r>
        <w:rPr>
          <w:snapToGrid w:val="0"/>
        </w:rPr>
        <w:tab/>
        <w:t>Power to search and question persons entering prison</w:t>
      </w:r>
      <w:bookmarkEnd w:id="236"/>
      <w:bookmarkEnd w:id="237"/>
      <w:r>
        <w:rPr>
          <w:snapToGrid w:val="0"/>
        </w:rPr>
        <w:t xml:space="preserve"> </w:t>
      </w:r>
    </w:p>
    <w:p>
      <w:pPr>
        <w:pStyle w:val="Subsection"/>
        <w:keepNext/>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pPr>
      <w:r>
        <w:tab/>
        <w:t>Penalty</w:t>
      </w:r>
      <w:del w:id="238" w:author="svcMRProcess" w:date="2020-06-26T12:27:00Z">
        <w:r>
          <w:delText>: $1</w:delText>
        </w:r>
      </w:del>
      <w:ins w:id="239" w:author="svcMRProcess" w:date="2020-06-26T12:27:00Z">
        <w:r>
          <w:t xml:space="preserve"> for this subsection: a fine of $6</w:t>
        </w:r>
      </w:ins>
      <w:r>
        <w:t> 000.</w:t>
      </w:r>
    </w:p>
    <w:p>
      <w:pPr>
        <w:pStyle w:val="Subsection"/>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rPr>
          <w:snapToGrid w:val="0"/>
        </w:rPr>
      </w:pPr>
      <w:r>
        <w:rPr>
          <w:snapToGrid w:val="0"/>
        </w:rPr>
        <w:tab/>
      </w:r>
      <w:r>
        <w:rPr>
          <w:snapToGrid w:val="0"/>
        </w:rPr>
        <w:tab/>
        <w:t>and the superintendent may refuse to admit that person to or may cause him to be removed from the prison.</w:t>
      </w:r>
    </w:p>
    <w:p>
      <w:pPr>
        <w:pStyle w:val="Subsection"/>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pPr>
      <w:r>
        <w:tab/>
        <w:t>Penalty</w:t>
      </w:r>
      <w:del w:id="240" w:author="svcMRProcess" w:date="2020-06-26T12:27:00Z">
        <w:r>
          <w:rPr>
            <w:snapToGrid w:val="0"/>
          </w:rPr>
          <w:delText>: $1 000 or 12 months’</w:delText>
        </w:r>
      </w:del>
      <w:ins w:id="241" w:author="svcMRProcess" w:date="2020-06-26T12:27:00Z">
        <w:r>
          <w:t xml:space="preserve"> for this subsection:</w:t>
        </w:r>
      </w:ins>
      <w:r>
        <w:t xml:space="preserve"> imprisonment</w:t>
      </w:r>
      <w:del w:id="242" w:author="svcMRProcess" w:date="2020-06-26T12:27:00Z">
        <w:r>
          <w:rPr>
            <w:snapToGrid w:val="0"/>
          </w:rPr>
          <w:delText>, or both</w:delText>
        </w:r>
      </w:del>
      <w:ins w:id="243" w:author="svcMRProcess" w:date="2020-06-26T12:27:00Z">
        <w:r>
          <w:t xml:space="preserve"> for 12 months and a fine of $6 000</w:t>
        </w:r>
      </w:ins>
      <w:r>
        <w:t>.</w:t>
      </w:r>
    </w:p>
    <w:p>
      <w:pPr>
        <w:pStyle w:val="Subsection"/>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No. 47 of 1987 s. 11; No. 113 of 1987 s. 32; No. 19 of 1995 s. 4; No. 43 of 1999 s. 15; No. 50 of 2003 s. 86(2</w:t>
      </w:r>
      <w:del w:id="244" w:author="svcMRProcess" w:date="2020-06-26T12:27:00Z">
        <w:r>
          <w:delText>).]</w:delText>
        </w:r>
      </w:del>
      <w:ins w:id="245" w:author="svcMRProcess" w:date="2020-06-26T12:27:00Z">
        <w:r>
          <w:t>); No. 20 of 2020 s. 13.]</w:t>
        </w:r>
      </w:ins>
    </w:p>
    <w:p>
      <w:pPr>
        <w:pStyle w:val="Heading5"/>
        <w:rPr>
          <w:snapToGrid w:val="0"/>
        </w:rPr>
      </w:pPr>
      <w:bookmarkStart w:id="246" w:name="_Toc43971784"/>
      <w:bookmarkStart w:id="247" w:name="_Toc41031453"/>
      <w:r>
        <w:rPr>
          <w:rStyle w:val="CharSectno"/>
        </w:rPr>
        <w:t>49A</w:t>
      </w:r>
      <w:r>
        <w:rPr>
          <w:snapToGrid w:val="0"/>
        </w:rPr>
        <w:t>.</w:t>
      </w:r>
      <w:r>
        <w:rPr>
          <w:snapToGrid w:val="0"/>
        </w:rPr>
        <w:tab/>
        <w:t>Use of dogs</w:t>
      </w:r>
      <w:bookmarkEnd w:id="246"/>
      <w:bookmarkEnd w:id="247"/>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 or</w:t>
      </w:r>
    </w:p>
    <w:p>
      <w:pPr>
        <w:pStyle w:val="Defpara"/>
      </w:pPr>
      <w:r>
        <w:tab/>
        <w:t>(b)</w:t>
      </w:r>
      <w:r>
        <w:tab/>
        <w:t>a search in a prison or in premises or a place near a prison; or</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No. 19 of 1995 s. 5.]</w:t>
      </w:r>
    </w:p>
    <w:p>
      <w:pPr>
        <w:pStyle w:val="Heading5"/>
      </w:pPr>
      <w:bookmarkStart w:id="248" w:name="_Toc43971785"/>
      <w:bookmarkStart w:id="249" w:name="_Toc41031454"/>
      <w:r>
        <w:rPr>
          <w:rStyle w:val="CharSectno"/>
        </w:rPr>
        <w:t>49B</w:t>
      </w:r>
      <w:r>
        <w:t>.</w:t>
      </w:r>
      <w:r>
        <w:tab/>
        <w:t>Possession of firearms, prohibited drugs etc. by prison officers</w:t>
      </w:r>
      <w:bookmarkEnd w:id="248"/>
      <w:bookmarkEnd w:id="249"/>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No. 43 of 1999 s. 16.]</w:t>
      </w:r>
    </w:p>
    <w:p>
      <w:pPr>
        <w:pStyle w:val="Heading5"/>
        <w:rPr>
          <w:snapToGrid w:val="0"/>
        </w:rPr>
      </w:pPr>
      <w:bookmarkStart w:id="250" w:name="_Toc43971786"/>
      <w:bookmarkStart w:id="251" w:name="_Toc41031455"/>
      <w:r>
        <w:rPr>
          <w:rStyle w:val="CharSectno"/>
        </w:rPr>
        <w:t>50</w:t>
      </w:r>
      <w:r>
        <w:rPr>
          <w:snapToGrid w:val="0"/>
        </w:rPr>
        <w:t>.</w:t>
      </w:r>
      <w:r>
        <w:rPr>
          <w:snapToGrid w:val="0"/>
        </w:rPr>
        <w:tab/>
        <w:t>Penalty in respect of unauthorised articles</w:t>
      </w:r>
      <w:bookmarkEnd w:id="250"/>
      <w:bookmarkEnd w:id="251"/>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pPr>
      <w:r>
        <w:tab/>
        <w:t>Penalty</w:t>
      </w:r>
      <w:del w:id="252" w:author="svcMRProcess" w:date="2020-06-26T12:27:00Z">
        <w:r>
          <w:rPr>
            <w:snapToGrid w:val="0"/>
          </w:rPr>
          <w:delText>: $2 000 or 18 months’</w:delText>
        </w:r>
      </w:del>
      <w:ins w:id="253" w:author="svcMRProcess" w:date="2020-06-26T12:27:00Z">
        <w:r>
          <w:t xml:space="preserve"> for this subsection:</w:t>
        </w:r>
      </w:ins>
      <w:r>
        <w:t xml:space="preserve"> imprisonment</w:t>
      </w:r>
      <w:del w:id="254" w:author="svcMRProcess" w:date="2020-06-26T12:27:00Z">
        <w:r>
          <w:rPr>
            <w:snapToGrid w:val="0"/>
          </w:rPr>
          <w:delText>, or both</w:delText>
        </w:r>
      </w:del>
      <w:ins w:id="255" w:author="svcMRProcess" w:date="2020-06-26T12:27:00Z">
        <w:r>
          <w:t xml:space="preserve"> for 18 months and a fine of $12 000</w:t>
        </w:r>
      </w:ins>
      <w:r>
        <w:t>.</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pPr>
      <w:r>
        <w:tab/>
        <w:t>Penalty</w:t>
      </w:r>
      <w:del w:id="256" w:author="svcMRProcess" w:date="2020-06-26T12:27:00Z">
        <w:r>
          <w:rPr>
            <w:snapToGrid w:val="0"/>
          </w:rPr>
          <w:delText>: $2 000 or 18 months’</w:delText>
        </w:r>
      </w:del>
      <w:ins w:id="257" w:author="svcMRProcess" w:date="2020-06-26T12:27:00Z">
        <w:r>
          <w:t xml:space="preserve"> for this subsection:</w:t>
        </w:r>
      </w:ins>
      <w:r>
        <w:t xml:space="preserve"> imprisonment</w:t>
      </w:r>
      <w:del w:id="258" w:author="svcMRProcess" w:date="2020-06-26T12:27:00Z">
        <w:r>
          <w:rPr>
            <w:snapToGrid w:val="0"/>
          </w:rPr>
          <w:delText>, or both</w:delText>
        </w:r>
      </w:del>
      <w:ins w:id="259" w:author="svcMRProcess" w:date="2020-06-26T12:27:00Z">
        <w:r>
          <w:t xml:space="preserve"> for 18 months and a fine of $12 000</w:t>
        </w:r>
      </w:ins>
      <w:r>
        <w:t>.</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pPr>
      <w:r>
        <w:tab/>
        <w:t>Penalty</w:t>
      </w:r>
      <w:del w:id="260" w:author="svcMRProcess" w:date="2020-06-26T12:27:00Z">
        <w:r>
          <w:rPr>
            <w:snapToGrid w:val="0"/>
          </w:rPr>
          <w:delText>: $1 000 or 12 months’</w:delText>
        </w:r>
      </w:del>
      <w:ins w:id="261" w:author="svcMRProcess" w:date="2020-06-26T12:27:00Z">
        <w:r>
          <w:t xml:space="preserve"> for this subsection:</w:t>
        </w:r>
      </w:ins>
      <w:r>
        <w:t xml:space="preserve"> imprisonment</w:t>
      </w:r>
      <w:del w:id="262" w:author="svcMRProcess" w:date="2020-06-26T12:27:00Z">
        <w:r>
          <w:rPr>
            <w:snapToGrid w:val="0"/>
          </w:rPr>
          <w:delText>, or both</w:delText>
        </w:r>
      </w:del>
      <w:ins w:id="263" w:author="svcMRProcess" w:date="2020-06-26T12:27:00Z">
        <w:r>
          <w:t xml:space="preserve"> for 12 months and a fine of $6 000</w:t>
        </w:r>
      </w:ins>
      <w:r>
        <w:t>.</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pPr>
      <w:r>
        <w:tab/>
        <w:t>Penalty</w:t>
      </w:r>
      <w:del w:id="264" w:author="svcMRProcess" w:date="2020-06-26T12:27:00Z">
        <w:r>
          <w:rPr>
            <w:snapToGrid w:val="0"/>
          </w:rPr>
          <w:delText>: $2 000 or 18 months’</w:delText>
        </w:r>
      </w:del>
      <w:ins w:id="265" w:author="svcMRProcess" w:date="2020-06-26T12:27:00Z">
        <w:r>
          <w:t xml:space="preserve"> for this subsection:</w:t>
        </w:r>
      </w:ins>
      <w:r>
        <w:t xml:space="preserve"> imprisonment</w:t>
      </w:r>
      <w:del w:id="266" w:author="svcMRProcess" w:date="2020-06-26T12:27:00Z">
        <w:r>
          <w:rPr>
            <w:snapToGrid w:val="0"/>
          </w:rPr>
          <w:delText>, or both</w:delText>
        </w:r>
      </w:del>
      <w:ins w:id="267" w:author="svcMRProcess" w:date="2020-06-26T12:27:00Z">
        <w:r>
          <w:t xml:space="preserve"> for 18 months and a fine of $12 000</w:t>
        </w:r>
      </w:ins>
      <w:r>
        <w:t>.</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keepNext/>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No. 47 of 1987 s. 11; No. 113 of 1987 s. </w:t>
      </w:r>
      <w:del w:id="268" w:author="svcMRProcess" w:date="2020-06-26T12:27:00Z">
        <w:r>
          <w:delText>32</w:delText>
        </w:r>
      </w:del>
      <w:ins w:id="269" w:author="svcMRProcess" w:date="2020-06-26T12:27:00Z">
        <w:r>
          <w:t>32; No. 20 of 2020 s. 14</w:t>
        </w:r>
      </w:ins>
      <w:r>
        <w:t>.]</w:t>
      </w:r>
    </w:p>
    <w:p>
      <w:pPr>
        <w:pStyle w:val="Heading5"/>
        <w:keepNext w:val="0"/>
        <w:keepLines w:val="0"/>
        <w:rPr>
          <w:snapToGrid w:val="0"/>
        </w:rPr>
      </w:pPr>
      <w:bookmarkStart w:id="270" w:name="_Toc43971787"/>
      <w:bookmarkStart w:id="271" w:name="_Toc41031456"/>
      <w:r>
        <w:rPr>
          <w:rStyle w:val="CharSectno"/>
        </w:rPr>
        <w:t>51</w:t>
      </w:r>
      <w:r>
        <w:rPr>
          <w:snapToGrid w:val="0"/>
        </w:rPr>
        <w:t>.</w:t>
      </w:r>
      <w:r>
        <w:rPr>
          <w:snapToGrid w:val="0"/>
        </w:rPr>
        <w:tab/>
        <w:t>Superintendent may delegate powers under s. 49</w:t>
      </w:r>
      <w:bookmarkEnd w:id="270"/>
      <w:bookmarkEnd w:id="271"/>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No. 65 of 2006 s. 19.]</w:t>
      </w:r>
    </w:p>
    <w:p>
      <w:pPr>
        <w:pStyle w:val="Heading5"/>
        <w:rPr>
          <w:snapToGrid w:val="0"/>
        </w:rPr>
      </w:pPr>
      <w:bookmarkStart w:id="272" w:name="_Toc43971788"/>
      <w:bookmarkStart w:id="273" w:name="_Toc41031457"/>
      <w:r>
        <w:rPr>
          <w:rStyle w:val="CharSectno"/>
        </w:rPr>
        <w:t>52</w:t>
      </w:r>
      <w:r>
        <w:rPr>
          <w:snapToGrid w:val="0"/>
        </w:rPr>
        <w:t>.</w:t>
      </w:r>
      <w:r>
        <w:rPr>
          <w:snapToGrid w:val="0"/>
        </w:rPr>
        <w:tab/>
        <w:t>Offences in respect of loitering, unauthorised entry and unauthorised communications</w:t>
      </w:r>
      <w:bookmarkEnd w:id="272"/>
      <w:bookmarkEnd w:id="273"/>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pPr>
      <w:r>
        <w:tab/>
        <w:t>Penalty</w:t>
      </w:r>
      <w:del w:id="274" w:author="svcMRProcess" w:date="2020-06-26T12:27:00Z">
        <w:r>
          <w:rPr>
            <w:snapToGrid w:val="0"/>
          </w:rPr>
          <w:delText>: $1 500 or 18 months’</w:delText>
        </w:r>
      </w:del>
      <w:ins w:id="275" w:author="svcMRProcess" w:date="2020-06-26T12:27:00Z">
        <w:r>
          <w:t xml:space="preserve"> for this subsection:</w:t>
        </w:r>
      </w:ins>
      <w:r>
        <w:t xml:space="preserve"> imprisonment</w:t>
      </w:r>
      <w:del w:id="276" w:author="svcMRProcess" w:date="2020-06-26T12:27:00Z">
        <w:r>
          <w:rPr>
            <w:snapToGrid w:val="0"/>
          </w:rPr>
          <w:delText>, or both</w:delText>
        </w:r>
      </w:del>
      <w:ins w:id="277" w:author="svcMRProcess" w:date="2020-06-26T12:27:00Z">
        <w:r>
          <w:t xml:space="preserve"> for 18 months and a fine of $9 000</w:t>
        </w:r>
      </w:ins>
      <w:r>
        <w:t>.</w:t>
      </w:r>
    </w:p>
    <w:p>
      <w:pPr>
        <w:pStyle w:val="Subsection"/>
        <w:spacing w:before="120"/>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spacing w:before="120"/>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pPr>
      <w:r>
        <w:tab/>
        <w:t>Penalty</w:t>
      </w:r>
      <w:del w:id="278" w:author="svcMRProcess" w:date="2020-06-26T12:27:00Z">
        <w:r>
          <w:rPr>
            <w:snapToGrid w:val="0"/>
          </w:rPr>
          <w:delText>: $1 000 or 12 months’</w:delText>
        </w:r>
      </w:del>
      <w:ins w:id="279" w:author="svcMRProcess" w:date="2020-06-26T12:27:00Z">
        <w:r>
          <w:t xml:space="preserve"> for this subsection:</w:t>
        </w:r>
      </w:ins>
      <w:r>
        <w:t xml:space="preserve"> imprisonment</w:t>
      </w:r>
      <w:del w:id="280" w:author="svcMRProcess" w:date="2020-06-26T12:27:00Z">
        <w:r>
          <w:rPr>
            <w:snapToGrid w:val="0"/>
          </w:rPr>
          <w:delText>, or both</w:delText>
        </w:r>
      </w:del>
      <w:ins w:id="281" w:author="svcMRProcess" w:date="2020-06-26T12:27:00Z">
        <w:r>
          <w:t xml:space="preserve"> for 12 months and a fine of $6 000</w:t>
        </w:r>
      </w:ins>
      <w:r>
        <w:t>.</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pPr>
      <w:r>
        <w:tab/>
        <w:t>Penalty</w:t>
      </w:r>
      <w:del w:id="282" w:author="svcMRProcess" w:date="2020-06-26T12:27:00Z">
        <w:r>
          <w:rPr>
            <w:snapToGrid w:val="0"/>
          </w:rPr>
          <w:delText>: $1 000 or 12 months’</w:delText>
        </w:r>
      </w:del>
      <w:ins w:id="283" w:author="svcMRProcess" w:date="2020-06-26T12:27:00Z">
        <w:r>
          <w:t xml:space="preserve"> for this subsection:</w:t>
        </w:r>
      </w:ins>
      <w:r>
        <w:t xml:space="preserve"> imprisonment</w:t>
      </w:r>
      <w:del w:id="284" w:author="svcMRProcess" w:date="2020-06-26T12:27:00Z">
        <w:r>
          <w:rPr>
            <w:snapToGrid w:val="0"/>
          </w:rPr>
          <w:delText>, or both</w:delText>
        </w:r>
      </w:del>
      <w:ins w:id="285" w:author="svcMRProcess" w:date="2020-06-26T12:27:00Z">
        <w:r>
          <w:t xml:space="preserve"> for 12 months and a fine of $6 000</w:t>
        </w:r>
      </w:ins>
      <w:r>
        <w:t>.</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No. 47 of 1987 s. 11; No. 113 of 1987 s. </w:t>
      </w:r>
      <w:del w:id="286" w:author="svcMRProcess" w:date="2020-06-26T12:27:00Z">
        <w:r>
          <w:delText>32</w:delText>
        </w:r>
      </w:del>
      <w:ins w:id="287" w:author="svcMRProcess" w:date="2020-06-26T12:27:00Z">
        <w:r>
          <w:t>32; No. 20 of 2020 s. 15</w:t>
        </w:r>
      </w:ins>
      <w:r>
        <w:t>.]</w:t>
      </w:r>
    </w:p>
    <w:p>
      <w:pPr>
        <w:pStyle w:val="Ednotesection"/>
      </w:pPr>
      <w:r>
        <w:t>[</w:t>
      </w:r>
      <w:r>
        <w:rPr>
          <w:b/>
          <w:bCs/>
        </w:rPr>
        <w:t>53.</w:t>
      </w:r>
      <w:r>
        <w:tab/>
        <w:t>Deleted: No. 65 of 2006 s. 20.]</w:t>
      </w:r>
    </w:p>
    <w:p>
      <w:pPr>
        <w:pStyle w:val="Heading2"/>
      </w:pPr>
      <w:bookmarkStart w:id="288" w:name="_Toc43906395"/>
      <w:bookmarkStart w:id="289" w:name="_Toc43907467"/>
      <w:bookmarkStart w:id="290" w:name="_Toc43971789"/>
      <w:bookmarkStart w:id="291" w:name="_Toc41031458"/>
      <w:r>
        <w:rPr>
          <w:rStyle w:val="CharPartNo"/>
        </w:rPr>
        <w:t>Part VI</w:t>
      </w:r>
      <w:r>
        <w:rPr>
          <w:rStyle w:val="CharDivNo"/>
        </w:rPr>
        <w:t> </w:t>
      </w:r>
      <w:r>
        <w:t>—</w:t>
      </w:r>
      <w:r>
        <w:rPr>
          <w:rStyle w:val="CharDivText"/>
        </w:rPr>
        <w:t> </w:t>
      </w:r>
      <w:r>
        <w:rPr>
          <w:rStyle w:val="CharPartText"/>
        </w:rPr>
        <w:t>Prison visits and communications involving prisoners</w:t>
      </w:r>
      <w:bookmarkEnd w:id="288"/>
      <w:bookmarkEnd w:id="289"/>
      <w:bookmarkEnd w:id="290"/>
      <w:bookmarkEnd w:id="291"/>
      <w:r>
        <w:rPr>
          <w:rStyle w:val="CharPartText"/>
        </w:rPr>
        <w:t xml:space="preserve"> </w:t>
      </w:r>
    </w:p>
    <w:p>
      <w:pPr>
        <w:pStyle w:val="Heading5"/>
      </w:pPr>
      <w:bookmarkStart w:id="292" w:name="_Toc43971790"/>
      <w:bookmarkStart w:id="293" w:name="_Toc41031459"/>
      <w:r>
        <w:rPr>
          <w:rStyle w:val="CharSectno"/>
        </w:rPr>
        <w:t>54</w:t>
      </w:r>
      <w:r>
        <w:t>.</w:t>
      </w:r>
      <w:r>
        <w:tab/>
        <w:t>Appointment of visiting justices</w:t>
      </w:r>
      <w:bookmarkEnd w:id="292"/>
      <w:bookmarkEnd w:id="293"/>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No. 75 of 2003 s. 56(1).]</w:t>
      </w:r>
    </w:p>
    <w:p>
      <w:pPr>
        <w:pStyle w:val="Ednotesection"/>
        <w:rPr>
          <w:b/>
        </w:rPr>
      </w:pPr>
      <w:r>
        <w:t>[</w:t>
      </w:r>
      <w:r>
        <w:rPr>
          <w:b/>
        </w:rPr>
        <w:t>55.</w:t>
      </w:r>
      <w:r>
        <w:rPr>
          <w:b/>
        </w:rPr>
        <w:tab/>
      </w:r>
      <w:r>
        <w:t>Deleted: No. 75 of 2003 s. 56(1).]</w:t>
      </w:r>
    </w:p>
    <w:p>
      <w:pPr>
        <w:pStyle w:val="Heading5"/>
        <w:rPr>
          <w:snapToGrid w:val="0"/>
        </w:rPr>
      </w:pPr>
      <w:bookmarkStart w:id="294" w:name="_Toc43971791"/>
      <w:bookmarkStart w:id="295" w:name="_Toc41031460"/>
      <w:r>
        <w:rPr>
          <w:rStyle w:val="CharSectno"/>
        </w:rPr>
        <w:t>56</w:t>
      </w:r>
      <w:r>
        <w:rPr>
          <w:snapToGrid w:val="0"/>
        </w:rPr>
        <w:t>.</w:t>
      </w:r>
      <w:r>
        <w:rPr>
          <w:snapToGrid w:val="0"/>
        </w:rPr>
        <w:tab/>
        <w:t>Duties of visiting justice</w:t>
      </w:r>
      <w:bookmarkEnd w:id="294"/>
      <w:bookmarkEnd w:id="295"/>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keepLines/>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296" w:name="_Toc43971792"/>
      <w:bookmarkStart w:id="297" w:name="_Toc41031461"/>
      <w:r>
        <w:rPr>
          <w:rStyle w:val="CharSectno"/>
        </w:rPr>
        <w:t>57</w:t>
      </w:r>
      <w:r>
        <w:rPr>
          <w:snapToGrid w:val="0"/>
        </w:rPr>
        <w:t>.</w:t>
      </w:r>
      <w:r>
        <w:rPr>
          <w:snapToGrid w:val="0"/>
        </w:rPr>
        <w:tab/>
        <w:t>Right of entry of independent prison visitors and judges</w:t>
      </w:r>
      <w:bookmarkEnd w:id="296"/>
      <w:bookmarkEnd w:id="297"/>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No. 75 of 2003 s. 56(1).]</w:t>
      </w:r>
    </w:p>
    <w:p>
      <w:pPr>
        <w:pStyle w:val="Heading5"/>
        <w:rPr>
          <w:snapToGrid w:val="0"/>
        </w:rPr>
      </w:pPr>
      <w:bookmarkStart w:id="298" w:name="_Toc43971793"/>
      <w:bookmarkStart w:id="299" w:name="_Toc41031462"/>
      <w:r>
        <w:rPr>
          <w:rStyle w:val="CharSectno"/>
        </w:rPr>
        <w:t>58</w:t>
      </w:r>
      <w:r>
        <w:rPr>
          <w:snapToGrid w:val="0"/>
        </w:rPr>
        <w:t>.</w:t>
      </w:r>
      <w:r>
        <w:rPr>
          <w:snapToGrid w:val="0"/>
        </w:rPr>
        <w:tab/>
        <w:t>Cooperation with official visitors</w:t>
      </w:r>
      <w:bookmarkEnd w:id="298"/>
      <w:bookmarkEnd w:id="299"/>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section 56 or 57 of this Act or for the purpose of performing a function under section 19(a), 21, 22(</w:t>
      </w:r>
      <w:ins w:id="300" w:author="svcMRProcess" w:date="2020-06-26T12:27:00Z">
        <w:r>
          <w:t>1)(</w:t>
        </w:r>
      </w:ins>
      <w:r>
        <w:t xml:space="preserve">a) or 40 of the </w:t>
      </w:r>
      <w:r>
        <w:rPr>
          <w:i/>
        </w:rPr>
        <w:t>Inspector of Custodial Services Act 2003</w:t>
      </w:r>
      <w:r>
        <w:t>.</w:t>
      </w:r>
    </w:p>
    <w:p>
      <w:pPr>
        <w:pStyle w:val="Footnotesection"/>
        <w:rPr>
          <w:b/>
        </w:rPr>
      </w:pPr>
      <w:r>
        <w:tab/>
        <w:t>[Section 58 amended: No. 75 of 2003 s. 56(1</w:t>
      </w:r>
      <w:del w:id="301" w:author="svcMRProcess" w:date="2020-06-26T12:27:00Z">
        <w:r>
          <w:delText>).]</w:delText>
        </w:r>
      </w:del>
      <w:ins w:id="302" w:author="svcMRProcess" w:date="2020-06-26T12:27:00Z">
        <w:r>
          <w:t>); No. 20 of 2020 s. 16.]</w:t>
        </w:r>
      </w:ins>
    </w:p>
    <w:p>
      <w:pPr>
        <w:pStyle w:val="Heading5"/>
        <w:rPr>
          <w:snapToGrid w:val="0"/>
        </w:rPr>
      </w:pPr>
      <w:bookmarkStart w:id="303" w:name="_Toc43971794"/>
      <w:bookmarkStart w:id="304" w:name="_Toc41031463"/>
      <w:r>
        <w:rPr>
          <w:rStyle w:val="CharSectno"/>
        </w:rPr>
        <w:t>59</w:t>
      </w:r>
      <w:r>
        <w:rPr>
          <w:snapToGrid w:val="0"/>
        </w:rPr>
        <w:t>.</w:t>
      </w:r>
      <w:r>
        <w:rPr>
          <w:snapToGrid w:val="0"/>
        </w:rPr>
        <w:tab/>
        <w:t>Visits by friends and relations of prisoners</w:t>
      </w:r>
      <w:bookmarkEnd w:id="303"/>
      <w:bookmarkEnd w:id="304"/>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keepLines/>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No. 47 of 1987 s. 11; No. 113 of 1987 s. 32.]</w:t>
      </w:r>
    </w:p>
    <w:p>
      <w:pPr>
        <w:pStyle w:val="Heading5"/>
        <w:rPr>
          <w:snapToGrid w:val="0"/>
        </w:rPr>
      </w:pPr>
      <w:bookmarkStart w:id="305" w:name="_Toc43971795"/>
      <w:bookmarkStart w:id="306" w:name="_Toc41031464"/>
      <w:r>
        <w:rPr>
          <w:rStyle w:val="CharSectno"/>
        </w:rPr>
        <w:t>60</w:t>
      </w:r>
      <w:r>
        <w:rPr>
          <w:snapToGrid w:val="0"/>
        </w:rPr>
        <w:t>.</w:t>
      </w:r>
      <w:r>
        <w:rPr>
          <w:snapToGrid w:val="0"/>
        </w:rPr>
        <w:tab/>
        <w:t>Declaration of visitors</w:t>
      </w:r>
      <w:bookmarkEnd w:id="305"/>
      <w:bookmarkEnd w:id="306"/>
      <w:r>
        <w:rPr>
          <w:snapToGrid w:val="0"/>
        </w:rPr>
        <w:t xml:space="preserve"> </w:t>
      </w:r>
    </w:p>
    <w:p>
      <w:pPr>
        <w:pStyle w:val="Subsection"/>
        <w:spacing w:before="120"/>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spacing w:before="120"/>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(4)</w:t>
      </w:r>
      <w:r>
        <w:rPr>
          <w:snapToGrid w:val="0"/>
        </w:rPr>
        <w:tab/>
        <w:t>A person who makes a declaration under this section which is false in a material particular commits an offence.</w:t>
      </w:r>
    </w:p>
    <w:p>
      <w:pPr>
        <w:pStyle w:val="Penstart"/>
      </w:pPr>
      <w:r>
        <w:tab/>
        <w:t>Penalty</w:t>
      </w:r>
      <w:del w:id="307" w:author="svcMRProcess" w:date="2020-06-26T12:27:00Z">
        <w:r>
          <w:rPr>
            <w:snapToGrid w:val="0"/>
          </w:rPr>
          <w:delText>: $1 500 or 18 months’</w:delText>
        </w:r>
      </w:del>
      <w:ins w:id="308" w:author="svcMRProcess" w:date="2020-06-26T12:27:00Z">
        <w:r>
          <w:t xml:space="preserve"> for this subsection:</w:t>
        </w:r>
      </w:ins>
      <w:r>
        <w:t xml:space="preserve"> imprisonment</w:t>
      </w:r>
      <w:del w:id="309" w:author="svcMRProcess" w:date="2020-06-26T12:27:00Z">
        <w:r>
          <w:rPr>
            <w:snapToGrid w:val="0"/>
          </w:rPr>
          <w:delText>, or both</w:delText>
        </w:r>
      </w:del>
      <w:ins w:id="310" w:author="svcMRProcess" w:date="2020-06-26T12:27:00Z">
        <w:r>
          <w:t xml:space="preserve"> for 18 months and a fine of $9 000</w:t>
        </w:r>
      </w:ins>
      <w:r>
        <w:t>.</w:t>
      </w:r>
    </w:p>
    <w:p>
      <w:pPr>
        <w:pStyle w:val="Subsection"/>
        <w:spacing w:before="120"/>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[Section 60 amended: No. 47 of 1987 s. 11; No. 113 of 1987 s. 32; No. 24 of 2003 s. </w:t>
      </w:r>
      <w:del w:id="311" w:author="svcMRProcess" w:date="2020-06-26T12:27:00Z">
        <w:r>
          <w:delText>5</w:delText>
        </w:r>
      </w:del>
      <w:ins w:id="312" w:author="svcMRProcess" w:date="2020-06-26T12:27:00Z">
        <w:r>
          <w:t>5; No. 20 of 2020 s. 17</w:t>
        </w:r>
      </w:ins>
      <w:r>
        <w:t xml:space="preserve">.] </w:t>
      </w:r>
    </w:p>
    <w:p>
      <w:pPr>
        <w:pStyle w:val="Heading5"/>
      </w:pPr>
      <w:bookmarkStart w:id="313" w:name="_Toc43971796"/>
      <w:bookmarkStart w:id="314" w:name="_Toc41031465"/>
      <w:r>
        <w:rPr>
          <w:rStyle w:val="CharSectno"/>
        </w:rPr>
        <w:t>60A</w:t>
      </w:r>
      <w:r>
        <w:t>.</w:t>
      </w:r>
      <w:r>
        <w:tab/>
        <w:t>Protection of proof of identity of visitor to prison</w:t>
      </w:r>
      <w:bookmarkEnd w:id="313"/>
      <w:bookmarkEnd w:id="314"/>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w:t>
      </w:r>
      <w:del w:id="315" w:author="svcMRProcess" w:date="2020-06-26T12:27:00Z">
        <w:r>
          <w:delText>: $2 000 or</w:delText>
        </w:r>
      </w:del>
      <w:ins w:id="316" w:author="svcMRProcess" w:date="2020-06-26T12:27:00Z">
        <w:r>
          <w:t xml:space="preserve"> for this subsection:</w:t>
        </w:r>
      </w:ins>
      <w:r>
        <w:t xml:space="preserve"> imprisonment for 12 months</w:t>
      </w:r>
      <w:ins w:id="317" w:author="svcMRProcess" w:date="2020-06-26T12:27:00Z">
        <w:r>
          <w:t xml:space="preserve"> and a fine of $12 000</w:t>
        </w:r>
      </w:ins>
      <w:r>
        <w:t>.</w:t>
      </w:r>
    </w:p>
    <w:p>
      <w:pPr>
        <w:pStyle w:val="Footnotesection"/>
      </w:pPr>
      <w:r>
        <w:tab/>
        <w:t>[Section 60A inserted: No. 24 of 2003 s. </w:t>
      </w:r>
      <w:del w:id="318" w:author="svcMRProcess" w:date="2020-06-26T12:27:00Z">
        <w:r>
          <w:delText>6</w:delText>
        </w:r>
      </w:del>
      <w:ins w:id="319" w:author="svcMRProcess" w:date="2020-06-26T12:27:00Z">
        <w:r>
          <w:t>6; amended: No. 20 of 2020 s. 18</w:t>
        </w:r>
      </w:ins>
      <w:r>
        <w:t>.]</w:t>
      </w:r>
    </w:p>
    <w:p>
      <w:pPr>
        <w:pStyle w:val="Heading5"/>
        <w:rPr>
          <w:snapToGrid w:val="0"/>
        </w:rPr>
      </w:pPr>
      <w:bookmarkStart w:id="320" w:name="_Toc43971797"/>
      <w:bookmarkStart w:id="321" w:name="_Toc41031466"/>
      <w:r>
        <w:rPr>
          <w:rStyle w:val="CharSectno"/>
        </w:rPr>
        <w:t>61</w:t>
      </w:r>
      <w:r>
        <w:rPr>
          <w:snapToGrid w:val="0"/>
        </w:rPr>
        <w:t>.</w:t>
      </w:r>
      <w:r>
        <w:rPr>
          <w:snapToGrid w:val="0"/>
        </w:rPr>
        <w:tab/>
        <w:t>Visits by certain officials</w:t>
      </w:r>
      <w:bookmarkEnd w:id="320"/>
      <w:bookmarkEnd w:id="321"/>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322" w:name="_Toc43971798"/>
      <w:bookmarkStart w:id="323" w:name="_Toc41031467"/>
      <w:r>
        <w:rPr>
          <w:rStyle w:val="CharSectno"/>
        </w:rPr>
        <w:t>62</w:t>
      </w:r>
      <w:r>
        <w:rPr>
          <w:snapToGrid w:val="0"/>
        </w:rPr>
        <w:t>.</w:t>
      </w:r>
      <w:r>
        <w:rPr>
          <w:snapToGrid w:val="0"/>
        </w:rPr>
        <w:tab/>
        <w:t>Visits by legal practitioner</w:t>
      </w:r>
      <w:bookmarkEnd w:id="322"/>
      <w:bookmarkEnd w:id="323"/>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324" w:name="_Toc43971799"/>
      <w:bookmarkStart w:id="325" w:name="_Toc41031468"/>
      <w:r>
        <w:rPr>
          <w:rStyle w:val="CharSectno"/>
        </w:rPr>
        <w:t>63</w:t>
      </w:r>
      <w:r>
        <w:rPr>
          <w:snapToGrid w:val="0"/>
        </w:rPr>
        <w:t>.</w:t>
      </w:r>
      <w:r>
        <w:rPr>
          <w:snapToGrid w:val="0"/>
        </w:rPr>
        <w:tab/>
        <w:t>Visits by police</w:t>
      </w:r>
      <w:bookmarkEnd w:id="324"/>
      <w:bookmarkEnd w:id="325"/>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326" w:name="_Toc43971800"/>
      <w:bookmarkStart w:id="327" w:name="_Toc41031469"/>
      <w:r>
        <w:rPr>
          <w:rStyle w:val="CharSectno"/>
        </w:rPr>
        <w:t>64</w:t>
      </w:r>
      <w:r>
        <w:rPr>
          <w:snapToGrid w:val="0"/>
        </w:rPr>
        <w:t>.</w:t>
      </w:r>
      <w:r>
        <w:rPr>
          <w:snapToGrid w:val="0"/>
        </w:rPr>
        <w:tab/>
        <w:t>Visits by public officers</w:t>
      </w:r>
      <w:bookmarkEnd w:id="326"/>
      <w:bookmarkEnd w:id="327"/>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No. 47 of 1987 s. 11; No. 113 of 1987 s. 32; No. 75 of 2003 s. 56(1).]</w:t>
      </w:r>
    </w:p>
    <w:p>
      <w:pPr>
        <w:pStyle w:val="Footnotesection"/>
      </w:pPr>
      <w:r>
        <w:tab/>
        <w:t>[Section 64. Modifications to be applied in order to give effect to Cross</w:t>
      </w:r>
      <w:r>
        <w:noBreakHyphen/>
        <w:t>border Justice Act 2008: section altered 1 Nov 2009. See endnote 1M.]</w:t>
      </w:r>
    </w:p>
    <w:p>
      <w:pPr>
        <w:pStyle w:val="Heading5"/>
        <w:rPr>
          <w:snapToGrid w:val="0"/>
        </w:rPr>
      </w:pPr>
      <w:bookmarkStart w:id="328" w:name="_Toc43971801"/>
      <w:bookmarkStart w:id="329" w:name="_Toc41031470"/>
      <w:r>
        <w:rPr>
          <w:rStyle w:val="CharSectno"/>
        </w:rPr>
        <w:t>65</w:t>
      </w:r>
      <w:r>
        <w:rPr>
          <w:snapToGrid w:val="0"/>
        </w:rPr>
        <w:t>.</w:t>
      </w:r>
      <w:r>
        <w:rPr>
          <w:snapToGrid w:val="0"/>
        </w:rPr>
        <w:tab/>
        <w:t>Other visitors to prisoners</w:t>
      </w:r>
      <w:bookmarkEnd w:id="328"/>
      <w:bookmarkEnd w:id="329"/>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No. 47 of 1987 s. 11; No. 113 of 1987 s. 32.]</w:t>
      </w:r>
    </w:p>
    <w:p>
      <w:pPr>
        <w:pStyle w:val="Heading5"/>
        <w:rPr>
          <w:snapToGrid w:val="0"/>
        </w:rPr>
      </w:pPr>
      <w:bookmarkStart w:id="330" w:name="_Toc43971802"/>
      <w:bookmarkStart w:id="331" w:name="_Toc41031471"/>
      <w:r>
        <w:rPr>
          <w:rStyle w:val="CharSectno"/>
        </w:rPr>
        <w:t>66</w:t>
      </w:r>
      <w:r>
        <w:rPr>
          <w:snapToGrid w:val="0"/>
        </w:rPr>
        <w:t>.</w:t>
      </w:r>
      <w:r>
        <w:rPr>
          <w:snapToGrid w:val="0"/>
        </w:rPr>
        <w:tab/>
        <w:t>Visitor may be refused entry or removed</w:t>
      </w:r>
      <w:bookmarkEnd w:id="330"/>
      <w:bookmarkEnd w:id="331"/>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keepNext/>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No. 47 of 1987 s. 11; No. 113 of 1987 s. 32; No. 24 of 2003 s. 7; No. 75 of 2003 s. 56(1).]</w:t>
      </w:r>
    </w:p>
    <w:p>
      <w:pPr>
        <w:pStyle w:val="Heading5"/>
        <w:rPr>
          <w:snapToGrid w:val="0"/>
        </w:rPr>
      </w:pPr>
      <w:bookmarkStart w:id="332" w:name="_Toc43971803"/>
      <w:bookmarkStart w:id="333" w:name="_Toc41031472"/>
      <w:r>
        <w:rPr>
          <w:rStyle w:val="CharSectno"/>
        </w:rPr>
        <w:t>67</w:t>
      </w:r>
      <w:r>
        <w:rPr>
          <w:snapToGrid w:val="0"/>
        </w:rPr>
        <w:t>.</w:t>
      </w:r>
      <w:r>
        <w:rPr>
          <w:snapToGrid w:val="0"/>
        </w:rPr>
        <w:tab/>
        <w:t>Letters and parcels from by prisoners</w:t>
      </w:r>
      <w:bookmarkEnd w:id="332"/>
      <w:bookmarkEnd w:id="333"/>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chief executive officer; or</w:t>
      </w:r>
    </w:p>
    <w:p>
      <w:pPr>
        <w:pStyle w:val="Indenta"/>
        <w:rPr>
          <w:snapToGrid w:val="0"/>
        </w:rPr>
      </w:pPr>
      <w:r>
        <w:rPr>
          <w:snapToGrid w:val="0"/>
        </w:rPr>
        <w:tab/>
        <w:t>(c)</w:t>
      </w:r>
      <w:r>
        <w:rPr>
          <w:snapToGrid w:val="0"/>
        </w:rPr>
        <w:tab/>
        <w:t>the Parliamentary Commissioner for Administrative Investigations; or</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keepLines/>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spacing w:before="60"/>
        <w:rPr>
          <w:snapToGrid w:val="0"/>
        </w:rPr>
      </w:pPr>
      <w:r>
        <w:rPr>
          <w:snapToGrid w:val="0"/>
        </w:rPr>
        <w:tab/>
        <w:t>(a)</w:t>
      </w:r>
      <w:r>
        <w:rPr>
          <w:snapToGrid w:val="0"/>
        </w:rPr>
        <w:tab/>
        <w:t>may jeopardise the good order or the security of a prison; or</w:t>
      </w:r>
    </w:p>
    <w:p>
      <w:pPr>
        <w:pStyle w:val="Indenta"/>
        <w:spacing w:before="60"/>
        <w:rPr>
          <w:snapToGrid w:val="0"/>
        </w:rPr>
      </w:pPr>
      <w:r>
        <w:rPr>
          <w:snapToGrid w:val="0"/>
        </w:rPr>
        <w:tab/>
        <w:t>(b)</w:t>
      </w:r>
      <w:r>
        <w:rPr>
          <w:snapToGrid w:val="0"/>
        </w:rPr>
        <w:tab/>
        <w:t>contain a threat to a person or property; or</w:t>
      </w:r>
    </w:p>
    <w:p>
      <w:pPr>
        <w:pStyle w:val="Indenta"/>
        <w:spacing w:before="60"/>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2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No. 47 of 1987 s. 11; No. 113 of 1987 s. 32; No. 75 of 2003 s. 56(1); No. 65 of 2006 s. 21.]</w:t>
      </w:r>
    </w:p>
    <w:p>
      <w:pPr>
        <w:pStyle w:val="Heading5"/>
        <w:spacing w:before="180"/>
      </w:pPr>
      <w:bookmarkStart w:id="334" w:name="_Toc43971804"/>
      <w:bookmarkStart w:id="335" w:name="_Toc41031473"/>
      <w:r>
        <w:rPr>
          <w:rStyle w:val="CharSectno"/>
        </w:rPr>
        <w:t>67A</w:t>
      </w:r>
      <w:r>
        <w:t>.</w:t>
      </w:r>
      <w:r>
        <w:tab/>
        <w:t>Prisoner’s mail not to be sent to certain persons</w:t>
      </w:r>
      <w:bookmarkEnd w:id="334"/>
      <w:bookmarkEnd w:id="335"/>
    </w:p>
    <w:p>
      <w:pPr>
        <w:pStyle w:val="Subsection"/>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2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2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spacing w:before="60"/>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No. 65 of 2006 s. 22.]</w:t>
      </w:r>
    </w:p>
    <w:p>
      <w:pPr>
        <w:pStyle w:val="Heading5"/>
        <w:spacing w:before="240"/>
        <w:rPr>
          <w:snapToGrid w:val="0"/>
        </w:rPr>
      </w:pPr>
      <w:bookmarkStart w:id="336" w:name="_Toc43971805"/>
      <w:bookmarkStart w:id="337" w:name="_Toc41031474"/>
      <w:r>
        <w:rPr>
          <w:rStyle w:val="CharSectno"/>
        </w:rPr>
        <w:t>68</w:t>
      </w:r>
      <w:r>
        <w:rPr>
          <w:snapToGrid w:val="0"/>
        </w:rPr>
        <w:t>.</w:t>
      </w:r>
      <w:r>
        <w:rPr>
          <w:snapToGrid w:val="0"/>
        </w:rPr>
        <w:tab/>
        <w:t>Letters and parcels addressed to prisoners</w:t>
      </w:r>
      <w:bookmarkEnd w:id="336"/>
      <w:bookmarkEnd w:id="337"/>
      <w:r>
        <w:rPr>
          <w:snapToGrid w:val="0"/>
        </w:rPr>
        <w:t xml:space="preserve"> </w:t>
      </w:r>
    </w:p>
    <w:p>
      <w:pPr>
        <w:pStyle w:val="Subsection"/>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 or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No. 47 of 1987 s. 11; No. 113 of 1987 s. 32.]</w:t>
      </w:r>
    </w:p>
    <w:p>
      <w:pPr>
        <w:pStyle w:val="Heading2"/>
      </w:pPr>
      <w:bookmarkStart w:id="338" w:name="_Toc43906412"/>
      <w:bookmarkStart w:id="339" w:name="_Toc43907484"/>
      <w:bookmarkStart w:id="340" w:name="_Toc43971806"/>
      <w:bookmarkStart w:id="341" w:name="_Toc41031475"/>
      <w:r>
        <w:rPr>
          <w:rStyle w:val="CharPartNo"/>
        </w:rPr>
        <w:t>Part VII</w:t>
      </w:r>
      <w:r>
        <w:rPr>
          <w:rStyle w:val="CharDivNo"/>
        </w:rPr>
        <w:t> </w:t>
      </w:r>
      <w:r>
        <w:t>—</w:t>
      </w:r>
      <w:r>
        <w:rPr>
          <w:rStyle w:val="CharDivText"/>
        </w:rPr>
        <w:t> </w:t>
      </w:r>
      <w:r>
        <w:rPr>
          <w:rStyle w:val="CharPartText"/>
        </w:rPr>
        <w:t>Prison offences</w:t>
      </w:r>
      <w:bookmarkEnd w:id="338"/>
      <w:bookmarkEnd w:id="339"/>
      <w:bookmarkEnd w:id="340"/>
      <w:bookmarkEnd w:id="341"/>
      <w:r>
        <w:rPr>
          <w:rStyle w:val="CharPartText"/>
        </w:rPr>
        <w:t xml:space="preserve"> </w:t>
      </w:r>
    </w:p>
    <w:p>
      <w:pPr>
        <w:pStyle w:val="Heading5"/>
        <w:spacing w:before="160"/>
        <w:rPr>
          <w:snapToGrid w:val="0"/>
        </w:rPr>
      </w:pPr>
      <w:bookmarkStart w:id="342" w:name="_Toc43971807"/>
      <w:bookmarkStart w:id="343" w:name="_Toc41031476"/>
      <w:r>
        <w:rPr>
          <w:rStyle w:val="CharSectno"/>
        </w:rPr>
        <w:t>69</w:t>
      </w:r>
      <w:r>
        <w:rPr>
          <w:snapToGrid w:val="0"/>
        </w:rPr>
        <w:t>.</w:t>
      </w:r>
      <w:r>
        <w:rPr>
          <w:snapToGrid w:val="0"/>
        </w:rPr>
        <w:tab/>
        <w:t>Minor prison offences</w:t>
      </w:r>
      <w:bookmarkEnd w:id="342"/>
      <w:bookmarkEnd w:id="343"/>
      <w:r>
        <w:rPr>
          <w:snapToGrid w:val="0"/>
        </w:rPr>
        <w:t xml:space="preserve"> </w:t>
      </w:r>
    </w:p>
    <w:p>
      <w:pPr>
        <w:pStyle w:val="Subsection"/>
        <w:keepNext/>
        <w:spacing w:before="120"/>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r>
      <w:r>
        <w:rPr>
          <w:snapToGrid w:val="0"/>
          <w:spacing w:val="-4"/>
        </w:rPr>
        <w:t>prefers a false or frivolous complaint against an officer;</w:t>
      </w:r>
      <w:r>
        <w:rPr>
          <w:spacing w:val="-4"/>
        </w:rP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spacing w:before="120"/>
        <w:rPr>
          <w:snapToGrid w:val="0"/>
        </w:rPr>
      </w:pPr>
      <w:r>
        <w:rPr>
          <w:snapToGrid w:val="0"/>
        </w:rPr>
        <w:tab/>
      </w:r>
      <w:r>
        <w:rPr>
          <w:snapToGrid w:val="0"/>
        </w:rPr>
        <w:tab/>
        <w:t>is guilty of a minor prison offence.</w:t>
      </w:r>
    </w:p>
    <w:p>
      <w:pPr>
        <w:pStyle w:val="Footnotesection"/>
        <w:spacing w:before="80"/>
        <w:ind w:left="890" w:hanging="890"/>
      </w:pPr>
      <w:r>
        <w:tab/>
        <w:t>[Section 69 amended: No. 47 of 1999 s. 36; No. 65 of 2006 s. 23.]</w:t>
      </w:r>
    </w:p>
    <w:p>
      <w:pPr>
        <w:pStyle w:val="Footnotesection"/>
        <w:spacing w:before="80"/>
        <w:ind w:left="890" w:hanging="890"/>
      </w:pPr>
      <w:r>
        <w:tab/>
        <w:t>[Section 69. Modifications to be applied in order to give effect to Cross</w:t>
      </w:r>
      <w:r>
        <w:noBreakHyphen/>
        <w:t>border Justice Act 2008: section altered 1 Nov 2009. See endnote 1M.]</w:t>
      </w:r>
    </w:p>
    <w:p>
      <w:pPr>
        <w:pStyle w:val="Heading5"/>
        <w:rPr>
          <w:snapToGrid w:val="0"/>
        </w:rPr>
      </w:pPr>
      <w:bookmarkStart w:id="344" w:name="_Toc43971808"/>
      <w:bookmarkStart w:id="345" w:name="_Toc41031477"/>
      <w:r>
        <w:rPr>
          <w:rStyle w:val="CharSectno"/>
        </w:rPr>
        <w:t>70</w:t>
      </w:r>
      <w:r>
        <w:rPr>
          <w:snapToGrid w:val="0"/>
        </w:rPr>
        <w:t>.</w:t>
      </w:r>
      <w:r>
        <w:rPr>
          <w:snapToGrid w:val="0"/>
        </w:rPr>
        <w:tab/>
        <w:t>Aggravated prison offences</w:t>
      </w:r>
      <w:bookmarkEnd w:id="344"/>
      <w:bookmarkEnd w:id="345"/>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 or</w:t>
      </w:r>
    </w:p>
    <w:p>
      <w:pPr>
        <w:pStyle w:val="Indenta"/>
        <w:rPr>
          <w:snapToGrid w:val="0"/>
        </w:rPr>
      </w:pPr>
      <w:r>
        <w:rPr>
          <w:snapToGrid w:val="0"/>
        </w:rPr>
        <w:tab/>
        <w:t>(b)</w:t>
      </w:r>
      <w:r>
        <w:rPr>
          <w:snapToGrid w:val="0"/>
        </w:rPr>
        <w:tab/>
        <w:t>assaults a person; or</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 or</w:t>
      </w:r>
    </w:p>
    <w:p>
      <w:pPr>
        <w:pStyle w:val="Indenta"/>
        <w:rPr>
          <w:snapToGrid w:val="0"/>
        </w:rPr>
      </w:pPr>
      <w:r>
        <w:rPr>
          <w:snapToGrid w:val="0"/>
        </w:rPr>
        <w:tab/>
        <w:t>(d)</w:t>
      </w:r>
      <w:r>
        <w:rPr>
          <w:snapToGrid w:val="0"/>
        </w:rPr>
        <w:tab/>
        <w:t>uses, or is in possession of, drugs not lawfully issued to him; or</w:t>
      </w:r>
    </w:p>
    <w:p>
      <w:pPr>
        <w:pStyle w:val="Indenta"/>
        <w:rPr>
          <w:snapToGrid w:val="0"/>
        </w:rPr>
      </w:pPr>
      <w:r>
        <w:rPr>
          <w:snapToGrid w:val="0"/>
        </w:rPr>
        <w:tab/>
        <w:t>(e)</w:t>
      </w:r>
      <w:r>
        <w:rPr>
          <w:snapToGrid w:val="0"/>
        </w:rPr>
        <w:tab/>
        <w:t>uses drugs otherwise than as prescribed; or</w:t>
      </w:r>
    </w:p>
    <w:p>
      <w:pPr>
        <w:pStyle w:val="Indenta"/>
        <w:rPr>
          <w:snapToGrid w:val="0"/>
        </w:rPr>
      </w:pPr>
      <w:r>
        <w:rPr>
          <w:snapToGrid w:val="0"/>
        </w:rPr>
        <w:tab/>
        <w:t>(f)</w:t>
      </w:r>
      <w:r>
        <w:rPr>
          <w:snapToGrid w:val="0"/>
        </w:rPr>
        <w:tab/>
        <w:t>consumes, or is in possession of, alcohol not lawfully issued to him; or</w:t>
      </w:r>
    </w:p>
    <w:p>
      <w:pPr>
        <w:pStyle w:val="Indenta"/>
        <w:rPr>
          <w:snapToGrid w:val="0"/>
        </w:rPr>
      </w:pPr>
      <w:r>
        <w:rPr>
          <w:snapToGrid w:val="0"/>
        </w:rPr>
        <w:tab/>
        <w:t>(g)</w:t>
      </w:r>
      <w:r>
        <w:rPr>
          <w:snapToGrid w:val="0"/>
        </w:rPr>
        <w:tab/>
        <w:t>is, without the permission of the superintendent, in possession of glue containing toluene or another intoxicant; or</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No. 47 of 1991 s. 4; amended: No. 65 of 2006 s. 24.] </w:t>
      </w:r>
    </w:p>
    <w:p>
      <w:pPr>
        <w:pStyle w:val="Heading5"/>
        <w:rPr>
          <w:snapToGrid w:val="0"/>
        </w:rPr>
      </w:pPr>
      <w:bookmarkStart w:id="346" w:name="_Toc43971809"/>
      <w:bookmarkStart w:id="347" w:name="_Toc41031478"/>
      <w:r>
        <w:rPr>
          <w:rStyle w:val="CharSectno"/>
        </w:rPr>
        <w:t>71</w:t>
      </w:r>
      <w:r>
        <w:rPr>
          <w:snapToGrid w:val="0"/>
        </w:rPr>
        <w:t>.</w:t>
      </w:r>
      <w:r>
        <w:rPr>
          <w:snapToGrid w:val="0"/>
        </w:rPr>
        <w:tab/>
        <w:t>Charges of prison offences</w:t>
      </w:r>
      <w:bookmarkEnd w:id="346"/>
      <w:bookmarkEnd w:id="347"/>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No. 47 of 1999 s. 37.]</w:t>
      </w:r>
    </w:p>
    <w:p>
      <w:pPr>
        <w:pStyle w:val="Heading5"/>
        <w:rPr>
          <w:snapToGrid w:val="0"/>
        </w:rPr>
      </w:pPr>
      <w:bookmarkStart w:id="348" w:name="_Toc43971810"/>
      <w:bookmarkStart w:id="349" w:name="_Toc41031479"/>
      <w:r>
        <w:rPr>
          <w:rStyle w:val="CharSectno"/>
        </w:rPr>
        <w:t>72</w:t>
      </w:r>
      <w:r>
        <w:rPr>
          <w:snapToGrid w:val="0"/>
        </w:rPr>
        <w:t>.</w:t>
      </w:r>
      <w:r>
        <w:rPr>
          <w:snapToGrid w:val="0"/>
        </w:rPr>
        <w:tab/>
        <w:t>Visiting justice may determine minor prison offences</w:t>
      </w:r>
      <w:bookmarkEnd w:id="348"/>
      <w:bookmarkEnd w:id="349"/>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350" w:name="_Toc43971811"/>
      <w:bookmarkStart w:id="351" w:name="_Toc41031480"/>
      <w:r>
        <w:rPr>
          <w:rStyle w:val="CharSectno"/>
        </w:rPr>
        <w:t>73</w:t>
      </w:r>
      <w:r>
        <w:rPr>
          <w:snapToGrid w:val="0"/>
        </w:rPr>
        <w:t>.</w:t>
      </w:r>
      <w:r>
        <w:rPr>
          <w:snapToGrid w:val="0"/>
        </w:rPr>
        <w:tab/>
        <w:t>Visiting justice and aggravated prison offences</w:t>
      </w:r>
      <w:bookmarkEnd w:id="350"/>
      <w:bookmarkEnd w:id="351"/>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No. 59 of 2004 s. 141; No. 84 of 2004 s. 78.] </w:t>
      </w:r>
    </w:p>
    <w:p>
      <w:pPr>
        <w:pStyle w:val="Heading5"/>
        <w:rPr>
          <w:snapToGrid w:val="0"/>
        </w:rPr>
      </w:pPr>
      <w:bookmarkStart w:id="352" w:name="_Toc43971812"/>
      <w:bookmarkStart w:id="353" w:name="_Toc41031481"/>
      <w:r>
        <w:rPr>
          <w:rStyle w:val="CharSectno"/>
        </w:rPr>
        <w:t>74</w:t>
      </w:r>
      <w:r>
        <w:rPr>
          <w:snapToGrid w:val="0"/>
        </w:rPr>
        <w:t>.</w:t>
      </w:r>
      <w:r>
        <w:rPr>
          <w:snapToGrid w:val="0"/>
        </w:rPr>
        <w:tab/>
        <w:t>Hearing of charges</w:t>
      </w:r>
      <w:bookmarkEnd w:id="352"/>
      <w:bookmarkEnd w:id="353"/>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No. 59 of 2004 s. 141; No. 65 of 2006 s. 25.] </w:t>
      </w:r>
    </w:p>
    <w:p>
      <w:pPr>
        <w:pStyle w:val="Heading5"/>
        <w:rPr>
          <w:rStyle w:val="CharSectno"/>
        </w:rPr>
      </w:pPr>
      <w:bookmarkStart w:id="354" w:name="_Toc43971813"/>
      <w:bookmarkStart w:id="355" w:name="_Toc41031482"/>
      <w:r>
        <w:rPr>
          <w:rStyle w:val="CharSectno"/>
        </w:rPr>
        <w:t>74A.</w:t>
      </w:r>
      <w:r>
        <w:rPr>
          <w:rStyle w:val="CharSectno"/>
        </w:rPr>
        <w:tab/>
        <w:t>Charges may be heard and determined by video link</w:t>
      </w:r>
      <w:bookmarkEnd w:id="354"/>
      <w:bookmarkEnd w:id="355"/>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No. 65 of 2006 s. 26.]</w:t>
      </w:r>
    </w:p>
    <w:p>
      <w:pPr>
        <w:pStyle w:val="Heading5"/>
        <w:rPr>
          <w:snapToGrid w:val="0"/>
        </w:rPr>
      </w:pPr>
      <w:bookmarkStart w:id="356" w:name="_Toc43971814"/>
      <w:bookmarkStart w:id="357" w:name="_Toc41031483"/>
      <w:r>
        <w:rPr>
          <w:rStyle w:val="CharSectno"/>
        </w:rPr>
        <w:t>75</w:t>
      </w:r>
      <w:r>
        <w:rPr>
          <w:snapToGrid w:val="0"/>
        </w:rPr>
        <w:t>.</w:t>
      </w:r>
      <w:r>
        <w:rPr>
          <w:snapToGrid w:val="0"/>
        </w:rPr>
        <w:tab/>
        <w:t>Procedure for hearing charges of minor prison offences</w:t>
      </w:r>
      <w:bookmarkEnd w:id="356"/>
      <w:bookmarkEnd w:id="357"/>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358" w:name="_Toc43971815"/>
      <w:bookmarkStart w:id="359" w:name="_Toc41031484"/>
      <w:r>
        <w:rPr>
          <w:rStyle w:val="CharSectno"/>
        </w:rPr>
        <w:t>76</w:t>
      </w:r>
      <w:r>
        <w:rPr>
          <w:snapToGrid w:val="0"/>
        </w:rPr>
        <w:t>.</w:t>
      </w:r>
      <w:r>
        <w:rPr>
          <w:snapToGrid w:val="0"/>
        </w:rPr>
        <w:tab/>
        <w:t>Prisoner not to be legally represented</w:t>
      </w:r>
      <w:bookmarkEnd w:id="358"/>
      <w:bookmarkEnd w:id="359"/>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360" w:name="_Toc43971816"/>
      <w:bookmarkStart w:id="361" w:name="_Toc41031485"/>
      <w:r>
        <w:rPr>
          <w:rStyle w:val="CharSectno"/>
        </w:rPr>
        <w:t>77</w:t>
      </w:r>
      <w:r>
        <w:rPr>
          <w:snapToGrid w:val="0"/>
        </w:rPr>
        <w:t>.</w:t>
      </w:r>
      <w:r>
        <w:rPr>
          <w:snapToGrid w:val="0"/>
        </w:rPr>
        <w:tab/>
        <w:t>Imposition of penalties by superintendent</w:t>
      </w:r>
      <w:bookmarkEnd w:id="360"/>
      <w:bookmarkEnd w:id="361"/>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No. 129 of 1987 s. 28; No. 47 of 1991 s. 7; No. 78 of 1995 s. 110; No. 50 of 2003 s. 29(3).]</w:t>
      </w:r>
    </w:p>
    <w:p>
      <w:pPr>
        <w:pStyle w:val="Heading5"/>
        <w:keepNext w:val="0"/>
        <w:keepLines w:val="0"/>
        <w:spacing w:before="180"/>
        <w:rPr>
          <w:snapToGrid w:val="0"/>
        </w:rPr>
      </w:pPr>
      <w:bookmarkStart w:id="362" w:name="_Toc43971817"/>
      <w:bookmarkStart w:id="363" w:name="_Toc41031486"/>
      <w:r>
        <w:rPr>
          <w:rStyle w:val="CharSectno"/>
        </w:rPr>
        <w:t>78</w:t>
      </w:r>
      <w:r>
        <w:rPr>
          <w:snapToGrid w:val="0"/>
        </w:rPr>
        <w:t>.</w:t>
      </w:r>
      <w:r>
        <w:rPr>
          <w:snapToGrid w:val="0"/>
        </w:rPr>
        <w:tab/>
        <w:t>Imposition of penalties by visiting justice</w:t>
      </w:r>
      <w:bookmarkEnd w:id="362"/>
      <w:bookmarkEnd w:id="363"/>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No. 129 of 1987 s. 29; No. 47 of 1991 s. 7; No. 78 of 1995 s. 110; No. 50 of 2003 s. 29(3).]</w:t>
      </w:r>
    </w:p>
    <w:p>
      <w:pPr>
        <w:pStyle w:val="Heading5"/>
        <w:keepLines w:val="0"/>
        <w:pageBreakBefore/>
        <w:spacing w:before="0"/>
        <w:rPr>
          <w:snapToGrid w:val="0"/>
        </w:rPr>
      </w:pPr>
      <w:bookmarkStart w:id="364" w:name="_Toc43971818"/>
      <w:bookmarkStart w:id="365" w:name="_Toc41031487"/>
      <w:r>
        <w:rPr>
          <w:rStyle w:val="CharSectno"/>
        </w:rPr>
        <w:t>79</w:t>
      </w:r>
      <w:r>
        <w:rPr>
          <w:snapToGrid w:val="0"/>
        </w:rPr>
        <w:t>.</w:t>
      </w:r>
      <w:r>
        <w:rPr>
          <w:snapToGrid w:val="0"/>
        </w:rPr>
        <w:tab/>
        <w:t>Imposition of penalties by court of summary jurisdiction</w:t>
      </w:r>
      <w:bookmarkEnd w:id="364"/>
      <w:bookmarkEnd w:id="365"/>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 xml:space="preserve">a fine of </w:t>
      </w:r>
      <w:r>
        <w:t>$</w:t>
      </w:r>
      <w:del w:id="366" w:author="svcMRProcess" w:date="2020-06-26T12:27:00Z">
        <w:r>
          <w:rPr>
            <w:snapToGrid w:val="0"/>
          </w:rPr>
          <w:delText>300</w:delText>
        </w:r>
      </w:del>
      <w:ins w:id="367" w:author="svcMRProcess" w:date="2020-06-26T12:27:00Z">
        <w:r>
          <w:t>3 000</w:t>
        </w:r>
      </w:ins>
      <w:r>
        <w:t>;</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No. 47 of 1991 s. 7; No. 78 of 1995 s. 110; No. 59 of 2004 s. 141; No. 65 of 2006 s. </w:t>
      </w:r>
      <w:del w:id="368" w:author="svcMRProcess" w:date="2020-06-26T12:27:00Z">
        <w:r>
          <w:delText>27</w:delText>
        </w:r>
      </w:del>
      <w:ins w:id="369" w:author="svcMRProcess" w:date="2020-06-26T12:27:00Z">
        <w:r>
          <w:t>27; No. 20 of 2020 s. 20</w:t>
        </w:r>
      </w:ins>
      <w:r>
        <w:t>.]</w:t>
      </w:r>
    </w:p>
    <w:p>
      <w:pPr>
        <w:pStyle w:val="Heading5"/>
        <w:rPr>
          <w:snapToGrid w:val="0"/>
        </w:rPr>
      </w:pPr>
      <w:bookmarkStart w:id="370" w:name="_Toc43971819"/>
      <w:bookmarkStart w:id="371" w:name="_Toc41031488"/>
      <w:r>
        <w:rPr>
          <w:rStyle w:val="CharSectno"/>
        </w:rPr>
        <w:t>80</w:t>
      </w:r>
      <w:r>
        <w:rPr>
          <w:snapToGrid w:val="0"/>
        </w:rPr>
        <w:t>.</w:t>
      </w:r>
      <w:r>
        <w:rPr>
          <w:snapToGrid w:val="0"/>
        </w:rPr>
        <w:tab/>
        <w:t>Punishment book</w:t>
      </w:r>
      <w:bookmarkEnd w:id="370"/>
      <w:bookmarkEnd w:id="371"/>
      <w:r>
        <w:rPr>
          <w:snapToGrid w:val="0"/>
        </w:rPr>
        <w:t xml:space="preserve"> </w:t>
      </w:r>
    </w:p>
    <w:p>
      <w:pPr>
        <w:pStyle w:val="Subsection"/>
        <w:spacing w:before="1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100"/>
      </w:pPr>
      <w:r>
        <w:tab/>
        <w:t>(1a)</w:t>
      </w:r>
      <w:r>
        <w:tab/>
        <w:t xml:space="preserve">If a </w:t>
      </w:r>
      <w:r>
        <w:rPr>
          <w:snapToGrid w:val="0"/>
        </w:rPr>
        <w:t>punishment</w:t>
      </w:r>
      <w:r>
        <w:t xml:space="preserve"> </w:t>
      </w:r>
      <w:r>
        <w:rPr>
          <w:snapToGrid w:val="0"/>
        </w:rPr>
        <w:t>is</w:t>
      </w:r>
      <w:r>
        <w:t xml:space="preserve">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1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No. 47 of 1987 s. 11; No. 113 of 1987 s. 32; No. 65 of 2006 s. 28.]</w:t>
      </w:r>
    </w:p>
    <w:p>
      <w:pPr>
        <w:pStyle w:val="Heading5"/>
        <w:spacing w:before="180"/>
        <w:rPr>
          <w:snapToGrid w:val="0"/>
        </w:rPr>
      </w:pPr>
      <w:bookmarkStart w:id="372" w:name="_Toc43971820"/>
      <w:bookmarkStart w:id="373" w:name="_Toc41031489"/>
      <w:r>
        <w:rPr>
          <w:rStyle w:val="CharSectno"/>
        </w:rPr>
        <w:t>81</w:t>
      </w:r>
      <w:r>
        <w:rPr>
          <w:snapToGrid w:val="0"/>
        </w:rPr>
        <w:t>.</w:t>
      </w:r>
      <w:r>
        <w:rPr>
          <w:snapToGrid w:val="0"/>
        </w:rPr>
        <w:tab/>
        <w:t>Reports of punishments under s. 79 to chief executive officer</w:t>
      </w:r>
      <w:bookmarkEnd w:id="372"/>
      <w:bookmarkEnd w:id="373"/>
      <w:r>
        <w:rPr>
          <w:snapToGrid w:val="0"/>
        </w:rPr>
        <w:t xml:space="preserve"> </w:t>
      </w:r>
    </w:p>
    <w:p>
      <w:pPr>
        <w:pStyle w:val="Subsection"/>
        <w:spacing w:before="1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1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No. 47 of 1987 s. 11; No. 113 of 1987 s. 32; No. 59 of 2004 s. 141.]</w:t>
      </w:r>
    </w:p>
    <w:p>
      <w:pPr>
        <w:pStyle w:val="Heading5"/>
        <w:rPr>
          <w:snapToGrid w:val="0"/>
        </w:rPr>
      </w:pPr>
      <w:bookmarkStart w:id="374" w:name="_Toc43971821"/>
      <w:bookmarkStart w:id="375" w:name="_Toc41031490"/>
      <w:r>
        <w:rPr>
          <w:rStyle w:val="CharSectno"/>
        </w:rPr>
        <w:t>82</w:t>
      </w:r>
      <w:r>
        <w:rPr>
          <w:snapToGrid w:val="0"/>
        </w:rPr>
        <w:t>.</w:t>
      </w:r>
      <w:r>
        <w:rPr>
          <w:snapToGrid w:val="0"/>
        </w:rPr>
        <w:tab/>
        <w:t>Punishment by confinement</w:t>
      </w:r>
      <w:bookmarkEnd w:id="374"/>
      <w:bookmarkEnd w:id="375"/>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No. 47 of 1987 s. 11; No. 113 of 1987 s. 32.]</w:t>
      </w:r>
    </w:p>
    <w:p>
      <w:pPr>
        <w:pStyle w:val="Heading2"/>
      </w:pPr>
      <w:bookmarkStart w:id="376" w:name="_Toc43906428"/>
      <w:bookmarkStart w:id="377" w:name="_Toc43907500"/>
      <w:bookmarkStart w:id="378" w:name="_Toc43971822"/>
      <w:bookmarkStart w:id="379" w:name="_Toc41031491"/>
      <w:r>
        <w:rPr>
          <w:rStyle w:val="CharPartNo"/>
        </w:rPr>
        <w:t>Part VIII</w:t>
      </w:r>
      <w:r>
        <w:rPr>
          <w:rStyle w:val="CharDivNo"/>
        </w:rPr>
        <w:t> </w:t>
      </w:r>
      <w:r>
        <w:t>—</w:t>
      </w:r>
      <w:r>
        <w:rPr>
          <w:rStyle w:val="CharDivText"/>
        </w:rPr>
        <w:t> </w:t>
      </w:r>
      <w:r>
        <w:rPr>
          <w:rStyle w:val="CharPartText"/>
        </w:rPr>
        <w:t>Authorised absences from prison</w:t>
      </w:r>
      <w:bookmarkEnd w:id="376"/>
      <w:bookmarkEnd w:id="377"/>
      <w:bookmarkEnd w:id="378"/>
      <w:bookmarkEnd w:id="379"/>
      <w:r>
        <w:rPr>
          <w:rStyle w:val="CharPartText"/>
        </w:rPr>
        <w:t xml:space="preserve"> </w:t>
      </w:r>
    </w:p>
    <w:p>
      <w:pPr>
        <w:pStyle w:val="Heading5"/>
        <w:spacing w:before="240"/>
      </w:pPr>
      <w:bookmarkStart w:id="380" w:name="_Toc43971823"/>
      <w:bookmarkStart w:id="381" w:name="_Toc41031492"/>
      <w:r>
        <w:rPr>
          <w:rStyle w:val="CharSectno"/>
        </w:rPr>
        <w:t>83</w:t>
      </w:r>
      <w:r>
        <w:t>.</w:t>
      </w:r>
      <w:r>
        <w:tab/>
        <w:t>Permits to be absent from prison</w:t>
      </w:r>
      <w:bookmarkEnd w:id="380"/>
      <w:bookmarkEnd w:id="381"/>
    </w:p>
    <w:p>
      <w:pPr>
        <w:pStyle w:val="Subsection"/>
      </w:pPr>
      <w:r>
        <w:tab/>
        <w:t>(1)</w:t>
      </w:r>
      <w:r>
        <w:tab/>
        <w:t xml:space="preserve">The </w:t>
      </w:r>
      <w:r>
        <w:rPr>
          <w:snapToGrid w:val="0"/>
        </w:rPr>
        <w:t>objectives</w:t>
      </w:r>
      <w:r>
        <w:t xml:space="preserve"> </w:t>
      </w:r>
      <w:r>
        <w:rPr>
          <w:snapToGrid w:val="0"/>
        </w:rPr>
        <w:t>of</w:t>
      </w:r>
      <w:r>
        <w:t xml:space="preserve">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w:t>
      </w:r>
      <w:r>
        <w:rPr>
          <w:snapToGrid w:val="0"/>
        </w:rPr>
        <w:t>this</w:t>
      </w:r>
      <w:r>
        <w:t xml:space="preserve"> section and the regulations, the chief executive officer </w:t>
      </w:r>
      <w:r>
        <w:rPr>
          <w:snapToGrid w:val="0"/>
        </w:rPr>
        <w:t>may</w:t>
      </w:r>
      <w:r>
        <w:t xml:space="preserve">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w:t>
      </w:r>
      <w:r>
        <w:rPr>
          <w:snapToGrid w:val="0"/>
        </w:rPr>
        <w:t>absence</w:t>
      </w:r>
      <w:r>
        <w:t xml:space="preserv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w:t>
      </w:r>
      <w:r>
        <w:rPr>
          <w:snapToGrid w:val="0"/>
        </w:rPr>
        <w:t>absence</w:t>
      </w:r>
      <w:r>
        <w:t xml:space="preserv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 xml:space="preserve">The </w:t>
      </w:r>
      <w:r>
        <w:rPr>
          <w:snapToGrid w:val="0"/>
        </w:rPr>
        <w:t>chief</w:t>
      </w:r>
      <w:r>
        <w:t xml:space="preserve">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 xml:space="preserve">the </w:t>
      </w:r>
      <w:r>
        <w:rPr>
          <w:snapToGrid w:val="0"/>
        </w:rPr>
        <w:t>chief</w:t>
      </w:r>
      <w:r>
        <w:t xml:space="preserve"> executive officer must take into account the safety and interests of the public.</w:t>
      </w:r>
    </w:p>
    <w:p>
      <w:pPr>
        <w:pStyle w:val="Footnotesection"/>
        <w:ind w:left="890" w:hanging="890"/>
      </w:pPr>
      <w:r>
        <w:tab/>
        <w:t>[Section 83 inserted: No. 65 of 2006 s. 29.]</w:t>
      </w:r>
    </w:p>
    <w:p>
      <w:pPr>
        <w:pStyle w:val="Heading5"/>
        <w:spacing w:before="240"/>
      </w:pPr>
      <w:bookmarkStart w:id="382" w:name="_Toc43971824"/>
      <w:bookmarkStart w:id="383" w:name="_Toc41031493"/>
      <w:r>
        <w:rPr>
          <w:rStyle w:val="CharSectno"/>
        </w:rPr>
        <w:t>83A</w:t>
      </w:r>
      <w:r>
        <w:t>.</w:t>
      </w:r>
      <w:r>
        <w:tab/>
        <w:t>Effect of permit</w:t>
      </w:r>
      <w:bookmarkEnd w:id="382"/>
      <w:bookmarkEnd w:id="383"/>
    </w:p>
    <w:p>
      <w:pPr>
        <w:pStyle w:val="Subsection"/>
      </w:pPr>
      <w:r>
        <w:tab/>
      </w:r>
      <w:r>
        <w:tab/>
        <w:t xml:space="preserve">An </w:t>
      </w:r>
      <w:r>
        <w:rPr>
          <w:snapToGrid w:val="0"/>
        </w:rPr>
        <w:t>absence</w:t>
      </w:r>
      <w:r>
        <w:t xml:space="preserve"> permit has effect despite the sentence, order or direction under which a prisoner was confined in prison.</w:t>
      </w:r>
    </w:p>
    <w:p>
      <w:pPr>
        <w:pStyle w:val="Footnotesection"/>
        <w:ind w:left="890" w:hanging="890"/>
      </w:pPr>
      <w:r>
        <w:tab/>
        <w:t>[Section 83A inserted: No. 65 of 2006 s. 29.]</w:t>
      </w:r>
    </w:p>
    <w:p>
      <w:pPr>
        <w:pStyle w:val="Heading5"/>
        <w:spacing w:before="240"/>
      </w:pPr>
      <w:bookmarkStart w:id="384" w:name="_Toc43971825"/>
      <w:bookmarkStart w:id="385" w:name="_Toc41031494"/>
      <w:r>
        <w:rPr>
          <w:rStyle w:val="CharSectno"/>
        </w:rPr>
        <w:t>83B</w:t>
      </w:r>
      <w:r>
        <w:t>.</w:t>
      </w:r>
      <w:r>
        <w:tab/>
        <w:t>Revocation or cancellation of permit</w:t>
      </w:r>
      <w:bookmarkEnd w:id="384"/>
      <w:bookmarkEnd w:id="385"/>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ind w:left="890" w:hanging="890"/>
      </w:pPr>
      <w:r>
        <w:tab/>
        <w:t>[Section 83B inserted: No. 65 of 2006 s. 29.]</w:t>
      </w:r>
    </w:p>
    <w:p>
      <w:pPr>
        <w:pStyle w:val="Heading5"/>
        <w:spacing w:before="240"/>
        <w:rPr>
          <w:snapToGrid w:val="0"/>
        </w:rPr>
      </w:pPr>
      <w:bookmarkStart w:id="386" w:name="_Toc43971826"/>
      <w:bookmarkStart w:id="387" w:name="_Toc41031495"/>
      <w:r>
        <w:rPr>
          <w:rStyle w:val="CharSectno"/>
        </w:rPr>
        <w:t>84</w:t>
      </w:r>
      <w:r>
        <w:rPr>
          <w:snapToGrid w:val="0"/>
        </w:rPr>
        <w:t>.</w:t>
      </w:r>
      <w:r>
        <w:rPr>
          <w:snapToGrid w:val="0"/>
        </w:rPr>
        <w:tab/>
        <w:t xml:space="preserve">Breach of </w:t>
      </w:r>
      <w:r>
        <w:t>condition</w:t>
      </w:r>
      <w:r>
        <w:rPr>
          <w:snapToGrid w:val="0"/>
        </w:rPr>
        <w:t xml:space="preserve"> of permit</w:t>
      </w:r>
      <w:bookmarkEnd w:id="386"/>
      <w:bookmarkEnd w:id="387"/>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ind w:left="890" w:hanging="890"/>
      </w:pPr>
      <w:r>
        <w:tab/>
        <w:t>[Section 84 amended: No. 65 of 2006 s. 30.]</w:t>
      </w:r>
    </w:p>
    <w:p>
      <w:pPr>
        <w:pStyle w:val="Heading5"/>
        <w:rPr>
          <w:snapToGrid w:val="0"/>
        </w:rPr>
      </w:pPr>
      <w:bookmarkStart w:id="388" w:name="_Toc43971827"/>
      <w:bookmarkStart w:id="389" w:name="_Toc41031496"/>
      <w:r>
        <w:rPr>
          <w:rStyle w:val="CharSectno"/>
        </w:rPr>
        <w:t>85</w:t>
      </w:r>
      <w:r>
        <w:rPr>
          <w:snapToGrid w:val="0"/>
        </w:rPr>
        <w:t>.</w:t>
      </w:r>
      <w:r>
        <w:rPr>
          <w:snapToGrid w:val="0"/>
        </w:rPr>
        <w:tab/>
      </w:r>
      <w:r>
        <w:t>Attendance</w:t>
      </w:r>
      <w:r>
        <w:rPr>
          <w:snapToGrid w:val="0"/>
        </w:rPr>
        <w:t xml:space="preserve"> of prisoner at legal or investigative proceedings</w:t>
      </w:r>
      <w:bookmarkEnd w:id="388"/>
      <w:bookmarkEnd w:id="389"/>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No. 65 of 2006 s. 31; amended: No. 20 of 2013 s. 103.]</w:t>
      </w:r>
    </w:p>
    <w:p>
      <w:pPr>
        <w:pStyle w:val="Footnotesection"/>
      </w:pPr>
      <w:r>
        <w:tab/>
        <w:t>[Section 85. Modifications to be applied in order to give effect to Cross</w:t>
      </w:r>
      <w:r>
        <w:noBreakHyphen/>
        <w:t>border Justice Act 2008: section altered 1 Nov 2009. See endnote 1M.]</w:t>
      </w:r>
    </w:p>
    <w:p>
      <w:pPr>
        <w:pStyle w:val="Heading5"/>
        <w:keepNext w:val="0"/>
        <w:keepLines w:val="0"/>
        <w:pageBreakBefore/>
        <w:spacing w:before="0"/>
        <w:rPr>
          <w:snapToGrid w:val="0"/>
        </w:rPr>
      </w:pPr>
      <w:bookmarkStart w:id="390" w:name="_Toc43971828"/>
      <w:bookmarkStart w:id="391" w:name="_Toc41031497"/>
      <w:r>
        <w:rPr>
          <w:rStyle w:val="CharSectno"/>
        </w:rPr>
        <w:t>86</w:t>
      </w:r>
      <w:r>
        <w:rPr>
          <w:snapToGrid w:val="0"/>
        </w:rPr>
        <w:t>.</w:t>
      </w:r>
      <w:r>
        <w:rPr>
          <w:snapToGrid w:val="0"/>
        </w:rPr>
        <w:tab/>
        <w:t>Consequence of escape or of failure to comply with absence permit or order</w:t>
      </w:r>
      <w:bookmarkEnd w:id="390"/>
      <w:bookmarkEnd w:id="391"/>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No. 65 of 2006 s. 31.]</w:t>
      </w:r>
    </w:p>
    <w:p>
      <w:pPr>
        <w:pStyle w:val="Footnotesection"/>
      </w:pPr>
      <w:r>
        <w:tab/>
        <w:t>[Section 86. Modifications to be applied in order to give effect to Cross</w:t>
      </w:r>
      <w:r>
        <w:noBreakHyphen/>
        <w:t>border Justice Act 2008: section altered 1 Nov 2009. See endnote 1M.]</w:t>
      </w:r>
    </w:p>
    <w:p>
      <w:pPr>
        <w:pStyle w:val="Heading5"/>
      </w:pPr>
      <w:bookmarkStart w:id="392" w:name="_Toc43971829"/>
      <w:bookmarkStart w:id="393" w:name="_Toc41031498"/>
      <w:r>
        <w:rPr>
          <w:rStyle w:val="CharSectno"/>
        </w:rPr>
        <w:t>87</w:t>
      </w:r>
      <w:r>
        <w:t>.</w:t>
      </w:r>
      <w:r>
        <w:tab/>
        <w:t>Regulations about absences from prison</w:t>
      </w:r>
      <w:bookmarkEnd w:id="392"/>
      <w:bookmarkEnd w:id="393"/>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keepNext/>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No. 65 of 2006 s. 31.]</w:t>
      </w:r>
    </w:p>
    <w:p>
      <w:pPr>
        <w:pStyle w:val="Heading5"/>
      </w:pPr>
      <w:bookmarkStart w:id="394" w:name="_Toc43971830"/>
      <w:bookmarkStart w:id="395" w:name="_Toc41031499"/>
      <w:r>
        <w:rPr>
          <w:rStyle w:val="CharSectno"/>
        </w:rPr>
        <w:t>88</w:t>
      </w:r>
      <w:r>
        <w:t>.</w:t>
      </w:r>
      <w:r>
        <w:tab/>
        <w:t>Interstate arrangements</w:t>
      </w:r>
      <w:bookmarkEnd w:id="394"/>
      <w:bookmarkEnd w:id="395"/>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No. 65 of 2006 s. 31.]</w:t>
      </w:r>
    </w:p>
    <w:p>
      <w:pPr>
        <w:pStyle w:val="Ednotesection"/>
      </w:pPr>
      <w:r>
        <w:t>[</w:t>
      </w:r>
      <w:r>
        <w:rPr>
          <w:b/>
          <w:bCs/>
        </w:rPr>
        <w:t>89</w:t>
      </w:r>
      <w:r>
        <w:rPr>
          <w:b/>
          <w:bCs/>
        </w:rPr>
        <w:noBreakHyphen/>
        <w:t>94.</w:t>
      </w:r>
      <w:r>
        <w:tab/>
        <w:t>Deleted: No. 65 of 2006 s. 31.]</w:t>
      </w:r>
    </w:p>
    <w:p>
      <w:pPr>
        <w:pStyle w:val="Heading2"/>
      </w:pPr>
      <w:bookmarkStart w:id="396" w:name="_Toc43906437"/>
      <w:bookmarkStart w:id="397" w:name="_Toc43907509"/>
      <w:bookmarkStart w:id="398" w:name="_Toc43971831"/>
      <w:bookmarkStart w:id="399" w:name="_Toc41031500"/>
      <w:r>
        <w:rPr>
          <w:rStyle w:val="CharPartNo"/>
        </w:rPr>
        <w:t>Part IX</w:t>
      </w:r>
      <w:r>
        <w:rPr>
          <w:b w:val="0"/>
        </w:rPr>
        <w:t> </w:t>
      </w:r>
      <w:r>
        <w:t>—</w:t>
      </w:r>
      <w:r>
        <w:rPr>
          <w:b w:val="0"/>
        </w:rPr>
        <w:t> </w:t>
      </w:r>
      <w:r>
        <w:rPr>
          <w:rStyle w:val="CharPartText"/>
        </w:rPr>
        <w:t>Prisoner wellbeing and rehabilitation</w:t>
      </w:r>
      <w:bookmarkEnd w:id="396"/>
      <w:bookmarkEnd w:id="397"/>
      <w:bookmarkEnd w:id="398"/>
      <w:bookmarkEnd w:id="399"/>
    </w:p>
    <w:p>
      <w:pPr>
        <w:pStyle w:val="Footnoteheading"/>
      </w:pPr>
      <w:r>
        <w:tab/>
        <w:t>[Heading inserted: No. 65 of 2006 s. 32.]</w:t>
      </w:r>
    </w:p>
    <w:p>
      <w:pPr>
        <w:pStyle w:val="Heading5"/>
        <w:rPr>
          <w:snapToGrid w:val="0"/>
        </w:rPr>
      </w:pPr>
      <w:bookmarkStart w:id="400" w:name="_Toc43971832"/>
      <w:bookmarkStart w:id="401" w:name="_Toc41031501"/>
      <w:r>
        <w:rPr>
          <w:rStyle w:val="CharSectno"/>
        </w:rPr>
        <w:t>95</w:t>
      </w:r>
      <w:r>
        <w:rPr>
          <w:snapToGrid w:val="0"/>
        </w:rPr>
        <w:t>.</w:t>
      </w:r>
      <w:r>
        <w:rPr>
          <w:snapToGrid w:val="0"/>
        </w:rPr>
        <w:tab/>
      </w:r>
      <w:r>
        <w:t>Preparation</w:t>
      </w:r>
      <w:r>
        <w:rPr>
          <w:snapToGrid w:val="0"/>
        </w:rPr>
        <w:t xml:space="preserve"> and implementation of activity programmes</w:t>
      </w:r>
      <w:bookmarkEnd w:id="400"/>
      <w:bookmarkEnd w:id="401"/>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No. 65 of 2006 s. 32.]</w:t>
      </w:r>
    </w:p>
    <w:p>
      <w:pPr>
        <w:pStyle w:val="Heading5"/>
      </w:pPr>
      <w:bookmarkStart w:id="402" w:name="_Toc43971833"/>
      <w:bookmarkStart w:id="403" w:name="_Toc41031502"/>
      <w:r>
        <w:rPr>
          <w:rStyle w:val="CharSectno"/>
        </w:rPr>
        <w:t>95A</w:t>
      </w:r>
      <w:r>
        <w:t>.</w:t>
      </w:r>
      <w:r>
        <w:tab/>
        <w:t>Medical care of prisoners</w:t>
      </w:r>
      <w:bookmarkEnd w:id="402"/>
      <w:bookmarkEnd w:id="403"/>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No. 65 of 2006 s. 32.]</w:t>
      </w:r>
    </w:p>
    <w:p>
      <w:pPr>
        <w:pStyle w:val="Heading5"/>
      </w:pPr>
      <w:bookmarkStart w:id="404" w:name="_Toc43971834"/>
      <w:bookmarkStart w:id="405" w:name="_Toc41031503"/>
      <w:r>
        <w:rPr>
          <w:rStyle w:val="CharSectno"/>
        </w:rPr>
        <w:t>95B</w:t>
      </w:r>
      <w:r>
        <w:t>.</w:t>
      </w:r>
      <w:r>
        <w:tab/>
        <w:t>Duties of medical officers</w:t>
      </w:r>
      <w:bookmarkEnd w:id="404"/>
      <w:bookmarkEnd w:id="405"/>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No. 65 of 2006 s. 32.]</w:t>
      </w:r>
    </w:p>
    <w:p>
      <w:pPr>
        <w:pStyle w:val="Heading5"/>
      </w:pPr>
      <w:bookmarkStart w:id="406" w:name="_Toc43971835"/>
      <w:bookmarkStart w:id="407" w:name="_Toc41031504"/>
      <w:r>
        <w:rPr>
          <w:rStyle w:val="CharSectno"/>
        </w:rPr>
        <w:t>95C</w:t>
      </w:r>
      <w:r>
        <w:t>.</w:t>
      </w:r>
      <w:r>
        <w:tab/>
        <w:t>Health inspection of prisons</w:t>
      </w:r>
      <w:bookmarkEnd w:id="406"/>
      <w:bookmarkEnd w:id="407"/>
      <w:r>
        <w:t xml:space="preserve"> </w:t>
      </w:r>
    </w:p>
    <w:p>
      <w:pPr>
        <w:pStyle w:val="Subsection"/>
      </w:pPr>
      <w:r>
        <w:tab/>
        <w:t>(1)</w:t>
      </w:r>
      <w:r>
        <w:tab/>
        <w:t xml:space="preserve">In this section — </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Subsection"/>
      </w:pPr>
      <w:r>
        <w:tab/>
        <w:t>(2)</w:t>
      </w:r>
      <w:r>
        <w:tab/>
        <w:t>The Chief Health Officer is to cause the health and hygiene standards and conditions at every prison to be inspected from time to time.</w:t>
      </w:r>
    </w:p>
    <w:p>
      <w:pPr>
        <w:pStyle w:val="Subsection"/>
      </w:pPr>
      <w:r>
        <w:tab/>
        <w:t>(3)</w:t>
      </w:r>
      <w:r>
        <w:tab/>
        <w:t>Following the inspection of a prison under subsection (2) the Chief Health Officer is to report in writing to the chief executive officer any matter concerned with health and hygiene standards and conditions at the prison which, in the opinion of the Chief Health Officer, requires attention.</w:t>
      </w:r>
    </w:p>
    <w:p>
      <w:pPr>
        <w:pStyle w:val="Footnotesection"/>
      </w:pPr>
      <w:r>
        <w:tab/>
        <w:t>[Section 95C inserted: No. 65 of 2006 s. 32; amended: No. 19 of 2016 s. 181.]</w:t>
      </w:r>
    </w:p>
    <w:p>
      <w:pPr>
        <w:pStyle w:val="Heading5"/>
        <w:rPr>
          <w:snapToGrid w:val="0"/>
        </w:rPr>
      </w:pPr>
      <w:bookmarkStart w:id="408" w:name="_Toc43971836"/>
      <w:bookmarkStart w:id="409" w:name="_Toc41031505"/>
      <w:r>
        <w:rPr>
          <w:rStyle w:val="CharSectno"/>
        </w:rPr>
        <w:t>95D</w:t>
      </w:r>
      <w:r>
        <w:rPr>
          <w:snapToGrid w:val="0"/>
        </w:rPr>
        <w:t>.</w:t>
      </w:r>
      <w:r>
        <w:rPr>
          <w:snapToGrid w:val="0"/>
        </w:rPr>
        <w:tab/>
        <w:t>Power of medical examination and treatment</w:t>
      </w:r>
      <w:bookmarkEnd w:id="408"/>
      <w:bookmarkEnd w:id="409"/>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No. 65 of 2006 s. 32.]</w:t>
      </w:r>
    </w:p>
    <w:p>
      <w:pPr>
        <w:pStyle w:val="Heading5"/>
        <w:rPr>
          <w:snapToGrid w:val="0"/>
        </w:rPr>
      </w:pPr>
      <w:bookmarkStart w:id="410" w:name="_Toc43971837"/>
      <w:bookmarkStart w:id="411" w:name="_Toc41031506"/>
      <w:r>
        <w:rPr>
          <w:rStyle w:val="CharSectno"/>
        </w:rPr>
        <w:t>95E</w:t>
      </w:r>
      <w:r>
        <w:rPr>
          <w:snapToGrid w:val="0"/>
        </w:rPr>
        <w:t>.</w:t>
      </w:r>
      <w:r>
        <w:rPr>
          <w:snapToGrid w:val="0"/>
        </w:rPr>
        <w:tab/>
        <w:t>Practice of religion or spiritual beliefs by prisoners</w:t>
      </w:r>
      <w:bookmarkEnd w:id="410"/>
      <w:bookmarkEnd w:id="411"/>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No. 65 of 2006 s. 32.]</w:t>
      </w:r>
    </w:p>
    <w:p>
      <w:pPr>
        <w:pStyle w:val="Heading2"/>
      </w:pPr>
      <w:bookmarkStart w:id="412" w:name="_Toc43906444"/>
      <w:bookmarkStart w:id="413" w:name="_Toc43907516"/>
      <w:bookmarkStart w:id="414" w:name="_Toc43971838"/>
      <w:bookmarkStart w:id="415" w:name="_Toc41031507"/>
      <w:r>
        <w:rPr>
          <w:rStyle w:val="CharPartNo"/>
        </w:rPr>
        <w:t>Part X</w:t>
      </w:r>
      <w:r>
        <w:rPr>
          <w:b w:val="0"/>
        </w:rPr>
        <w:t> </w:t>
      </w:r>
      <w:r>
        <w:t>—</w:t>
      </w:r>
      <w:r>
        <w:rPr>
          <w:b w:val="0"/>
        </w:rPr>
        <w:t> </w:t>
      </w:r>
      <w:r>
        <w:rPr>
          <w:rStyle w:val="CharPartText"/>
        </w:rPr>
        <w:t>Discipline of prison officers</w:t>
      </w:r>
      <w:bookmarkEnd w:id="412"/>
      <w:bookmarkEnd w:id="413"/>
      <w:bookmarkEnd w:id="414"/>
      <w:bookmarkEnd w:id="415"/>
    </w:p>
    <w:p>
      <w:pPr>
        <w:pStyle w:val="Footnoteheading"/>
      </w:pPr>
      <w:r>
        <w:tab/>
        <w:t>[Heading inserted: No. 29 of 2014 s. 7.]</w:t>
      </w:r>
    </w:p>
    <w:p>
      <w:pPr>
        <w:pStyle w:val="Heading3"/>
      </w:pPr>
      <w:bookmarkStart w:id="416" w:name="_Toc43906445"/>
      <w:bookmarkStart w:id="417" w:name="_Toc43907517"/>
      <w:bookmarkStart w:id="418" w:name="_Toc43971839"/>
      <w:bookmarkStart w:id="419" w:name="_Toc41031508"/>
      <w:r>
        <w:rPr>
          <w:rStyle w:val="CharDivNo"/>
        </w:rPr>
        <w:t>Division 1</w:t>
      </w:r>
      <w:r>
        <w:t> — </w:t>
      </w:r>
      <w:r>
        <w:rPr>
          <w:rStyle w:val="CharDivText"/>
        </w:rPr>
        <w:t>Preliminary</w:t>
      </w:r>
      <w:bookmarkEnd w:id="416"/>
      <w:bookmarkEnd w:id="417"/>
      <w:bookmarkEnd w:id="418"/>
      <w:bookmarkEnd w:id="419"/>
    </w:p>
    <w:p>
      <w:pPr>
        <w:pStyle w:val="Footnoteheading"/>
      </w:pPr>
      <w:r>
        <w:tab/>
        <w:t>[Heading inserted: No. 29 of 2014 s. 7.]</w:t>
      </w:r>
    </w:p>
    <w:p>
      <w:pPr>
        <w:pStyle w:val="Heading5"/>
      </w:pPr>
      <w:bookmarkStart w:id="420" w:name="_Toc43971840"/>
      <w:bookmarkStart w:id="421" w:name="_Toc41031509"/>
      <w:r>
        <w:rPr>
          <w:rStyle w:val="CharSectno"/>
        </w:rPr>
        <w:t>96</w:t>
      </w:r>
      <w:r>
        <w:t>.</w:t>
      </w:r>
      <w:r>
        <w:tab/>
        <w:t>Term used: prison officer</w:t>
      </w:r>
      <w:bookmarkEnd w:id="420"/>
      <w:bookmarkEnd w:id="421"/>
    </w:p>
    <w:p>
      <w:pPr>
        <w:pStyle w:val="Subsection"/>
        <w:rPr>
          <w:snapToGrid w:val="0"/>
        </w:rPr>
      </w:pPr>
      <w:r>
        <w:rPr>
          <w:snapToGrid w:val="0"/>
        </w:rPr>
        <w:tab/>
      </w:r>
      <w:r>
        <w:rPr>
          <w:snapToGrid w:val="0"/>
        </w:rPr>
        <w:tab/>
        <w:t>In this Part — </w:t>
      </w:r>
    </w:p>
    <w:p>
      <w:pPr>
        <w:pStyle w:val="Defstart"/>
      </w:pPr>
      <w:r>
        <w:tab/>
      </w:r>
      <w:r>
        <w:rPr>
          <w:rStyle w:val="CharDefText"/>
        </w:rPr>
        <w:t>prison officer</w:t>
      </w:r>
      <w:r>
        <w:t xml:space="preserve"> means a person engaged to be a prison officer under section 13(1).</w:t>
      </w:r>
    </w:p>
    <w:p>
      <w:pPr>
        <w:pStyle w:val="Footnotesection"/>
      </w:pPr>
      <w:r>
        <w:tab/>
        <w:t>[Section 96 inserted: No. 29 of 2014 s. 7.]</w:t>
      </w:r>
    </w:p>
    <w:p>
      <w:pPr>
        <w:pStyle w:val="Heading3"/>
      </w:pPr>
      <w:bookmarkStart w:id="422" w:name="_Toc43906447"/>
      <w:bookmarkStart w:id="423" w:name="_Toc43907519"/>
      <w:bookmarkStart w:id="424" w:name="_Toc43971841"/>
      <w:bookmarkStart w:id="425" w:name="_Toc41031510"/>
      <w:r>
        <w:rPr>
          <w:rStyle w:val="CharDivNo"/>
        </w:rPr>
        <w:t>Division 2</w:t>
      </w:r>
      <w:r>
        <w:t> — </w:t>
      </w:r>
      <w:r>
        <w:rPr>
          <w:rStyle w:val="CharDivText"/>
        </w:rPr>
        <w:t>General discipline</w:t>
      </w:r>
      <w:bookmarkEnd w:id="422"/>
      <w:bookmarkEnd w:id="423"/>
      <w:bookmarkEnd w:id="424"/>
      <w:bookmarkEnd w:id="425"/>
    </w:p>
    <w:p>
      <w:pPr>
        <w:pStyle w:val="Footnoteheading"/>
      </w:pPr>
      <w:r>
        <w:tab/>
        <w:t>[Heading inserted: No. 29 of 2014 s. 7.]</w:t>
      </w:r>
    </w:p>
    <w:p>
      <w:pPr>
        <w:pStyle w:val="Heading5"/>
      </w:pPr>
      <w:bookmarkStart w:id="426" w:name="_Toc43971842"/>
      <w:bookmarkStart w:id="427" w:name="_Toc41031511"/>
      <w:r>
        <w:rPr>
          <w:rStyle w:val="CharSectno"/>
        </w:rPr>
        <w:t>97</w:t>
      </w:r>
      <w:r>
        <w:t>.</w:t>
      </w:r>
      <w:r>
        <w:tab/>
        <w:t>Regulations, rules to be strictly observed</w:t>
      </w:r>
      <w:bookmarkEnd w:id="426"/>
      <w:bookmarkEnd w:id="427"/>
      <w:r>
        <w:t xml:space="preserve"> </w:t>
      </w:r>
    </w:p>
    <w:p>
      <w:pPr>
        <w:pStyle w:val="Subsection"/>
        <w:rPr>
          <w:snapToGrid w:val="0"/>
        </w:rPr>
      </w:pPr>
      <w:r>
        <w:rPr>
          <w:snapToGrid w:val="0"/>
        </w:rPr>
        <w:tab/>
      </w:r>
      <w:r>
        <w:rPr>
          <w:snapToGrid w:val="0"/>
        </w:rPr>
        <w:tab/>
        <w:t>A prison officer must use his or her best endeavours to ensure that this Act, regulations made under this Act, rules and standing orders are strictly observed.</w:t>
      </w:r>
    </w:p>
    <w:p>
      <w:pPr>
        <w:pStyle w:val="Footnotesection"/>
      </w:pPr>
      <w:r>
        <w:tab/>
        <w:t>[Section 97 inserted: No. 29 of 2014 s. 7.]</w:t>
      </w:r>
    </w:p>
    <w:p>
      <w:pPr>
        <w:pStyle w:val="Heading5"/>
      </w:pPr>
      <w:bookmarkStart w:id="428" w:name="_Toc43971843"/>
      <w:bookmarkStart w:id="429" w:name="_Toc41031512"/>
      <w:r>
        <w:rPr>
          <w:rStyle w:val="CharSectno"/>
        </w:rPr>
        <w:t>98</w:t>
      </w:r>
      <w:r>
        <w:t>.</w:t>
      </w:r>
      <w:r>
        <w:tab/>
        <w:t xml:space="preserve">Application of </w:t>
      </w:r>
      <w:r>
        <w:rPr>
          <w:i/>
        </w:rPr>
        <w:t>Public Sector Management Act 1994</w:t>
      </w:r>
      <w:r>
        <w:t xml:space="preserve"> Part 5</w:t>
      </w:r>
      <w:bookmarkEnd w:id="428"/>
      <w:bookmarkEnd w:id="429"/>
    </w:p>
    <w:p>
      <w:pPr>
        <w:pStyle w:val="Subsection"/>
      </w:pPr>
      <w:r>
        <w:tab/>
      </w:r>
      <w:r>
        <w:tab/>
        <w:t xml:space="preserve">Prison officers are prescribed for the purposes of the </w:t>
      </w:r>
      <w:r>
        <w:rPr>
          <w:i/>
        </w:rPr>
        <w:t>Public Sector Management Act 1994</w:t>
      </w:r>
      <w:r>
        <w:t xml:space="preserve"> section 76(1)(b).</w:t>
      </w:r>
    </w:p>
    <w:p>
      <w:pPr>
        <w:pStyle w:val="Footnotesection"/>
      </w:pPr>
      <w:r>
        <w:tab/>
        <w:t>[Section 98 inserted: No. 29 of 2014 s. 7.]</w:t>
      </w:r>
    </w:p>
    <w:p>
      <w:pPr>
        <w:pStyle w:val="Heading3"/>
        <w:keepNext w:val="0"/>
        <w:pageBreakBefore/>
        <w:spacing w:before="0"/>
      </w:pPr>
      <w:bookmarkStart w:id="430" w:name="_Toc43906450"/>
      <w:bookmarkStart w:id="431" w:name="_Toc43907522"/>
      <w:bookmarkStart w:id="432" w:name="_Toc43971844"/>
      <w:bookmarkStart w:id="433" w:name="_Toc41031513"/>
      <w:r>
        <w:rPr>
          <w:rStyle w:val="CharDivNo"/>
        </w:rPr>
        <w:t>Division 3</w:t>
      </w:r>
      <w:r>
        <w:t> — </w:t>
      </w:r>
      <w:r>
        <w:rPr>
          <w:rStyle w:val="CharDivText"/>
        </w:rPr>
        <w:t>Removal of prison officers due to loss of confidence</w:t>
      </w:r>
      <w:bookmarkEnd w:id="430"/>
      <w:bookmarkEnd w:id="431"/>
      <w:bookmarkEnd w:id="432"/>
      <w:bookmarkEnd w:id="433"/>
    </w:p>
    <w:p>
      <w:pPr>
        <w:pStyle w:val="Footnoteheading"/>
      </w:pPr>
      <w:r>
        <w:tab/>
        <w:t>[Heading inserted: No. 29 of 2014 s. 7.]</w:t>
      </w:r>
    </w:p>
    <w:p>
      <w:pPr>
        <w:pStyle w:val="Heading4"/>
      </w:pPr>
      <w:bookmarkStart w:id="434" w:name="_Toc43906451"/>
      <w:bookmarkStart w:id="435" w:name="_Toc43907523"/>
      <w:bookmarkStart w:id="436" w:name="_Toc43971845"/>
      <w:bookmarkStart w:id="437" w:name="_Toc41031514"/>
      <w:r>
        <w:t>Subdivision 1 — Preliminary</w:t>
      </w:r>
      <w:bookmarkEnd w:id="434"/>
      <w:bookmarkEnd w:id="435"/>
      <w:bookmarkEnd w:id="436"/>
      <w:bookmarkEnd w:id="437"/>
    </w:p>
    <w:p>
      <w:pPr>
        <w:pStyle w:val="Footnoteheading"/>
      </w:pPr>
      <w:r>
        <w:tab/>
        <w:t>[Heading inserted: No. 29 of 2014 s. 7.]</w:t>
      </w:r>
    </w:p>
    <w:p>
      <w:pPr>
        <w:pStyle w:val="Heading5"/>
      </w:pPr>
      <w:bookmarkStart w:id="438" w:name="_Toc43971846"/>
      <w:bookmarkStart w:id="439" w:name="_Toc41031515"/>
      <w:r>
        <w:rPr>
          <w:rStyle w:val="CharSectno"/>
        </w:rPr>
        <w:t>99</w:t>
      </w:r>
      <w:r>
        <w:t>.</w:t>
      </w:r>
      <w:r>
        <w:tab/>
        <w:t>Terms used</w:t>
      </w:r>
      <w:bookmarkEnd w:id="438"/>
      <w:bookmarkEnd w:id="439"/>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106;</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102(3)(b);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103(1);</w:t>
      </w:r>
    </w:p>
    <w:p>
      <w:pPr>
        <w:pStyle w:val="Defstart"/>
      </w:pPr>
      <w:r>
        <w:tab/>
      </w:r>
      <w:r>
        <w:rPr>
          <w:rStyle w:val="CharDefText"/>
        </w:rPr>
        <w:t>maintenance period</w:t>
      </w:r>
      <w:r>
        <w:t xml:space="preserve"> has the meaning given in section 103(1);</w:t>
      </w:r>
    </w:p>
    <w:p>
      <w:pPr>
        <w:pStyle w:val="Defstart"/>
      </w:pPr>
      <w:r>
        <w:tab/>
      </w:r>
      <w:r>
        <w:rPr>
          <w:rStyle w:val="CharDefText"/>
        </w:rPr>
        <w:t>new evidence</w:t>
      </w:r>
      <w:r>
        <w:t xml:space="preserve">, on an appeal against the removal of a prison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102(1);</w:t>
      </w:r>
    </w:p>
    <w:p>
      <w:pPr>
        <w:pStyle w:val="Defpara"/>
      </w:pPr>
      <w:r>
        <w:tab/>
        <w:t>(c)</w:t>
      </w:r>
      <w:r>
        <w:tab/>
        <w:t>a written submission made to the chief executive officer by the prison officer under section 102(2);</w:t>
      </w:r>
    </w:p>
    <w:p>
      <w:pPr>
        <w:pStyle w:val="Defpara"/>
      </w:pPr>
      <w:r>
        <w:tab/>
        <w:t>(d)</w:t>
      </w:r>
      <w:r>
        <w:tab/>
        <w:t>a decision notice;</w:t>
      </w:r>
    </w:p>
    <w:p>
      <w:pPr>
        <w:pStyle w:val="Defpara"/>
      </w:pPr>
      <w:r>
        <w:tab/>
        <w:t>(e)</w:t>
      </w:r>
      <w:r>
        <w:tab/>
        <w:t>a notification of the removal;</w:t>
      </w:r>
    </w:p>
    <w:p>
      <w:pPr>
        <w:pStyle w:val="Defstart"/>
      </w:pPr>
      <w:r>
        <w:tab/>
      </w:r>
      <w:r>
        <w:rPr>
          <w:rStyle w:val="CharDefText"/>
        </w:rPr>
        <w:t>prison officer</w:t>
      </w:r>
      <w:r>
        <w:t xml:space="preserve"> includes a superintendent, or other officer with custodial functions, appointed under section 6(3);</w:t>
      </w:r>
    </w:p>
    <w:p>
      <w:pPr>
        <w:pStyle w:val="Defstart"/>
      </w:pPr>
      <w:r>
        <w:tab/>
      </w:r>
      <w:r>
        <w:rPr>
          <w:rStyle w:val="CharDefText"/>
        </w:rPr>
        <w:t>removal action</w:t>
      </w:r>
      <w:r>
        <w:t xml:space="preserve"> has the meaning given in section 101;</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prison officer</w:t>
      </w:r>
      <w:r>
        <w:t xml:space="preserve"> means suitability to continue as a prison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99 inserted: No. 29 of 2014 s. 7.]</w:t>
      </w:r>
    </w:p>
    <w:p>
      <w:pPr>
        <w:pStyle w:val="Heading4"/>
      </w:pPr>
      <w:bookmarkStart w:id="440" w:name="_Toc43906453"/>
      <w:bookmarkStart w:id="441" w:name="_Toc43907525"/>
      <w:bookmarkStart w:id="442" w:name="_Toc43971847"/>
      <w:bookmarkStart w:id="443" w:name="_Toc41031516"/>
      <w:r>
        <w:t>Subdivision 2 — Removal of prison officers</w:t>
      </w:r>
      <w:bookmarkEnd w:id="440"/>
      <w:bookmarkEnd w:id="441"/>
      <w:bookmarkEnd w:id="442"/>
      <w:bookmarkEnd w:id="443"/>
    </w:p>
    <w:p>
      <w:pPr>
        <w:pStyle w:val="Footnoteheading"/>
      </w:pPr>
      <w:r>
        <w:tab/>
        <w:t>[Heading inserted: No. 29 of 2014 s. 7.]</w:t>
      </w:r>
    </w:p>
    <w:p>
      <w:pPr>
        <w:pStyle w:val="Heading5"/>
      </w:pPr>
      <w:bookmarkStart w:id="444" w:name="_Toc43971848"/>
      <w:bookmarkStart w:id="445" w:name="_Toc41031517"/>
      <w:r>
        <w:rPr>
          <w:rStyle w:val="CharSectno"/>
        </w:rPr>
        <w:t>100</w:t>
      </w:r>
      <w:r>
        <w:t>.</w:t>
      </w:r>
      <w:r>
        <w:tab/>
        <w:t>Application of Subdivision</w:t>
      </w:r>
      <w:bookmarkEnd w:id="444"/>
      <w:bookmarkEnd w:id="445"/>
    </w:p>
    <w:p>
      <w:pPr>
        <w:pStyle w:val="Subsection"/>
      </w:pPr>
      <w:r>
        <w:tab/>
        <w:t>(1)</w:t>
      </w:r>
      <w:r>
        <w:tab/>
        <w:t xml:space="preserve">This Subdivision applies if — </w:t>
      </w:r>
    </w:p>
    <w:p>
      <w:pPr>
        <w:pStyle w:val="Indenta"/>
      </w:pPr>
      <w:r>
        <w:tab/>
        <w:t>(a)</w:t>
      </w:r>
      <w:r>
        <w:tab/>
        <w:t>the chief executive officer does not have confidence in a prison officer’s suitability to continue as a prison officer; and</w:t>
      </w:r>
    </w:p>
    <w:p>
      <w:pPr>
        <w:pStyle w:val="Indenta"/>
      </w:pPr>
      <w:r>
        <w:tab/>
        <w:t>(b)</w:t>
      </w:r>
      <w:r>
        <w:tab/>
        <w:t xml:space="preserve">the chief executive officer — </w:t>
      </w:r>
    </w:p>
    <w:p>
      <w:pPr>
        <w:pStyle w:val="Indenti"/>
      </w:pPr>
      <w:r>
        <w:tab/>
        <w:t>(i)</w:t>
      </w:r>
      <w:r>
        <w:tab/>
        <w:t xml:space="preserve">decides not to take, or continue to take, disciplinary proceedings under the </w:t>
      </w:r>
      <w:r>
        <w:rPr>
          <w:i/>
        </w:rPr>
        <w:t>Public Sector Management Act 1994</w:t>
      </w:r>
      <w:r>
        <w:t xml:space="preserve"> Part 5 against a prison officer; and</w:t>
      </w:r>
    </w:p>
    <w:p>
      <w:pPr>
        <w:pStyle w:val="Indenti"/>
      </w:pPr>
      <w:r>
        <w:tab/>
        <w:t>(ii)</w:t>
      </w:r>
      <w:r>
        <w:tab/>
        <w:t>decides instead to take removal action in relation to the prison officer;</w:t>
      </w:r>
    </w:p>
    <w:p>
      <w:pPr>
        <w:pStyle w:val="Indenta"/>
      </w:pPr>
      <w:r>
        <w:tab/>
      </w:r>
      <w:r>
        <w:tab/>
        <w:t>and</w:t>
      </w:r>
    </w:p>
    <w:p>
      <w:pPr>
        <w:pStyle w:val="Indenta"/>
      </w:pPr>
      <w:r>
        <w:tab/>
        <w:t>(c)</w:t>
      </w:r>
      <w:r>
        <w:tab/>
        <w:t>in the case of a prison officer engaged under section 13(1), the Minister consents to the taking of removal action in relation to the prison officer.</w:t>
      </w:r>
    </w:p>
    <w:p>
      <w:pPr>
        <w:pStyle w:val="Subsection"/>
      </w:pPr>
      <w:r>
        <w:tab/>
        <w:t>(2)</w:t>
      </w:r>
      <w:r>
        <w:tab/>
        <w:t xml:space="preserve">This Subdivision applies despite the </w:t>
      </w:r>
      <w:r>
        <w:rPr>
          <w:i/>
        </w:rPr>
        <w:t xml:space="preserve">Public Sector Management Act 1994 </w:t>
      </w:r>
      <w:r>
        <w:t>section 76(2).</w:t>
      </w:r>
    </w:p>
    <w:p>
      <w:pPr>
        <w:pStyle w:val="Footnotesection"/>
      </w:pPr>
      <w:r>
        <w:tab/>
        <w:t>[Section 100 inserted: No. 29 of 2014 s. 7.]</w:t>
      </w:r>
    </w:p>
    <w:p>
      <w:pPr>
        <w:pStyle w:val="Heading5"/>
      </w:pPr>
      <w:bookmarkStart w:id="446" w:name="_Toc43971849"/>
      <w:bookmarkStart w:id="447" w:name="_Toc41031518"/>
      <w:r>
        <w:rPr>
          <w:rStyle w:val="CharSectno"/>
        </w:rPr>
        <w:t>101</w:t>
      </w:r>
      <w:r>
        <w:t>.</w:t>
      </w:r>
      <w:r>
        <w:tab/>
        <w:t>Removal action</w:t>
      </w:r>
      <w:bookmarkEnd w:id="446"/>
      <w:bookmarkEnd w:id="447"/>
    </w:p>
    <w:p>
      <w:pPr>
        <w:pStyle w:val="Subsection"/>
        <w:spacing w:before="120"/>
      </w:pPr>
      <w:r>
        <w:tab/>
        <w:t>(1)</w:t>
      </w:r>
      <w:r>
        <w:tab/>
        <w:t>If the chief executive officer does not have confidence in a prison officer’s suitability to continue as a prison officer, the chief executive officer may take the following action (</w:t>
      </w:r>
      <w:r>
        <w:rPr>
          <w:rStyle w:val="CharDefText"/>
        </w:rPr>
        <w:t>removal action</w:t>
      </w:r>
      <w:r>
        <w:t xml:space="preserve">) — </w:t>
      </w:r>
    </w:p>
    <w:p>
      <w:pPr>
        <w:pStyle w:val="Indenta"/>
      </w:pPr>
      <w:r>
        <w:tab/>
        <w:t>(a)</w:t>
      </w:r>
      <w:r>
        <w:tab/>
        <w:t>in the case of a prison officer appointed under section 6(3) — remove the prison officer;</w:t>
      </w:r>
    </w:p>
    <w:p>
      <w:pPr>
        <w:pStyle w:val="Indenta"/>
      </w:pPr>
      <w:r>
        <w:tab/>
        <w:t>(b)</w:t>
      </w:r>
      <w:r>
        <w:tab/>
        <w:t>in the case of a prison officer engaged under section 13(1) — recommend to the Minister that the prison officer be removed under section 13(3).</w:t>
      </w:r>
    </w:p>
    <w:p>
      <w:pPr>
        <w:pStyle w:val="Subsection"/>
        <w:spacing w:before="120"/>
      </w:pPr>
      <w:r>
        <w:tab/>
        <w:t>(2)</w:t>
      </w:r>
      <w:r>
        <w:tab/>
        <w:t xml:space="preserve">Subsection (1)(a) applies in addition to, and does not limit the operation of, the </w:t>
      </w:r>
      <w:r>
        <w:rPr>
          <w:i/>
        </w:rPr>
        <w:t>Public Sector Management Act 1994</w:t>
      </w:r>
      <w:r>
        <w:t>.</w:t>
      </w:r>
    </w:p>
    <w:p>
      <w:pPr>
        <w:pStyle w:val="Subsection"/>
        <w:spacing w:before="120"/>
      </w:pPr>
      <w:r>
        <w:tab/>
        <w:t>(3)</w:t>
      </w:r>
      <w:r>
        <w:tab/>
        <w:t>The chief executive officer may conduct any necessary investigation to determine a prison officer’s suitability to continue as a prison officer.</w:t>
      </w:r>
    </w:p>
    <w:p>
      <w:pPr>
        <w:pStyle w:val="Subsection"/>
        <w:spacing w:before="120"/>
      </w:pPr>
      <w:r>
        <w:tab/>
        <w:t>(4)</w:t>
      </w:r>
      <w:r>
        <w:tab/>
        <w:t xml:space="preserve">For the purpose of the investigation the chief executive officer may require the prison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prison officer.</w:t>
      </w:r>
    </w:p>
    <w:p>
      <w:pPr>
        <w:pStyle w:val="Subsection"/>
        <w:spacing w:before="120"/>
      </w:pPr>
      <w:r>
        <w:tab/>
        <w:t>(5)</w:t>
      </w:r>
      <w:r>
        <w:tab/>
        <w:t xml:space="preserve">The prison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prison officer; or </w:t>
      </w:r>
    </w:p>
    <w:p>
      <w:pPr>
        <w:pStyle w:val="Indenta"/>
      </w:pPr>
      <w:r>
        <w:tab/>
        <w:t>(b)</w:t>
      </w:r>
      <w:r>
        <w:tab/>
        <w:t>render the prison officer liable to a disciplinary measure under Division 2 or removal under this Division.</w:t>
      </w:r>
    </w:p>
    <w:p>
      <w:pPr>
        <w:pStyle w:val="Subsection"/>
        <w:spacing w:before="120"/>
      </w:pPr>
      <w:r>
        <w:tab/>
        <w:t>(6)</w:t>
      </w:r>
      <w:r>
        <w:tab/>
        <w:t>The information, answer or document is not admissible in evidence against the prison officer in any criminal proceedings except in proceedings for an offence under subsection (7).</w:t>
      </w:r>
    </w:p>
    <w:p>
      <w:pPr>
        <w:pStyle w:val="Subsection"/>
      </w:pPr>
      <w:r>
        <w:tab/>
        <w:t>(7)</w:t>
      </w:r>
      <w:r>
        <w:tab/>
        <w:t xml:space="preserve">A prison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prison officer knows is false or misleading in a material particular —</w:t>
      </w:r>
    </w:p>
    <w:p>
      <w:pPr>
        <w:pStyle w:val="Indenti"/>
      </w:pPr>
      <w:r>
        <w:tab/>
        <w:t>(i)</w:t>
      </w:r>
      <w:r>
        <w:tab/>
        <w:t>without indicating that the document is false or misleading and, to the extent the prison officer can, how the document is false or misleading; and</w:t>
      </w:r>
    </w:p>
    <w:p>
      <w:pPr>
        <w:pStyle w:val="Indenti"/>
      </w:pPr>
      <w:r>
        <w:tab/>
        <w:t>(ii)</w:t>
      </w:r>
      <w:r>
        <w:tab/>
        <w:t>if the prison officer has, or can reasonably obtain, the correct information — without providing the correct information.</w:t>
      </w:r>
    </w:p>
    <w:p>
      <w:pPr>
        <w:pStyle w:val="Penstart"/>
      </w:pPr>
      <w:r>
        <w:tab/>
        <w:t>Penalty</w:t>
      </w:r>
      <w:del w:id="448" w:author="svcMRProcess" w:date="2020-06-26T12:27:00Z">
        <w:r>
          <w:delText>:</w:delText>
        </w:r>
      </w:del>
      <w:ins w:id="449" w:author="svcMRProcess" w:date="2020-06-26T12:27:00Z">
        <w:r>
          <w:t xml:space="preserve"> for this subsection: imprisonment for 12 months and</w:t>
        </w:r>
      </w:ins>
      <w:r>
        <w:t xml:space="preserve"> a fine of $</w:t>
      </w:r>
      <w:del w:id="450" w:author="svcMRProcess" w:date="2020-06-26T12:27:00Z">
        <w:r>
          <w:delText>4</w:delText>
        </w:r>
      </w:del>
      <w:ins w:id="451" w:author="svcMRProcess" w:date="2020-06-26T12:27:00Z">
        <w:r>
          <w:t>6</w:t>
        </w:r>
      </w:ins>
      <w:r>
        <w:t> 000</w:t>
      </w:r>
      <w:del w:id="452" w:author="svcMRProcess" w:date="2020-06-26T12:27:00Z">
        <w:r>
          <w:delText xml:space="preserve"> or 12 months’ imprisonment, or both</w:delText>
        </w:r>
      </w:del>
      <w:r>
        <w:t>.</w:t>
      </w:r>
    </w:p>
    <w:p>
      <w:pPr>
        <w:pStyle w:val="Footnotesection"/>
      </w:pPr>
      <w:r>
        <w:tab/>
        <w:t>[Section 101 inserted: No. 29 of 2014 s. </w:t>
      </w:r>
      <w:del w:id="453" w:author="svcMRProcess" w:date="2020-06-26T12:27:00Z">
        <w:r>
          <w:delText>7</w:delText>
        </w:r>
      </w:del>
      <w:ins w:id="454" w:author="svcMRProcess" w:date="2020-06-26T12:27:00Z">
        <w:r>
          <w:t>7; amended: No. 20 of 2020 s. 21</w:t>
        </w:r>
      </w:ins>
      <w:r>
        <w:t>.]</w:t>
      </w:r>
    </w:p>
    <w:p>
      <w:pPr>
        <w:pStyle w:val="Heading5"/>
      </w:pPr>
      <w:bookmarkStart w:id="455" w:name="_Toc43971850"/>
      <w:bookmarkStart w:id="456" w:name="_Toc41031519"/>
      <w:r>
        <w:rPr>
          <w:rStyle w:val="CharSectno"/>
        </w:rPr>
        <w:t>102</w:t>
      </w:r>
      <w:r>
        <w:t>.</w:t>
      </w:r>
      <w:r>
        <w:tab/>
        <w:t>Notice of loss of confidence</w:t>
      </w:r>
      <w:bookmarkEnd w:id="455"/>
      <w:bookmarkEnd w:id="456"/>
    </w:p>
    <w:p>
      <w:pPr>
        <w:pStyle w:val="Subsection"/>
      </w:pPr>
      <w:r>
        <w:tab/>
        <w:t>(1)</w:t>
      </w:r>
      <w:r>
        <w:tab/>
        <w:t>The chief executive officer may give a prison officer a written notice setting out the grounds on which the chief executive officer does not have confidence in the prison officer’s suitability to continue as a prison officer.</w:t>
      </w:r>
    </w:p>
    <w:p>
      <w:pPr>
        <w:pStyle w:val="Subsection"/>
      </w:pPr>
      <w:r>
        <w:tab/>
        <w:t>(2)</w:t>
      </w:r>
      <w:r>
        <w:tab/>
        <w:t xml:space="preserve">The prison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keepNext/>
      </w:pPr>
      <w:r>
        <w:tab/>
        <w:t>(3)</w:t>
      </w:r>
      <w:r>
        <w:tab/>
        <w:t xml:space="preserve">After the submission period, the chief executive officer must — </w:t>
      </w:r>
    </w:p>
    <w:p>
      <w:pPr>
        <w:pStyle w:val="Indenta"/>
      </w:pPr>
      <w:r>
        <w:tab/>
        <w:t>(a)</w:t>
      </w:r>
      <w:r>
        <w:tab/>
        <w:t>decide whether or not to take removal action against the prison officer; and</w:t>
      </w:r>
    </w:p>
    <w:p>
      <w:pPr>
        <w:pStyle w:val="Indenta"/>
      </w:pPr>
      <w:r>
        <w:tab/>
        <w:t>(b)</w:t>
      </w:r>
      <w:r>
        <w:tab/>
        <w:t xml:space="preserve">give the prison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prison officer unless the chief executive officer — </w:t>
      </w:r>
    </w:p>
    <w:p>
      <w:pPr>
        <w:pStyle w:val="Indenta"/>
      </w:pPr>
      <w:r>
        <w:tab/>
        <w:t>(a)</w:t>
      </w:r>
      <w:r>
        <w:tab/>
        <w:t>has taken into account any written submissions received from the prison officer during the submission period; and</w:t>
      </w:r>
    </w:p>
    <w:p>
      <w:pPr>
        <w:pStyle w:val="Indenta"/>
      </w:pPr>
      <w:r>
        <w:tab/>
        <w:t>(b)</w:t>
      </w:r>
      <w:r>
        <w:tab/>
        <w:t>still does not have confidence in a prison officer’s suitability to continue as a prison officer.</w:t>
      </w:r>
    </w:p>
    <w:p>
      <w:pPr>
        <w:pStyle w:val="Subsection"/>
      </w:pPr>
      <w:r>
        <w:tab/>
        <w:t>(5)</w:t>
      </w:r>
      <w:r>
        <w:tab/>
        <w:t>If the chief executive officer decides to take removal action against the prison officer, the decision notice must contain the reasons for the decision.</w:t>
      </w:r>
    </w:p>
    <w:p>
      <w:pPr>
        <w:pStyle w:val="Subsection"/>
      </w:pPr>
      <w:r>
        <w:tab/>
        <w:t>(6)</w:t>
      </w:r>
      <w:r>
        <w:tab/>
        <w:t>Except as provided in the regulations, the chief executive officer must, within 7 days after giving the decision notice —</w:t>
      </w:r>
    </w:p>
    <w:p>
      <w:pPr>
        <w:pStyle w:val="Indenta"/>
      </w:pPr>
      <w:r>
        <w:tab/>
        <w:t>(a)</w:t>
      </w:r>
      <w:r>
        <w:tab/>
        <w:t xml:space="preserve">give to the prison officer a copy of any documents that were considered by the chief executive officer in making the decision; and </w:t>
      </w:r>
    </w:p>
    <w:p>
      <w:pPr>
        <w:pStyle w:val="Indenta"/>
      </w:pPr>
      <w:r>
        <w:tab/>
        <w:t>(b)</w:t>
      </w:r>
      <w:r>
        <w:tab/>
        <w:t>make available to the prison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102 inserted: No. 29 of 2014 s. 7.]</w:t>
      </w:r>
    </w:p>
    <w:p>
      <w:pPr>
        <w:pStyle w:val="Heading5"/>
        <w:spacing w:before="180"/>
      </w:pPr>
      <w:bookmarkStart w:id="457" w:name="_Toc43971851"/>
      <w:bookmarkStart w:id="458" w:name="_Toc41031520"/>
      <w:r>
        <w:rPr>
          <w:rStyle w:val="CharSectno"/>
        </w:rPr>
        <w:t>103</w:t>
      </w:r>
      <w:r>
        <w:t>.</w:t>
      </w:r>
      <w:r>
        <w:tab/>
        <w:t>Maintenance payment</w:t>
      </w:r>
      <w:bookmarkEnd w:id="457"/>
      <w:bookmarkEnd w:id="458"/>
    </w:p>
    <w:p>
      <w:pPr>
        <w:pStyle w:val="Subsection"/>
        <w:spacing w:before="120"/>
      </w:pPr>
      <w:r>
        <w:tab/>
        <w:t>(1)</w:t>
      </w:r>
      <w:r>
        <w:tab/>
        <w:t xml:space="preserve">If a prison officer is removed as a result of removal action, the prison officer is entitled to receive a payment (a </w:t>
      </w:r>
      <w:r>
        <w:rPr>
          <w:rStyle w:val="CharDefText"/>
        </w:rPr>
        <w:t>maintenance payment</w:t>
      </w:r>
      <w:r>
        <w:t xml:space="preserve">) for the period of 28 days after the day on which the prison officer is removed (the </w:t>
      </w:r>
      <w:r>
        <w:rPr>
          <w:rStyle w:val="CharDefText"/>
        </w:rPr>
        <w:t>maintenance period</w:t>
      </w:r>
      <w:r>
        <w:t>).</w:t>
      </w:r>
    </w:p>
    <w:p>
      <w:pPr>
        <w:pStyle w:val="Subsection"/>
        <w:spacing w:before="120"/>
      </w:pPr>
      <w:r>
        <w:tab/>
        <w:t>(2)</w:t>
      </w:r>
      <w:r>
        <w:tab/>
        <w:t>The Minister may, in exceptional circumstances, direct that a maintenance payment must be paid to the prison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prison officer at the time of the removal.</w:t>
      </w:r>
    </w:p>
    <w:p>
      <w:pPr>
        <w:pStyle w:val="Footnotesection"/>
      </w:pPr>
      <w:r>
        <w:tab/>
        <w:t>[Section 103 inserted: No. 29 of 2014 s. 7.]</w:t>
      </w:r>
    </w:p>
    <w:p>
      <w:pPr>
        <w:pStyle w:val="Heading5"/>
      </w:pPr>
      <w:bookmarkStart w:id="459" w:name="_Toc43971852"/>
      <w:bookmarkStart w:id="460" w:name="_Toc41031521"/>
      <w:r>
        <w:rPr>
          <w:rStyle w:val="CharSectno"/>
        </w:rPr>
        <w:t>104</w:t>
      </w:r>
      <w:r>
        <w:t>.</w:t>
      </w:r>
      <w:r>
        <w:tab/>
        <w:t>Withdrawal of removal action and revocation of removal</w:t>
      </w:r>
      <w:bookmarkEnd w:id="459"/>
      <w:bookmarkEnd w:id="460"/>
    </w:p>
    <w:p>
      <w:pPr>
        <w:pStyle w:val="Subsection"/>
      </w:pPr>
      <w:r>
        <w:tab/>
        <w:t>(1)</w:t>
      </w:r>
      <w:r>
        <w:tab/>
        <w:t>If removal action does not result in the removal of a prison officer, the chief executive officer may, by notice in writing to the prison officer, withdraw the removal action.</w:t>
      </w:r>
    </w:p>
    <w:p>
      <w:pPr>
        <w:pStyle w:val="Subsection"/>
      </w:pPr>
      <w:r>
        <w:tab/>
        <w:t>(2)</w:t>
      </w:r>
      <w:r>
        <w:tab/>
        <w:t>If a prison officer is removed as a result of removal action, the chief executive officer may, by notice in writing to the prison officer, revoke the removal.</w:t>
      </w:r>
    </w:p>
    <w:p>
      <w:pPr>
        <w:pStyle w:val="Subsection"/>
      </w:pPr>
      <w:r>
        <w:tab/>
        <w:t>(3)</w:t>
      </w:r>
      <w:r>
        <w:tab/>
        <w:t>Subsection (2) applies even if an appeal has been instituted against the removal.</w:t>
      </w:r>
    </w:p>
    <w:p>
      <w:pPr>
        <w:pStyle w:val="Subsection"/>
      </w:pPr>
      <w:r>
        <w:tab/>
        <w:t>(4)</w:t>
      </w:r>
      <w:r>
        <w:tab/>
        <w:t>Despite any other enactment, if the removal is revoked under subsection (2), the removal is to be taken to be of no effect and to have never had any effect.</w:t>
      </w:r>
    </w:p>
    <w:p>
      <w:pPr>
        <w:pStyle w:val="Subsection"/>
      </w:pPr>
      <w:r>
        <w:tab/>
        <w:t>(5)</w:t>
      </w:r>
      <w:r>
        <w:tab/>
        <w:t>If the chief executive officer revokes the removal of a prison officer under subsection (2), the prison officer is not entitled to be paid his or her salary for any period the prison officer received a maintenance payment.</w:t>
      </w:r>
    </w:p>
    <w:p>
      <w:pPr>
        <w:pStyle w:val="Footnotesection"/>
      </w:pPr>
      <w:r>
        <w:tab/>
        <w:t>[Section 104 inserted: No. 29 of 2014 s. 7.]</w:t>
      </w:r>
    </w:p>
    <w:p>
      <w:pPr>
        <w:pStyle w:val="Heading5"/>
      </w:pPr>
      <w:bookmarkStart w:id="461" w:name="_Toc43971853"/>
      <w:bookmarkStart w:id="462" w:name="_Toc41031522"/>
      <w:r>
        <w:rPr>
          <w:rStyle w:val="CharSectno"/>
        </w:rPr>
        <w:t>105</w:t>
      </w:r>
      <w:r>
        <w:t>.</w:t>
      </w:r>
      <w:r>
        <w:tab/>
        <w:t>Resignation of prison officer who has been removed</w:t>
      </w:r>
      <w:bookmarkEnd w:id="461"/>
      <w:bookmarkEnd w:id="462"/>
    </w:p>
    <w:p>
      <w:pPr>
        <w:pStyle w:val="Subsection"/>
      </w:pPr>
      <w:r>
        <w:tab/>
        <w:t>(1)</w:t>
      </w:r>
      <w:r>
        <w:tab/>
        <w:t>Even if a prison officer is removed as a result of removal action, the prison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prison officer resigns under subsection (1), the removal of the prison officer is to be taken to be of no effect and to have never had any effect.</w:t>
      </w:r>
    </w:p>
    <w:p>
      <w:pPr>
        <w:pStyle w:val="Footnotesection"/>
        <w:ind w:left="890" w:hanging="890"/>
      </w:pPr>
      <w:r>
        <w:tab/>
        <w:t>[Section 105 inserted: No. 29 of 2014 s. 7.]</w:t>
      </w:r>
    </w:p>
    <w:p>
      <w:pPr>
        <w:pStyle w:val="Heading4"/>
      </w:pPr>
      <w:bookmarkStart w:id="463" w:name="_Toc43906460"/>
      <w:bookmarkStart w:id="464" w:name="_Toc43907532"/>
      <w:bookmarkStart w:id="465" w:name="_Toc43971854"/>
      <w:bookmarkStart w:id="466" w:name="_Toc41031523"/>
      <w:r>
        <w:t>Subdivision 3 — Appeal against removal of prison officer</w:t>
      </w:r>
      <w:bookmarkEnd w:id="463"/>
      <w:bookmarkEnd w:id="464"/>
      <w:bookmarkEnd w:id="465"/>
      <w:bookmarkEnd w:id="466"/>
    </w:p>
    <w:p>
      <w:pPr>
        <w:pStyle w:val="Footnoteheading"/>
      </w:pPr>
      <w:r>
        <w:tab/>
        <w:t>[Heading inserted: No. 29 of 2014 s. 7.]</w:t>
      </w:r>
    </w:p>
    <w:p>
      <w:pPr>
        <w:pStyle w:val="Heading5"/>
      </w:pPr>
      <w:bookmarkStart w:id="467" w:name="_Toc43971855"/>
      <w:bookmarkStart w:id="468" w:name="_Toc41031524"/>
      <w:r>
        <w:rPr>
          <w:rStyle w:val="CharSectno"/>
        </w:rPr>
        <w:t>106</w:t>
      </w:r>
      <w:r>
        <w:t>.</w:t>
      </w:r>
      <w:r>
        <w:tab/>
        <w:t>Appeal right</w:t>
      </w:r>
      <w:bookmarkEnd w:id="467"/>
      <w:bookmarkEnd w:id="468"/>
    </w:p>
    <w:p>
      <w:pPr>
        <w:pStyle w:val="Subsection"/>
      </w:pPr>
      <w:r>
        <w:tab/>
        <w:t>(1)</w:t>
      </w:r>
      <w:r>
        <w:tab/>
        <w:t>If a prison officer is removed as a result of removal action, the prison officer may appeal to the WAIRC against the removal decision on the ground that it was harsh, oppressive or unfair.</w:t>
      </w:r>
    </w:p>
    <w:p>
      <w:pPr>
        <w:pStyle w:val="Subsection"/>
      </w:pPr>
      <w:r>
        <w:tab/>
        <w:t>(2)</w:t>
      </w:r>
      <w:r>
        <w:tab/>
        <w:t xml:space="preserve">The prison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prison officer has resigned under section 105(1).</w:t>
      </w:r>
    </w:p>
    <w:p>
      <w:pPr>
        <w:pStyle w:val="Subsection"/>
        <w:keepNext/>
      </w:pPr>
      <w:r>
        <w:tab/>
        <w:t>(4)</w:t>
      </w:r>
      <w:r>
        <w:tab/>
        <w:t xml:space="preserve">For the purposes of proceedings relating to the appeal, the WAIRC is to be constituted by not less than 3 industrial Commissioners, at least one of whom must be — </w:t>
      </w:r>
    </w:p>
    <w:p>
      <w:pPr>
        <w:pStyle w:val="Indenta"/>
      </w:pPr>
      <w:r>
        <w:tab/>
        <w:t>(a)</w:t>
      </w:r>
      <w:r>
        <w:tab/>
        <w:t>the Chief Commissioner; or</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prison officer and the chief executive officer.</w:t>
      </w:r>
    </w:p>
    <w:p>
      <w:pPr>
        <w:pStyle w:val="Subsection"/>
      </w:pPr>
      <w:r>
        <w:tab/>
        <w:t>(6)</w:t>
      </w:r>
      <w:r>
        <w:tab/>
        <w:t>The prison officer does not have any right of appeal against the removal decision other than under this section.</w:t>
      </w:r>
    </w:p>
    <w:p>
      <w:pPr>
        <w:pStyle w:val="Footnotesection"/>
      </w:pPr>
      <w:r>
        <w:tab/>
        <w:t>[Section 106 inserted: No. 29 of 2014 s. 7.]</w:t>
      </w:r>
    </w:p>
    <w:p>
      <w:pPr>
        <w:pStyle w:val="Heading5"/>
      </w:pPr>
      <w:bookmarkStart w:id="469" w:name="_Toc43971856"/>
      <w:bookmarkStart w:id="470" w:name="_Toc41031525"/>
      <w:r>
        <w:rPr>
          <w:rStyle w:val="CharSectno"/>
        </w:rPr>
        <w:t>107</w:t>
      </w:r>
      <w:r>
        <w:t>.</w:t>
      </w:r>
      <w:r>
        <w:tab/>
        <w:t>Proceedings on appeal</w:t>
      </w:r>
      <w:bookmarkEnd w:id="469"/>
      <w:bookmarkEnd w:id="470"/>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keepNext/>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prison officers; and</w:t>
      </w:r>
    </w:p>
    <w:p>
      <w:pPr>
        <w:pStyle w:val="Indenti"/>
      </w:pPr>
      <w:r>
        <w:tab/>
        <w:t>(ii)</w:t>
      </w:r>
      <w:r>
        <w:tab/>
        <w:t>the special nature of the relationship between the chief executive officer and prison officers.</w:t>
      </w:r>
    </w:p>
    <w:p>
      <w:pPr>
        <w:pStyle w:val="Footnotesection"/>
      </w:pPr>
      <w:r>
        <w:tab/>
        <w:t>[Section 107 inserted: No. 29 of 2014 s. 7.]</w:t>
      </w:r>
    </w:p>
    <w:p>
      <w:pPr>
        <w:pStyle w:val="Heading5"/>
      </w:pPr>
      <w:bookmarkStart w:id="471" w:name="_Toc43971857"/>
      <w:bookmarkStart w:id="472" w:name="_Toc41031526"/>
      <w:r>
        <w:rPr>
          <w:rStyle w:val="CharSectno"/>
        </w:rPr>
        <w:t>108</w:t>
      </w:r>
      <w:r>
        <w:t>.</w:t>
      </w:r>
      <w:r>
        <w:tab/>
        <w:t>Leave to tender new evidence on appeal</w:t>
      </w:r>
      <w:bookmarkEnd w:id="471"/>
      <w:bookmarkEnd w:id="472"/>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108 inserted: No. 29 of 2014 s. 7.]</w:t>
      </w:r>
    </w:p>
    <w:p>
      <w:pPr>
        <w:pStyle w:val="Heading5"/>
        <w:keepNext w:val="0"/>
        <w:keepLines w:val="0"/>
      </w:pPr>
      <w:bookmarkStart w:id="473" w:name="_Toc43971858"/>
      <w:bookmarkStart w:id="474" w:name="_Toc41031527"/>
      <w:r>
        <w:rPr>
          <w:rStyle w:val="CharSectno"/>
        </w:rPr>
        <w:t>109</w:t>
      </w:r>
      <w:r>
        <w:t>.</w:t>
      </w:r>
      <w:r>
        <w:tab/>
        <w:t>Opportunity to consider new evidence</w:t>
      </w:r>
      <w:bookmarkEnd w:id="473"/>
      <w:bookmarkEnd w:id="474"/>
    </w:p>
    <w:p>
      <w:pPr>
        <w:pStyle w:val="Subsection"/>
      </w:pPr>
      <w:r>
        <w:tab/>
        <w:t>(1)</w:t>
      </w:r>
      <w:r>
        <w:tab/>
        <w:t xml:space="preserve">If the chief executive officer is given leave to tender new evidence under section 108(2)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108(3), the WAIRC must give the chief executive officer a reasonable opportunity to consider the new evidence.</w:t>
      </w:r>
    </w:p>
    <w:p>
      <w:pPr>
        <w:pStyle w:val="Footnotesection"/>
      </w:pPr>
      <w:r>
        <w:tab/>
        <w:t>[Section 109 inserted: No. 29 of 2014 s. 7.]</w:t>
      </w:r>
    </w:p>
    <w:p>
      <w:pPr>
        <w:pStyle w:val="Heading5"/>
      </w:pPr>
      <w:bookmarkStart w:id="475" w:name="_Toc43971859"/>
      <w:bookmarkStart w:id="476" w:name="_Toc41031528"/>
      <w:r>
        <w:rPr>
          <w:rStyle w:val="CharSectno"/>
        </w:rPr>
        <w:t>110A</w:t>
      </w:r>
      <w:r>
        <w:t>.</w:t>
      </w:r>
      <w:r>
        <w:tab/>
        <w:t>Revocation of removal after consideration of new evidence</w:t>
      </w:r>
      <w:bookmarkEnd w:id="475"/>
      <w:bookmarkEnd w:id="476"/>
    </w:p>
    <w:p>
      <w:pPr>
        <w:pStyle w:val="Subsection"/>
      </w:pPr>
      <w:r>
        <w:tab/>
        <w:t>(1)</w:t>
      </w:r>
      <w:r>
        <w:tab/>
        <w:t xml:space="preserve">If, having considered any new evidence, the chief executive officer revokes the removal under section 104(2)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prison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110A inserted: No. 29 of 2014 s. 7.]</w:t>
      </w:r>
    </w:p>
    <w:p>
      <w:pPr>
        <w:pStyle w:val="Heading5"/>
      </w:pPr>
      <w:bookmarkStart w:id="477" w:name="_Toc43971860"/>
      <w:bookmarkStart w:id="478" w:name="_Toc41031529"/>
      <w:r>
        <w:rPr>
          <w:rStyle w:val="CharSectno"/>
        </w:rPr>
        <w:t>110B</w:t>
      </w:r>
      <w:r>
        <w:t>.</w:t>
      </w:r>
      <w:r>
        <w:tab/>
        <w:t xml:space="preserve">Application of </w:t>
      </w:r>
      <w:r>
        <w:rPr>
          <w:i/>
        </w:rPr>
        <w:t>Industrial Relations Act 1979</w:t>
      </w:r>
      <w:r>
        <w:t xml:space="preserve"> to appeals</w:t>
      </w:r>
      <w:bookmarkEnd w:id="477"/>
      <w:bookmarkEnd w:id="478"/>
    </w:p>
    <w:p>
      <w:pPr>
        <w:pStyle w:val="Subsection"/>
      </w:pPr>
      <w:r>
        <w:tab/>
      </w:r>
      <w:r>
        <w:tab/>
        <w:t xml:space="preserve">The provisions of the </w:t>
      </w:r>
      <w:r>
        <w:rPr>
          <w:i/>
        </w:rPr>
        <w:t>Industrial Relations Act 1979</w:t>
      </w:r>
      <w:r>
        <w:t xml:space="preserve"> listed in the Table apply to, and in relation to, an appeal and its determination, subject to — </w:t>
      </w:r>
    </w:p>
    <w:p>
      <w:pPr>
        <w:pStyle w:val="Indenta"/>
      </w:pPr>
      <w:r>
        <w:tab/>
        <w:t>(a)</w:t>
      </w:r>
      <w:r>
        <w:tab/>
        <w:t>any specific modifications set out in the Table; and</w:t>
      </w:r>
    </w:p>
    <w:p>
      <w:pPr>
        <w:pStyle w:val="Indenta"/>
      </w:pPr>
      <w:r>
        <w:tab/>
        <w:t>(b)</w:t>
      </w:r>
      <w:r>
        <w:tab/>
        <w:t>all other necessary modifications.</w:t>
      </w:r>
    </w:p>
    <w:p>
      <w:pPr>
        <w:pStyle w:val="zTHeadingNAm"/>
        <w:ind w:left="851"/>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2"/>
      </w:tblGrid>
      <w:tr>
        <w:trPr>
          <w:cantSplit/>
        </w:trPr>
        <w:tc>
          <w:tcPr>
            <w:tcW w:w="1843" w:type="dxa"/>
          </w:tcPr>
          <w:p>
            <w:pPr>
              <w:pStyle w:val="TableNAm"/>
            </w:pPr>
            <w:r>
              <w:t>s. 26(1)(a) and (b)</w:t>
            </w:r>
          </w:p>
        </w:tc>
        <w:tc>
          <w:tcPr>
            <w:tcW w:w="4252" w:type="dxa"/>
          </w:tcPr>
          <w:p>
            <w:pPr>
              <w:pStyle w:val="TableNAm"/>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pPr>
            <w:r>
              <w:t>s. 27(1)(b), (c), (d), (e), (f), (h), (ha), (hb), (l), (m), (n), (o) and (v)</w:t>
            </w:r>
          </w:p>
        </w:tc>
        <w:tc>
          <w:tcPr>
            <w:tcW w:w="4252" w:type="dxa"/>
          </w:tcPr>
          <w:p>
            <w:pPr>
              <w:pStyle w:val="TableNAm"/>
            </w:pPr>
          </w:p>
        </w:tc>
      </w:tr>
      <w:tr>
        <w:trPr>
          <w:cantSplit/>
        </w:trPr>
        <w:tc>
          <w:tcPr>
            <w:tcW w:w="1843" w:type="dxa"/>
          </w:tcPr>
          <w:p>
            <w:pPr>
              <w:pStyle w:val="TableNAm"/>
            </w:pPr>
            <w:r>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The section applies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ind w:left="1134" w:hanging="1134"/>
            </w:pPr>
            <w:r>
              <w:t>“</w:t>
            </w:r>
            <w:r>
              <w:tab/>
              <w:t>(b)</w:t>
            </w:r>
            <w:r>
              <w:tab/>
              <w:t>with the leave of the Commission, by an agent; or</w:t>
            </w:r>
          </w:p>
          <w:p>
            <w:pPr>
              <w:pStyle w:val="TableNAm"/>
              <w:rPr>
                <w:rStyle w:val="DraftersNotes"/>
                <w:b w:val="0"/>
                <w:i w:val="0"/>
                <w:sz w:val="22"/>
              </w:rPr>
            </w:pPr>
            <w:r>
              <w:tab/>
              <w:t>(c)      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Prisons Act 1981</w:t>
            </w:r>
            <w:r>
              <w:t xml:space="preserve"> section 106, the Commission may recommend that the parties to the appeal”.</w:t>
            </w:r>
          </w:p>
          <w:p>
            <w:pPr>
              <w:pStyle w:val="TableNAm"/>
            </w:pPr>
            <w:r>
              <w:t>References to “the matter” and “an industrial matter” are to be read as if they were references to “the appeal”.</w:t>
            </w:r>
          </w:p>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4252" w:type="dxa"/>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(4) to “no award, order, declaration, finding, or proceeding” is to be read as if it were a reference to “no decision, order, finding or proceeding”.</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The section does not apply in relation to costs and expenses, other than expenses of witnesses.</w:t>
            </w:r>
          </w:p>
        </w:tc>
      </w:tr>
      <w:tr>
        <w:trPr>
          <w:cantSplit/>
        </w:trPr>
        <w:tc>
          <w:tcPr>
            <w:tcW w:w="1843" w:type="dxa"/>
          </w:tcPr>
          <w:p>
            <w:pPr>
              <w:pStyle w:val="TableNAm"/>
              <w:keepLines/>
            </w:pPr>
            <w:r>
              <w:t>s. 90</w:t>
            </w:r>
          </w:p>
        </w:tc>
        <w:tc>
          <w:tcPr>
            <w:tcW w:w="4252" w:type="dxa"/>
          </w:tcPr>
          <w:p>
            <w:pPr>
              <w:pStyle w:val="TableNAm"/>
              <w:keepLines/>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Prisons Act 1981 </w:t>
            </w:r>
            <w:r>
              <w:t>section 110E”.</w:t>
            </w:r>
          </w:p>
        </w:tc>
      </w:tr>
    </w:tbl>
    <w:p>
      <w:pPr>
        <w:pStyle w:val="Footnotesection"/>
      </w:pPr>
      <w:r>
        <w:tab/>
        <w:t>[Section 110B inserted: No. 29 of 2014 s. 7; amended: No. 39 of 2018 s. 71.]</w:t>
      </w:r>
    </w:p>
    <w:p>
      <w:pPr>
        <w:pStyle w:val="Heading5"/>
      </w:pPr>
      <w:bookmarkStart w:id="479" w:name="_Toc43971861"/>
      <w:bookmarkStart w:id="480" w:name="_Toc41031530"/>
      <w:r>
        <w:rPr>
          <w:rStyle w:val="CharSectno"/>
        </w:rPr>
        <w:t>110C</w:t>
      </w:r>
      <w:r>
        <w:t>.</w:t>
      </w:r>
      <w:r>
        <w:tab/>
        <w:t>Adjournment of appeal if appellant charged with offence</w:t>
      </w:r>
      <w:bookmarkEnd w:id="479"/>
      <w:bookmarkEnd w:id="480"/>
    </w:p>
    <w:p>
      <w:pPr>
        <w:pStyle w:val="Subsection"/>
      </w:pPr>
      <w:r>
        <w:tab/>
        <w:t>(1)</w:t>
      </w:r>
      <w:r>
        <w:tab/>
        <w:t xml:space="preserve">The chief executive officer or an appellant may apply to the WAIRC for an adjournment of the hearing of an appeal if the appellant has been —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prison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110C inserted: No. 29 of 2014 s. 7.]</w:t>
      </w:r>
    </w:p>
    <w:p>
      <w:pPr>
        <w:pStyle w:val="Heading5"/>
      </w:pPr>
      <w:bookmarkStart w:id="481" w:name="_Toc43971862"/>
      <w:bookmarkStart w:id="482" w:name="_Toc41031531"/>
      <w:r>
        <w:rPr>
          <w:rStyle w:val="CharSectno"/>
        </w:rPr>
        <w:t>110D</w:t>
      </w:r>
      <w:r>
        <w:t>.</w:t>
      </w:r>
      <w:r>
        <w:tab/>
        <w:t>Resumption of appeal before end of adjournment</w:t>
      </w:r>
      <w:bookmarkEnd w:id="481"/>
      <w:bookmarkEnd w:id="482"/>
    </w:p>
    <w:p>
      <w:pPr>
        <w:pStyle w:val="Subsection"/>
      </w:pPr>
      <w:r>
        <w:tab/>
      </w:r>
      <w:r>
        <w:tab/>
        <w:t>If the charge is finally determined by a court or otherwise disposed of before the end of an adjournment under section 110C, the chief executive officer or the appellant may apply to the WAIRC for the hearing of the appeal to be resumed on a date specified by the WAIRC.</w:t>
      </w:r>
    </w:p>
    <w:p>
      <w:pPr>
        <w:pStyle w:val="Footnotesection"/>
      </w:pPr>
      <w:r>
        <w:tab/>
        <w:t>[Section 110D inserted: No. 29 of 2014 s. 7.]</w:t>
      </w:r>
    </w:p>
    <w:p>
      <w:pPr>
        <w:pStyle w:val="Heading5"/>
      </w:pPr>
      <w:bookmarkStart w:id="483" w:name="_Toc43971863"/>
      <w:bookmarkStart w:id="484" w:name="_Toc41031532"/>
      <w:r>
        <w:rPr>
          <w:rStyle w:val="CharSectno"/>
        </w:rPr>
        <w:t>110E</w:t>
      </w:r>
      <w:r>
        <w:t>.</w:t>
      </w:r>
      <w:r>
        <w:tab/>
        <w:t>Decision by WAIRC</w:t>
      </w:r>
      <w:bookmarkEnd w:id="483"/>
      <w:bookmarkEnd w:id="484"/>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 xml:space="preserve">The WAIRC may —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 xml:space="preserve">In considering whether or not it is impracticable to make an order under subsection (2)(a), it is relevant to consider —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pPr>
      <w:r>
        <w:tab/>
        <w:t>(4)</w:t>
      </w:r>
      <w:r>
        <w:tab/>
        <w:t>If the WAIRC makes an order under subsection (2)(a), the appellant is not entitled to be paid his or her remuneration as a prison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110E inserted: No. 29 of 2014 s. 7.]</w:t>
      </w:r>
    </w:p>
    <w:p>
      <w:pPr>
        <w:pStyle w:val="Heading5"/>
      </w:pPr>
      <w:bookmarkStart w:id="485" w:name="_Toc43971864"/>
      <w:bookmarkStart w:id="486" w:name="_Toc41031533"/>
      <w:r>
        <w:rPr>
          <w:rStyle w:val="CharSectno"/>
        </w:rPr>
        <w:t>110F</w:t>
      </w:r>
      <w:r>
        <w:t>.</w:t>
      </w:r>
      <w:r>
        <w:tab/>
        <w:t>Determining amount of compensation</w:t>
      </w:r>
      <w:bookmarkEnd w:id="485"/>
      <w:bookmarkEnd w:id="486"/>
    </w:p>
    <w:p>
      <w:pPr>
        <w:pStyle w:val="Subsection"/>
        <w:spacing w:before="120"/>
      </w:pPr>
      <w:r>
        <w:tab/>
        <w:t>(1)</w:t>
      </w:r>
      <w:r>
        <w:tab/>
        <w:t>An amount of compensation ordered under section 110E(2)(b) must be determined in accordance with this section.</w:t>
      </w:r>
    </w:p>
    <w:p>
      <w:pPr>
        <w:pStyle w:val="Subsection"/>
        <w:spacing w:before="120"/>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spacing w:before="120"/>
      </w:pPr>
      <w:r>
        <w:tab/>
        <w:t>(3)</w:t>
      </w:r>
      <w:r>
        <w:tab/>
        <w:t>In determining the amount, the WAIRC may have regard to the average rate of remuneration as a prison officer received by the appellant during any relevant period of service.</w:t>
      </w:r>
    </w:p>
    <w:p>
      <w:pPr>
        <w:pStyle w:val="Subsection"/>
        <w:spacing w:before="120"/>
      </w:pPr>
      <w:r>
        <w:tab/>
        <w:t>(4)</w:t>
      </w:r>
      <w:r>
        <w:tab/>
        <w:t>The amount must not exceed 12 months’ remuneration as a prison officer.</w:t>
      </w:r>
    </w:p>
    <w:p>
      <w:pPr>
        <w:pStyle w:val="Footnotesection"/>
      </w:pPr>
      <w:r>
        <w:tab/>
        <w:t>[Section 110F inserted: No. 29 of 2014 s. 7.]</w:t>
      </w:r>
    </w:p>
    <w:p>
      <w:pPr>
        <w:pStyle w:val="Heading5"/>
        <w:spacing w:before="180"/>
      </w:pPr>
      <w:bookmarkStart w:id="487" w:name="_Toc43971865"/>
      <w:bookmarkStart w:id="488" w:name="_Toc41031534"/>
      <w:r>
        <w:rPr>
          <w:rStyle w:val="CharSectno"/>
        </w:rPr>
        <w:t>110G</w:t>
      </w:r>
      <w:r>
        <w:t>.</w:t>
      </w:r>
      <w:r>
        <w:tab/>
        <w:t>Restriction on publication</w:t>
      </w:r>
      <w:bookmarkEnd w:id="487"/>
      <w:bookmarkEnd w:id="488"/>
    </w:p>
    <w:p>
      <w:pPr>
        <w:pStyle w:val="Subsection"/>
      </w:pPr>
      <w:r>
        <w:tab/>
        <w:t>(1)</w:t>
      </w:r>
      <w:r>
        <w:tab/>
        <w:t xml:space="preserve">If the WAIRC is satisfied that it is in the public interest, it may direct that any evidence given before it, or the contents of any document produced to it, on an appeal —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w:t>
      </w:r>
      <w:del w:id="489" w:author="svcMRProcess" w:date="2020-06-26T12:27:00Z">
        <w:r>
          <w:delText>:</w:delText>
        </w:r>
      </w:del>
      <w:ins w:id="490" w:author="svcMRProcess" w:date="2020-06-26T12:27:00Z">
        <w:r>
          <w:t xml:space="preserve"> for this subsection: imprisonment for 12 months and</w:t>
        </w:r>
      </w:ins>
      <w:r>
        <w:t xml:space="preserve"> a fine of $</w:t>
      </w:r>
      <w:del w:id="491" w:author="svcMRProcess" w:date="2020-06-26T12:27:00Z">
        <w:r>
          <w:delText>4</w:delText>
        </w:r>
      </w:del>
      <w:ins w:id="492" w:author="svcMRProcess" w:date="2020-06-26T12:27:00Z">
        <w:r>
          <w:t>6</w:t>
        </w:r>
      </w:ins>
      <w:r>
        <w:t> 000</w:t>
      </w:r>
      <w:del w:id="493" w:author="svcMRProcess" w:date="2020-06-26T12:27:00Z">
        <w:r>
          <w:delText xml:space="preserve"> or 12 months’ imprisonment, or both</w:delText>
        </w:r>
      </w:del>
      <w:r>
        <w:t>.</w:t>
      </w:r>
    </w:p>
    <w:p>
      <w:pPr>
        <w:pStyle w:val="Footnotesection"/>
      </w:pPr>
      <w:r>
        <w:tab/>
        <w:t>[Section 110G inserted: No. 29 of 2014 s. </w:t>
      </w:r>
      <w:del w:id="494" w:author="svcMRProcess" w:date="2020-06-26T12:27:00Z">
        <w:r>
          <w:delText>7</w:delText>
        </w:r>
      </w:del>
      <w:ins w:id="495" w:author="svcMRProcess" w:date="2020-06-26T12:27:00Z">
        <w:r>
          <w:t>7; amended: No. 20 of 2020 s. 22</w:t>
        </w:r>
      </w:ins>
      <w:r>
        <w:t>.]</w:t>
      </w:r>
    </w:p>
    <w:p>
      <w:pPr>
        <w:pStyle w:val="Heading4"/>
      </w:pPr>
      <w:bookmarkStart w:id="496" w:name="_Toc43906472"/>
      <w:bookmarkStart w:id="497" w:name="_Toc43907544"/>
      <w:bookmarkStart w:id="498" w:name="_Toc43971866"/>
      <w:bookmarkStart w:id="499" w:name="_Toc41031535"/>
      <w:r>
        <w:t>Subdivision 4 — General</w:t>
      </w:r>
      <w:bookmarkEnd w:id="496"/>
      <w:bookmarkEnd w:id="497"/>
      <w:bookmarkEnd w:id="498"/>
      <w:bookmarkEnd w:id="499"/>
    </w:p>
    <w:p>
      <w:pPr>
        <w:pStyle w:val="Footnoteheading"/>
        <w:keepNext/>
      </w:pPr>
      <w:r>
        <w:tab/>
        <w:t>[Heading inserted: No. 29 of 2014 s. 7.]</w:t>
      </w:r>
    </w:p>
    <w:p>
      <w:pPr>
        <w:pStyle w:val="Heading5"/>
      </w:pPr>
      <w:bookmarkStart w:id="500" w:name="_Toc43971867"/>
      <w:bookmarkStart w:id="501" w:name="_Toc41031536"/>
      <w:r>
        <w:rPr>
          <w:rStyle w:val="CharSectno"/>
        </w:rPr>
        <w:t>110H</w:t>
      </w:r>
      <w:r>
        <w:t>.</w:t>
      </w:r>
      <w:r>
        <w:tab/>
        <w:t>Effect of charge for, or conviction or acquittal of, offence</w:t>
      </w:r>
      <w:bookmarkEnd w:id="500"/>
      <w:bookmarkEnd w:id="501"/>
    </w:p>
    <w:p>
      <w:pPr>
        <w:pStyle w:val="Subsection"/>
        <w:keepNext/>
      </w:pPr>
      <w:r>
        <w:tab/>
      </w:r>
      <w:r>
        <w:tab/>
        <w:t xml:space="preserve">The chief executive officer can take removal action in relation to a prison officer for a particular matter, act or omission even if the matter, act or omission is an element of an offence — </w:t>
      </w:r>
    </w:p>
    <w:p>
      <w:pPr>
        <w:pStyle w:val="Indenta"/>
      </w:pPr>
      <w:r>
        <w:tab/>
        <w:t>(a)</w:t>
      </w:r>
      <w:r>
        <w:tab/>
        <w:t>with which the prison officer has been charged; or</w:t>
      </w:r>
    </w:p>
    <w:p>
      <w:pPr>
        <w:pStyle w:val="Indenta"/>
      </w:pPr>
      <w:r>
        <w:tab/>
        <w:t>(b)</w:t>
      </w:r>
      <w:r>
        <w:tab/>
        <w:t>of which the prison officer has been convicted or acquitted.</w:t>
      </w:r>
    </w:p>
    <w:p>
      <w:pPr>
        <w:pStyle w:val="Footnotesection"/>
      </w:pPr>
      <w:r>
        <w:tab/>
        <w:t>[Section 110H inserted: No. 29 of 2014 s. 7.]</w:t>
      </w:r>
    </w:p>
    <w:p>
      <w:pPr>
        <w:pStyle w:val="Heading5"/>
      </w:pPr>
      <w:bookmarkStart w:id="502" w:name="_Toc43971868"/>
      <w:bookmarkStart w:id="503" w:name="_Toc41031537"/>
      <w:r>
        <w:rPr>
          <w:rStyle w:val="CharSectno"/>
        </w:rPr>
        <w:t>110I</w:t>
      </w:r>
      <w:r>
        <w:t>.</w:t>
      </w:r>
      <w:r>
        <w:tab/>
        <w:t>Failure to comply with procedure</w:t>
      </w:r>
      <w:bookmarkEnd w:id="502"/>
      <w:bookmarkEnd w:id="503"/>
    </w:p>
    <w:p>
      <w:pPr>
        <w:pStyle w:val="Subsection"/>
      </w:pPr>
      <w:r>
        <w:tab/>
      </w:r>
      <w:r>
        <w:tab/>
        <w:t xml:space="preserve">An act or omission of the chief executive officer is not invalid, and cannot be called in question, if —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110I inserted: No. 29 of 2014 s. 7.]</w:t>
      </w:r>
    </w:p>
    <w:p>
      <w:pPr>
        <w:pStyle w:val="Heading5"/>
      </w:pPr>
      <w:bookmarkStart w:id="504" w:name="_Toc43971869"/>
      <w:bookmarkStart w:id="505" w:name="_Toc41031538"/>
      <w:r>
        <w:rPr>
          <w:rStyle w:val="CharSectno"/>
        </w:rPr>
        <w:t>110J</w:t>
      </w:r>
      <w:r>
        <w:t>.</w:t>
      </w:r>
      <w:r>
        <w:tab/>
        <w:t>Transfer, standing down and leave of prison officer</w:t>
      </w:r>
      <w:bookmarkEnd w:id="504"/>
      <w:bookmarkEnd w:id="505"/>
    </w:p>
    <w:p>
      <w:pPr>
        <w:pStyle w:val="Subsection"/>
      </w:pPr>
      <w:r>
        <w:tab/>
        <w:t>(1)</w:t>
      </w:r>
      <w:r>
        <w:tab/>
        <w:t xml:space="preserve">This Division does not derogate from the chief executive officer’s power to — </w:t>
      </w:r>
    </w:p>
    <w:p>
      <w:pPr>
        <w:pStyle w:val="Indenta"/>
      </w:pPr>
      <w:r>
        <w:tab/>
        <w:t>(a)</w:t>
      </w:r>
      <w:r>
        <w:tab/>
        <w:t>transfer a prison officer; or</w:t>
      </w:r>
    </w:p>
    <w:p>
      <w:pPr>
        <w:pStyle w:val="Indenta"/>
      </w:pPr>
      <w:r>
        <w:tab/>
        <w:t>(b)</w:t>
      </w:r>
      <w:r>
        <w:tab/>
        <w:t>stand a prison officer down from performing that prison officer’s usual duties, with or without pay, until the prison officer is directed by the chief executive officer to return to those duties; or</w:t>
      </w:r>
    </w:p>
    <w:p>
      <w:pPr>
        <w:pStyle w:val="Indenta"/>
      </w:pPr>
      <w:r>
        <w:tab/>
        <w:t>(c)</w:t>
      </w:r>
      <w:r>
        <w:tab/>
        <w:t>allocate duties to a prison officer other than the prison officer’s usual duties.</w:t>
      </w:r>
    </w:p>
    <w:p>
      <w:pPr>
        <w:pStyle w:val="Subsection"/>
      </w:pPr>
      <w:r>
        <w:tab/>
        <w:t>(2)</w:t>
      </w:r>
      <w:r>
        <w:tab/>
        <w:t>If the chief executive officer stands down a prison officer in relation to whom removal action is being taken, the chief executive officer must review the decision to stand the prison officer down every 60 days and advise the prison officer in writing of the result of the review.</w:t>
      </w:r>
    </w:p>
    <w:p>
      <w:pPr>
        <w:pStyle w:val="Subsection"/>
      </w:pPr>
      <w:r>
        <w:tab/>
        <w:t>(3)</w:t>
      </w:r>
      <w:r>
        <w:tab/>
        <w:t>The chief executive officer must not direct a prison officer in relation to whom removal action is being taken to take leave during the removal action unless the leave accrues during any period that the prison officer is stood down from performing the prison officer’s usual duties.</w:t>
      </w:r>
    </w:p>
    <w:p>
      <w:pPr>
        <w:pStyle w:val="Footnotesection"/>
      </w:pPr>
      <w:r>
        <w:tab/>
        <w:t>[Section 110J inserted: No. 29 of 2014 s. 7.]</w:t>
      </w:r>
    </w:p>
    <w:p>
      <w:pPr>
        <w:pStyle w:val="Heading5"/>
      </w:pPr>
      <w:bookmarkStart w:id="506" w:name="_Toc43971870"/>
      <w:bookmarkStart w:id="507" w:name="_Toc41031539"/>
      <w:r>
        <w:rPr>
          <w:rStyle w:val="CharSectno"/>
        </w:rPr>
        <w:t>110K</w:t>
      </w:r>
      <w:r>
        <w:t>.</w:t>
      </w:r>
      <w:r>
        <w:tab/>
        <w:t>Review of Division</w:t>
      </w:r>
      <w:bookmarkEnd w:id="506"/>
      <w:bookmarkEnd w:id="507"/>
    </w:p>
    <w:p>
      <w:pPr>
        <w:pStyle w:val="Subsection"/>
      </w:pPr>
      <w:r>
        <w:tab/>
        <w:t>(1)</w:t>
      </w:r>
      <w:r>
        <w:tab/>
        <w:t xml:space="preserve">In this section — </w:t>
      </w:r>
    </w:p>
    <w:p>
      <w:pPr>
        <w:pStyle w:val="Defstart"/>
      </w:pPr>
      <w:r>
        <w:tab/>
      </w:r>
      <w:r>
        <w:rPr>
          <w:rStyle w:val="CharDefText"/>
        </w:rPr>
        <w:t xml:space="preserve">commencement day </w:t>
      </w:r>
      <w:r>
        <w:t xml:space="preserve">means the day on which the </w:t>
      </w:r>
      <w:r>
        <w:rPr>
          <w:i/>
        </w:rPr>
        <w:t>Custodial Legislation (Officers Discipline) Amendment Act 2014</w:t>
      </w:r>
      <w:r>
        <w:t xml:space="preserve"> Part 2 comes into operation.</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prison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110K inserted: No. 29 of 2014 s. 7.]</w:t>
      </w:r>
    </w:p>
    <w:p>
      <w:pPr>
        <w:pStyle w:val="Ednotepart"/>
      </w:pPr>
      <w:r>
        <w:t>[Part XA deleted: No. 75 of 2003 s. 56(1).]</w:t>
      </w:r>
    </w:p>
    <w:p>
      <w:pPr>
        <w:pStyle w:val="Heading2"/>
      </w:pPr>
      <w:bookmarkStart w:id="508" w:name="_Toc43906477"/>
      <w:bookmarkStart w:id="509" w:name="_Toc43907549"/>
      <w:bookmarkStart w:id="510" w:name="_Toc43971871"/>
      <w:bookmarkStart w:id="511" w:name="_Toc41031540"/>
      <w:r>
        <w:rPr>
          <w:rStyle w:val="CharPartNo"/>
        </w:rPr>
        <w:t>Part XI</w:t>
      </w:r>
      <w:r>
        <w:rPr>
          <w:rStyle w:val="CharDivNo"/>
        </w:rPr>
        <w:t> </w:t>
      </w:r>
      <w:r>
        <w:t>—</w:t>
      </w:r>
      <w:r>
        <w:rPr>
          <w:rStyle w:val="CharDivText"/>
        </w:rPr>
        <w:t> </w:t>
      </w:r>
      <w:r>
        <w:rPr>
          <w:rStyle w:val="CharPartText"/>
        </w:rPr>
        <w:t>General provisions</w:t>
      </w:r>
      <w:bookmarkEnd w:id="508"/>
      <w:bookmarkEnd w:id="509"/>
      <w:bookmarkEnd w:id="510"/>
      <w:bookmarkEnd w:id="511"/>
      <w:r>
        <w:rPr>
          <w:rStyle w:val="CharPartText"/>
        </w:rPr>
        <w:t xml:space="preserve"> </w:t>
      </w:r>
    </w:p>
    <w:p>
      <w:pPr>
        <w:pStyle w:val="Heading5"/>
        <w:rPr>
          <w:snapToGrid w:val="0"/>
        </w:rPr>
      </w:pPr>
      <w:bookmarkStart w:id="512" w:name="_Toc43971872"/>
      <w:bookmarkStart w:id="513" w:name="_Toc41031541"/>
      <w:r>
        <w:rPr>
          <w:rStyle w:val="CharSectno"/>
        </w:rPr>
        <w:t>110</w:t>
      </w:r>
      <w:r>
        <w:rPr>
          <w:snapToGrid w:val="0"/>
        </w:rPr>
        <w:t>.</w:t>
      </w:r>
      <w:r>
        <w:rPr>
          <w:snapToGrid w:val="0"/>
        </w:rPr>
        <w:tab/>
        <w:t>Regulations</w:t>
      </w:r>
      <w:bookmarkEnd w:id="512"/>
      <w:bookmarkEnd w:id="51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keepLines/>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keepNext/>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 xml:space="preserve">regulating the termination under this Act of service of prison officers other than </w:t>
      </w:r>
      <w:r>
        <w:t>removal of prison officers under Part X.</w:t>
      </w:r>
    </w:p>
    <w:p>
      <w:pPr>
        <w:pStyle w:val="Subsection"/>
        <w:keepNext/>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keepNext/>
        <w:rPr>
          <w:ins w:id="514" w:author="svcMRProcess" w:date="2020-06-26T12:27:00Z"/>
        </w:rPr>
      </w:pPr>
      <w:ins w:id="515" w:author="svcMRProcess" w:date="2020-06-26T12:27:00Z">
        <w:r>
          <w:tab/>
          <w:t>(4)</w:t>
        </w:r>
        <w:r>
          <w:tab/>
          <w:t>The regulations may provide for offences against the regulations and prescribe penalties for those offences not exceeding a fine of $9 000.</w:t>
        </w:r>
      </w:ins>
    </w:p>
    <w:p>
      <w:pPr>
        <w:pStyle w:val="Footnotesection"/>
        <w:keepLines w:val="0"/>
        <w:ind w:left="890" w:hanging="890"/>
      </w:pPr>
      <w:r>
        <w:tab/>
        <w:t>[Section 110 amended: No. 66 of 1982 s. 4; No. 47 of 1987 s. 11; No. 113 of 1987 s. 32; No. 47 of 1991 s. 6; No. 51 of 1992 s. 16(1); No. 19 of 1995 s. 6; No. 24 of 2003 s. 8; No. 75 of 2003 s. 56(1); No. 65 of 2006 s. 34; No. 29 of 2014 s. </w:t>
      </w:r>
      <w:del w:id="516" w:author="svcMRProcess" w:date="2020-06-26T12:27:00Z">
        <w:r>
          <w:delText>8.]</w:delText>
        </w:r>
      </w:del>
      <w:ins w:id="517" w:author="svcMRProcess" w:date="2020-06-26T12:27:00Z">
        <w:r>
          <w:t>8; No. 20 of 2020 s. 23(2).]</w:t>
        </w:r>
      </w:ins>
    </w:p>
    <w:p>
      <w:pPr>
        <w:pStyle w:val="Heading5"/>
        <w:rPr>
          <w:snapToGrid w:val="0"/>
        </w:rPr>
      </w:pPr>
      <w:bookmarkStart w:id="518" w:name="_Toc43971873"/>
      <w:bookmarkStart w:id="519" w:name="_Toc41031542"/>
      <w:r>
        <w:rPr>
          <w:rStyle w:val="CharSectno"/>
        </w:rPr>
        <w:t>111</w:t>
      </w:r>
      <w:r>
        <w:rPr>
          <w:snapToGrid w:val="0"/>
        </w:rPr>
        <w:t>.</w:t>
      </w:r>
      <w:r>
        <w:rPr>
          <w:snapToGrid w:val="0"/>
        </w:rPr>
        <w:tab/>
        <w:t>Protection from liability</w:t>
      </w:r>
      <w:bookmarkEnd w:id="518"/>
      <w:bookmarkEnd w:id="519"/>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520" w:name="_Toc43971874"/>
      <w:bookmarkStart w:id="521" w:name="_Toc41031543"/>
      <w:r>
        <w:rPr>
          <w:rStyle w:val="CharSectno"/>
        </w:rPr>
        <w:t>112</w:t>
      </w:r>
      <w:r>
        <w:t>.</w:t>
      </w:r>
      <w:r>
        <w:tab/>
        <w:t>Community safety information</w:t>
      </w:r>
      <w:bookmarkEnd w:id="520"/>
      <w:bookmarkEnd w:id="521"/>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No. 65 of 2006 s. 35.]</w:t>
      </w:r>
    </w:p>
    <w:p>
      <w:pPr>
        <w:pStyle w:val="Heading5"/>
      </w:pPr>
      <w:bookmarkStart w:id="522" w:name="_Toc43971875"/>
      <w:bookmarkStart w:id="523" w:name="_Toc41031544"/>
      <w:r>
        <w:rPr>
          <w:rStyle w:val="CharSectno"/>
        </w:rPr>
        <w:t>113</w:t>
      </w:r>
      <w:r>
        <w:t>.</w:t>
      </w:r>
      <w:r>
        <w:tab/>
        <w:t>Exchange of information</w:t>
      </w:r>
      <w:bookmarkEnd w:id="522"/>
      <w:bookmarkEnd w:id="523"/>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keepNex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No. 65 of 2006 s. 35; amended: No. 4 of 2015 s. 88(3).]</w:t>
      </w:r>
    </w:p>
    <w:p>
      <w:pPr>
        <w:pStyle w:val="Heading5"/>
        <w:spacing w:before="180"/>
      </w:pPr>
      <w:bookmarkStart w:id="524" w:name="_Toc43971876"/>
      <w:bookmarkStart w:id="525" w:name="_Toc41031545"/>
      <w:r>
        <w:rPr>
          <w:rStyle w:val="CharSectno"/>
        </w:rPr>
        <w:t>113A</w:t>
      </w:r>
      <w:r>
        <w:t>.</w:t>
      </w:r>
      <w:r>
        <w:tab/>
        <w:t>Disclosure to external agencies</w:t>
      </w:r>
      <w:bookmarkEnd w:id="524"/>
      <w:bookmarkEnd w:id="525"/>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No. 65 of 2006 s. 35.]</w:t>
      </w:r>
    </w:p>
    <w:p>
      <w:pPr>
        <w:pStyle w:val="Heading5"/>
        <w:spacing w:before="180"/>
      </w:pPr>
      <w:bookmarkStart w:id="526" w:name="_Toc43971877"/>
      <w:bookmarkStart w:id="527" w:name="_Toc41031546"/>
      <w:r>
        <w:rPr>
          <w:rStyle w:val="CharSectno"/>
        </w:rPr>
        <w:t>113B</w:t>
      </w:r>
      <w:r>
        <w:t>.</w:t>
      </w:r>
      <w:r>
        <w:tab/>
        <w:t>Disclosure to victims</w:t>
      </w:r>
      <w:bookmarkEnd w:id="526"/>
      <w:bookmarkEnd w:id="527"/>
    </w:p>
    <w:p>
      <w:pPr>
        <w:pStyle w:val="Subsection"/>
        <w:spacing w:before="120"/>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Indenta"/>
      </w:pPr>
      <w:r>
        <w:tab/>
        <w:t>(ba)</w:t>
      </w:r>
      <w:r>
        <w:tab/>
        <w:t xml:space="preserve">a person who has suffered injury, loss or damage as a direct result of a serious sexual offence (as defined in the </w:t>
      </w:r>
      <w:r>
        <w:rPr>
          <w:i/>
        </w:rPr>
        <w:t>Dangerous Sexual Offenders Act 2006</w:t>
      </w:r>
      <w:r>
        <w:t xml:space="preserve"> section 3(1)) committed by the prisoner,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 or</w:t>
      </w:r>
    </w:p>
    <w:p>
      <w:pPr>
        <w:pStyle w:val="Defpara"/>
      </w:pPr>
      <w:r>
        <w:tab/>
        <w:t>(c)</w:t>
      </w:r>
      <w:r>
        <w:tab/>
        <w:t xml:space="preserve">a person protected by a family violence restraining order under the </w:t>
      </w:r>
      <w:r>
        <w:rPr>
          <w:i/>
        </w:rPr>
        <w:t>Restraining Orders Act 1997</w:t>
      </w:r>
      <w:r>
        <w:t xml:space="preserve"> to which the prisoner is a respondent; or</w:t>
      </w:r>
    </w:p>
    <w:p>
      <w:pPr>
        <w:pStyle w:val="Defpara"/>
      </w:pPr>
      <w:r>
        <w:tab/>
        <w:t>(d)</w:t>
      </w:r>
      <w:r>
        <w:tab/>
        <w:t xml:space="preserve">a person who can demonstrate, to the satisfaction of the chief executive officer that — </w:t>
      </w:r>
    </w:p>
    <w:p>
      <w:pPr>
        <w:pStyle w:val="Defsubpara"/>
      </w:pPr>
      <w:r>
        <w:tab/>
        <w:t>(i)</w:t>
      </w:r>
      <w:r>
        <w:tab/>
        <w:t>the person is the victim of an act that, if prosecuted successfully, would constitute a violent personal offence committed by the prisoner; and</w:t>
      </w:r>
    </w:p>
    <w:p>
      <w:pPr>
        <w:pStyle w:val="Defsubpara"/>
      </w:pPr>
      <w:r>
        <w:tab/>
        <w:t>(ii)</w:t>
      </w:r>
      <w:r>
        <w:tab/>
        <w:t xml:space="preserve">the act was committed by the prisoner in the context of a family relationship, as defined in the </w:t>
      </w:r>
      <w:r>
        <w:rPr>
          <w:i/>
        </w:rPr>
        <w:t>Restraining Orders Act 1997</w:t>
      </w:r>
      <w:r>
        <w:t xml:space="preserve"> section 4, with the person.</w:t>
      </w:r>
    </w:p>
    <w:p>
      <w:pPr>
        <w:pStyle w:val="Defstart"/>
      </w:pPr>
      <w:r>
        <w:tab/>
      </w:r>
      <w:r>
        <w:rPr>
          <w:rStyle w:val="CharDefText"/>
        </w:rPr>
        <w:t>violent personal offence</w:t>
      </w:r>
      <w:r>
        <w:t xml:space="preserve"> means — </w:t>
      </w:r>
    </w:p>
    <w:p>
      <w:pPr>
        <w:pStyle w:val="Defpara"/>
      </w:pPr>
      <w:r>
        <w:tab/>
        <w:t>(a)</w:t>
      </w:r>
      <w:r>
        <w:tab/>
        <w:t xml:space="preserve">an offence specified in the </w:t>
      </w:r>
      <w:r>
        <w:rPr>
          <w:i/>
        </w:rPr>
        <w:t>Restraining Orders Act 1997</w:t>
      </w:r>
      <w:r>
        <w:t xml:space="preserve"> section 63(4AA)(a); or</w:t>
      </w:r>
    </w:p>
    <w:p>
      <w:pPr>
        <w:pStyle w:val="Defpara"/>
      </w:pPr>
      <w:r>
        <w:tab/>
        <w:t>(b)</w:t>
      </w:r>
      <w:r>
        <w:tab/>
        <w:t xml:space="preserve">a violent personal offence as defined in the </w:t>
      </w:r>
      <w:r>
        <w:rPr>
          <w:i/>
        </w:rPr>
        <w:t>Restraining Orders Act 1997</w:t>
      </w:r>
      <w:r>
        <w:t xml:space="preserve"> section 63A(1A).</w:t>
      </w:r>
    </w:p>
    <w:p>
      <w:pPr>
        <w:pStyle w:val="Subsection"/>
      </w:pPr>
      <w:r>
        <w:tab/>
        <w:t>(1A)</w:t>
      </w:r>
      <w:r>
        <w:tab/>
        <w:t xml:space="preserve">For the purposes of subsection (1) in the definition of </w:t>
      </w:r>
      <w:r>
        <w:rPr>
          <w:b/>
          <w:i/>
        </w:rPr>
        <w:t>victim</w:t>
      </w:r>
      <w:r>
        <w:t xml:space="preserve"> paragraph (c) or (d), it is irrelevant that the family violence restraining order or the violent personal offence, as the case requires, is unrelated to the offence referred to in paragraph (a) or (b) of that definition.</w:t>
      </w:r>
    </w:p>
    <w:p>
      <w:pPr>
        <w:pStyle w:val="Subsection"/>
        <w:spacing w:before="120"/>
      </w:pPr>
      <w:r>
        <w:tab/>
        <w:t>(2)</w:t>
      </w:r>
      <w:r>
        <w:tab/>
        <w:t>The chief executive officer may disclose information of a prescribed kind regarding a prisoner to a victim of the prisoner or a person acting on a victim’s behalf.</w:t>
      </w:r>
    </w:p>
    <w:p>
      <w:pPr>
        <w:pStyle w:val="Footnotesection"/>
      </w:pPr>
      <w:r>
        <w:tab/>
        <w:t>[Section 113B inserted: No. 65 of 2006 s. 35; amended: No. 17 of 2016 s. 50; No. 49 of 2016 s. 105.]</w:t>
      </w:r>
    </w:p>
    <w:p>
      <w:pPr>
        <w:pStyle w:val="Heading5"/>
        <w:spacing w:before="180"/>
      </w:pPr>
      <w:bookmarkStart w:id="528" w:name="_Toc43971878"/>
      <w:bookmarkStart w:id="529" w:name="_Toc41031547"/>
      <w:r>
        <w:rPr>
          <w:rStyle w:val="CharSectno"/>
        </w:rPr>
        <w:t>113C</w:t>
      </w:r>
      <w:r>
        <w:t>.</w:t>
      </w:r>
      <w:r>
        <w:tab/>
        <w:t>Disclosure authorised</w:t>
      </w:r>
      <w:bookmarkEnd w:id="528"/>
      <w:bookmarkEnd w:id="529"/>
    </w:p>
    <w:p>
      <w:pPr>
        <w:pStyle w:val="Subsection"/>
        <w:spacing w:before="120"/>
      </w:pPr>
      <w:r>
        <w:tab/>
        <w:t>(1)</w:t>
      </w:r>
      <w:r>
        <w:tab/>
        <w:t>Information may be disclosed under section 112, 113, 113A or 113B despite any written law relating to confidentiality or secrecy.</w:t>
      </w:r>
    </w:p>
    <w:p>
      <w:pPr>
        <w:pStyle w:val="Subsection"/>
        <w:keepNext/>
      </w:pPr>
      <w:r>
        <w:tab/>
        <w:t>(2)</w:t>
      </w:r>
      <w:r>
        <w:tab/>
        <w:t>If information is disclosed, in good faith, under section 112, 113, 113A or 113B —</w:t>
      </w:r>
    </w:p>
    <w:p>
      <w:pPr>
        <w:pStyle w:val="Indenta"/>
        <w:keepNext/>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No. 65 of 2006 s. 35.]</w:t>
      </w:r>
    </w:p>
    <w:p>
      <w:pPr>
        <w:pStyle w:val="Heading5"/>
        <w:rPr>
          <w:snapToGrid w:val="0"/>
        </w:rPr>
      </w:pPr>
      <w:bookmarkStart w:id="530" w:name="_Toc43971879"/>
      <w:bookmarkStart w:id="531" w:name="_Toc41031548"/>
      <w:r>
        <w:rPr>
          <w:rStyle w:val="CharSectno"/>
        </w:rPr>
        <w:t>114</w:t>
      </w:r>
      <w:r>
        <w:rPr>
          <w:snapToGrid w:val="0"/>
        </w:rPr>
        <w:t>.</w:t>
      </w:r>
      <w:r>
        <w:rPr>
          <w:snapToGrid w:val="0"/>
        </w:rPr>
        <w:tab/>
        <w:t>Failure to perform duties</w:t>
      </w:r>
      <w:bookmarkEnd w:id="530"/>
      <w:bookmarkEnd w:id="531"/>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t>a </w:t>
      </w:r>
      <w:r>
        <w:rPr>
          <w:rStyle w:val="CharDefText"/>
        </w:rPr>
        <w:t>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t xml:space="preserve">a </w:t>
      </w:r>
      <w:r>
        <w:rPr>
          <w:rStyle w:val="CharDefText"/>
        </w:rPr>
        <w:t>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No. 47 of 1987 s. 11; No. 113 of 1987 s. 32; No. 47 of 1991 s. 7.] </w:t>
      </w:r>
    </w:p>
    <w:p>
      <w:pPr>
        <w:pStyle w:val="Heading5"/>
        <w:rPr>
          <w:snapToGrid w:val="0"/>
        </w:rPr>
      </w:pPr>
      <w:bookmarkStart w:id="532" w:name="_Toc43971880"/>
      <w:bookmarkStart w:id="533" w:name="_Toc41031549"/>
      <w:r>
        <w:rPr>
          <w:rStyle w:val="CharSectno"/>
        </w:rPr>
        <w:t>115</w:t>
      </w:r>
      <w:r>
        <w:rPr>
          <w:snapToGrid w:val="0"/>
        </w:rPr>
        <w:t>.</w:t>
      </w:r>
      <w:r>
        <w:rPr>
          <w:snapToGrid w:val="0"/>
        </w:rPr>
        <w:tab/>
        <w:t>Section 114 to prevail</w:t>
      </w:r>
      <w:bookmarkEnd w:id="532"/>
      <w:bookmarkEnd w:id="533"/>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 or</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534" w:name="_Toc43971881"/>
      <w:bookmarkStart w:id="535" w:name="_Toc41031550"/>
      <w:r>
        <w:rPr>
          <w:rStyle w:val="CharSectno"/>
        </w:rPr>
        <w:t>116</w:t>
      </w:r>
      <w:r>
        <w:rPr>
          <w:snapToGrid w:val="0"/>
        </w:rPr>
        <w:t>.</w:t>
      </w:r>
      <w:r>
        <w:rPr>
          <w:snapToGrid w:val="0"/>
        </w:rPr>
        <w:tab/>
        <w:t>Repeal</w:t>
      </w:r>
      <w:bookmarkEnd w:id="534"/>
      <w:bookmarkEnd w:id="535"/>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536" w:name="_Toc43971882"/>
      <w:bookmarkStart w:id="537" w:name="_Toc41031551"/>
      <w:r>
        <w:rPr>
          <w:rStyle w:val="CharSectno"/>
        </w:rPr>
        <w:t>117</w:t>
      </w:r>
      <w:r>
        <w:rPr>
          <w:snapToGrid w:val="0"/>
        </w:rPr>
        <w:t>.</w:t>
      </w:r>
      <w:r>
        <w:rPr>
          <w:snapToGrid w:val="0"/>
        </w:rPr>
        <w:tab/>
        <w:t>Transitional</w:t>
      </w:r>
      <w:bookmarkEnd w:id="536"/>
      <w:bookmarkEnd w:id="537"/>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vertAlign w:val="superscript"/>
        </w:rPr>
        <w:t> 2</w:t>
      </w:r>
      <w:r>
        <w:rPr>
          <w:snapToGrid w:val="0"/>
        </w:rPr>
        <w:t>, the transitional provisions set out in Schedule 2 shall have effect for the purpose of the transition from the provisions of the repealed Act to the provisions of this Act.</w:t>
      </w:r>
    </w:p>
    <w:p>
      <w:pPr>
        <w:pStyle w:val="Heading2"/>
      </w:pPr>
      <w:bookmarkStart w:id="538" w:name="_Toc43906489"/>
      <w:bookmarkStart w:id="539" w:name="_Toc43907561"/>
      <w:bookmarkStart w:id="540" w:name="_Toc43971883"/>
      <w:bookmarkStart w:id="541" w:name="_Toc41031552"/>
      <w:r>
        <w:rPr>
          <w:rStyle w:val="CharPartNo"/>
        </w:rPr>
        <w:t>Part XII</w:t>
      </w:r>
      <w:r>
        <w:rPr>
          <w:rStyle w:val="CharDivNo"/>
        </w:rPr>
        <w:t> </w:t>
      </w:r>
      <w:r>
        <w:t>—</w:t>
      </w:r>
      <w:r>
        <w:rPr>
          <w:rStyle w:val="CharDivText"/>
        </w:rPr>
        <w:t> </w:t>
      </w:r>
      <w:r>
        <w:rPr>
          <w:rStyle w:val="CharPartText"/>
        </w:rPr>
        <w:t xml:space="preserve">Savings and transitional provisions for </w:t>
      </w:r>
      <w:r>
        <w:rPr>
          <w:rStyle w:val="CharPartText"/>
          <w:i/>
        </w:rPr>
        <w:t>Custodial Legislation (Officers Discipline) Amendment Act 2014</w:t>
      </w:r>
      <w:bookmarkEnd w:id="538"/>
      <w:bookmarkEnd w:id="539"/>
      <w:bookmarkEnd w:id="540"/>
      <w:bookmarkEnd w:id="541"/>
    </w:p>
    <w:p>
      <w:pPr>
        <w:pStyle w:val="Footnoteheading"/>
      </w:pPr>
      <w:r>
        <w:tab/>
        <w:t>[Heading inserted: No. 29 of 2014 s. 9.]</w:t>
      </w:r>
    </w:p>
    <w:p>
      <w:pPr>
        <w:pStyle w:val="Heading5"/>
      </w:pPr>
      <w:bookmarkStart w:id="542" w:name="_Toc43971884"/>
      <w:bookmarkStart w:id="543" w:name="_Toc41031553"/>
      <w:r>
        <w:rPr>
          <w:rStyle w:val="CharSectno"/>
        </w:rPr>
        <w:t>118</w:t>
      </w:r>
      <w:r>
        <w:t>.</w:t>
      </w:r>
      <w:r>
        <w:tab/>
        <w:t>Purpose</w:t>
      </w:r>
      <w:bookmarkEnd w:id="542"/>
      <w:bookmarkEnd w:id="543"/>
    </w:p>
    <w:p>
      <w:pPr>
        <w:pStyle w:val="Subsection"/>
      </w:pPr>
      <w:r>
        <w:tab/>
      </w:r>
      <w:r>
        <w:tab/>
        <w:t xml:space="preserve">The purpose of this Part is to enact savings and transitional provisions in relation to the </w:t>
      </w:r>
      <w:r>
        <w:rPr>
          <w:i/>
          <w:snapToGrid w:val="0"/>
        </w:rPr>
        <w:t>Custodial Legislation (Officers Discipline) Amendment Act 2014</w:t>
      </w:r>
      <w:r>
        <w:t xml:space="preserve"> Part 2.</w:t>
      </w:r>
    </w:p>
    <w:p>
      <w:pPr>
        <w:pStyle w:val="Footnotesection"/>
      </w:pPr>
      <w:r>
        <w:tab/>
        <w:t>[Section 118 inserted: No. 29 of 2014 s. 9.]</w:t>
      </w:r>
    </w:p>
    <w:p>
      <w:pPr>
        <w:pStyle w:val="Heading5"/>
      </w:pPr>
      <w:bookmarkStart w:id="544" w:name="_Toc43971885"/>
      <w:bookmarkStart w:id="545" w:name="_Toc41031554"/>
      <w:r>
        <w:rPr>
          <w:rStyle w:val="CharSectno"/>
        </w:rPr>
        <w:t>119</w:t>
      </w:r>
      <w:r>
        <w:t>.</w:t>
      </w:r>
      <w:r>
        <w:tab/>
        <w:t>Disciplinary offences before commencement day</w:t>
      </w:r>
      <w:bookmarkEnd w:id="544"/>
      <w:bookmarkEnd w:id="545"/>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2 comes into operation;</w:t>
      </w:r>
    </w:p>
    <w:p>
      <w:pPr>
        <w:pStyle w:val="Defstart"/>
      </w:pPr>
      <w:r>
        <w:tab/>
      </w:r>
      <w:r>
        <w:rPr>
          <w:rStyle w:val="CharDefText"/>
        </w:rPr>
        <w:t>former disciplinary provisions</w:t>
      </w:r>
      <w:r>
        <w:t xml:space="preserve"> means Part X as it was in force immediately before the commencement day;</w:t>
      </w:r>
    </w:p>
    <w:p>
      <w:pPr>
        <w:pStyle w:val="Defstart"/>
      </w:pPr>
      <w:r>
        <w:tab/>
      </w:r>
      <w:r>
        <w:rPr>
          <w:rStyle w:val="CharDefText"/>
        </w:rPr>
        <w:t>misconduct</w:t>
      </w:r>
      <w:r>
        <w:t xml:space="preserve">, by a prison officer, means conduct by the prison officer that is or is reasonably suspected to be — </w:t>
      </w:r>
    </w:p>
    <w:p>
      <w:pPr>
        <w:pStyle w:val="Defpara"/>
      </w:pPr>
      <w:r>
        <w:tab/>
        <w:t>(a)</w:t>
      </w:r>
      <w:r>
        <w:tab/>
        <w:t xml:space="preserve">substandard performance or a breach of discipline, as those terms are defined in the </w:t>
      </w:r>
      <w:r>
        <w:rPr>
          <w:i/>
        </w:rPr>
        <w:t>Public Sector Management Act 1994</w:t>
      </w:r>
      <w:r>
        <w:t>; or</w:t>
      </w:r>
    </w:p>
    <w:p>
      <w:pPr>
        <w:pStyle w:val="Defpara"/>
      </w:pPr>
      <w:r>
        <w:tab/>
        <w:t>(b)</w:t>
      </w:r>
      <w:r>
        <w:tab/>
        <w:t>conduct that may result in the chief executive officer taking removal action, as defined in section 99, in relation to the prison officer;</w:t>
      </w:r>
    </w:p>
    <w:p>
      <w:pPr>
        <w:pStyle w:val="Defstart"/>
      </w:pPr>
      <w:r>
        <w:tab/>
      </w:r>
      <w:r>
        <w:rPr>
          <w:rStyle w:val="CharDefText"/>
        </w:rPr>
        <w:t>penalty</w:t>
      </w:r>
      <w:r>
        <w:t>, under Part X, includes removal of a prison officer.</w:t>
      </w:r>
    </w:p>
    <w:p>
      <w:pPr>
        <w:pStyle w:val="Subsection"/>
      </w:pPr>
      <w:r>
        <w:tab/>
        <w:t>(2)</w:t>
      </w:r>
      <w:r>
        <w:tab/>
        <w:t xml:space="preserve">Proceedings for a disciplinary offence instituted under the former disciplinary provisions that are pending immediately before the commencement day are to be dealt with and determined under those provisions as if the </w:t>
      </w:r>
      <w:r>
        <w:rPr>
          <w:i/>
          <w:snapToGrid w:val="0"/>
        </w:rPr>
        <w:t>Custodial Legislation (Officers Discipline) Amendment Act 2014</w:t>
      </w:r>
      <w:r>
        <w:t xml:space="preserve"> Part 2 had not come into operation.</w:t>
      </w:r>
    </w:p>
    <w:p>
      <w:pPr>
        <w:pStyle w:val="Subsection"/>
      </w:pPr>
      <w:r>
        <w:tab/>
        <w:t>(3)</w:t>
      </w:r>
      <w:r>
        <w:tab/>
        <w:t>Part X applies to misconduct committed, or suspected of having been committed, by a prison officer before the commencement day but in relation to which proceedings for a disciplinary offence have not been instituted under the former disciplinary provisions.</w:t>
      </w:r>
    </w:p>
    <w:p>
      <w:pPr>
        <w:pStyle w:val="Subsection"/>
      </w:pPr>
      <w:r>
        <w:tab/>
        <w:t>(4)</w:t>
      </w:r>
      <w:r>
        <w:tab/>
        <w:t>However, if misconduct occurring before the commencement day would have constituted a disciplinary offence under the former disciplinary provisions, a penalty cannot be imposed under Part X in relation to the misconduct unless that penalty would also have been able to be imposed for the disciplinary offence under the former disciplinary provisions.</w:t>
      </w:r>
    </w:p>
    <w:p>
      <w:pPr>
        <w:pStyle w:val="Footnotesection"/>
      </w:pPr>
      <w:r>
        <w:tab/>
        <w:t>[Section 119 inserted: No. 29 of 2014 s. 9.]</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546" w:name="_Toc43906492"/>
      <w:bookmarkStart w:id="547" w:name="_Toc43907564"/>
      <w:bookmarkStart w:id="548" w:name="_Toc43971886"/>
      <w:bookmarkStart w:id="549" w:name="_Toc41031555"/>
      <w:r>
        <w:rPr>
          <w:rStyle w:val="CharSchNo"/>
        </w:rPr>
        <w:t>Schedule 1</w:t>
      </w:r>
      <w:bookmarkEnd w:id="546"/>
      <w:bookmarkEnd w:id="547"/>
      <w:bookmarkEnd w:id="548"/>
      <w:bookmarkEnd w:id="549"/>
    </w:p>
    <w:p>
      <w:pPr>
        <w:pStyle w:val="yShoulderClause"/>
        <w:rPr>
          <w:snapToGrid w:val="0"/>
        </w:rPr>
      </w:pPr>
      <w:r>
        <w:rPr>
          <w:snapToGrid w:val="0"/>
        </w:rPr>
        <w:t>[section 4]</w:t>
      </w:r>
    </w:p>
    <w:p>
      <w:pPr>
        <w:pStyle w:val="yHeading2"/>
        <w:spacing w:after="80"/>
      </w:pPr>
      <w:bookmarkStart w:id="550" w:name="_Toc43906493"/>
      <w:bookmarkStart w:id="551" w:name="_Toc43907565"/>
      <w:bookmarkStart w:id="552" w:name="_Toc43971887"/>
      <w:bookmarkStart w:id="553" w:name="_Toc41031556"/>
      <w:r>
        <w:rPr>
          <w:rStyle w:val="CharSchText"/>
        </w:rPr>
        <w:t>Declaration of prisons</w:t>
      </w:r>
      <w:bookmarkEnd w:id="550"/>
      <w:bookmarkEnd w:id="551"/>
      <w:bookmarkEnd w:id="552"/>
      <w:bookmarkEnd w:id="553"/>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NAm"/>
              <w:jc w:val="center"/>
              <w:rPr>
                <w:b/>
                <w:bCs/>
                <w:i/>
                <w:iCs/>
              </w:rPr>
            </w:pPr>
            <w:r>
              <w:rPr>
                <w:b/>
                <w:bCs/>
                <w:i/>
                <w:iCs/>
              </w:rPr>
              <w:t>Column 1</w:t>
            </w:r>
          </w:p>
        </w:tc>
        <w:tc>
          <w:tcPr>
            <w:tcW w:w="3544" w:type="dxa"/>
            <w:tcBorders>
              <w:top w:val="single" w:sz="4" w:space="0" w:color="auto"/>
              <w:bottom w:val="single" w:sz="4" w:space="0" w:color="auto"/>
            </w:tcBorders>
          </w:tcPr>
          <w:p>
            <w:pPr>
              <w:pStyle w:val="yTableNAm"/>
              <w:jc w:val="center"/>
              <w:rPr>
                <w:b/>
                <w:bCs/>
                <w:i/>
                <w:iCs/>
              </w:rPr>
            </w:pPr>
            <w:r>
              <w:rPr>
                <w:b/>
                <w:bCs/>
                <w:i/>
                <w:iCs/>
              </w:rPr>
              <w:t>Column 2</w:t>
            </w:r>
          </w:p>
        </w:tc>
      </w:tr>
      <w:tr>
        <w:trPr>
          <w:tblHeader/>
        </w:trPr>
        <w:tc>
          <w:tcPr>
            <w:tcW w:w="3544" w:type="dxa"/>
            <w:tcBorders>
              <w:top w:val="single" w:sz="4" w:space="0" w:color="auto"/>
              <w:bottom w:val="single" w:sz="4" w:space="0" w:color="auto"/>
            </w:tcBorders>
          </w:tcPr>
          <w:p>
            <w:pPr>
              <w:pStyle w:val="yTableNAm"/>
              <w:jc w:val="center"/>
              <w:rPr>
                <w:b/>
                <w:bCs/>
              </w:rPr>
            </w:pPr>
            <w:r>
              <w:rPr>
                <w:b/>
                <w:bCs/>
              </w:rPr>
              <w:t>Existing Name</w:t>
            </w:r>
          </w:p>
        </w:tc>
        <w:tc>
          <w:tcPr>
            <w:tcW w:w="3544" w:type="dxa"/>
            <w:tcBorders>
              <w:top w:val="single" w:sz="4" w:space="0" w:color="auto"/>
              <w:bottom w:val="single" w:sz="4" w:space="0" w:color="auto"/>
            </w:tcBorders>
          </w:tcPr>
          <w:p>
            <w:pPr>
              <w:pStyle w:val="yTableNAm"/>
              <w:jc w:val="center"/>
              <w:rPr>
                <w:b/>
                <w:bCs/>
              </w:rPr>
            </w:pPr>
            <w:r>
              <w:rPr>
                <w:b/>
                <w:bCs/>
              </w:rPr>
              <w:t>Proposed Name</w:t>
            </w:r>
          </w:p>
        </w:tc>
      </w:tr>
      <w:tr>
        <w:tc>
          <w:tcPr>
            <w:tcW w:w="3544" w:type="dxa"/>
          </w:tcPr>
          <w:p>
            <w:pPr>
              <w:pStyle w:val="yTableNAm"/>
            </w:pPr>
            <w:r>
              <w:t>Albany Regional Gaol</w:t>
            </w:r>
          </w:p>
        </w:tc>
        <w:tc>
          <w:tcPr>
            <w:tcW w:w="3544" w:type="dxa"/>
          </w:tcPr>
          <w:p>
            <w:pPr>
              <w:pStyle w:val="yTableNAm"/>
            </w:pPr>
            <w:r>
              <w:t>Albany Regional Prison</w:t>
            </w:r>
          </w:p>
        </w:tc>
      </w:tr>
      <w:tr>
        <w:tc>
          <w:tcPr>
            <w:tcW w:w="3544" w:type="dxa"/>
          </w:tcPr>
          <w:p>
            <w:pPr>
              <w:pStyle w:val="yTableNAm"/>
            </w:pPr>
            <w:r>
              <w:t>Broome Regional Prison</w:t>
            </w:r>
          </w:p>
        </w:tc>
        <w:tc>
          <w:tcPr>
            <w:tcW w:w="3544" w:type="dxa"/>
          </w:tcPr>
          <w:p>
            <w:pPr>
              <w:pStyle w:val="yTableNAm"/>
            </w:pPr>
            <w:r>
              <w:t>Broome Regional Prison</w:t>
            </w:r>
          </w:p>
        </w:tc>
      </w:tr>
      <w:tr>
        <w:tc>
          <w:tcPr>
            <w:tcW w:w="3544" w:type="dxa"/>
          </w:tcPr>
          <w:p>
            <w:pPr>
              <w:pStyle w:val="yTableNAm"/>
            </w:pPr>
            <w:r>
              <w:t>Brunswick Junction Prison</w:t>
            </w:r>
          </w:p>
        </w:tc>
        <w:tc>
          <w:tcPr>
            <w:tcW w:w="3544" w:type="dxa"/>
          </w:tcPr>
          <w:p>
            <w:pPr>
              <w:pStyle w:val="yTableNAm"/>
            </w:pPr>
            <w:r>
              <w:t>Brunswick Junction Prison</w:t>
            </w:r>
          </w:p>
        </w:tc>
      </w:tr>
      <w:tr>
        <w:tc>
          <w:tcPr>
            <w:tcW w:w="3544" w:type="dxa"/>
          </w:tcPr>
          <w:p>
            <w:pPr>
              <w:pStyle w:val="yTableNAm"/>
            </w:pPr>
            <w:r>
              <w:t>Bunbury Rehabilitation Centre</w:t>
            </w:r>
          </w:p>
        </w:tc>
        <w:tc>
          <w:tcPr>
            <w:tcW w:w="3544" w:type="dxa"/>
          </w:tcPr>
          <w:p>
            <w:pPr>
              <w:pStyle w:val="yTableNAm"/>
            </w:pPr>
            <w:r>
              <w:t>Bunbury Regional Prison</w:t>
            </w:r>
          </w:p>
        </w:tc>
      </w:tr>
      <w:tr>
        <w:tc>
          <w:tcPr>
            <w:tcW w:w="3544" w:type="dxa"/>
          </w:tcPr>
          <w:p>
            <w:pPr>
              <w:pStyle w:val="yTableNAm"/>
            </w:pPr>
            <w:r>
              <w:t>Canning Vale Prison</w:t>
            </w:r>
          </w:p>
        </w:tc>
        <w:tc>
          <w:tcPr>
            <w:tcW w:w="3544" w:type="dxa"/>
          </w:tcPr>
          <w:p>
            <w:pPr>
              <w:pStyle w:val="yTableNAm"/>
            </w:pPr>
            <w:r>
              <w:t>Canning Vale Prison</w:t>
            </w:r>
          </w:p>
        </w:tc>
      </w:tr>
      <w:tr>
        <w:tc>
          <w:tcPr>
            <w:tcW w:w="3544" w:type="dxa"/>
          </w:tcPr>
          <w:p>
            <w:pPr>
              <w:pStyle w:val="yTableNAm"/>
            </w:pPr>
            <w:r>
              <w:t>The C.W. Campbell Remand Centre</w:t>
            </w:r>
          </w:p>
        </w:tc>
        <w:tc>
          <w:tcPr>
            <w:tcW w:w="3544" w:type="dxa"/>
          </w:tcPr>
          <w:p>
            <w:pPr>
              <w:pStyle w:val="yTableNAm"/>
            </w:pPr>
            <w:r>
              <w:t>The C.W. Campbell Remand Centre</w:t>
            </w:r>
          </w:p>
        </w:tc>
      </w:tr>
      <w:tr>
        <w:tc>
          <w:tcPr>
            <w:tcW w:w="3544" w:type="dxa"/>
          </w:tcPr>
          <w:p>
            <w:pPr>
              <w:pStyle w:val="yTableNAm"/>
            </w:pPr>
            <w:r>
              <w:t>Eastern Goldfields Regional Prison</w:t>
            </w:r>
          </w:p>
        </w:tc>
        <w:tc>
          <w:tcPr>
            <w:tcW w:w="3544" w:type="dxa"/>
          </w:tcPr>
          <w:p>
            <w:pPr>
              <w:pStyle w:val="yTableNAm"/>
            </w:pPr>
            <w:r>
              <w:t>Eastern Goldfields Regional Prison</w:t>
            </w:r>
          </w:p>
        </w:tc>
      </w:tr>
      <w:tr>
        <w:tc>
          <w:tcPr>
            <w:tcW w:w="3544" w:type="dxa"/>
          </w:tcPr>
          <w:p>
            <w:pPr>
              <w:pStyle w:val="yTableNAm"/>
            </w:pPr>
            <w:r>
              <w:t>Fremantle Gaol</w:t>
            </w:r>
          </w:p>
        </w:tc>
        <w:tc>
          <w:tcPr>
            <w:tcW w:w="3544" w:type="dxa"/>
          </w:tcPr>
          <w:p>
            <w:pPr>
              <w:pStyle w:val="yTableNAm"/>
            </w:pPr>
            <w:r>
              <w:t>Fremantle Prison</w:t>
            </w:r>
          </w:p>
        </w:tc>
      </w:tr>
      <w:tr>
        <w:tc>
          <w:tcPr>
            <w:tcW w:w="3544" w:type="dxa"/>
          </w:tcPr>
          <w:p>
            <w:pPr>
              <w:pStyle w:val="yTableNAm"/>
            </w:pPr>
            <w:r>
              <w:t>Geraldton Gaol</w:t>
            </w:r>
          </w:p>
        </w:tc>
        <w:tc>
          <w:tcPr>
            <w:tcW w:w="3544" w:type="dxa"/>
          </w:tcPr>
          <w:p>
            <w:pPr>
              <w:pStyle w:val="yTableNAm"/>
            </w:pPr>
            <w:r>
              <w:t>Geraldton Regional Prison</w:t>
            </w:r>
          </w:p>
        </w:tc>
      </w:tr>
      <w:tr>
        <w:tc>
          <w:tcPr>
            <w:tcW w:w="3544" w:type="dxa"/>
          </w:tcPr>
          <w:p>
            <w:pPr>
              <w:pStyle w:val="yTableNAm"/>
            </w:pPr>
            <w:r>
              <w:t>Highgate Annexe — West Perth Work Release Hostel</w:t>
            </w:r>
          </w:p>
        </w:tc>
        <w:tc>
          <w:tcPr>
            <w:tcW w:w="3544" w:type="dxa"/>
          </w:tcPr>
          <w:p>
            <w:pPr>
              <w:pStyle w:val="yTableNAm"/>
            </w:pPr>
            <w:r>
              <w:t>Highgate Work Release Hostel</w:t>
            </w:r>
          </w:p>
        </w:tc>
      </w:tr>
      <w:tr>
        <w:tc>
          <w:tcPr>
            <w:tcW w:w="3544" w:type="dxa"/>
          </w:tcPr>
          <w:p>
            <w:pPr>
              <w:pStyle w:val="yTableNAm"/>
            </w:pPr>
            <w:r>
              <w:t>Kalgoorlie Regional Gaol</w:t>
            </w:r>
          </w:p>
        </w:tc>
        <w:tc>
          <w:tcPr>
            <w:tcW w:w="3544" w:type="dxa"/>
          </w:tcPr>
          <w:p>
            <w:pPr>
              <w:pStyle w:val="yTableNAm"/>
            </w:pPr>
            <w:r>
              <w:t>Kalgoorlie Prison</w:t>
            </w:r>
          </w:p>
        </w:tc>
      </w:tr>
      <w:tr>
        <w:tc>
          <w:tcPr>
            <w:tcW w:w="3544" w:type="dxa"/>
          </w:tcPr>
          <w:p>
            <w:pPr>
              <w:pStyle w:val="yTableNAm"/>
            </w:pPr>
            <w:r>
              <w:t>Bandyup Training Centre</w:t>
            </w:r>
          </w:p>
        </w:tc>
        <w:tc>
          <w:tcPr>
            <w:tcW w:w="3544" w:type="dxa"/>
          </w:tcPr>
          <w:p>
            <w:pPr>
              <w:pStyle w:val="yTableNAm"/>
            </w:pPr>
            <w:r>
              <w:t>Bandyup Women’s Prison</w:t>
            </w:r>
          </w:p>
        </w:tc>
      </w:tr>
      <w:tr>
        <w:tc>
          <w:tcPr>
            <w:tcW w:w="3544" w:type="dxa"/>
          </w:tcPr>
          <w:p>
            <w:pPr>
              <w:pStyle w:val="yTableNAm"/>
            </w:pPr>
            <w:r>
              <w:t>Pardelup Penal Outstation</w:t>
            </w:r>
          </w:p>
        </w:tc>
        <w:tc>
          <w:tcPr>
            <w:tcW w:w="3544" w:type="dxa"/>
          </w:tcPr>
          <w:p>
            <w:pPr>
              <w:pStyle w:val="yTableNAm"/>
            </w:pPr>
            <w:r>
              <w:t>Pardelup Prison Farm</w:t>
            </w:r>
          </w:p>
        </w:tc>
      </w:tr>
      <w:tr>
        <w:tc>
          <w:tcPr>
            <w:tcW w:w="3544" w:type="dxa"/>
          </w:tcPr>
          <w:p>
            <w:pPr>
              <w:pStyle w:val="yTableNAm"/>
            </w:pPr>
            <w:r>
              <w:t>Barton’s Mill Gaol</w:t>
            </w:r>
          </w:p>
        </w:tc>
        <w:tc>
          <w:tcPr>
            <w:tcW w:w="3544" w:type="dxa"/>
          </w:tcPr>
          <w:p>
            <w:pPr>
              <w:pStyle w:val="yTableNAm"/>
            </w:pPr>
            <w:r>
              <w:t>Barton’s Mill Prison</w:t>
            </w:r>
          </w:p>
        </w:tc>
      </w:tr>
      <w:tr>
        <w:tc>
          <w:tcPr>
            <w:tcW w:w="3544" w:type="dxa"/>
          </w:tcPr>
          <w:p>
            <w:pPr>
              <w:pStyle w:val="yTableNAm"/>
            </w:pPr>
            <w:r>
              <w:t>Roebourne Regional Prison</w:t>
            </w:r>
          </w:p>
        </w:tc>
        <w:tc>
          <w:tcPr>
            <w:tcW w:w="3544" w:type="dxa"/>
          </w:tcPr>
          <w:p>
            <w:pPr>
              <w:pStyle w:val="yTableNAm"/>
            </w:pPr>
            <w:r>
              <w:t>Roebourne Regional Prison</w:t>
            </w:r>
          </w:p>
        </w:tc>
      </w:tr>
      <w:tr>
        <w:tc>
          <w:tcPr>
            <w:tcW w:w="3544" w:type="dxa"/>
          </w:tcPr>
          <w:p>
            <w:pPr>
              <w:pStyle w:val="yTableNAm"/>
            </w:pPr>
            <w:r>
              <w:t>Karnet Rehabilitation Centre</w:t>
            </w:r>
          </w:p>
        </w:tc>
        <w:tc>
          <w:tcPr>
            <w:tcW w:w="3544" w:type="dxa"/>
          </w:tcPr>
          <w:p>
            <w:pPr>
              <w:pStyle w:val="yTableNAm"/>
            </w:pPr>
            <w:r>
              <w:t>Karnet Prison Farm</w:t>
            </w:r>
          </w:p>
        </w:tc>
      </w:tr>
      <w:tr>
        <w:tc>
          <w:tcPr>
            <w:tcW w:w="3544" w:type="dxa"/>
          </w:tcPr>
          <w:p>
            <w:pPr>
              <w:pStyle w:val="yTableNAm"/>
            </w:pPr>
            <w:r>
              <w:t>West Perth Work Release Hostel</w:t>
            </w:r>
          </w:p>
        </w:tc>
        <w:tc>
          <w:tcPr>
            <w:tcW w:w="3544" w:type="dxa"/>
          </w:tcPr>
          <w:p>
            <w:pPr>
              <w:pStyle w:val="yTableNAm"/>
            </w:pPr>
            <w:r>
              <w:t>West Perth Work Release Hostel</w:t>
            </w:r>
          </w:p>
        </w:tc>
      </w:tr>
      <w:tr>
        <w:tc>
          <w:tcPr>
            <w:tcW w:w="3544" w:type="dxa"/>
          </w:tcPr>
          <w:p>
            <w:pPr>
              <w:pStyle w:val="yTableNAm"/>
            </w:pPr>
            <w:r>
              <w:t>Wooroloo Training Centre</w:t>
            </w:r>
          </w:p>
        </w:tc>
        <w:tc>
          <w:tcPr>
            <w:tcW w:w="3544" w:type="dxa"/>
          </w:tcPr>
          <w:p>
            <w:pPr>
              <w:pStyle w:val="yTableNAm"/>
            </w:pPr>
            <w:r>
              <w:t>Wooroloo Prison Farm</w:t>
            </w:r>
          </w:p>
        </w:tc>
      </w:tr>
      <w:tr>
        <w:tc>
          <w:tcPr>
            <w:tcW w:w="3544" w:type="dxa"/>
            <w:tcBorders>
              <w:bottom w:val="single" w:sz="4" w:space="0" w:color="auto"/>
            </w:tcBorders>
          </w:tcPr>
          <w:p>
            <w:pPr>
              <w:pStyle w:val="yTableNAm"/>
            </w:pPr>
            <w:r>
              <w:t>Wyndham Regional Prison</w:t>
            </w:r>
          </w:p>
        </w:tc>
        <w:tc>
          <w:tcPr>
            <w:tcW w:w="3544" w:type="dxa"/>
            <w:tcBorders>
              <w:bottom w:val="single" w:sz="4" w:space="0" w:color="auto"/>
            </w:tcBorders>
          </w:tcPr>
          <w:p>
            <w:pPr>
              <w:pStyle w:val="yTableNAm"/>
            </w:pPr>
            <w:r>
              <w:t>Wyndham Regional Prison</w:t>
            </w:r>
          </w:p>
        </w:tc>
      </w:tr>
    </w:tbl>
    <w:p>
      <w:pPr>
        <w:pStyle w:val="yTable"/>
        <w:tabs>
          <w:tab w:val="left" w:pos="3685"/>
          <w:tab w:val="left" w:pos="7229"/>
        </w:tabs>
        <w:ind w:left="141"/>
      </w:pPr>
    </w:p>
    <w:p>
      <w:pPr>
        <w:pStyle w:val="yScheduleHeading"/>
      </w:pPr>
      <w:bookmarkStart w:id="554" w:name="_Toc43906494"/>
      <w:bookmarkStart w:id="555" w:name="_Toc43907566"/>
      <w:bookmarkStart w:id="556" w:name="_Toc43971888"/>
      <w:bookmarkStart w:id="557" w:name="_Toc41031557"/>
      <w:r>
        <w:rPr>
          <w:rStyle w:val="CharSchNo"/>
        </w:rPr>
        <w:t>Schedule 2</w:t>
      </w:r>
      <w:bookmarkEnd w:id="554"/>
      <w:bookmarkEnd w:id="555"/>
      <w:bookmarkEnd w:id="556"/>
      <w:bookmarkEnd w:id="557"/>
    </w:p>
    <w:p>
      <w:pPr>
        <w:pStyle w:val="yShoulderClause"/>
        <w:rPr>
          <w:snapToGrid w:val="0"/>
        </w:rPr>
      </w:pPr>
      <w:r>
        <w:rPr>
          <w:snapToGrid w:val="0"/>
        </w:rPr>
        <w:t>[section 117]</w:t>
      </w:r>
    </w:p>
    <w:p>
      <w:pPr>
        <w:pStyle w:val="yHeading2"/>
      </w:pPr>
      <w:bookmarkStart w:id="558" w:name="_Toc43906495"/>
      <w:bookmarkStart w:id="559" w:name="_Toc43907567"/>
      <w:bookmarkStart w:id="560" w:name="_Toc43971889"/>
      <w:bookmarkStart w:id="561" w:name="_Toc41031558"/>
      <w:r>
        <w:rPr>
          <w:rStyle w:val="CharSchText"/>
        </w:rPr>
        <w:t>Transitional provisions</w:t>
      </w:r>
      <w:bookmarkEnd w:id="558"/>
      <w:bookmarkEnd w:id="559"/>
      <w:bookmarkEnd w:id="560"/>
      <w:bookmarkEnd w:id="561"/>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vertAlign w:val="superscript"/>
        </w:rPr>
        <w:t xml:space="preserve"> 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vertAlign w:val="superscript"/>
        </w:rPr>
        <w:t> 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vertAlign w:val="superscript"/>
        </w:rPr>
        <w:t xml:space="preserve"> 5 </w:t>
      </w:r>
      <w:r>
        <w:rPr>
          <w:snapToGrid w:val="0"/>
        </w:rPr>
        <w:t>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No. 47 of 1987 s. 11; No. 113 of 1987 s. 32.]</w:t>
      </w:r>
    </w:p>
    <w:p>
      <w:pPr>
        <w:pStyle w:val="CentredBaseLine"/>
        <w:spacing w:before="8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563" w:name="_Toc43906496"/>
      <w:bookmarkStart w:id="564" w:name="_Toc43907568"/>
      <w:bookmarkStart w:id="565" w:name="_Toc43971890"/>
      <w:bookmarkStart w:id="566" w:name="_Toc41031559"/>
      <w:r>
        <w:t>Notes</w:t>
      </w:r>
      <w:bookmarkEnd w:id="563"/>
      <w:bookmarkEnd w:id="564"/>
      <w:bookmarkEnd w:id="565"/>
      <w:bookmarkEnd w:id="566"/>
    </w:p>
    <w:p>
      <w:pPr>
        <w:pStyle w:val="nStatement"/>
      </w:pPr>
      <w:r>
        <w:t xml:space="preserve">This is a compilation of the </w:t>
      </w:r>
      <w:r>
        <w:rPr>
          <w:i/>
          <w:noProof/>
        </w:rPr>
        <w:t>Prisons Act</w:t>
      </w:r>
      <w:del w:id="567" w:author="svcMRProcess" w:date="2020-06-26T12:27:00Z">
        <w:r>
          <w:rPr>
            <w:i/>
            <w:noProof/>
          </w:rPr>
          <w:delText xml:space="preserve"> </w:delText>
        </w:r>
      </w:del>
      <w:ins w:id="568" w:author="svcMRProcess" w:date="2020-06-26T12:27:00Z">
        <w:r>
          <w:rPr>
            <w:i/>
            <w:noProof/>
          </w:rPr>
          <w:t> </w:t>
        </w:r>
      </w:ins>
      <w:r>
        <w:rPr>
          <w:i/>
          <w:noProof/>
        </w:rPr>
        <w:t>1981</w:t>
      </w:r>
      <w:r>
        <w:t xml:space="preserve"> and includes amendments made by other written laws</w:t>
      </w:r>
      <w:r>
        <w:rPr>
          <w:snapToGrid w:val="0"/>
          <w:vertAlign w:val="superscript"/>
        </w:rPr>
        <w:t> </w:t>
      </w:r>
      <w:r>
        <w:rPr>
          <w:vertAlign w:val="superscript"/>
        </w:rPr>
        <w:t>1M</w:t>
      </w:r>
      <w:r>
        <w:t>. For provisions that have come into operation, and for information about any reprints, see the compilation table. For provisions that have not yet come into operation see the uncommenced provisions table.</w:t>
      </w:r>
    </w:p>
    <w:p>
      <w:pPr>
        <w:pStyle w:val="nHeading3"/>
      </w:pPr>
      <w:bookmarkStart w:id="569" w:name="_Toc43971891"/>
      <w:bookmarkStart w:id="570" w:name="_Toc41031560"/>
      <w:r>
        <w:t>Compilation table</w:t>
      </w:r>
      <w:bookmarkEnd w:id="569"/>
      <w:bookmarkEnd w:id="570"/>
    </w:p>
    <w:tbl>
      <w:tblPr>
        <w:tblW w:w="0" w:type="auto"/>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9"/>
        <w:gridCol w:w="42"/>
        <w:gridCol w:w="2510"/>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9"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70"/>
            </w:pPr>
            <w:r>
              <w:rPr>
                <w:i/>
              </w:rPr>
              <w:t>Prisons Act 1981</w:t>
            </w:r>
          </w:p>
        </w:tc>
        <w:tc>
          <w:tcPr>
            <w:tcW w:w="1134" w:type="dxa"/>
            <w:tcBorders>
              <w:top w:val="single" w:sz="8" w:space="0" w:color="auto"/>
            </w:tcBorders>
          </w:tcPr>
          <w:p>
            <w:pPr>
              <w:pStyle w:val="nTable"/>
              <w:spacing w:after="40"/>
            </w:pPr>
            <w:r>
              <w:t>115 of 1981</w:t>
            </w:r>
          </w:p>
        </w:tc>
        <w:tc>
          <w:tcPr>
            <w:tcW w:w="1139" w:type="dxa"/>
            <w:tcBorders>
              <w:top w:val="single" w:sz="8" w:space="0" w:color="auto"/>
            </w:tcBorders>
          </w:tcPr>
          <w:p>
            <w:pPr>
              <w:pStyle w:val="nTable"/>
              <w:spacing w:after="40"/>
            </w:pPr>
            <w:r>
              <w:t>14 Dec 1981</w:t>
            </w:r>
          </w:p>
        </w:tc>
        <w:tc>
          <w:tcPr>
            <w:tcW w:w="2552" w:type="dxa"/>
            <w:gridSpan w:val="2"/>
            <w:tcBorders>
              <w:top w:val="single" w:sz="8" w:space="0" w:color="auto"/>
            </w:tcBorders>
          </w:tcPr>
          <w:p>
            <w:pPr>
              <w:pStyle w:val="nTable"/>
              <w:spacing w:after="40"/>
            </w:pPr>
            <w:r>
              <w:t xml:space="preserve">1 Aug 1982 (see s. 2 and </w:t>
            </w:r>
            <w:r>
              <w:rPr>
                <w:i/>
              </w:rPr>
              <w:t>Gazette</w:t>
            </w:r>
            <w:r>
              <w:t xml:space="preserve"> 23 Jul 1982 p. 2841)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Prisons Amendment Act 1982</w:t>
            </w:r>
          </w:p>
        </w:tc>
        <w:tc>
          <w:tcPr>
            <w:tcW w:w="1134" w:type="dxa"/>
          </w:tcPr>
          <w:p>
            <w:pPr>
              <w:pStyle w:val="nTable"/>
              <w:spacing w:after="40"/>
            </w:pPr>
            <w:r>
              <w:t>66 of 1982</w:t>
            </w:r>
          </w:p>
        </w:tc>
        <w:tc>
          <w:tcPr>
            <w:tcW w:w="1139" w:type="dxa"/>
          </w:tcPr>
          <w:p>
            <w:pPr>
              <w:pStyle w:val="nTable"/>
              <w:spacing w:after="40"/>
            </w:pPr>
            <w:r>
              <w:t>6 Oct 1982</w:t>
            </w:r>
          </w:p>
        </w:tc>
        <w:tc>
          <w:tcPr>
            <w:tcW w:w="2552" w:type="dxa"/>
            <w:gridSpan w:val="2"/>
          </w:tcPr>
          <w:p>
            <w:pPr>
              <w:pStyle w:val="nTable"/>
              <w:spacing w:after="40"/>
            </w:pPr>
            <w:r>
              <w:t>6 Oct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Health Legislation Amendment Act 1984 </w:t>
            </w:r>
            <w:r>
              <w:t>Pt. XXI</w:t>
            </w:r>
          </w:p>
        </w:tc>
        <w:tc>
          <w:tcPr>
            <w:tcW w:w="1134" w:type="dxa"/>
          </w:tcPr>
          <w:p>
            <w:pPr>
              <w:pStyle w:val="nTable"/>
              <w:spacing w:after="40"/>
            </w:pPr>
            <w:r>
              <w:t>28 of 1984</w:t>
            </w:r>
          </w:p>
        </w:tc>
        <w:tc>
          <w:tcPr>
            <w:tcW w:w="1139" w:type="dxa"/>
          </w:tcPr>
          <w:p>
            <w:pPr>
              <w:pStyle w:val="nTable"/>
              <w:spacing w:after="40"/>
            </w:pPr>
            <w:r>
              <w:t>31 May 1984</w:t>
            </w:r>
          </w:p>
        </w:tc>
        <w:tc>
          <w:tcPr>
            <w:tcW w:w="2552" w:type="dxa"/>
            <w:gridSpan w:val="2"/>
          </w:tcPr>
          <w:p>
            <w:pPr>
              <w:pStyle w:val="nTable"/>
              <w:spacing w:after="40"/>
            </w:pPr>
            <w:r>
              <w:t xml:space="preserve">1 Jul 1984 (see s. 2 and </w:t>
            </w:r>
            <w:r>
              <w:rPr>
                <w:i/>
              </w:rPr>
              <w:t>Gazette</w:t>
            </w:r>
            <w:r>
              <w:t xml:space="preserve"> 15 Jun 1984 p. 1629)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(Abolition of Capital Punishment) Act 1984 </w:t>
            </w:r>
            <w:r>
              <w:t>Pt. II</w:t>
            </w:r>
          </w:p>
        </w:tc>
        <w:tc>
          <w:tcPr>
            <w:tcW w:w="1134" w:type="dxa"/>
          </w:tcPr>
          <w:p>
            <w:pPr>
              <w:pStyle w:val="nTable"/>
              <w:spacing w:after="40"/>
            </w:pPr>
            <w:r>
              <w:t>52 of 1984</w:t>
            </w:r>
          </w:p>
        </w:tc>
        <w:tc>
          <w:tcPr>
            <w:tcW w:w="1139" w:type="dxa"/>
          </w:tcPr>
          <w:p>
            <w:pPr>
              <w:pStyle w:val="nTable"/>
              <w:spacing w:after="40"/>
            </w:pPr>
            <w:r>
              <w:t>5 Sep 1984</w:t>
            </w:r>
          </w:p>
        </w:tc>
        <w:tc>
          <w:tcPr>
            <w:tcW w:w="2552" w:type="dxa"/>
            <w:gridSpan w:val="2"/>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(Financial Administration and Audit) Act 1985 </w:t>
            </w:r>
            <w:r>
              <w:t>s. 3</w:t>
            </w:r>
          </w:p>
        </w:tc>
        <w:tc>
          <w:tcPr>
            <w:tcW w:w="1134" w:type="dxa"/>
          </w:tcPr>
          <w:p>
            <w:pPr>
              <w:pStyle w:val="nTable"/>
              <w:spacing w:after="40"/>
            </w:pPr>
            <w:r>
              <w:t>98 of 1985</w:t>
            </w:r>
          </w:p>
        </w:tc>
        <w:tc>
          <w:tcPr>
            <w:tcW w:w="1139" w:type="dxa"/>
          </w:tcPr>
          <w:p>
            <w:pPr>
              <w:pStyle w:val="nTable"/>
              <w:spacing w:after="40"/>
            </w:pPr>
            <w:r>
              <w:t>4 Dec 1985</w:t>
            </w:r>
          </w:p>
        </w:tc>
        <w:tc>
          <w:tcPr>
            <w:tcW w:w="2552" w:type="dxa"/>
            <w:gridSpan w:val="2"/>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(Corrective Services) Act 1987 </w:t>
            </w:r>
            <w:r>
              <w:t>Pt. II</w:t>
            </w:r>
          </w:p>
        </w:tc>
        <w:tc>
          <w:tcPr>
            <w:tcW w:w="1134" w:type="dxa"/>
          </w:tcPr>
          <w:p>
            <w:pPr>
              <w:pStyle w:val="nTable"/>
              <w:spacing w:after="40"/>
            </w:pPr>
            <w:r>
              <w:t>47 of 1987</w:t>
            </w:r>
          </w:p>
        </w:tc>
        <w:tc>
          <w:tcPr>
            <w:tcW w:w="1139" w:type="dxa"/>
          </w:tcPr>
          <w:p>
            <w:pPr>
              <w:pStyle w:val="nTable"/>
              <w:spacing w:after="40"/>
            </w:pPr>
            <w:r>
              <w:t>3 Oct 1987</w:t>
            </w:r>
          </w:p>
        </w:tc>
        <w:tc>
          <w:tcPr>
            <w:tcW w:w="2552" w:type="dxa"/>
            <w:gridSpan w:val="2"/>
          </w:tcPr>
          <w:p>
            <w:pPr>
              <w:pStyle w:val="nTable"/>
              <w:spacing w:after="40"/>
            </w:pPr>
            <w:r>
              <w:t xml:space="preserve">11 Dec 1987 (see s. 2 and </w:t>
            </w:r>
            <w:r>
              <w:rPr>
                <w:i/>
              </w:rPr>
              <w:t>Gazette</w:t>
            </w:r>
            <w:r>
              <w:t xml:space="preserve"> 11 Dec 1987 p. 4363)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(Public Service) Act 1987 </w:t>
            </w:r>
            <w:r>
              <w:t>s. 32</w:t>
            </w:r>
          </w:p>
        </w:tc>
        <w:tc>
          <w:tcPr>
            <w:tcW w:w="1134" w:type="dxa"/>
          </w:tcPr>
          <w:p>
            <w:pPr>
              <w:pStyle w:val="nTable"/>
              <w:spacing w:after="40"/>
            </w:pPr>
            <w:r>
              <w:t>113 of 1987</w:t>
            </w:r>
          </w:p>
        </w:tc>
        <w:tc>
          <w:tcPr>
            <w:tcW w:w="1139" w:type="dxa"/>
          </w:tcPr>
          <w:p>
            <w:pPr>
              <w:pStyle w:val="nTable"/>
              <w:spacing w:after="40"/>
            </w:pPr>
            <w:r>
              <w:t>31 Dec 1987</w:t>
            </w:r>
          </w:p>
        </w:tc>
        <w:tc>
          <w:tcPr>
            <w:tcW w:w="2552" w:type="dxa"/>
            <w:gridSpan w:val="2"/>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(Imprisonment and Parole) Act 1987 </w:t>
            </w:r>
            <w:r>
              <w:t>Pt. III</w:t>
            </w:r>
          </w:p>
        </w:tc>
        <w:tc>
          <w:tcPr>
            <w:tcW w:w="1134" w:type="dxa"/>
          </w:tcPr>
          <w:p>
            <w:pPr>
              <w:pStyle w:val="nTable"/>
              <w:spacing w:after="40"/>
            </w:pPr>
            <w:r>
              <w:t>129 of 1987</w:t>
            </w:r>
          </w:p>
        </w:tc>
        <w:tc>
          <w:tcPr>
            <w:tcW w:w="1139" w:type="dxa"/>
          </w:tcPr>
          <w:p>
            <w:pPr>
              <w:pStyle w:val="nTable"/>
              <w:spacing w:after="40"/>
            </w:pPr>
            <w:r>
              <w:t>21 Jan 1988</w:t>
            </w:r>
          </w:p>
        </w:tc>
        <w:tc>
          <w:tcPr>
            <w:tcW w:w="2552" w:type="dxa"/>
            <w:gridSpan w:val="2"/>
          </w:tcPr>
          <w:p>
            <w:pPr>
              <w:pStyle w:val="nTable"/>
              <w:spacing w:after="40"/>
            </w:pPr>
            <w:r>
              <w:t xml:space="preserve">15 Jun 1988 (see s. 2 and </w:t>
            </w:r>
            <w:r>
              <w:rPr>
                <w:i/>
              </w:rPr>
              <w:t>Gazette</w:t>
            </w:r>
            <w:r>
              <w:t xml:space="preserve"> 20 May 1988 p. 1664)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Prisons Amendment Act (No. 2) 1991</w:t>
            </w:r>
          </w:p>
        </w:tc>
        <w:tc>
          <w:tcPr>
            <w:tcW w:w="1134" w:type="dxa"/>
          </w:tcPr>
          <w:p>
            <w:pPr>
              <w:pStyle w:val="nTable"/>
              <w:spacing w:after="40"/>
            </w:pPr>
            <w:r>
              <w:t>47 of 1991</w:t>
            </w:r>
          </w:p>
        </w:tc>
        <w:tc>
          <w:tcPr>
            <w:tcW w:w="1139" w:type="dxa"/>
          </w:tcPr>
          <w:p>
            <w:pPr>
              <w:pStyle w:val="nTable"/>
              <w:spacing w:after="40"/>
            </w:pPr>
            <w:r>
              <w:t>17 Dec 1991</w:t>
            </w:r>
          </w:p>
        </w:tc>
        <w:tc>
          <w:tcPr>
            <w:tcW w:w="2552" w:type="dxa"/>
            <w:gridSpan w:val="2"/>
          </w:tcPr>
          <w:p>
            <w:pPr>
              <w:pStyle w:val="nTable"/>
              <w:spacing w:after="40"/>
            </w:pPr>
            <w:r>
              <w:t>Act other than s. 6: 17 Dec 1991 (see s. 2(1));</w:t>
            </w:r>
            <w:r>
              <w:br/>
              <w:t xml:space="preserve">s. 6: 1 Apr 1992 (see s. 2(2) and </w:t>
            </w:r>
            <w:r>
              <w:rPr>
                <w:i/>
              </w:rPr>
              <w:t>Gazette</w:t>
            </w:r>
            <w:r>
              <w:t xml:space="preserve"> 27 Mar 1992 p. 1341)</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pPr>
            <w:r>
              <w:rPr>
                <w:b/>
              </w:rPr>
              <w:t xml:space="preserve">Reprint of the </w:t>
            </w:r>
            <w:r>
              <w:rPr>
                <w:b/>
                <w:i/>
              </w:rPr>
              <w:t>Prisons Act 1981</w:t>
            </w:r>
            <w:r>
              <w:rPr>
                <w:b/>
              </w:rPr>
              <w:t xml:space="preserve"> as at 9 Jul 1992</w:t>
            </w:r>
            <w:r>
              <w:t xml:space="preserve"> (includes amendments listed above) (correction in </w:t>
            </w:r>
            <w:r>
              <w:rPr>
                <w:i/>
              </w:rPr>
              <w:t>Gazette</w:t>
            </w:r>
            <w:r>
              <w:t xml:space="preserve"> 18 May 1993 p. 2465)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Criminal Law Amendment Act (No. 2) 1992 </w:t>
            </w:r>
            <w:r>
              <w:t>s. 16(1)</w:t>
            </w:r>
          </w:p>
        </w:tc>
        <w:tc>
          <w:tcPr>
            <w:tcW w:w="1134" w:type="dxa"/>
          </w:tcPr>
          <w:p>
            <w:pPr>
              <w:pStyle w:val="nTable"/>
              <w:spacing w:after="40"/>
            </w:pPr>
            <w:r>
              <w:t>51 of 1992</w:t>
            </w:r>
          </w:p>
        </w:tc>
        <w:tc>
          <w:tcPr>
            <w:tcW w:w="1139" w:type="dxa"/>
          </w:tcPr>
          <w:p>
            <w:pPr>
              <w:pStyle w:val="nTable"/>
              <w:spacing w:after="40"/>
            </w:pPr>
            <w:r>
              <w:t>9 Dec 1992</w:t>
            </w:r>
          </w:p>
        </w:tc>
        <w:tc>
          <w:tcPr>
            <w:tcW w:w="2552" w:type="dxa"/>
            <w:gridSpan w:val="2"/>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 xml:space="preserve">Acts Amendment (Ministry of Justice) Act 1993 </w:t>
            </w:r>
            <w:r>
              <w:t>Pt. 15</w:t>
            </w:r>
            <w:r>
              <w:rPr>
                <w:vertAlign w:val="superscript"/>
              </w:rPr>
              <w:t> 6</w:t>
            </w:r>
          </w:p>
        </w:tc>
        <w:tc>
          <w:tcPr>
            <w:tcW w:w="1134" w:type="dxa"/>
          </w:tcPr>
          <w:p>
            <w:pPr>
              <w:pStyle w:val="nTable"/>
              <w:spacing w:after="40"/>
            </w:pPr>
            <w:r>
              <w:t>31 of 1993</w:t>
            </w:r>
          </w:p>
        </w:tc>
        <w:tc>
          <w:tcPr>
            <w:tcW w:w="1139" w:type="dxa"/>
          </w:tcPr>
          <w:p>
            <w:pPr>
              <w:pStyle w:val="nTable"/>
              <w:spacing w:after="40"/>
            </w:pPr>
            <w:r>
              <w:t>15 Dec 1993</w:t>
            </w:r>
          </w:p>
        </w:tc>
        <w:tc>
          <w:tcPr>
            <w:tcW w:w="2552" w:type="dxa"/>
            <w:gridSpan w:val="2"/>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(Public Sector Management) </w:t>
            </w:r>
            <w:r>
              <w:rPr>
                <w:i/>
              </w:rPr>
              <w:br/>
              <w:t>Act 1994</w:t>
            </w:r>
            <w:r>
              <w:t xml:space="preserve"> s. 3(2)</w:t>
            </w:r>
          </w:p>
        </w:tc>
        <w:tc>
          <w:tcPr>
            <w:tcW w:w="1134" w:type="dxa"/>
          </w:tcPr>
          <w:p>
            <w:pPr>
              <w:pStyle w:val="nTable"/>
              <w:spacing w:after="40"/>
            </w:pPr>
            <w:r>
              <w:t>32 of 1994</w:t>
            </w:r>
          </w:p>
        </w:tc>
        <w:tc>
          <w:tcPr>
            <w:tcW w:w="1139" w:type="dxa"/>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(Fines, Penalties and Infringement Notices) Act 1994 </w:t>
            </w:r>
            <w:r>
              <w:t>Pt. 18</w:t>
            </w:r>
          </w:p>
        </w:tc>
        <w:tc>
          <w:tcPr>
            <w:tcW w:w="1134" w:type="dxa"/>
          </w:tcPr>
          <w:p>
            <w:pPr>
              <w:pStyle w:val="nTable"/>
              <w:spacing w:after="40"/>
            </w:pPr>
            <w:r>
              <w:t>92 of 1994</w:t>
            </w:r>
          </w:p>
        </w:tc>
        <w:tc>
          <w:tcPr>
            <w:tcW w:w="1139" w:type="dxa"/>
          </w:tcPr>
          <w:p>
            <w:pPr>
              <w:pStyle w:val="nTable"/>
              <w:spacing w:after="40"/>
            </w:pPr>
            <w:r>
              <w:t>23 Dec 1994</w:t>
            </w:r>
          </w:p>
        </w:tc>
        <w:tc>
          <w:tcPr>
            <w:tcW w:w="2552" w:type="dxa"/>
            <w:gridSpan w:val="2"/>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Prisons Amendment Act 1995</w:t>
            </w:r>
          </w:p>
        </w:tc>
        <w:tc>
          <w:tcPr>
            <w:tcW w:w="1134" w:type="dxa"/>
          </w:tcPr>
          <w:p>
            <w:pPr>
              <w:pStyle w:val="nTable"/>
              <w:spacing w:after="40"/>
            </w:pPr>
            <w:r>
              <w:t>19 of 1995</w:t>
            </w:r>
          </w:p>
        </w:tc>
        <w:tc>
          <w:tcPr>
            <w:tcW w:w="1139" w:type="dxa"/>
          </w:tcPr>
          <w:p>
            <w:pPr>
              <w:pStyle w:val="nTable"/>
              <w:spacing w:after="40"/>
            </w:pPr>
            <w:r>
              <w:t>4 Jul 1995</w:t>
            </w:r>
          </w:p>
        </w:tc>
        <w:tc>
          <w:tcPr>
            <w:tcW w:w="2552" w:type="dxa"/>
            <w:gridSpan w:val="2"/>
          </w:tcPr>
          <w:p>
            <w:pPr>
              <w:pStyle w:val="nTable"/>
              <w:spacing w:after="40"/>
            </w:pPr>
            <w:r>
              <w:t>s. 1 and 2: 4 Jul 1995;</w:t>
            </w:r>
            <w:r>
              <w:br/>
              <w:t xml:space="preserve">Act other than s. 1 and 2: 8 Oct 1997 (see s. 2 and </w:t>
            </w:r>
            <w:r>
              <w:rPr>
                <w:i/>
              </w:rPr>
              <w:t>Gazette</w:t>
            </w:r>
            <w:r>
              <w:t xml:space="preserve"> 7 Oct 1997 p. 5607)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Sentencing (Consequential Provisions) Act 1995 </w:t>
            </w:r>
            <w:r>
              <w:t>Pt. 69</w:t>
            </w:r>
            <w:r>
              <w:rPr>
                <w:vertAlign w:val="superscript"/>
              </w:rPr>
              <w:t> 7</w:t>
            </w:r>
          </w:p>
        </w:tc>
        <w:tc>
          <w:tcPr>
            <w:tcW w:w="1134" w:type="dxa"/>
          </w:tcPr>
          <w:p>
            <w:pPr>
              <w:pStyle w:val="nTable"/>
              <w:spacing w:after="40"/>
            </w:pPr>
            <w:r>
              <w:t>78 of 1995</w:t>
            </w:r>
          </w:p>
        </w:tc>
        <w:tc>
          <w:tcPr>
            <w:tcW w:w="1139" w:type="dxa"/>
          </w:tcPr>
          <w:p>
            <w:pPr>
              <w:pStyle w:val="nTable"/>
              <w:spacing w:after="40"/>
            </w:pPr>
            <w:r>
              <w:t>16 Jan 1996</w:t>
            </w:r>
          </w:p>
        </w:tc>
        <w:tc>
          <w:tcPr>
            <w:tcW w:w="2552" w:type="dxa"/>
            <w:gridSpan w:val="2"/>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Industrial Relations Legislation Amendment and Repeal Act 1995 </w:t>
            </w:r>
            <w:r>
              <w:t>s. 66(3)</w:t>
            </w:r>
          </w:p>
        </w:tc>
        <w:tc>
          <w:tcPr>
            <w:tcW w:w="1134" w:type="dxa"/>
          </w:tcPr>
          <w:p>
            <w:pPr>
              <w:pStyle w:val="nTable"/>
              <w:keepNext/>
              <w:spacing w:after="40"/>
            </w:pPr>
            <w:r>
              <w:t>79 of 1995</w:t>
            </w:r>
          </w:p>
        </w:tc>
        <w:tc>
          <w:tcPr>
            <w:tcW w:w="1139" w:type="dxa"/>
          </w:tcPr>
          <w:p>
            <w:pPr>
              <w:pStyle w:val="nTable"/>
              <w:keepNext/>
              <w:spacing w:after="40"/>
            </w:pPr>
            <w:r>
              <w:t>16 Jan 1996</w:t>
            </w:r>
          </w:p>
        </w:tc>
        <w:tc>
          <w:tcPr>
            <w:tcW w:w="2552" w:type="dxa"/>
            <w:gridSpan w:val="2"/>
          </w:tcPr>
          <w:p>
            <w:pPr>
              <w:pStyle w:val="nTable"/>
              <w:keepNext/>
              <w:spacing w:after="40"/>
            </w:pPr>
            <w:r>
              <w:t xml:space="preserve">18 May 1996 (see s. 3(2) and </w:t>
            </w:r>
            <w:r>
              <w:rPr>
                <w:i/>
              </w:rPr>
              <w:t>Gazette</w:t>
            </w:r>
            <w:r>
              <w:t xml:space="preserve"> 14 May 1996 p. 2019)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Coroners Act 1996 </w:t>
            </w:r>
            <w:r>
              <w:t>s. 61</w:t>
            </w:r>
          </w:p>
        </w:tc>
        <w:tc>
          <w:tcPr>
            <w:tcW w:w="1134" w:type="dxa"/>
          </w:tcPr>
          <w:p>
            <w:pPr>
              <w:pStyle w:val="nTable"/>
              <w:keepNext/>
              <w:keepLines/>
              <w:spacing w:after="40"/>
            </w:pPr>
            <w:r>
              <w:t>2 of 1996</w:t>
            </w:r>
          </w:p>
        </w:tc>
        <w:tc>
          <w:tcPr>
            <w:tcW w:w="1139" w:type="dxa"/>
          </w:tcPr>
          <w:p>
            <w:pPr>
              <w:pStyle w:val="nTable"/>
              <w:keepNext/>
              <w:keepLines/>
              <w:spacing w:after="40"/>
            </w:pPr>
            <w:r>
              <w:t>24 May 1996</w:t>
            </w:r>
          </w:p>
        </w:tc>
        <w:tc>
          <w:tcPr>
            <w:tcW w:w="2552" w:type="dxa"/>
            <w:gridSpan w:val="2"/>
          </w:tcPr>
          <w:p>
            <w:pPr>
              <w:pStyle w:val="nTable"/>
              <w:keepNext/>
              <w:keepLines/>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Mental Health (Consequential Provisions) Act 1996 </w:t>
            </w:r>
            <w:r>
              <w:t>Pt. 16</w:t>
            </w:r>
          </w:p>
        </w:tc>
        <w:tc>
          <w:tcPr>
            <w:tcW w:w="1134" w:type="dxa"/>
          </w:tcPr>
          <w:p>
            <w:pPr>
              <w:pStyle w:val="nTable"/>
              <w:spacing w:after="40"/>
            </w:pPr>
            <w:r>
              <w:t>69 of 1996</w:t>
            </w:r>
          </w:p>
        </w:tc>
        <w:tc>
          <w:tcPr>
            <w:tcW w:w="1139" w:type="dxa"/>
          </w:tcPr>
          <w:p>
            <w:pPr>
              <w:pStyle w:val="nTable"/>
              <w:spacing w:after="40"/>
            </w:pPr>
            <w:r>
              <w:t>13 Nov 1996</w:t>
            </w:r>
          </w:p>
        </w:tc>
        <w:tc>
          <w:tcPr>
            <w:tcW w:w="2552" w:type="dxa"/>
            <w:gridSpan w:val="2"/>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pPr>
            <w:r>
              <w:rPr>
                <w:b/>
              </w:rPr>
              <w:t xml:space="preserve">Reprint of the </w:t>
            </w:r>
            <w:r>
              <w:rPr>
                <w:b/>
                <w:i/>
              </w:rPr>
              <w:t xml:space="preserve">Prisons Act 1981 </w:t>
            </w:r>
            <w:r>
              <w:rPr>
                <w:b/>
              </w:rPr>
              <w:t>as at 21 Nov 1996</w:t>
            </w:r>
            <w:r>
              <w:t xml:space="preserve"> (includes amendments listed above except those in the </w:t>
            </w:r>
            <w:r>
              <w:rPr>
                <w:i/>
              </w:rPr>
              <w:t>Prisons Amendment Act 1995</w:t>
            </w:r>
            <w:r>
              <w:rPr>
                <w:iCs/>
              </w:rPr>
              <w:t>,</w:t>
            </w:r>
            <w:r>
              <w:rPr>
                <w:i/>
              </w:rPr>
              <w:t xml:space="preserve"> </w:t>
            </w:r>
            <w:r>
              <w:t xml:space="preserve">the </w:t>
            </w:r>
            <w:r>
              <w:rPr>
                <w:i/>
              </w:rPr>
              <w:t xml:space="preserve">Coroners Act 1996 </w:t>
            </w:r>
            <w:r>
              <w:t xml:space="preserve">and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(Auxiliary Judges) Act 1997 </w:t>
            </w:r>
            <w:r>
              <w:t>Pt. 7</w:t>
            </w:r>
          </w:p>
        </w:tc>
        <w:tc>
          <w:tcPr>
            <w:tcW w:w="1134" w:type="dxa"/>
          </w:tcPr>
          <w:p>
            <w:pPr>
              <w:pStyle w:val="nTable"/>
              <w:spacing w:after="40"/>
            </w:pPr>
            <w:r>
              <w:t>23 of 1997</w:t>
            </w:r>
          </w:p>
        </w:tc>
        <w:tc>
          <w:tcPr>
            <w:tcW w:w="1139" w:type="dxa"/>
          </w:tcPr>
          <w:p>
            <w:pPr>
              <w:pStyle w:val="nTable"/>
              <w:spacing w:after="40"/>
            </w:pPr>
            <w:r>
              <w:t>18 Sep 1997</w:t>
            </w:r>
          </w:p>
        </w:tc>
        <w:tc>
          <w:tcPr>
            <w:tcW w:w="2552" w:type="dxa"/>
            <w:gridSpan w:val="2"/>
          </w:tcPr>
          <w:p>
            <w:pPr>
              <w:pStyle w:val="nTable"/>
              <w:spacing w:after="40"/>
            </w:pPr>
            <w:r>
              <w:t>18 Sep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Prisons Amendment Act 1999</w:t>
            </w:r>
            <w:r>
              <w:rPr>
                <w:vertAlign w:val="superscript"/>
              </w:rPr>
              <w:t> 8</w:t>
            </w:r>
          </w:p>
        </w:tc>
        <w:tc>
          <w:tcPr>
            <w:tcW w:w="1134" w:type="dxa"/>
          </w:tcPr>
          <w:p>
            <w:pPr>
              <w:pStyle w:val="nTable"/>
              <w:keepNext/>
              <w:keepLines/>
              <w:spacing w:after="40"/>
            </w:pPr>
            <w:r>
              <w:t>43 of 1999</w:t>
            </w:r>
          </w:p>
        </w:tc>
        <w:tc>
          <w:tcPr>
            <w:tcW w:w="1139" w:type="dxa"/>
          </w:tcPr>
          <w:p>
            <w:pPr>
              <w:pStyle w:val="nTable"/>
              <w:keepNext/>
              <w:keepLines/>
              <w:spacing w:after="40"/>
            </w:pPr>
            <w:r>
              <w:t>8 Dec 1999</w:t>
            </w:r>
          </w:p>
        </w:tc>
        <w:tc>
          <w:tcPr>
            <w:tcW w:w="2552" w:type="dxa"/>
            <w:gridSpan w:val="2"/>
          </w:tcPr>
          <w:p>
            <w:pPr>
              <w:pStyle w:val="nTable"/>
              <w:keepNext/>
              <w:keepLines/>
              <w:spacing w:after="40"/>
            </w:pPr>
            <w:r>
              <w:t>s. 1 and 2: 8 Dec 1999;</w:t>
            </w:r>
            <w:r>
              <w:br/>
              <w:t>Act other than s. 1, 2, 4(5), 5(3), 18 and Sch. 1 cl. 1(2)</w:t>
            </w:r>
            <w:r>
              <w:noBreakHyphen/>
              <w:t>(4), 2, 4(2) and 5(2) and (5)</w:t>
            </w:r>
            <w:r>
              <w:noBreakHyphen/>
              <w:t xml:space="preserve">(7): 18 Dec 1999 (see s. 2(1) and </w:t>
            </w:r>
            <w:r>
              <w:rPr>
                <w:i/>
              </w:rPr>
              <w:t>Gazette</w:t>
            </w:r>
            <w:r>
              <w:t xml:space="preserve"> 17 Dec 1999 p. 6175); s. 4(5), 5(3), 18 and Sch. 1 cl. 1(2)</w:t>
            </w:r>
            <w:r>
              <w:noBreakHyphen/>
              <w:t>(4), 2, 4(2) and 5(2) and (5)</w:t>
            </w:r>
            <w:r>
              <w:noBreakHyphen/>
              <w:t xml:space="preserve">(7): 18 Jun 2000 (see s. 2(3) and (4) and </w:t>
            </w:r>
            <w:r>
              <w:rPr>
                <w:i/>
              </w:rPr>
              <w:t>Gazette</w:t>
            </w:r>
            <w:r>
              <w:t xml:space="preserve"> 16 Jun 2000 p. 2939)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Court Security and Custodial Services (Consequential Provisions) Act 1999 </w:t>
            </w:r>
            <w:r>
              <w:t>Pt. 10</w:t>
            </w:r>
          </w:p>
        </w:tc>
        <w:tc>
          <w:tcPr>
            <w:tcW w:w="1134" w:type="dxa"/>
          </w:tcPr>
          <w:p>
            <w:pPr>
              <w:pStyle w:val="nTable"/>
              <w:spacing w:after="40"/>
            </w:pPr>
            <w:r>
              <w:t>47 of 1999</w:t>
            </w:r>
          </w:p>
        </w:tc>
        <w:tc>
          <w:tcPr>
            <w:tcW w:w="1139" w:type="dxa"/>
          </w:tcPr>
          <w:p>
            <w:pPr>
              <w:pStyle w:val="nTable"/>
              <w:spacing w:after="40"/>
            </w:pPr>
            <w:r>
              <w:t>8 Dec 1999</w:t>
            </w:r>
          </w:p>
        </w:tc>
        <w:tc>
          <w:tcPr>
            <w:tcW w:w="2552" w:type="dxa"/>
            <w:gridSpan w:val="2"/>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pPr>
            <w:r>
              <w:rPr>
                <w:b/>
              </w:rPr>
              <w:t xml:space="preserve">Reprint of the </w:t>
            </w:r>
            <w:r>
              <w:rPr>
                <w:b/>
                <w:i/>
              </w:rPr>
              <w:t xml:space="preserve">Prisons Act 1981 </w:t>
            </w:r>
            <w:r>
              <w:rPr>
                <w:b/>
              </w:rPr>
              <w:t>as at 22 Dec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Royal Commission (Police) Act 2002</w:t>
            </w:r>
            <w:r>
              <w:t xml:space="preserve"> Pt. 10</w:t>
            </w:r>
          </w:p>
        </w:tc>
        <w:tc>
          <w:tcPr>
            <w:tcW w:w="1134" w:type="dxa"/>
          </w:tcPr>
          <w:p>
            <w:pPr>
              <w:pStyle w:val="nTable"/>
              <w:spacing w:after="40"/>
            </w:pPr>
            <w:r>
              <w:t>10 of 2002</w:t>
            </w:r>
          </w:p>
        </w:tc>
        <w:tc>
          <w:tcPr>
            <w:tcW w:w="1139" w:type="dxa"/>
          </w:tcPr>
          <w:p>
            <w:pPr>
              <w:pStyle w:val="nTable"/>
              <w:spacing w:after="40"/>
            </w:pPr>
            <w:r>
              <w:t>28 Jun 2002</w:t>
            </w:r>
          </w:p>
        </w:tc>
        <w:tc>
          <w:tcPr>
            <w:tcW w:w="2552" w:type="dxa"/>
            <w:gridSpan w:val="2"/>
          </w:tcPr>
          <w:p>
            <w:pPr>
              <w:pStyle w:val="nTable"/>
              <w:spacing w:after="40"/>
            </w:pPr>
            <w:r>
              <w:t>28 Jun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Prisons Amendment Act 2003 </w:t>
            </w:r>
          </w:p>
        </w:tc>
        <w:tc>
          <w:tcPr>
            <w:tcW w:w="1134" w:type="dxa"/>
          </w:tcPr>
          <w:p>
            <w:pPr>
              <w:pStyle w:val="nTable"/>
              <w:spacing w:after="40"/>
            </w:pPr>
            <w:r>
              <w:t>24 of 2003</w:t>
            </w:r>
          </w:p>
        </w:tc>
        <w:tc>
          <w:tcPr>
            <w:tcW w:w="1139" w:type="dxa"/>
          </w:tcPr>
          <w:p>
            <w:pPr>
              <w:pStyle w:val="nTable"/>
              <w:spacing w:after="40"/>
            </w:pPr>
            <w:r>
              <w:t>24 Apr 2003</w:t>
            </w:r>
          </w:p>
        </w:tc>
        <w:tc>
          <w:tcPr>
            <w:tcW w:w="2552" w:type="dxa"/>
            <w:gridSpan w:val="2"/>
          </w:tcPr>
          <w:p>
            <w:pPr>
              <w:pStyle w:val="nTable"/>
              <w:spacing w:after="40"/>
            </w:pPr>
            <w:r>
              <w:t>s. 1 &amp; 2: 24 Apr 2003;</w:t>
            </w:r>
            <w:r>
              <w:br/>
              <w:t xml:space="preserve">s. 3, 4 and 7: 12 Jun 2004 (see s. 2 and </w:t>
            </w:r>
            <w:r>
              <w:rPr>
                <w:i/>
              </w:rPr>
              <w:t>Gazette</w:t>
            </w:r>
            <w:r>
              <w:t xml:space="preserve"> 11 Jun 2004 p. 1999);</w:t>
            </w:r>
            <w:r>
              <w:br/>
              <w:t xml:space="preserve">s. 5, 6 and 8: 4 Apr 2007 (see s. 2 and </w:t>
            </w:r>
            <w:r>
              <w:rPr>
                <w:i/>
                <w:iCs/>
              </w:rPr>
              <w:t>Gazette</w:t>
            </w:r>
            <w:r>
              <w:t xml:space="preserve"> 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Public Interest Disclosure Act 2003</w:t>
            </w:r>
            <w:r>
              <w:t xml:space="preserve"> s. 28</w:t>
            </w:r>
          </w:p>
        </w:tc>
        <w:tc>
          <w:tcPr>
            <w:tcW w:w="1134" w:type="dxa"/>
          </w:tcPr>
          <w:p>
            <w:pPr>
              <w:pStyle w:val="nTable"/>
              <w:spacing w:after="40"/>
            </w:pPr>
            <w:r>
              <w:t>29 of 2003</w:t>
            </w:r>
          </w:p>
        </w:tc>
        <w:tc>
          <w:tcPr>
            <w:tcW w:w="1139" w:type="dxa"/>
          </w:tcPr>
          <w:p>
            <w:pPr>
              <w:pStyle w:val="nTable"/>
              <w:spacing w:after="40"/>
            </w:pPr>
            <w:r>
              <w:t>22 May 2003</w:t>
            </w:r>
          </w:p>
        </w:tc>
        <w:tc>
          <w:tcPr>
            <w:tcW w:w="2552" w:type="dxa"/>
            <w:gridSpan w:val="2"/>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Corruption and Crime Commission Act 2003</w:t>
            </w:r>
            <w:r>
              <w:t xml:space="preserve"> s. 62</w:t>
            </w:r>
            <w:r>
              <w:rPr>
                <w:vertAlign w:val="superscript"/>
              </w:rPr>
              <w:t> 9</w:t>
            </w:r>
          </w:p>
        </w:tc>
        <w:tc>
          <w:tcPr>
            <w:tcW w:w="1134" w:type="dxa"/>
          </w:tcPr>
          <w:p>
            <w:pPr>
              <w:pStyle w:val="nTable"/>
              <w:spacing w:after="40"/>
            </w:pPr>
            <w:r>
              <w:t>48 of 2003</w:t>
            </w:r>
          </w:p>
        </w:tc>
        <w:tc>
          <w:tcPr>
            <w:tcW w:w="1139" w:type="dxa"/>
          </w:tcPr>
          <w:p>
            <w:pPr>
              <w:pStyle w:val="nTable"/>
              <w:spacing w:after="40"/>
            </w:pPr>
            <w:r>
              <w:t>3 Jul 2003</w:t>
            </w:r>
          </w:p>
        </w:tc>
        <w:tc>
          <w:tcPr>
            <w:tcW w:w="2552" w:type="dxa"/>
            <w:gridSpan w:val="2"/>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Sentencing Legislation Amendment and Repeal Act 2003 </w:t>
            </w:r>
            <w:r>
              <w:t>s. 29(3) and 86</w:t>
            </w:r>
          </w:p>
        </w:tc>
        <w:tc>
          <w:tcPr>
            <w:tcW w:w="1134" w:type="dxa"/>
          </w:tcPr>
          <w:p>
            <w:pPr>
              <w:pStyle w:val="nTable"/>
              <w:spacing w:after="40"/>
            </w:pPr>
            <w:r>
              <w:t>50 of 2003</w:t>
            </w:r>
          </w:p>
        </w:tc>
        <w:tc>
          <w:tcPr>
            <w:tcW w:w="1139" w:type="dxa"/>
          </w:tcPr>
          <w:p>
            <w:pPr>
              <w:pStyle w:val="nTable"/>
              <w:spacing w:after="40"/>
            </w:pPr>
            <w:r>
              <w:t>9 Jul 2003</w:t>
            </w:r>
          </w:p>
        </w:tc>
        <w:tc>
          <w:tcPr>
            <w:tcW w:w="2552" w:type="dxa"/>
            <w:gridSpan w:val="2"/>
          </w:tcPr>
          <w:p>
            <w:pPr>
              <w:pStyle w:val="nTable"/>
              <w:spacing w:after="40"/>
              <w:rPr>
                <w:i/>
              </w:rPr>
            </w:pPr>
            <w:r>
              <w:t xml:space="preserve">s. 29(3): 31 Aug 2003 (see s. 2 and </w:t>
            </w:r>
            <w:r>
              <w:rPr>
                <w:i/>
              </w:rPr>
              <w:t>Gazette</w:t>
            </w:r>
            <w:r>
              <w:t xml:space="preserve"> 29 Aug 2003 p. 3833);</w:t>
            </w:r>
            <w:r>
              <w:br/>
              <w:t xml:space="preserve">s. 86: 15 May 2004 (see s. 2 and </w:t>
            </w:r>
            <w:r>
              <w:rPr>
                <w:i/>
              </w:rPr>
              <w:t xml:space="preserve">Gazette </w:t>
            </w:r>
            <w: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Statutes (Repeals and Minor Amendments) Act 2003</w:t>
            </w:r>
            <w:r>
              <w:t xml:space="preserve"> s. 94</w:t>
            </w:r>
          </w:p>
        </w:tc>
        <w:tc>
          <w:tcPr>
            <w:tcW w:w="1134" w:type="dxa"/>
          </w:tcPr>
          <w:p>
            <w:pPr>
              <w:pStyle w:val="nTable"/>
              <w:spacing w:after="40"/>
            </w:pPr>
            <w:r>
              <w:t>74 of 2003</w:t>
            </w:r>
          </w:p>
        </w:tc>
        <w:tc>
          <w:tcPr>
            <w:tcW w:w="1139" w:type="dxa"/>
          </w:tcPr>
          <w:p>
            <w:pPr>
              <w:pStyle w:val="nTable"/>
              <w:spacing w:after="40"/>
            </w:pPr>
            <w:r>
              <w:t>15 Dec 2003</w:t>
            </w:r>
          </w:p>
        </w:tc>
        <w:tc>
          <w:tcPr>
            <w:tcW w:w="2552" w:type="dxa"/>
            <w:gridSpan w:val="2"/>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Inspector of Custodial Services Act 2003</w:t>
            </w:r>
            <w:r>
              <w:t xml:space="preserve"> s. 56(1)</w:t>
            </w:r>
            <w:r>
              <w:rPr>
                <w:vertAlign w:val="superscript"/>
              </w:rPr>
              <w:t> 10</w:t>
            </w:r>
          </w:p>
        </w:tc>
        <w:tc>
          <w:tcPr>
            <w:tcW w:w="1134" w:type="dxa"/>
          </w:tcPr>
          <w:p>
            <w:pPr>
              <w:pStyle w:val="nTable"/>
              <w:spacing w:after="40"/>
            </w:pPr>
            <w:r>
              <w:t>75 of 2003</w:t>
            </w:r>
          </w:p>
        </w:tc>
        <w:tc>
          <w:tcPr>
            <w:tcW w:w="1139" w:type="dxa"/>
          </w:tcPr>
          <w:p>
            <w:pPr>
              <w:pStyle w:val="nTable"/>
              <w:spacing w:after="40"/>
            </w:pPr>
            <w:r>
              <w:t>15 Dec 2003</w:t>
            </w:r>
          </w:p>
        </w:tc>
        <w:tc>
          <w:tcPr>
            <w:tcW w:w="2552" w:type="dxa"/>
            <w:gridSpan w:val="2"/>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vertAlign w:val="superscript"/>
              </w:rPr>
            </w:pPr>
            <w:r>
              <w:rPr>
                <w:i/>
              </w:rPr>
              <w:t xml:space="preserve">Corruption and Crime Commission Amendment and Repeal Act 2003 </w:t>
            </w:r>
            <w:r>
              <w:t>s. 74(2)</w:t>
            </w:r>
            <w:r>
              <w:rPr>
                <w:vertAlign w:val="superscript"/>
              </w:rPr>
              <w:t> 11</w:t>
            </w:r>
          </w:p>
        </w:tc>
        <w:tc>
          <w:tcPr>
            <w:tcW w:w="1134" w:type="dxa"/>
          </w:tcPr>
          <w:p>
            <w:pPr>
              <w:pStyle w:val="nTable"/>
              <w:spacing w:after="40"/>
            </w:pPr>
            <w:r>
              <w:t>78 of 2003</w:t>
            </w:r>
          </w:p>
        </w:tc>
        <w:tc>
          <w:tcPr>
            <w:tcW w:w="1139" w:type="dxa"/>
          </w:tcPr>
          <w:p>
            <w:pPr>
              <w:pStyle w:val="nTable"/>
              <w:spacing w:after="40"/>
            </w:pPr>
            <w:r>
              <w:t>22 Dec 2003</w:t>
            </w:r>
          </w:p>
        </w:tc>
        <w:tc>
          <w:tcPr>
            <w:tcW w:w="2552" w:type="dxa"/>
            <w:gridSpan w:val="2"/>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pPr>
            <w:r>
              <w:rPr>
                <w:b/>
              </w:rPr>
              <w:t xml:space="preserve">Reprint 4: The </w:t>
            </w:r>
            <w:r>
              <w:rPr>
                <w:b/>
                <w:i/>
              </w:rPr>
              <w:t xml:space="preserve">Prisons Act 1981 </w:t>
            </w:r>
            <w:r>
              <w:rPr>
                <w:b/>
              </w:rPr>
              <w:t>as at 20 Aug 2004</w:t>
            </w:r>
            <w:r>
              <w:t xml:space="preserve"> (includes amendments listed above except those in the </w:t>
            </w:r>
            <w:r>
              <w:rPr>
                <w:i/>
              </w:rPr>
              <w:t>Prisons Amendment Act 2003</w:t>
            </w:r>
            <w:r>
              <w:t xml:space="preserve"> s. 5, 6 and 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napToGrid w:val="0"/>
              </w:rPr>
            </w:pPr>
            <w:r>
              <w:rPr>
                <w:i/>
                <w:snapToGrid w:val="0"/>
              </w:rPr>
              <w:t>Sentencing Legislation Amendment Act 2004</w:t>
            </w:r>
            <w:r>
              <w:rPr>
                <w:snapToGrid w:val="0"/>
              </w:rPr>
              <w:t xml:space="preserve"> s. 16</w:t>
            </w:r>
          </w:p>
        </w:tc>
        <w:tc>
          <w:tcPr>
            <w:tcW w:w="1134" w:type="dxa"/>
          </w:tcPr>
          <w:p>
            <w:pPr>
              <w:pStyle w:val="nTable"/>
              <w:spacing w:after="40"/>
              <w:rPr>
                <w:snapToGrid w:val="0"/>
              </w:rPr>
            </w:pPr>
            <w:r>
              <w:rPr>
                <w:snapToGrid w:val="0"/>
              </w:rPr>
              <w:t>27 of 2004</w:t>
            </w:r>
          </w:p>
        </w:tc>
        <w:tc>
          <w:tcPr>
            <w:tcW w:w="1139" w:type="dxa"/>
          </w:tcPr>
          <w:p>
            <w:pPr>
              <w:pStyle w:val="nTable"/>
              <w:spacing w:after="40"/>
            </w:pPr>
            <w:r>
              <w:t>14 Oct 2004</w:t>
            </w:r>
          </w:p>
        </w:tc>
        <w:tc>
          <w:tcPr>
            <w:tcW w:w="2552" w:type="dxa"/>
            <w:gridSpan w:val="2"/>
          </w:tcPr>
          <w:p>
            <w:pPr>
              <w:pStyle w:val="nTable"/>
              <w:spacing w:after="40"/>
              <w:rPr>
                <w:snapToGrid w:val="0"/>
              </w:rPr>
            </w:pPr>
            <w:r>
              <w:rPr>
                <w:snapToGrid w:val="0"/>
              </w:rPr>
              <w:t xml:space="preserve">31 May 2006 (see s. 2 and </w:t>
            </w:r>
            <w:r>
              <w:rPr>
                <w:i/>
                <w:snapToGrid w:val="0"/>
              </w:rPr>
              <w:t>Gazette</w:t>
            </w:r>
            <w:r>
              <w:rPr>
                <w:snapToGrid w:val="0"/>
              </w:rPr>
              <w:t xml:space="preserve"> 30 May 2006 p.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vertAlign w:val="superscript"/>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9" w:type="dxa"/>
          </w:tcPr>
          <w:p>
            <w:pPr>
              <w:pStyle w:val="nTable"/>
              <w:spacing w:after="40"/>
            </w:pPr>
            <w:r>
              <w:t>9 Nov 2004</w:t>
            </w:r>
          </w:p>
        </w:tc>
        <w:tc>
          <w:tcPr>
            <w:tcW w:w="2552"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9" w:type="dxa"/>
          </w:tcPr>
          <w:p>
            <w:pPr>
              <w:pStyle w:val="nTable"/>
              <w:spacing w:after="40"/>
            </w:pPr>
            <w:r>
              <w:t>23 Nov 2004</w:t>
            </w:r>
          </w:p>
        </w:tc>
        <w:tc>
          <w:tcPr>
            <w:tcW w:w="2552" w:type="dxa"/>
            <w:gridSpan w:val="2"/>
          </w:tcPr>
          <w:p>
            <w:pPr>
              <w:pStyle w:val="nTable"/>
              <w:spacing w:after="40"/>
              <w:rPr>
                <w:snapToGrid w:val="0"/>
              </w:rPr>
            </w:pPr>
            <w:r>
              <w:rPr>
                <w:snapToGrid w:val="0"/>
              </w:rPr>
              <w:t xml:space="preserve">1 May 2005 (see s. 2 and </w:t>
            </w:r>
            <w:r>
              <w:rPr>
                <w:i/>
                <w:snapToGrid w:val="0"/>
              </w:rPr>
              <w:t xml:space="preserve">Gazette </w:t>
            </w:r>
            <w:r>
              <w:rPr>
                <w:snapToGrid w:val="0"/>
              </w:rPr>
              <w:t>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vertAlign w:val="superscript"/>
              </w:rPr>
            </w:pPr>
            <w:r>
              <w:rPr>
                <w:i/>
                <w:snapToGrid w:val="0"/>
              </w:rPr>
              <w:t>Criminal Procedure and Appeals (Consequential and Other Provisions) Act 2004</w:t>
            </w:r>
            <w:r>
              <w:rPr>
                <w:snapToGrid w:val="0"/>
              </w:rPr>
              <w:t xml:space="preserve"> s. 78 and 80</w:t>
            </w:r>
            <w:r>
              <w:rPr>
                <w:snapToGrid w:val="0"/>
                <w:vertAlign w:val="superscript"/>
              </w:rPr>
              <w:t> 12</w:t>
            </w:r>
          </w:p>
        </w:tc>
        <w:tc>
          <w:tcPr>
            <w:tcW w:w="1134" w:type="dxa"/>
          </w:tcPr>
          <w:p>
            <w:pPr>
              <w:pStyle w:val="nTable"/>
              <w:spacing w:after="40"/>
              <w:rPr>
                <w:snapToGrid w:val="0"/>
              </w:rPr>
            </w:pPr>
            <w:r>
              <w:rPr>
                <w:snapToGrid w:val="0"/>
              </w:rPr>
              <w:t>84 of 2004 (as amended by No. 2 of 2008 s. 78(4))</w:t>
            </w:r>
          </w:p>
        </w:tc>
        <w:tc>
          <w:tcPr>
            <w:tcW w:w="1139" w:type="dxa"/>
          </w:tcPr>
          <w:p>
            <w:pPr>
              <w:pStyle w:val="nTable"/>
              <w:spacing w:after="40"/>
            </w:pPr>
            <w:r>
              <w:t>16 Dec 2004</w:t>
            </w:r>
          </w:p>
        </w:tc>
        <w:tc>
          <w:tcPr>
            <w:tcW w:w="2552"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rPr>
              <w:t>Oaths, Affidavits and Statutory Declarations (Consequential Provisions) Act 2005</w:t>
            </w:r>
            <w:r>
              <w:t xml:space="preserve"> s. 63</w:t>
            </w:r>
          </w:p>
        </w:tc>
        <w:tc>
          <w:tcPr>
            <w:tcW w:w="1134" w:type="dxa"/>
          </w:tcPr>
          <w:p>
            <w:pPr>
              <w:pStyle w:val="nTable"/>
              <w:spacing w:after="40"/>
              <w:rPr>
                <w:snapToGrid w:val="0"/>
              </w:rPr>
            </w:pPr>
            <w:r>
              <w:t>24 of 2005</w:t>
            </w:r>
          </w:p>
        </w:tc>
        <w:tc>
          <w:tcPr>
            <w:tcW w:w="1139" w:type="dxa"/>
          </w:tcPr>
          <w:p>
            <w:pPr>
              <w:pStyle w:val="nTable"/>
              <w:spacing w:after="40"/>
            </w:pPr>
            <w:r>
              <w:t>2 Dec 2005</w:t>
            </w:r>
          </w:p>
        </w:tc>
        <w:tc>
          <w:tcPr>
            <w:tcW w:w="2552" w:type="dxa"/>
            <w:gridSpan w:val="2"/>
          </w:tcPr>
          <w:p>
            <w:pPr>
              <w:pStyle w:val="nTable"/>
              <w:spacing w:after="40"/>
              <w:rPr>
                <w:snapToGrid w:val="0"/>
              </w:rPr>
            </w:pPr>
            <w:r>
              <w:t xml:space="preserve">1 Jan 2006 (see s. 2(1) and </w:t>
            </w:r>
            <w:r>
              <w:rPr>
                <w:i/>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pPr>
            <w:r>
              <w:rPr>
                <w:b/>
              </w:rPr>
              <w:t xml:space="preserve">Reprint 5: The </w:t>
            </w:r>
            <w:r>
              <w:rPr>
                <w:b/>
                <w:i/>
              </w:rPr>
              <w:t xml:space="preserve">Prisons Act 1981 </w:t>
            </w:r>
            <w:r>
              <w:rPr>
                <w:b/>
              </w:rPr>
              <w:t>as at 21 Jul 2006</w:t>
            </w:r>
            <w:r>
              <w:t xml:space="preserve"> (includes amendments listed above except those in the </w:t>
            </w:r>
            <w:r>
              <w:rPr>
                <w:i/>
              </w:rPr>
              <w:t>Prisons Amendment Act 2003</w:t>
            </w:r>
            <w:r>
              <w:t xml:space="preserve"> s. 5, 6 and 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9" w:type="dxa"/>
          </w:tcPr>
          <w:p>
            <w:pPr>
              <w:pStyle w:val="nTable"/>
              <w:spacing w:after="40"/>
              <w:rPr>
                <w:snapToGrid w:val="0"/>
              </w:rPr>
            </w:pPr>
            <w:r>
              <w:t>16 Nov 2006</w:t>
            </w:r>
          </w:p>
        </w:tc>
        <w:tc>
          <w:tcPr>
            <w:tcW w:w="2552" w:type="dxa"/>
            <w:gridSpan w:val="2"/>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 xml:space="preserve">Prisons and Sentencing Legislation Amendment Act 2006 </w:t>
            </w:r>
            <w:r>
              <w:rPr>
                <w:iCs/>
                <w:snapToGrid w:val="0"/>
              </w:rPr>
              <w:t>Pt. 2 </w:t>
            </w:r>
          </w:p>
        </w:tc>
        <w:tc>
          <w:tcPr>
            <w:tcW w:w="1134" w:type="dxa"/>
          </w:tcPr>
          <w:p>
            <w:pPr>
              <w:pStyle w:val="nTable"/>
              <w:spacing w:after="40"/>
              <w:rPr>
                <w:snapToGrid w:val="0"/>
              </w:rPr>
            </w:pPr>
            <w:r>
              <w:rPr>
                <w:snapToGrid w:val="0"/>
              </w:rPr>
              <w:t>65 of 2006</w:t>
            </w:r>
          </w:p>
        </w:tc>
        <w:tc>
          <w:tcPr>
            <w:tcW w:w="1139" w:type="dxa"/>
          </w:tcPr>
          <w:p>
            <w:pPr>
              <w:pStyle w:val="nTable"/>
              <w:spacing w:after="40"/>
              <w:rPr>
                <w:snapToGrid w:val="0"/>
              </w:rPr>
            </w:pPr>
            <w:r>
              <w:rPr>
                <w:snapToGrid w:val="0"/>
              </w:rPr>
              <w:t>8 Dec 2006</w:t>
            </w:r>
          </w:p>
        </w:tc>
        <w:tc>
          <w:tcPr>
            <w:tcW w:w="2552" w:type="dxa"/>
            <w:gridSpan w:val="2"/>
          </w:tcPr>
          <w:p>
            <w:pPr>
              <w:pStyle w:val="nTable"/>
              <w:spacing w:after="40"/>
              <w:rPr>
                <w:snapToGrid w:val="0"/>
              </w:rPr>
            </w:pPr>
            <w:r>
              <w:rPr>
                <w:snapToGrid w:val="0"/>
              </w:rPr>
              <w:t xml:space="preserve">4 Apr 2007 (see s. 2 and </w:t>
            </w:r>
            <w:r>
              <w:rPr>
                <w:i/>
                <w:iCs/>
                <w:snapToGrid w:val="0"/>
              </w:rPr>
              <w:t xml:space="preserve">Gazette </w:t>
            </w:r>
            <w:r>
              <w:rPr>
                <w:snapToGrid w:val="0"/>
              </w:rPr>
              <w:t>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Financial Legislation Amendment and Repeal Act 2006</w:t>
            </w:r>
            <w:r>
              <w:rPr>
                <w:iCs/>
                <w:snapToGrid w:val="0"/>
              </w:rPr>
              <w:t xml:space="preserve"> Sch. 1 cl. 132</w:t>
            </w:r>
          </w:p>
        </w:tc>
        <w:tc>
          <w:tcPr>
            <w:tcW w:w="1134" w:type="dxa"/>
          </w:tcPr>
          <w:p>
            <w:pPr>
              <w:pStyle w:val="nTable"/>
              <w:spacing w:after="40"/>
              <w:rPr>
                <w:snapToGrid w:val="0"/>
              </w:rPr>
            </w:pPr>
            <w:r>
              <w:rPr>
                <w:snapToGrid w:val="0"/>
              </w:rPr>
              <w:t xml:space="preserve">77 of 2006 </w:t>
            </w:r>
          </w:p>
        </w:tc>
        <w:tc>
          <w:tcPr>
            <w:tcW w:w="1139" w:type="dxa"/>
          </w:tcPr>
          <w:p>
            <w:pPr>
              <w:pStyle w:val="nTable"/>
              <w:spacing w:after="40"/>
            </w:pPr>
            <w:r>
              <w:rPr>
                <w:snapToGrid w:val="0"/>
              </w:rPr>
              <w:t>21 Dec 2006</w:t>
            </w:r>
          </w:p>
        </w:tc>
        <w:tc>
          <w:tcPr>
            <w:tcW w:w="2552"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rPr>
                <w:snapToGrid w:val="0"/>
              </w:rPr>
            </w:pPr>
            <w:r>
              <w:rPr>
                <w:b/>
              </w:rPr>
              <w:t xml:space="preserve">Reprint 6: The </w:t>
            </w:r>
            <w:r>
              <w:rPr>
                <w:b/>
                <w:i/>
              </w:rPr>
              <w:t xml:space="preserve">Prisons Act 1981 </w:t>
            </w:r>
            <w:r>
              <w:rPr>
                <w:b/>
              </w:rPr>
              <w:t>as at 16 Nov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rPr>
              <w:t xml:space="preserve">Police Amendment Act 2008 </w:t>
            </w:r>
            <w:r>
              <w:rPr>
                <w:iCs/>
              </w:rPr>
              <w:t>s. 16 and 23(6)</w:t>
            </w:r>
          </w:p>
        </w:tc>
        <w:tc>
          <w:tcPr>
            <w:tcW w:w="1134" w:type="dxa"/>
          </w:tcPr>
          <w:p>
            <w:pPr>
              <w:pStyle w:val="nTable"/>
              <w:spacing w:after="40"/>
              <w:rPr>
                <w:snapToGrid w:val="0"/>
              </w:rPr>
            </w:pPr>
            <w:r>
              <w:t>8 of 2008</w:t>
            </w:r>
          </w:p>
        </w:tc>
        <w:tc>
          <w:tcPr>
            <w:tcW w:w="1139" w:type="dxa"/>
          </w:tcPr>
          <w:p>
            <w:pPr>
              <w:pStyle w:val="nTable"/>
              <w:spacing w:after="40"/>
            </w:pPr>
            <w:r>
              <w:t>31 Mar 2008</w:t>
            </w:r>
          </w:p>
        </w:tc>
        <w:tc>
          <w:tcPr>
            <w:tcW w:w="2552" w:type="dxa"/>
            <w:gridSpan w:val="2"/>
          </w:tcPr>
          <w:p>
            <w:pPr>
              <w:pStyle w:val="nTable"/>
              <w:spacing w:after="40"/>
              <w:rPr>
                <w:snapToGrid w:val="0"/>
              </w:rPr>
            </w:pPr>
            <w:r>
              <w:t>s. 16: 1 Apr 2008 (see s. 2(1));</w:t>
            </w:r>
            <w:r>
              <w:br/>
              <w:t xml:space="preserve">s. 23(6): 21 Jun 2008 (see s. 2(2) and </w:t>
            </w:r>
            <w:r>
              <w:rPr>
                <w:i/>
                <w:iCs/>
              </w:rPr>
              <w:t>Gazette</w:t>
            </w:r>
            <w:r>
              <w:t xml:space="preserve"> 20 Jun 2008 p. 2706)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snapToGrid w:val="0"/>
              </w:rPr>
              <w:t>Medical Practitioners Act 2008</w:t>
            </w:r>
            <w:r>
              <w:t xml:space="preserve"> Sch. 3 cl. 47</w:t>
            </w:r>
          </w:p>
        </w:tc>
        <w:tc>
          <w:tcPr>
            <w:tcW w:w="1134" w:type="dxa"/>
          </w:tcPr>
          <w:p>
            <w:pPr>
              <w:pStyle w:val="nTable"/>
              <w:spacing w:after="40"/>
            </w:pPr>
            <w:r>
              <w:t>22 of 2008</w:t>
            </w:r>
          </w:p>
        </w:tc>
        <w:tc>
          <w:tcPr>
            <w:tcW w:w="1139" w:type="dxa"/>
          </w:tcPr>
          <w:p>
            <w:pPr>
              <w:pStyle w:val="nTable"/>
              <w:spacing w:after="40"/>
            </w:pPr>
            <w:r>
              <w:t>27 May 2008</w:t>
            </w:r>
          </w:p>
        </w:tc>
        <w:tc>
          <w:tcPr>
            <w:tcW w:w="2552"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snapToGrid w:val="0"/>
              </w:rPr>
              <w:t>Criminal Law Amendment (Homicide) Act 2008</w:t>
            </w:r>
            <w:r>
              <w:rPr>
                <w:iCs/>
                <w:snapToGrid w:val="0"/>
              </w:rPr>
              <w:t xml:space="preserve"> s. 36(1) and (3)</w:t>
            </w:r>
          </w:p>
        </w:tc>
        <w:tc>
          <w:tcPr>
            <w:tcW w:w="1134" w:type="dxa"/>
          </w:tcPr>
          <w:p>
            <w:pPr>
              <w:pStyle w:val="nTable"/>
              <w:spacing w:after="40"/>
            </w:pPr>
            <w:r>
              <w:t>29 of 2008</w:t>
            </w:r>
          </w:p>
        </w:tc>
        <w:tc>
          <w:tcPr>
            <w:tcW w:w="1139" w:type="dxa"/>
          </w:tcPr>
          <w:p>
            <w:pPr>
              <w:pStyle w:val="nTable"/>
              <w:spacing w:after="40"/>
            </w:pPr>
            <w:r>
              <w:t>27 Jun 2008</w:t>
            </w:r>
          </w:p>
        </w:tc>
        <w:tc>
          <w:tcPr>
            <w:tcW w:w="2552"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 xml:space="preserve">Health Practitioner Regulation National Law (WA) Act 2010 </w:t>
            </w:r>
            <w:r>
              <w:rPr>
                <w:iCs/>
                <w:snapToGrid w:val="0"/>
              </w:rPr>
              <w:t>Pt. 5 Div. 41</w:t>
            </w:r>
          </w:p>
        </w:tc>
        <w:tc>
          <w:tcPr>
            <w:tcW w:w="1134" w:type="dxa"/>
          </w:tcPr>
          <w:p>
            <w:pPr>
              <w:pStyle w:val="nTable"/>
              <w:spacing w:after="40"/>
            </w:pPr>
            <w:r>
              <w:rPr>
                <w:snapToGrid w:val="0"/>
              </w:rPr>
              <w:t>35 of 2010</w:t>
            </w:r>
          </w:p>
        </w:tc>
        <w:tc>
          <w:tcPr>
            <w:tcW w:w="1139" w:type="dxa"/>
          </w:tcPr>
          <w:p>
            <w:pPr>
              <w:pStyle w:val="nTable"/>
              <w:spacing w:after="40"/>
            </w:pPr>
            <w:r>
              <w:rPr>
                <w:snapToGrid w:val="0"/>
              </w:rPr>
              <w:t>30 Aug 2010</w:t>
            </w:r>
          </w:p>
        </w:tc>
        <w:tc>
          <w:tcPr>
            <w:tcW w:w="2552"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89</w:t>
            </w:r>
          </w:p>
        </w:tc>
        <w:tc>
          <w:tcPr>
            <w:tcW w:w="1134" w:type="dxa"/>
          </w:tcPr>
          <w:p>
            <w:pPr>
              <w:pStyle w:val="nTable"/>
              <w:spacing w:after="40"/>
              <w:rPr>
                <w:snapToGrid w:val="0"/>
              </w:rPr>
            </w:pPr>
            <w:r>
              <w:rPr>
                <w:snapToGrid w:val="0"/>
              </w:rPr>
              <w:t>39 of 2010</w:t>
            </w:r>
          </w:p>
        </w:tc>
        <w:tc>
          <w:tcPr>
            <w:tcW w:w="1139" w:type="dxa"/>
          </w:tcPr>
          <w:p>
            <w:pPr>
              <w:pStyle w:val="nTable"/>
              <w:spacing w:after="40"/>
              <w:rPr>
                <w:snapToGrid w:val="0"/>
              </w:rPr>
            </w:pPr>
            <w:r>
              <w:rPr>
                <w:snapToGrid w:val="0"/>
              </w:rPr>
              <w:t>1 Oct 2010</w:t>
            </w:r>
          </w:p>
        </w:tc>
        <w:tc>
          <w:tcPr>
            <w:tcW w:w="2552"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rPr>
                <w:snapToGrid w:val="0"/>
              </w:rPr>
            </w:pPr>
            <w:r>
              <w:rPr>
                <w:b/>
              </w:rPr>
              <w:t xml:space="preserve">Reprint 7: The </w:t>
            </w:r>
            <w:r>
              <w:rPr>
                <w:b/>
                <w:i/>
              </w:rPr>
              <w:t xml:space="preserve">Prisons Act 1981 </w:t>
            </w:r>
            <w:r>
              <w:rPr>
                <w:b/>
              </w:rPr>
              <w:t>as at 21 Jan 2011</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 xml:space="preserve">Road Traffic Legislation Amendment Act 2012 </w:t>
            </w:r>
            <w:r>
              <w:rPr>
                <w:snapToGrid w:val="0"/>
              </w:rPr>
              <w:t>Pt. 4 Div. 42</w:t>
            </w:r>
          </w:p>
        </w:tc>
        <w:tc>
          <w:tcPr>
            <w:tcW w:w="1134" w:type="dxa"/>
            <w:tcBorders>
              <w:top w:val="nil"/>
              <w:left w:val="nil"/>
              <w:bottom w:val="nil"/>
              <w:right w:val="nil"/>
            </w:tcBorders>
          </w:tcPr>
          <w:p>
            <w:pPr>
              <w:pStyle w:val="nTable"/>
              <w:spacing w:after="40"/>
              <w:rPr>
                <w:snapToGrid w:val="0"/>
              </w:rPr>
            </w:pPr>
            <w:r>
              <w:rPr>
                <w:snapToGrid w:val="0"/>
              </w:rPr>
              <w:t>8 of 2012</w:t>
            </w:r>
          </w:p>
        </w:tc>
        <w:tc>
          <w:tcPr>
            <w:tcW w:w="1139" w:type="dxa"/>
            <w:tcBorders>
              <w:top w:val="nil"/>
              <w:left w:val="nil"/>
              <w:bottom w:val="nil"/>
              <w:right w:val="nil"/>
            </w:tcBorders>
          </w:tcPr>
          <w:p>
            <w:pPr>
              <w:pStyle w:val="nTable"/>
              <w:spacing w:after="40"/>
            </w:pPr>
            <w:r>
              <w:t>21 May 2012</w:t>
            </w:r>
          </w:p>
        </w:tc>
        <w:tc>
          <w:tcPr>
            <w:tcW w:w="2552" w:type="dxa"/>
            <w:gridSpan w:val="2"/>
            <w:tcBorders>
              <w:top w:val="nil"/>
              <w:left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15</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9" w:type="dxa"/>
            <w:tcBorders>
              <w:top w:val="nil"/>
              <w:left w:val="nil"/>
              <w:bottom w:val="nil"/>
              <w:right w:val="nil"/>
            </w:tcBorders>
          </w:tcPr>
          <w:p>
            <w:pPr>
              <w:pStyle w:val="nTable"/>
              <w:spacing w:after="40"/>
            </w:pPr>
            <w:r>
              <w:t>4 Nov 2013</w:t>
            </w:r>
          </w:p>
        </w:tc>
        <w:tc>
          <w:tcPr>
            <w:tcW w:w="2552" w:type="dxa"/>
            <w:gridSpan w:val="2"/>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Custodial Legislation (Officers Discipline)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29 of 2014</w:t>
            </w:r>
          </w:p>
        </w:tc>
        <w:tc>
          <w:tcPr>
            <w:tcW w:w="1139" w:type="dxa"/>
            <w:tcBorders>
              <w:top w:val="nil"/>
              <w:left w:val="nil"/>
              <w:bottom w:val="nil"/>
              <w:right w:val="nil"/>
            </w:tcBorders>
          </w:tcPr>
          <w:p>
            <w:pPr>
              <w:pStyle w:val="nTable"/>
              <w:spacing w:after="40"/>
            </w:pPr>
            <w:r>
              <w:t>3 Dec 2014</w:t>
            </w:r>
          </w:p>
        </w:tc>
        <w:tc>
          <w:tcPr>
            <w:tcW w:w="2552" w:type="dxa"/>
            <w:gridSpan w:val="2"/>
            <w:tcBorders>
              <w:top w:val="nil"/>
              <w:left w:val="nil"/>
              <w:bottom w:val="nil"/>
            </w:tcBorders>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9" w:type="dxa"/>
            <w:tcBorders>
              <w:top w:val="nil"/>
              <w:left w:val="nil"/>
              <w:bottom w:val="nil"/>
              <w:right w:val="nil"/>
            </w:tcBorders>
          </w:tcPr>
          <w:p>
            <w:pPr>
              <w:pStyle w:val="nTable"/>
              <w:spacing w:after="40"/>
            </w:pPr>
            <w:r>
              <w:t>9 Dec 2014</w:t>
            </w:r>
          </w:p>
        </w:tc>
        <w:tc>
          <w:tcPr>
            <w:tcW w:w="2552" w:type="dxa"/>
            <w:gridSpan w:val="2"/>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Declared Places (Mentally Impaired Accused) Act 2015</w:t>
            </w:r>
            <w:r>
              <w:t xml:space="preserve"> s. 88</w:t>
            </w:r>
          </w:p>
        </w:tc>
        <w:tc>
          <w:tcPr>
            <w:tcW w:w="1134" w:type="dxa"/>
            <w:tcBorders>
              <w:top w:val="nil"/>
              <w:left w:val="nil"/>
              <w:bottom w:val="nil"/>
              <w:right w:val="nil"/>
            </w:tcBorders>
            <w:shd w:val="clear" w:color="auto" w:fill="auto"/>
          </w:tcPr>
          <w:p>
            <w:pPr>
              <w:pStyle w:val="nTable"/>
              <w:spacing w:after="40"/>
              <w:rPr>
                <w:snapToGrid w:val="0"/>
              </w:rPr>
            </w:pPr>
            <w:r>
              <w:rPr>
                <w:snapToGrid w:val="0"/>
              </w:rPr>
              <w:t>4 of 2015</w:t>
            </w:r>
          </w:p>
        </w:tc>
        <w:tc>
          <w:tcPr>
            <w:tcW w:w="1139" w:type="dxa"/>
            <w:tcBorders>
              <w:top w:val="nil"/>
              <w:left w:val="nil"/>
              <w:bottom w:val="nil"/>
              <w:right w:val="nil"/>
            </w:tcBorders>
            <w:shd w:val="clear" w:color="auto" w:fill="auto"/>
          </w:tcPr>
          <w:p>
            <w:pPr>
              <w:pStyle w:val="nTable"/>
              <w:spacing w:after="40"/>
            </w:pPr>
            <w:r>
              <w:t>3 Mar 2015</w:t>
            </w:r>
          </w:p>
        </w:tc>
        <w:tc>
          <w:tcPr>
            <w:tcW w:w="2552" w:type="dxa"/>
            <w:gridSpan w:val="2"/>
            <w:tcBorders>
              <w:top w:val="nil"/>
              <w:left w:val="nil"/>
              <w:bottom w:val="nil"/>
            </w:tcBorders>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single" w:sz="4" w:space="0" w:color="auto"/>
            <w:bottom w:val="single" w:sz="4" w:space="0" w:color="auto"/>
            <w:insideH w:val="single" w:sz="4" w:space="0" w:color="auto"/>
          </w:tblBorders>
        </w:tblPrEx>
        <w:trPr>
          <w:cantSplit/>
        </w:trPr>
        <w:tc>
          <w:tcPr>
            <w:tcW w:w="7093" w:type="dxa"/>
            <w:gridSpan w:val="5"/>
            <w:tcBorders>
              <w:top w:val="nil"/>
              <w:bottom w:val="nil"/>
            </w:tcBorders>
            <w:shd w:val="clear" w:color="auto" w:fill="auto"/>
          </w:tcPr>
          <w:p>
            <w:pPr>
              <w:pStyle w:val="nTable"/>
              <w:spacing w:after="40"/>
              <w:rPr>
                <w:snapToGrid w:val="0"/>
              </w:rPr>
            </w:pPr>
            <w:r>
              <w:rPr>
                <w:b/>
                <w:snapToGrid w:val="0"/>
              </w:rPr>
              <w:t xml:space="preserve">Reprint 8: The </w:t>
            </w:r>
            <w:r>
              <w:rPr>
                <w:b/>
                <w:i/>
                <w:noProof/>
                <w:snapToGrid w:val="0"/>
              </w:rPr>
              <w:t>Prisons Act 1981</w:t>
            </w:r>
            <w:r>
              <w:rPr>
                <w:b/>
                <w:snapToGrid w:val="0"/>
              </w:rPr>
              <w:t xml:space="preserve"> as at 12 Feb 2016</w:t>
            </w:r>
            <w:r>
              <w:rPr>
                <w:snapToGrid w:val="0"/>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Dangerous Sexual Offenders Legislation Amendment Act 2016</w:t>
            </w:r>
            <w:r>
              <w:rPr>
                <w:noProof/>
              </w:rPr>
              <w:t xml:space="preserve"> Pt. 5</w:t>
            </w:r>
          </w:p>
        </w:tc>
        <w:tc>
          <w:tcPr>
            <w:tcW w:w="1134" w:type="dxa"/>
            <w:tcBorders>
              <w:top w:val="nil"/>
              <w:left w:val="nil"/>
              <w:bottom w:val="nil"/>
              <w:right w:val="nil"/>
            </w:tcBorders>
            <w:shd w:val="clear" w:color="auto" w:fill="auto"/>
          </w:tcPr>
          <w:p>
            <w:pPr>
              <w:pStyle w:val="nTable"/>
              <w:spacing w:after="40"/>
              <w:rPr>
                <w:snapToGrid w:val="0"/>
              </w:rPr>
            </w:pPr>
            <w:r>
              <w:t>17 of 2016</w:t>
            </w:r>
          </w:p>
        </w:tc>
        <w:tc>
          <w:tcPr>
            <w:tcW w:w="1139" w:type="dxa"/>
            <w:tcBorders>
              <w:top w:val="nil"/>
              <w:left w:val="nil"/>
              <w:bottom w:val="nil"/>
              <w:right w:val="nil"/>
            </w:tcBorders>
            <w:shd w:val="clear" w:color="auto" w:fill="auto"/>
          </w:tcPr>
          <w:p>
            <w:pPr>
              <w:pStyle w:val="nTable"/>
              <w:spacing w:after="40"/>
            </w:pPr>
            <w:r>
              <w:t>11 Jul 2016</w:t>
            </w:r>
          </w:p>
        </w:tc>
        <w:tc>
          <w:tcPr>
            <w:tcW w:w="2552" w:type="dxa"/>
            <w:gridSpan w:val="2"/>
            <w:tcBorders>
              <w:top w:val="nil"/>
              <w:left w:val="nil"/>
              <w:bottom w:val="nil"/>
            </w:tcBorders>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Public Health (Consequential Provisions) Act 2016 </w:t>
            </w:r>
            <w:r>
              <w:rPr>
                <w:snapToGrid w:val="0"/>
              </w:rPr>
              <w:t>Pt. 3 Div. 22</w:t>
            </w:r>
          </w:p>
        </w:tc>
        <w:tc>
          <w:tcPr>
            <w:tcW w:w="1134" w:type="dxa"/>
            <w:tcBorders>
              <w:top w:val="nil"/>
              <w:left w:val="nil"/>
              <w:bottom w:val="nil"/>
              <w:right w:val="nil"/>
            </w:tcBorders>
            <w:shd w:val="clear" w:color="auto" w:fill="auto"/>
          </w:tcPr>
          <w:p>
            <w:pPr>
              <w:pStyle w:val="nTable"/>
              <w:spacing w:after="40"/>
            </w:pPr>
            <w:r>
              <w:t>19 of 2016</w:t>
            </w:r>
          </w:p>
        </w:tc>
        <w:tc>
          <w:tcPr>
            <w:tcW w:w="1139" w:type="dxa"/>
            <w:tcBorders>
              <w:top w:val="nil"/>
              <w:left w:val="nil"/>
              <w:bottom w:val="nil"/>
              <w:right w:val="nil"/>
            </w:tcBorders>
            <w:shd w:val="clear" w:color="auto" w:fill="auto"/>
          </w:tcPr>
          <w:p>
            <w:pPr>
              <w:pStyle w:val="nTable"/>
              <w:spacing w:after="40"/>
            </w:pPr>
            <w:r>
              <w:t>25 Jul 2016</w:t>
            </w:r>
          </w:p>
        </w:tc>
        <w:tc>
          <w:tcPr>
            <w:tcW w:w="2552" w:type="dxa"/>
            <w:gridSpan w:val="2"/>
            <w:tcBorders>
              <w:top w:val="nil"/>
              <w:left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Restraining Orders and Related Legislation Amendment (Family Violence) Act 2016 </w:t>
            </w:r>
            <w:r>
              <w:rPr>
                <w:snapToGrid w:val="0"/>
              </w:rPr>
              <w:t>Pt. 3 Div. 6</w:t>
            </w:r>
          </w:p>
        </w:tc>
        <w:tc>
          <w:tcPr>
            <w:tcW w:w="1134" w:type="dxa"/>
            <w:tcBorders>
              <w:top w:val="nil"/>
              <w:left w:val="nil"/>
              <w:bottom w:val="nil"/>
              <w:right w:val="nil"/>
            </w:tcBorders>
            <w:shd w:val="clear" w:color="auto" w:fill="auto"/>
          </w:tcPr>
          <w:p>
            <w:pPr>
              <w:pStyle w:val="nTable"/>
              <w:spacing w:after="40"/>
            </w:pPr>
            <w:r>
              <w:t>49 of 2016</w:t>
            </w:r>
          </w:p>
        </w:tc>
        <w:tc>
          <w:tcPr>
            <w:tcW w:w="1139" w:type="dxa"/>
            <w:tcBorders>
              <w:top w:val="nil"/>
              <w:left w:val="nil"/>
              <w:bottom w:val="nil"/>
              <w:right w:val="nil"/>
            </w:tcBorders>
            <w:shd w:val="clear" w:color="auto" w:fill="auto"/>
          </w:tcPr>
          <w:p>
            <w:pPr>
              <w:pStyle w:val="nTable"/>
              <w:spacing w:after="40"/>
            </w:pPr>
            <w:r>
              <w:t>29 Nov 2016</w:t>
            </w:r>
          </w:p>
        </w:tc>
        <w:tc>
          <w:tcPr>
            <w:tcW w:w="2552" w:type="dxa"/>
            <w:gridSpan w:val="2"/>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Industrial Relations Amendment Act 2018</w:t>
            </w:r>
            <w:r>
              <w:t xml:space="preserve"> s. 71</w:t>
            </w:r>
          </w:p>
        </w:tc>
        <w:tc>
          <w:tcPr>
            <w:tcW w:w="1134" w:type="dxa"/>
            <w:tcBorders>
              <w:top w:val="nil"/>
              <w:left w:val="nil"/>
              <w:bottom w:val="nil"/>
              <w:right w:val="nil"/>
            </w:tcBorders>
            <w:shd w:val="clear" w:color="auto" w:fill="auto"/>
          </w:tcPr>
          <w:p>
            <w:pPr>
              <w:pStyle w:val="nTable"/>
              <w:spacing w:after="40"/>
            </w:pPr>
            <w:r>
              <w:t>39 of 2018</w:t>
            </w:r>
          </w:p>
        </w:tc>
        <w:tc>
          <w:tcPr>
            <w:tcW w:w="1139" w:type="dxa"/>
            <w:tcBorders>
              <w:top w:val="nil"/>
              <w:left w:val="nil"/>
              <w:bottom w:val="nil"/>
              <w:right w:val="nil"/>
            </w:tcBorders>
            <w:shd w:val="clear" w:color="auto" w:fill="auto"/>
          </w:tcPr>
          <w:p>
            <w:pPr>
              <w:pStyle w:val="nTable"/>
              <w:spacing w:after="40"/>
            </w:pPr>
            <w:r>
              <w:t>12 Dec 2018</w:t>
            </w:r>
          </w:p>
        </w:tc>
        <w:tc>
          <w:tcPr>
            <w:tcW w:w="2552" w:type="dxa"/>
            <w:gridSpan w:val="2"/>
            <w:tcBorders>
              <w:top w:val="nil"/>
              <w:left w:val="nil"/>
              <w:bottom w:val="nil"/>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blPrEx>
          <w:tblBorders>
            <w:top w:val="single" w:sz="4" w:space="0" w:color="auto"/>
            <w:bottom w:val="single" w:sz="4" w:space="0" w:color="auto"/>
            <w:insideH w:val="single" w:sz="4" w:space="0" w:color="auto"/>
          </w:tblBorders>
        </w:tblPrEx>
        <w:trPr>
          <w:cantSplit/>
        </w:trPr>
        <w:tc>
          <w:tcPr>
            <w:tcW w:w="7093" w:type="dxa"/>
            <w:gridSpan w:val="5"/>
            <w:tcBorders>
              <w:top w:val="nil"/>
              <w:bottom w:val="nil"/>
            </w:tcBorders>
            <w:shd w:val="clear" w:color="auto" w:fill="auto"/>
          </w:tcPr>
          <w:p>
            <w:pPr>
              <w:pStyle w:val="nTable"/>
              <w:spacing w:after="40"/>
              <w:rPr>
                <w:snapToGrid w:val="0"/>
              </w:rPr>
            </w:pPr>
            <w:r>
              <w:rPr>
                <w:b/>
                <w:snapToGrid w:val="0"/>
              </w:rPr>
              <w:t xml:space="preserve">Reprint 9: The </w:t>
            </w:r>
            <w:r>
              <w:rPr>
                <w:b/>
                <w:i/>
                <w:noProof/>
                <w:snapToGrid w:val="0"/>
              </w:rPr>
              <w:t>Prisons Act 1981</w:t>
            </w:r>
            <w:r>
              <w:rPr>
                <w:b/>
                <w:snapToGrid w:val="0"/>
              </w:rPr>
              <w:t xml:space="preserve"> as at 9 Aug 2019</w:t>
            </w:r>
            <w:r>
              <w:rPr>
                <w:snapToGrid w:val="0"/>
              </w:rPr>
              <w:t xml:space="preserve"> (includes amendments listed above)</w:t>
            </w:r>
          </w:p>
        </w:tc>
      </w:tr>
      <w:tr>
        <w:tblPrEx>
          <w:tblBorders>
            <w:top w:val="single" w:sz="4" w:space="0" w:color="auto"/>
            <w:bottom w:val="single" w:sz="4" w:space="0" w:color="auto"/>
            <w:insideH w:val="single" w:sz="4" w:space="0" w:color="auto"/>
          </w:tblBorders>
        </w:tblPrEx>
        <w:trPr>
          <w:cantSplit/>
          <w:ins w:id="571" w:author="svcMRProcess" w:date="2020-06-26T12:27:00Z"/>
        </w:trPr>
        <w:tc>
          <w:tcPr>
            <w:tcW w:w="2268" w:type="dxa"/>
            <w:tcBorders>
              <w:top w:val="nil"/>
              <w:bottom w:val="single" w:sz="4" w:space="0" w:color="auto"/>
              <w:right w:val="nil"/>
            </w:tcBorders>
            <w:shd w:val="clear" w:color="auto" w:fill="auto"/>
          </w:tcPr>
          <w:p>
            <w:pPr>
              <w:pStyle w:val="nTable"/>
              <w:spacing w:after="40"/>
              <w:rPr>
                <w:ins w:id="572" w:author="svcMRProcess" w:date="2020-06-26T12:27:00Z"/>
                <w:snapToGrid w:val="0"/>
              </w:rPr>
            </w:pPr>
            <w:ins w:id="573" w:author="svcMRProcess" w:date="2020-06-26T12:27:00Z">
              <w:r>
                <w:rPr>
                  <w:i/>
                  <w:snapToGrid w:val="0"/>
                </w:rPr>
                <w:t>Prisons Amendment Act 2020</w:t>
              </w:r>
              <w:r>
                <w:rPr>
                  <w:snapToGrid w:val="0"/>
                </w:rPr>
                <w:t xml:space="preserve"> (other than s. 4(1), 12, 19 and 23(1))</w:t>
              </w:r>
            </w:ins>
          </w:p>
        </w:tc>
        <w:tc>
          <w:tcPr>
            <w:tcW w:w="1134" w:type="dxa"/>
            <w:tcBorders>
              <w:top w:val="nil"/>
              <w:left w:val="nil"/>
              <w:bottom w:val="single" w:sz="4" w:space="0" w:color="auto"/>
              <w:right w:val="nil"/>
            </w:tcBorders>
            <w:shd w:val="clear" w:color="auto" w:fill="auto"/>
          </w:tcPr>
          <w:p>
            <w:pPr>
              <w:pStyle w:val="nTable"/>
              <w:spacing w:after="40"/>
              <w:rPr>
                <w:ins w:id="574" w:author="svcMRProcess" w:date="2020-06-26T12:27:00Z"/>
              </w:rPr>
            </w:pPr>
            <w:ins w:id="575" w:author="svcMRProcess" w:date="2020-06-26T12:27:00Z">
              <w:r>
                <w:t>20 of 2020</w:t>
              </w:r>
            </w:ins>
          </w:p>
        </w:tc>
        <w:tc>
          <w:tcPr>
            <w:tcW w:w="1181" w:type="dxa"/>
            <w:gridSpan w:val="2"/>
            <w:tcBorders>
              <w:top w:val="nil"/>
              <w:left w:val="nil"/>
              <w:bottom w:val="single" w:sz="4" w:space="0" w:color="auto"/>
              <w:right w:val="nil"/>
            </w:tcBorders>
            <w:shd w:val="clear" w:color="auto" w:fill="auto"/>
          </w:tcPr>
          <w:p>
            <w:pPr>
              <w:pStyle w:val="nTable"/>
              <w:spacing w:after="40"/>
              <w:rPr>
                <w:ins w:id="576" w:author="svcMRProcess" w:date="2020-06-26T12:27:00Z"/>
              </w:rPr>
            </w:pPr>
            <w:ins w:id="577" w:author="svcMRProcess" w:date="2020-06-26T12:27:00Z">
              <w:r>
                <w:t>21 May 2020</w:t>
              </w:r>
            </w:ins>
          </w:p>
        </w:tc>
        <w:tc>
          <w:tcPr>
            <w:tcW w:w="2510" w:type="dxa"/>
            <w:tcBorders>
              <w:top w:val="nil"/>
              <w:left w:val="nil"/>
              <w:bottom w:val="single" w:sz="4" w:space="0" w:color="auto"/>
            </w:tcBorders>
            <w:shd w:val="clear" w:color="auto" w:fill="auto"/>
          </w:tcPr>
          <w:p>
            <w:pPr>
              <w:pStyle w:val="nTable"/>
              <w:spacing w:after="40"/>
              <w:rPr>
                <w:ins w:id="578" w:author="svcMRProcess" w:date="2020-06-26T12:27:00Z"/>
                <w:snapToGrid w:val="0"/>
              </w:rPr>
            </w:pPr>
            <w:ins w:id="579" w:author="svcMRProcess" w:date="2020-06-26T12:27:00Z">
              <w:r>
                <w:rPr>
                  <w:snapToGrid w:val="0"/>
                </w:rPr>
                <w:t>s. 1 and 2: 21 May 2020 (see s. 2(a));</w:t>
              </w:r>
              <w:r>
                <w:rPr>
                  <w:snapToGrid w:val="0"/>
                </w:rPr>
                <w:br/>
                <w:t>Act other than s. 1, 2, 4(1), 12, 19 and 23(1): 27 Jun 2020 (see s. 2(b) and SL 2020/92 cl. 2)</w:t>
              </w:r>
            </w:ins>
          </w:p>
        </w:tc>
      </w:tr>
    </w:tbl>
    <w:p>
      <w:pPr>
        <w:pStyle w:val="nHeading3"/>
      </w:pPr>
      <w:bookmarkStart w:id="580" w:name="_Toc43971892"/>
      <w:bookmarkStart w:id="581" w:name="_Toc41031561"/>
      <w:r>
        <w:t>Uncommenced provisions table</w:t>
      </w:r>
      <w:bookmarkEnd w:id="580"/>
      <w:bookmarkEnd w:id="58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62"/>
        <w:gridCol w:w="2524"/>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62" w:type="dxa"/>
          </w:tcPr>
          <w:p>
            <w:pPr>
              <w:pStyle w:val="nTable"/>
              <w:spacing w:after="40"/>
              <w:rPr>
                <w:b/>
              </w:rPr>
            </w:pPr>
            <w:r>
              <w:rPr>
                <w:b/>
              </w:rPr>
              <w:t>Assent</w:t>
            </w:r>
          </w:p>
        </w:tc>
        <w:tc>
          <w:tcPr>
            <w:tcW w:w="2524" w:type="dxa"/>
          </w:tcPr>
          <w:p>
            <w:pPr>
              <w:pStyle w:val="nTable"/>
              <w:spacing w:after="40"/>
              <w:rPr>
                <w:b/>
              </w:rPr>
            </w:pPr>
            <w:r>
              <w:rPr>
                <w:b/>
              </w:rPr>
              <w:t>Commencement</w:t>
            </w:r>
          </w:p>
        </w:tc>
      </w:tr>
      <w:tr>
        <w:tc>
          <w:tcPr>
            <w:tcW w:w="2268" w:type="dxa"/>
            <w:tcBorders>
              <w:bottom w:val="nil"/>
            </w:tcBorders>
          </w:tcPr>
          <w:p>
            <w:pPr>
              <w:pStyle w:val="nTable"/>
              <w:spacing w:after="40"/>
              <w:rPr>
                <w:iCs/>
                <w:snapToGrid w:val="0"/>
                <w:vertAlign w:val="superscript"/>
              </w:rPr>
            </w:pPr>
            <w:r>
              <w:rPr>
                <w:i/>
                <w:snapToGrid w:val="0"/>
              </w:rPr>
              <w:t>Criminal Law Amendment (Homicide) Act 2008</w:t>
            </w:r>
            <w:r>
              <w:rPr>
                <w:iCs/>
                <w:snapToGrid w:val="0"/>
              </w:rPr>
              <w:t xml:space="preserve"> s. 36(2)</w:t>
            </w:r>
          </w:p>
        </w:tc>
        <w:tc>
          <w:tcPr>
            <w:tcW w:w="1134" w:type="dxa"/>
            <w:tcBorders>
              <w:bottom w:val="nil"/>
            </w:tcBorders>
          </w:tcPr>
          <w:p>
            <w:pPr>
              <w:pStyle w:val="nTable"/>
              <w:spacing w:after="40"/>
            </w:pPr>
            <w:r>
              <w:t>29 of 2008</w:t>
            </w:r>
          </w:p>
        </w:tc>
        <w:tc>
          <w:tcPr>
            <w:tcW w:w="1162" w:type="dxa"/>
            <w:tcBorders>
              <w:bottom w:val="nil"/>
            </w:tcBorders>
          </w:tcPr>
          <w:p>
            <w:pPr>
              <w:pStyle w:val="nTable"/>
              <w:spacing w:after="40"/>
            </w:pPr>
            <w:r>
              <w:t>27 Jun 2008</w:t>
            </w:r>
          </w:p>
        </w:tc>
        <w:tc>
          <w:tcPr>
            <w:tcW w:w="2524" w:type="dxa"/>
            <w:tcBorders>
              <w:bottom w:val="nil"/>
            </w:tcBorders>
          </w:tcPr>
          <w:p>
            <w:pPr>
              <w:pStyle w:val="nTable"/>
              <w:spacing w:after="40"/>
            </w:pPr>
            <w:r>
              <w:t>To be proclaimed (see s. 2(d))</w:t>
            </w:r>
          </w:p>
        </w:tc>
      </w:tr>
      <w:tr>
        <w:tc>
          <w:tcPr>
            <w:tcW w:w="2268" w:type="dxa"/>
            <w:tcBorders>
              <w:top w:val="nil"/>
            </w:tcBorders>
          </w:tcPr>
          <w:p>
            <w:pPr>
              <w:pStyle w:val="nTable"/>
              <w:spacing w:after="40"/>
              <w:rPr>
                <w:snapToGrid w:val="0"/>
              </w:rPr>
            </w:pPr>
            <w:r>
              <w:rPr>
                <w:i/>
                <w:snapToGrid w:val="0"/>
              </w:rPr>
              <w:t xml:space="preserve">Prisons Amendment Act 2020 </w:t>
            </w:r>
            <w:r>
              <w:rPr>
                <w:snapToGrid w:val="0"/>
              </w:rPr>
              <w:t>s. </w:t>
            </w:r>
            <w:del w:id="582" w:author="svcMRProcess" w:date="2020-06-26T12:27:00Z">
              <w:r>
                <w:rPr>
                  <w:snapToGrid w:val="0"/>
                </w:rPr>
                <w:delText>3</w:delText>
              </w:r>
              <w:r>
                <w:rPr>
                  <w:snapToGrid w:val="0"/>
                </w:rPr>
                <w:noBreakHyphen/>
              </w:r>
            </w:del>
            <w:ins w:id="583" w:author="svcMRProcess" w:date="2020-06-26T12:27:00Z">
              <w:r>
                <w:rPr>
                  <w:snapToGrid w:val="0"/>
                </w:rPr>
                <w:t xml:space="preserve">4(1), 12, 19 and </w:t>
              </w:r>
            </w:ins>
            <w:r>
              <w:rPr>
                <w:snapToGrid w:val="0"/>
              </w:rPr>
              <w:t>23</w:t>
            </w:r>
            <w:ins w:id="584" w:author="svcMRProcess" w:date="2020-06-26T12:27:00Z">
              <w:r>
                <w:rPr>
                  <w:snapToGrid w:val="0"/>
                </w:rPr>
                <w:t>(1)</w:t>
              </w:r>
            </w:ins>
          </w:p>
        </w:tc>
        <w:tc>
          <w:tcPr>
            <w:tcW w:w="1134" w:type="dxa"/>
            <w:tcBorders>
              <w:top w:val="nil"/>
            </w:tcBorders>
          </w:tcPr>
          <w:p>
            <w:pPr>
              <w:pStyle w:val="nTable"/>
              <w:spacing w:after="40"/>
            </w:pPr>
            <w:r>
              <w:t>20 of 2020</w:t>
            </w:r>
          </w:p>
        </w:tc>
        <w:tc>
          <w:tcPr>
            <w:tcW w:w="1162" w:type="dxa"/>
            <w:tcBorders>
              <w:top w:val="nil"/>
            </w:tcBorders>
          </w:tcPr>
          <w:p>
            <w:pPr>
              <w:pStyle w:val="nTable"/>
              <w:spacing w:after="40"/>
            </w:pPr>
            <w:r>
              <w:t>21 May 2020</w:t>
            </w:r>
          </w:p>
        </w:tc>
        <w:tc>
          <w:tcPr>
            <w:tcW w:w="2524" w:type="dxa"/>
            <w:tcBorders>
              <w:top w:val="nil"/>
            </w:tcBorders>
          </w:tcPr>
          <w:p>
            <w:pPr>
              <w:pStyle w:val="nTable"/>
              <w:spacing w:after="40"/>
            </w:pPr>
            <w:r>
              <w:t>To be proclaimed (see s. 2(b))</w:t>
            </w:r>
          </w:p>
        </w:tc>
      </w:tr>
    </w:tbl>
    <w:p>
      <w:pPr>
        <w:pStyle w:val="nHeading3"/>
      </w:pPr>
      <w:bookmarkStart w:id="585" w:name="_Toc43971893"/>
      <w:bookmarkStart w:id="586" w:name="_Toc41031562"/>
      <w:r>
        <w:t>Other notes</w:t>
      </w:r>
      <w:bookmarkEnd w:id="585"/>
      <w:bookmarkEnd w:id="586"/>
    </w:p>
    <w:p>
      <w:pPr>
        <w:pStyle w:val="nNote"/>
        <w:keepNext/>
        <w:spacing w:before="160"/>
        <w:rPr>
          <w:snapToGrid w:val="0"/>
          <w:vertAlign w:val="superscript"/>
        </w:rPr>
      </w:pPr>
      <w:r>
        <w:rPr>
          <w:snapToGrid w:val="0"/>
          <w:vertAlign w:val="superscript"/>
        </w:rPr>
        <w:t>1M</w:t>
      </w:r>
      <w:r>
        <w:rPr>
          <w:snapToGrid w:val="0"/>
        </w:rPr>
        <w:tab/>
        <w:t>Under</w:t>
      </w:r>
      <w:r>
        <w:t xml:space="preserve">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spacing w:before="160"/>
        <w:rPr>
          <w:snapToGrid w:val="0"/>
        </w:rPr>
      </w:pPr>
      <w:r>
        <w:rPr>
          <w:snapToGrid w:val="0"/>
          <w:vertAlign w:val="superscript"/>
        </w:rPr>
        <w:t>1</w:t>
      </w:r>
      <w:r>
        <w:rPr>
          <w:snapToGrid w:val="0"/>
        </w:rPr>
        <w:tab/>
        <w:t xml:space="preserve">The </w:t>
      </w:r>
      <w:r>
        <w:rPr>
          <w:i/>
          <w:snapToGrid w:val="0"/>
        </w:rPr>
        <w:t xml:space="preserve">Sentence Administration Act 1995 </w:t>
      </w:r>
      <w:r>
        <w:rPr>
          <w:snapToGrid w:val="0"/>
        </w:rPr>
        <w:t xml:space="preserve">was repealed by the </w:t>
      </w:r>
      <w:r>
        <w:rPr>
          <w:i/>
          <w:snapToGrid w:val="0"/>
        </w:rPr>
        <w:t>Sentencing Legislation Amendment and Repeal Act 2003</w:t>
      </w:r>
      <w:r>
        <w:rPr>
          <w:snapToGrid w:val="0"/>
        </w:rPr>
        <w:t xml:space="preserve"> s. 29(1).</w:t>
      </w:r>
    </w:p>
    <w:p>
      <w:pPr>
        <w:pStyle w:val="nNote"/>
        <w:keepNext/>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Note"/>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Note"/>
        <w:keepNext/>
        <w:keepLines/>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Prisons Department was, unless the contrary intention appears, to be read and construed as a reference to the Department of Justice. See </w:t>
      </w:r>
      <w:r>
        <w:rPr>
          <w:i/>
          <w:snapToGrid w:val="0"/>
        </w:rPr>
        <w:t>Gazette</w:t>
      </w:r>
      <w:r>
        <w:rPr>
          <w:snapToGrid w:val="0"/>
        </w:rPr>
        <w:t xml:space="preserve"> 7 Sep 2001 p. 4994</w:t>
      </w:r>
      <w:r>
        <w:rPr>
          <w:snapToGrid w:val="0"/>
        </w:rPr>
        <w:noBreakHyphen/>
        <w:t>6.</w:t>
      </w:r>
    </w:p>
    <w:p>
      <w:pPr>
        <w:pStyle w:val="nNote"/>
        <w:rPr>
          <w:snapToGrid w:val="0"/>
        </w:rPr>
      </w:pPr>
      <w:r>
        <w:rPr>
          <w:snapToGrid w:val="0"/>
        </w:rPr>
        <w:tab/>
        <w:t xml:space="preserve">Subsequently, the name of the Department of Justice was changed to the Department of the Attorney General, and the Deparment of Corrective Serices was established with effect from 5 Jan 2006. See </w:t>
      </w:r>
      <w:r>
        <w:rPr>
          <w:i/>
          <w:snapToGrid w:val="0"/>
        </w:rPr>
        <w:t>Gazette</w:t>
      </w:r>
      <w:r>
        <w:rPr>
          <w:snapToGrid w:val="0"/>
        </w:rPr>
        <w:t xml:space="preserve"> 10 Jan 2006 p. 39.</w:t>
      </w:r>
    </w:p>
    <w:p>
      <w:pPr>
        <w:pStyle w:val="nNote"/>
        <w:rPr>
          <w:snapToGrid w:val="0"/>
        </w:rPr>
      </w:pPr>
      <w:r>
        <w:rPr>
          <w:snapToGrid w:val="0"/>
        </w:rPr>
        <w:tab/>
        <w:t xml:space="preserve">Subsequent to that, the Departments of the Attorney General and Corrective Serices were amalgamated and designated the Deparment of Justice. See </w:t>
      </w:r>
      <w:r>
        <w:rPr>
          <w:i/>
          <w:snapToGrid w:val="0"/>
        </w:rPr>
        <w:t>Gazette</w:t>
      </w:r>
      <w:r>
        <w:rPr>
          <w:snapToGrid w:val="0"/>
        </w:rPr>
        <w:t xml:space="preserve"> 28 Jun 2017 p. 3503.</w:t>
      </w:r>
    </w:p>
    <w:p>
      <w:pPr>
        <w:pStyle w:val="nNote"/>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Note"/>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includes savings and transitional </w:t>
      </w:r>
      <w:r>
        <w:rPr>
          <w:iCs/>
          <w:snapToGrid w:val="0"/>
        </w:rPr>
        <w:t xml:space="preserve">provisions </w:t>
      </w:r>
      <w:r>
        <w:rPr>
          <w:snapToGrid w:val="0"/>
        </w:rPr>
        <w:t xml:space="preserve">that are of no further effect. </w:t>
      </w:r>
    </w:p>
    <w:p>
      <w:pPr>
        <w:pStyle w:val="nNote"/>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Note"/>
      </w:pPr>
      <w:r>
        <w:rPr>
          <w:vertAlign w:val="superscript"/>
        </w:rPr>
        <w:t>8</w:t>
      </w:r>
      <w:r>
        <w:tab/>
        <w:t xml:space="preserve">The </w:t>
      </w:r>
      <w:r>
        <w:rPr>
          <w:i/>
        </w:rPr>
        <w:t>Prisons Amendment Act 1999</w:t>
      </w:r>
      <w:r>
        <w:t xml:space="preserve"> s. 19 reads as follows:</w:t>
      </w:r>
    </w:p>
    <w:p>
      <w:pPr>
        <w:pStyle w:val="BlankOpen"/>
      </w:pP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BlankClose"/>
      </w:pPr>
    </w:p>
    <w:p>
      <w:pPr>
        <w:pStyle w:val="nNote"/>
        <w:keepNext/>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Note"/>
        <w:keepNext/>
      </w:pPr>
      <w:r>
        <w:rPr>
          <w:vertAlign w:val="superscript"/>
        </w:rPr>
        <w:t>10</w:t>
      </w:r>
      <w:r>
        <w:tab/>
        <w:t>The </w:t>
      </w:r>
      <w:r>
        <w:rPr>
          <w:i/>
        </w:rPr>
        <w:t>Inspector of Custodial Services Act 2003</w:t>
      </w:r>
      <w:r>
        <w:t xml:space="preserve"> Sch. 2 cl. 6(5) reads as follows:</w:t>
      </w:r>
    </w:p>
    <w:p>
      <w:pPr>
        <w:pStyle w:val="BlankOpen"/>
      </w:pP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BlankClose"/>
      </w:pPr>
    </w:p>
    <w:p>
      <w:pPr>
        <w:pStyle w:val="nNote"/>
        <w:keepNext/>
        <w:keepLines/>
      </w:pPr>
      <w:r>
        <w:rPr>
          <w:vertAlign w:val="superscript"/>
        </w:rPr>
        <w:t>11</w:t>
      </w:r>
      <w:r>
        <w:tab/>
        <w:t xml:space="preserve">The amendments in the </w:t>
      </w:r>
      <w:r>
        <w:rPr>
          <w:i/>
        </w:rPr>
        <w:t>Corruption and Crime Commission Amendment and Repeal Act 2003</w:t>
      </w:r>
      <w:r>
        <w:t xml:space="preserve"> Sch. 2 cl. 11(3)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Note"/>
      </w:pPr>
      <w:r>
        <w:rPr>
          <w:vertAlign w:val="superscript"/>
        </w:rPr>
        <w:t>12</w:t>
      </w:r>
      <w:r>
        <w:tab/>
        <w:t xml:space="preserve">The </w:t>
      </w:r>
      <w:r>
        <w:rPr>
          <w:i/>
          <w:snapToGrid w:val="0"/>
        </w:rPr>
        <w:t>Criminal Procedure and Appeals (Consequential and Other Provisions) Act 2004</w:t>
      </w:r>
      <w:r>
        <w:rPr>
          <w:snapToGrid w:val="0"/>
        </w:rPr>
        <w:t xml:space="preserve"> </w:t>
      </w:r>
      <w:r>
        <w:rPr>
          <w:snapToGrid w:val="0"/>
          <w:sz w:val="19"/>
        </w:rPr>
        <w:t xml:space="preserve">Sch. 1 cl. 25 (amendment to s. 23) </w:t>
      </w:r>
      <w:r>
        <w:rPr>
          <w:snapToGrid w:val="0"/>
        </w:rPr>
        <w:t xml:space="preserve">was deleted by the </w:t>
      </w:r>
      <w:r>
        <w:rPr>
          <w:i/>
          <w:iCs/>
          <w:snapToGrid w:val="0"/>
        </w:rPr>
        <w:t>Criminal Law and Evidence Amendment Act 2008</w:t>
      </w:r>
      <w:r>
        <w:rPr>
          <w:snapToGrid w:val="0"/>
        </w:rPr>
        <w:t xml:space="preserve"> s. 78(4).</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87" w:name="Compilation"/>
    <w:bookmarkEnd w:id="58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8" w:name="Coversheet"/>
    <w:bookmarkEnd w:id="58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62" w:name="Schedule"/>
    <w:bookmarkEnd w:id="56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88ADEC"/>
    <w:lvl w:ilvl="0">
      <w:start w:val="1"/>
      <w:numFmt w:val="decimal"/>
      <w:lvlText w:val="%1."/>
      <w:lvlJc w:val="left"/>
      <w:pPr>
        <w:tabs>
          <w:tab w:val="num" w:pos="1492"/>
        </w:tabs>
        <w:ind w:left="1492" w:hanging="360"/>
      </w:pPr>
    </w:lvl>
  </w:abstractNum>
  <w:abstractNum w:abstractNumId="1">
    <w:nsid w:val="FFFFFF7D"/>
    <w:multiLevelType w:val="singleLevel"/>
    <w:tmpl w:val="00923490"/>
    <w:lvl w:ilvl="0">
      <w:start w:val="1"/>
      <w:numFmt w:val="decimal"/>
      <w:lvlText w:val="%1."/>
      <w:lvlJc w:val="left"/>
      <w:pPr>
        <w:tabs>
          <w:tab w:val="num" w:pos="1209"/>
        </w:tabs>
        <w:ind w:left="1209" w:hanging="360"/>
      </w:pPr>
    </w:lvl>
  </w:abstractNum>
  <w:abstractNum w:abstractNumId="2">
    <w:nsid w:val="FFFFFF7E"/>
    <w:multiLevelType w:val="singleLevel"/>
    <w:tmpl w:val="FABA3AE0"/>
    <w:lvl w:ilvl="0">
      <w:start w:val="1"/>
      <w:numFmt w:val="decimal"/>
      <w:lvlText w:val="%1."/>
      <w:lvlJc w:val="left"/>
      <w:pPr>
        <w:tabs>
          <w:tab w:val="num" w:pos="926"/>
        </w:tabs>
        <w:ind w:left="926" w:hanging="360"/>
      </w:pPr>
    </w:lvl>
  </w:abstractNum>
  <w:abstractNum w:abstractNumId="3">
    <w:nsid w:val="FFFFFF7F"/>
    <w:multiLevelType w:val="singleLevel"/>
    <w:tmpl w:val="0FB042B8"/>
    <w:lvl w:ilvl="0">
      <w:start w:val="1"/>
      <w:numFmt w:val="decimal"/>
      <w:lvlText w:val="%1."/>
      <w:lvlJc w:val="left"/>
      <w:pPr>
        <w:tabs>
          <w:tab w:val="num" w:pos="643"/>
        </w:tabs>
        <w:ind w:left="643" w:hanging="360"/>
      </w:pPr>
    </w:lvl>
  </w:abstractNum>
  <w:abstractNum w:abstractNumId="4">
    <w:nsid w:val="FFFFFF80"/>
    <w:multiLevelType w:val="singleLevel"/>
    <w:tmpl w:val="D2FA42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264A3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A5CD7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50E1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9EA5BE"/>
    <w:lvl w:ilvl="0">
      <w:start w:val="1"/>
      <w:numFmt w:val="decimal"/>
      <w:lvlText w:val="%1."/>
      <w:lvlJc w:val="left"/>
      <w:pPr>
        <w:tabs>
          <w:tab w:val="num" w:pos="360"/>
        </w:tabs>
        <w:ind w:left="360" w:hanging="360"/>
      </w:pPr>
    </w:lvl>
  </w:abstractNum>
  <w:abstractNum w:abstractNumId="9">
    <w:nsid w:val="FFFFFF89"/>
    <w:multiLevelType w:val="singleLevel"/>
    <w:tmpl w:val="AE4E5D1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7DADEC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24154831"/>
    <w:docVar w:name="WAFER_20131119102823" w:val="RemoveTocBookmarks,RemoveUnusedBookmarks,RemoveLanguageTags,UsedStyles,ResetPageSize"/>
    <w:docVar w:name="WAFER_20131119102823_GUID" w:val="da2b0f4e-dad7-4311-b7b3-14c3c287528e"/>
    <w:docVar w:name="WAFER_20141203140954" w:val="RemoveTocBookmarks,RemoveUnusedBookmarks,RemoveLanguageTags,UsedStyles,ResetPageSize,UpdateArrangement"/>
    <w:docVar w:name="WAFER_20141203140954_GUID" w:val="8c8da3a8-8ce2-484b-9e5e-97be2afe59cc"/>
    <w:docVar w:name="WAFER_20150304144542" w:val="ResetPageSize,UpdateArrangement,UpdateNTable"/>
    <w:docVar w:name="WAFER_20150304144542_GUID" w:val="f409abc6-0458-45f0-aa56-cb518ca6f37d"/>
    <w:docVar w:name="WAFER_20151103094331" w:val="UpdateStyles,UsedStyles"/>
    <w:docVar w:name="WAFER_20151103094331_GUID" w:val="49a0eeff-bb9d-47f0-b489-c52258dff4f0"/>
    <w:docVar w:name="WAFER_20151103095123" w:val="UpdateStyles,UsedStyles"/>
    <w:docVar w:name="WAFER_20151103095123_GUID" w:val="915a1b33-132e-452f-82f6-d08892712b54"/>
    <w:docVar w:name="WAFER_20151105092016" w:val="UpdateStyles"/>
    <w:docVar w:name="WAFER_20151105092016_GUID" w:val="64f80abb-68ae-43b4-af36-626c7fb9b65b"/>
    <w:docVar w:name="WAFER_20151105092034" w:val="UpdateStyles,UsedStyles"/>
    <w:docVar w:name="WAFER_20151105092034_GUID" w:val="b3571eaf-1937-48b1-98f3-a8cb0d941cbd"/>
    <w:docVar w:name="WAFER_20151105095911" w:val="UsedStyles"/>
    <w:docVar w:name="WAFER_20151105095911_GUID" w:val="22c298b2-1884-4ff7-a3de-f7c992f6be28"/>
    <w:docVar w:name="WAFER_20160418110153" w:val="UsedStyles"/>
    <w:docVar w:name="WAFER_20160418110153_GUID" w:val="c341f9d1-90db-4d3f-bb87-18a265121eb1"/>
    <w:docVar w:name="WAFER_20160712104806" w:val="ResetPageSize"/>
    <w:docVar w:name="WAFER_20160712104806_GUID" w:val="5086dad5-7d41-409e-939c-4e28cb5eb0d0"/>
    <w:docVar w:name="WAFER_20161130112806" w:val="RemoveTocBookmarks,RemoveUnusedBookmarks,RemoveLanguageTags,UsedStyles,ResetPageSize"/>
    <w:docVar w:name="WAFER_20161130112806_GUID" w:val="659f0414-79ad-43d6-a0ca-b149cf1c13b6"/>
    <w:docVar w:name="WAFER_20170125083958" w:val="RemoveTocBookmarks,RemoveUnusedBookmarks,RemoveLanguageTags,UsedStyles,ResetPageSize"/>
    <w:docVar w:name="WAFER_20170125083958_GUID" w:val="b6ee0c0b-d3a2-4ebe-8adb-44753e527c38"/>
    <w:docVar w:name="WAFER_20181213102309" w:val="RemoveTocBookmarks,RemoveUnusedBookmarks,RemoveLanguageTags,UsedStyles,ResetPageSize"/>
    <w:docVar w:name="WAFER_20181213102309_GUID" w:val="40079988-bc30-4575-bae0-256d19192aa9"/>
    <w:docVar w:name="WAFER_202002111138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13818_GUID" w:val="e3ef0a85-c964-45ff-b4da-a3d7ce769730"/>
    <w:docVar w:name="WAFER_2020021117532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75320_GUID" w:val="4e3d095f-182d-4973-83a3-f6c43f079e13"/>
    <w:docVar w:name="WAFER_202005211538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1153858_GUID" w:val="15f1512b-51b3-4977-b3a6-187797fe512f"/>
    <w:docVar w:name="WAFER_202006241548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4154831_GUID" w:val="9c249c10-eb15-4ada-af0b-d7761314b3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4B40C-2755-41C2-976E-67503C5C1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34049</Words>
  <Characters>160032</Characters>
  <Application>Microsoft Office Word</Application>
  <DocSecurity>0</DocSecurity>
  <Lines>4325</Lines>
  <Paragraphs>2256</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191825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09-b0-00 - 09-c0-00</dc:title>
  <dc:subject/>
  <dc:creator/>
  <cp:keywords/>
  <dc:description/>
  <cp:lastModifiedBy>svcMRProcess</cp:lastModifiedBy>
  <cp:revision>2</cp:revision>
  <cp:lastPrinted>2020-02-11T10:00:00Z</cp:lastPrinted>
  <dcterms:created xsi:type="dcterms:W3CDTF">2020-06-26T04:27:00Z</dcterms:created>
  <dcterms:modified xsi:type="dcterms:W3CDTF">2020-06-26T04:27:00Z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DocumentType">
    <vt:lpwstr>Act</vt:lpwstr>
  </property>
  <property fmtid="{D5CDD505-2E9C-101B-9397-08002B2CF9AE}" pid="4" name="OwlsUID">
    <vt:i4>633</vt:i4>
  </property>
  <property fmtid="{D5CDD505-2E9C-101B-9397-08002B2CF9AE}" pid="5" name="ReprintedAsAt">
    <vt:filetime>2019-08-08T16:00:00Z</vt:filetime>
  </property>
  <property fmtid="{D5CDD505-2E9C-101B-9397-08002B2CF9AE}" pid="6" name="ReprintNo">
    <vt:lpwstr>9</vt:lpwstr>
  </property>
  <property fmtid="{D5CDD505-2E9C-101B-9397-08002B2CF9AE}" pid="7" name="CommencementDate">
    <vt:lpwstr>20200627</vt:lpwstr>
  </property>
  <property fmtid="{D5CDD505-2E9C-101B-9397-08002B2CF9AE}" pid="8" name="FromSuffix">
    <vt:lpwstr>09-b0-00</vt:lpwstr>
  </property>
  <property fmtid="{D5CDD505-2E9C-101B-9397-08002B2CF9AE}" pid="9" name="FromAsAtDate">
    <vt:lpwstr>21 May 2020</vt:lpwstr>
  </property>
  <property fmtid="{D5CDD505-2E9C-101B-9397-08002B2CF9AE}" pid="10" name="ToSuffix">
    <vt:lpwstr>09-c0-00</vt:lpwstr>
  </property>
  <property fmtid="{D5CDD505-2E9C-101B-9397-08002B2CF9AE}" pid="11" name="ToAsAtDate">
    <vt:lpwstr>27 Jun 2020</vt:lpwstr>
  </property>
</Properties>
</file>