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05-n0-01</w:t>
      </w:r>
      <w:r>
        <w:fldChar w:fldCharType="end"/>
      </w:r>
      <w:r>
        <w:t>] and [</w:t>
      </w:r>
      <w:r>
        <w:fldChar w:fldCharType="begin"/>
      </w:r>
      <w:r>
        <w:instrText xml:space="preserve"> DocProperty ToAsAtDate</w:instrText>
      </w:r>
      <w:r>
        <w:fldChar w:fldCharType="separate"/>
      </w:r>
      <w:r>
        <w:t>11 Mar 2022</w:t>
      </w:r>
      <w:r>
        <w:fldChar w:fldCharType="end"/>
      </w:r>
      <w:r>
        <w:t xml:space="preserve">, </w:t>
      </w:r>
      <w:r>
        <w:fldChar w:fldCharType="begin"/>
      </w:r>
      <w:r>
        <w:instrText xml:space="preserve"> DocProperty ToSuffix</w:instrText>
      </w:r>
      <w:r>
        <w:fldChar w:fldCharType="separate"/>
      </w:r>
      <w:r>
        <w:t>05-o0-00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after="600"/>
      </w:pPr>
      <w:r>
        <w:lastRenderedPageBreak/>
        <w:t>Plumbers Licensing Act 1995</w:t>
      </w:r>
    </w:p>
    <w:p>
      <w:pPr>
        <w:pStyle w:val="NameofActReg"/>
        <w:spacing w:before="600" w:after="720"/>
      </w:pPr>
      <w:r>
        <w:t>Plumbers Licensing and Plumbing Standards Regulations 2000</w:t>
      </w:r>
    </w:p>
    <w:p>
      <w:pPr>
        <w:pStyle w:val="Heading2"/>
        <w:pageBreakBefore w:val="0"/>
        <w:spacing w:before="240"/>
      </w:pPr>
      <w:bookmarkStart w:id="1" w:name="_Toc97632946"/>
      <w:bookmarkStart w:id="2" w:name="_Toc97633122"/>
      <w:bookmarkStart w:id="3" w:name="_Toc97016190"/>
      <w:bookmarkStart w:id="4" w:name="_Toc97016354"/>
      <w:r>
        <w:rPr>
          <w:rStyle w:val="CharPartNo"/>
        </w:rPr>
        <w:t>P</w:t>
      </w:r>
      <w:bookmarkStart w:id="5" w:name="_GoBack"/>
      <w:bookmarkEnd w:id="5"/>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p>
    <w:p>
      <w:pPr>
        <w:pStyle w:val="Heading5"/>
      </w:pPr>
      <w:bookmarkStart w:id="6" w:name="_Toc97633123"/>
      <w:bookmarkStart w:id="7" w:name="_Toc97016355"/>
      <w:r>
        <w:rPr>
          <w:rStyle w:val="CharSectno"/>
        </w:rPr>
        <w:t>1</w:t>
      </w:r>
      <w:r>
        <w:t>.</w:t>
      </w:r>
      <w:r>
        <w:tab/>
        <w:t>Citation</w:t>
      </w:r>
      <w:bookmarkEnd w:id="6"/>
      <w:bookmarkEnd w:id="7"/>
    </w:p>
    <w:p>
      <w:pPr>
        <w:pStyle w:val="Subsection"/>
      </w:pPr>
      <w:r>
        <w:tab/>
      </w:r>
      <w:r>
        <w:tab/>
        <w:t xml:space="preserve">These regulations are the </w:t>
      </w:r>
      <w:r>
        <w:rPr>
          <w:i/>
        </w:rPr>
        <w:t>Plumbers Licensing and Plumbing Standards Regulations 2000</w:t>
      </w:r>
      <w:r>
        <w:t>.</w:t>
      </w:r>
    </w:p>
    <w:p>
      <w:pPr>
        <w:pStyle w:val="Footnotesection"/>
      </w:pPr>
      <w:r>
        <w:tab/>
        <w:t>[Regulation 1 inserted: Gazette 14 Nov 2013 p. 5231.]</w:t>
      </w:r>
    </w:p>
    <w:p>
      <w:pPr>
        <w:pStyle w:val="Heading5"/>
        <w:rPr>
          <w:spacing w:val="-2"/>
        </w:rPr>
      </w:pPr>
      <w:bookmarkStart w:id="8" w:name="_Toc97633124"/>
      <w:bookmarkStart w:id="9" w:name="_Toc97016356"/>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t>.</w:t>
      </w:r>
    </w:p>
    <w:p>
      <w:pPr>
        <w:pStyle w:val="Heading5"/>
      </w:pPr>
      <w:bookmarkStart w:id="10" w:name="_Toc97633125"/>
      <w:bookmarkStart w:id="11" w:name="_Toc97016357"/>
      <w:r>
        <w:rPr>
          <w:rStyle w:val="CharSectno"/>
        </w:rPr>
        <w:t>3</w:t>
      </w:r>
      <w:r>
        <w:t>.</w:t>
      </w:r>
      <w:r>
        <w:tab/>
        <w:t>Terms used</w:t>
      </w:r>
      <w:bookmarkEnd w:id="10"/>
      <w:bookmarkEnd w:id="11"/>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the </w:t>
      </w:r>
      <w:r>
        <w:rPr>
          <w:i/>
        </w:rPr>
        <w:t>Health (Miscellaneous Provisions) Act 1911</w:t>
      </w:r>
      <w:r>
        <w:t xml:space="preserve"> section 3(1);</w:t>
      </w:r>
    </w:p>
    <w:p>
      <w:pPr>
        <w:pStyle w:val="Defstart"/>
      </w:pPr>
      <w:r>
        <w:rPr>
          <w:b/>
        </w:rPr>
        <w:tab/>
      </w:r>
      <w:r>
        <w:rPr>
          <w:rStyle w:val="CharDefText"/>
        </w:rPr>
        <w:t>application fee</w:t>
      </w:r>
      <w:r>
        <w:t>, in relation to a licence or permit, means the fee for an application for that licence or permit set out in Schedule 1 Division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45B;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tab/>
      </w:r>
      <w:r>
        <w:rPr>
          <w:rStyle w:val="CharDefText"/>
        </w:rPr>
        <w:t>drainage plumbing diagram</w:t>
      </w:r>
      <w:r>
        <w:t xml:space="preserve"> means a diagram of drainage plumbing work — </w:t>
      </w:r>
    </w:p>
    <w:p>
      <w:pPr>
        <w:pStyle w:val="Defpara"/>
      </w:pPr>
      <w:r>
        <w:tab/>
        <w:t>(a)</w:t>
      </w:r>
      <w:r>
        <w:tab/>
        <w:t>given to the Board under regulation 45D or 45DA(2); or</w:t>
      </w:r>
    </w:p>
    <w:p>
      <w:pPr>
        <w:pStyle w:val="Defpara"/>
      </w:pPr>
      <w:r>
        <w:tab/>
        <w:t>(b)</w:t>
      </w:r>
      <w:r>
        <w:tab/>
        <w:t>that is otherwise in the possession of the Board;</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a licensee or permit holder under regulation 17(2) or 20(6);</w:t>
      </w:r>
    </w:p>
    <w:p>
      <w:pPr>
        <w:pStyle w:val="Defstart"/>
      </w:pPr>
      <w:r>
        <w:rPr>
          <w:b/>
          <w:i/>
        </w:rP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 Division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Indenta"/>
        <w:keepNext/>
      </w:pPr>
      <w:r>
        <w:tab/>
        <w:t>(e)</w:t>
      </w:r>
      <w:r>
        <w:tab/>
        <w:t>the maintenance, repair or replacement of existing drainage plumbing,</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National Construction Code</w:t>
      </w:r>
      <w:r>
        <w:t xml:space="preserve"> means the National Construction Code Series published by, or on behalf of, the Australian Building Codes Board, as amended from time to time;</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tab/>
      </w:r>
      <w:r>
        <w:rPr>
          <w:rStyle w:val="CharDefText"/>
        </w:rPr>
        <w:t>performance solution</w:t>
      </w:r>
      <w:r>
        <w:t xml:space="preserve"> has the same meaning as “Performance Solution” in the Plumbing Code Schedule 3;</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 Division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Plumbing Code</w:t>
      </w:r>
      <w:r>
        <w:t xml:space="preserve"> means the Plumbing Code of Australia which is volume 3, as amended from time to time, of the National Construction Code;</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pre</w:t>
      </w:r>
      <w:r>
        <w:rPr>
          <w:rStyle w:val="CharDefText"/>
        </w:rPr>
        <w:noBreakHyphen/>
        <w:t>apprentice</w:t>
      </w:r>
      <w:r>
        <w:t xml:space="preserve"> means a person who is carrying out plumbing work as part of the work placement component of a Certificate II in Plumbing course provided by a registered training organisation (as defined in the </w:t>
      </w:r>
      <w:r>
        <w:rPr>
          <w:i/>
        </w:rPr>
        <w:t>National Vocational Education and Training Regulator Act 2011</w:t>
      </w:r>
      <w:r>
        <w:t xml:space="preserve"> (Commonwealth) section 3);</w:t>
      </w:r>
    </w:p>
    <w:p>
      <w:pPr>
        <w:pStyle w:val="Defstart"/>
      </w:pPr>
      <w:r>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 Division 1;</w:t>
      </w:r>
    </w:p>
    <w:p>
      <w:pPr>
        <w:pStyle w:val="Defstar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keepNext/>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spacing w:before="60"/>
        <w:ind w:left="890" w:hanging="890"/>
      </w:pPr>
      <w:r>
        <w:tab/>
        <w:t>[Regulation 3 amended: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 10 Jan 2017 p. 184; 9 Apr 2019 p. 1056; 18 Oct 2019 p. 3674; SL 2020/132 r. 4; SL 2020/196 r. 51; SL 2021/86 r. 57; SL 2021/89 r. 4.]</w:t>
      </w:r>
    </w:p>
    <w:p>
      <w:pPr>
        <w:pStyle w:val="Heading5"/>
        <w:spacing w:before="120"/>
      </w:pPr>
      <w:bookmarkStart w:id="12" w:name="_Toc97633126"/>
      <w:bookmarkStart w:id="13" w:name="_Toc97016358"/>
      <w:r>
        <w:rPr>
          <w:rStyle w:val="CharSectno"/>
        </w:rPr>
        <w:t>4</w:t>
      </w:r>
      <w:r>
        <w:t>.</w:t>
      </w:r>
      <w:r>
        <w:tab/>
        <w:t>Plumbing work specified (Act s. 59I)</w:t>
      </w:r>
      <w:bookmarkEnd w:id="12"/>
      <w:bookmarkEnd w:id="13"/>
    </w:p>
    <w:p>
      <w:pPr>
        <w:pStyle w:val="Subsection"/>
        <w:keepNext/>
        <w:spacing w:before="100"/>
      </w:pPr>
      <w:r>
        <w:tab/>
        <w:t>(1)</w:t>
      </w:r>
      <w:r>
        <w:tab/>
        <w:t>For the purposes of section 59I of the Act —</w:t>
      </w:r>
    </w:p>
    <w:p>
      <w:pPr>
        <w:pStyle w:val="Indenta"/>
        <w:spacing w:before="60"/>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spacing w:before="60"/>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spacing w:before="60"/>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spacing w:before="60"/>
      </w:pPr>
      <w:r>
        <w:tab/>
        <w:t>[(2)</w:t>
      </w:r>
      <w:r>
        <w:tab/>
        <w:t>deleted]</w:t>
      </w:r>
    </w:p>
    <w:p>
      <w:pPr>
        <w:pStyle w:val="Footnotesection"/>
        <w:spacing w:before="60"/>
        <w:ind w:left="890" w:hanging="890"/>
      </w:pPr>
      <w:r>
        <w:tab/>
        <w:t>[Regulation 4 amended: Gazette 28 Jun 2004 p. 2406.]</w:t>
      </w:r>
    </w:p>
    <w:p>
      <w:pPr>
        <w:pStyle w:val="Heading2"/>
      </w:pPr>
      <w:bookmarkStart w:id="14" w:name="_Toc97632951"/>
      <w:bookmarkStart w:id="15" w:name="_Toc97633127"/>
      <w:bookmarkStart w:id="16" w:name="_Toc97016195"/>
      <w:bookmarkStart w:id="17" w:name="_Toc97016359"/>
      <w:r>
        <w:rPr>
          <w:rStyle w:val="CharPartNo"/>
        </w:rPr>
        <w:t>Part 2</w:t>
      </w:r>
      <w:r>
        <w:rPr>
          <w:rStyle w:val="CharDivNo"/>
        </w:rPr>
        <w:t xml:space="preserve"> </w:t>
      </w:r>
      <w:r>
        <w:t>—</w:t>
      </w:r>
      <w:r>
        <w:rPr>
          <w:rStyle w:val="CharDivText"/>
        </w:rPr>
        <w:t xml:space="preserve"> </w:t>
      </w:r>
      <w:r>
        <w:rPr>
          <w:rStyle w:val="CharPartText"/>
        </w:rPr>
        <w:t>The Plumbers Licensing Board</w:t>
      </w:r>
      <w:bookmarkEnd w:id="14"/>
      <w:bookmarkEnd w:id="15"/>
      <w:bookmarkEnd w:id="16"/>
      <w:bookmarkEnd w:id="17"/>
    </w:p>
    <w:p>
      <w:pPr>
        <w:pStyle w:val="Heading5"/>
      </w:pPr>
      <w:bookmarkStart w:id="18" w:name="_Toc97633128"/>
      <w:bookmarkStart w:id="19" w:name="_Toc97016360"/>
      <w:r>
        <w:rPr>
          <w:rStyle w:val="CharSectno"/>
        </w:rPr>
        <w:t>5</w:t>
      </w:r>
      <w:r>
        <w:t>.</w:t>
      </w:r>
      <w:r>
        <w:tab/>
        <w:t>Membership</w:t>
      </w:r>
      <w:bookmarkEnd w:id="18"/>
      <w:bookmarkEnd w:id="19"/>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Gazette 12 Sep 2003 p. 4080; 1 Jun 2004 p. 1910</w:t>
      </w:r>
      <w:r>
        <w:noBreakHyphen/>
        <w:t>11; 30 Jun 2011 p. 2656.]</w:t>
      </w:r>
    </w:p>
    <w:p>
      <w:pPr>
        <w:pStyle w:val="Heading5"/>
      </w:pPr>
      <w:bookmarkStart w:id="20" w:name="_Toc97633129"/>
      <w:bookmarkStart w:id="21" w:name="_Toc97016361"/>
      <w:r>
        <w:rPr>
          <w:rStyle w:val="CharSectno"/>
        </w:rPr>
        <w:t>6</w:t>
      </w:r>
      <w:r>
        <w:t>.</w:t>
      </w:r>
      <w:r>
        <w:tab/>
        <w:t>Deputy chairperson</w:t>
      </w:r>
      <w:bookmarkEnd w:id="20"/>
      <w:bookmarkEnd w:id="21"/>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Gazette 1 Jun 2004 p. 1911.]</w:t>
      </w:r>
    </w:p>
    <w:p>
      <w:pPr>
        <w:pStyle w:val="Heading5"/>
      </w:pPr>
      <w:bookmarkStart w:id="22" w:name="_Toc97633130"/>
      <w:bookmarkStart w:id="23" w:name="_Toc97016362"/>
      <w:r>
        <w:rPr>
          <w:rStyle w:val="CharSectno"/>
        </w:rPr>
        <w:t>7</w:t>
      </w:r>
      <w:r>
        <w:t>.</w:t>
      </w:r>
      <w:r>
        <w:tab/>
        <w:t>Remuneration of members</w:t>
      </w:r>
      <w:bookmarkEnd w:id="22"/>
      <w:bookmarkEnd w:id="23"/>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Gazette </w:t>
      </w:r>
      <w:r>
        <w:rPr>
          <w:szCs w:val="24"/>
        </w:rPr>
        <w:t>11 Feb 2011 p. 506</w:t>
      </w:r>
      <w:r>
        <w:rPr>
          <w:szCs w:val="24"/>
        </w:rPr>
        <w:noBreakHyphen/>
        <w:t>7.]</w:t>
      </w:r>
    </w:p>
    <w:p>
      <w:pPr>
        <w:pStyle w:val="Heading5"/>
      </w:pPr>
      <w:bookmarkStart w:id="24" w:name="_Toc97633131"/>
      <w:bookmarkStart w:id="25" w:name="_Toc97016363"/>
      <w:r>
        <w:rPr>
          <w:rStyle w:val="CharSectno"/>
        </w:rPr>
        <w:t>8</w:t>
      </w:r>
      <w:r>
        <w:t>.</w:t>
      </w:r>
      <w:r>
        <w:tab/>
        <w:t>Constitution and proceedings (Sch. 2)</w:t>
      </w:r>
      <w:bookmarkEnd w:id="24"/>
      <w:bookmarkEnd w:id="25"/>
    </w:p>
    <w:p>
      <w:pPr>
        <w:pStyle w:val="Subsection"/>
      </w:pPr>
      <w:r>
        <w:tab/>
      </w:r>
      <w:r>
        <w:tab/>
        <w:t>Schedule 2 has effect with respect to the constitution and proceedings of the Board.</w:t>
      </w:r>
    </w:p>
    <w:p>
      <w:pPr>
        <w:pStyle w:val="Heading2"/>
      </w:pPr>
      <w:bookmarkStart w:id="26" w:name="_Toc97632956"/>
      <w:bookmarkStart w:id="27" w:name="_Toc97633132"/>
      <w:bookmarkStart w:id="28" w:name="_Toc97016200"/>
      <w:bookmarkStart w:id="29" w:name="_Toc97016364"/>
      <w:r>
        <w:rPr>
          <w:rStyle w:val="CharPartNo"/>
        </w:rPr>
        <w:t>Part 3</w:t>
      </w:r>
      <w:r>
        <w:t xml:space="preserve"> — </w:t>
      </w:r>
      <w:r>
        <w:rPr>
          <w:rStyle w:val="CharPartText"/>
        </w:rPr>
        <w:t>Licences and permits</w:t>
      </w:r>
      <w:bookmarkEnd w:id="26"/>
      <w:bookmarkEnd w:id="27"/>
      <w:bookmarkEnd w:id="28"/>
      <w:bookmarkEnd w:id="29"/>
    </w:p>
    <w:p>
      <w:pPr>
        <w:pStyle w:val="Footnoteheading"/>
      </w:pPr>
      <w:r>
        <w:tab/>
        <w:t>[Heading inserted: Gazette 7 Oct 2005 p. 4511.]</w:t>
      </w:r>
    </w:p>
    <w:p>
      <w:pPr>
        <w:pStyle w:val="Heading5"/>
      </w:pPr>
      <w:bookmarkStart w:id="30" w:name="_Toc97633133"/>
      <w:bookmarkStart w:id="31" w:name="_Toc97016365"/>
      <w:r>
        <w:rPr>
          <w:rStyle w:val="CharSectno"/>
        </w:rPr>
        <w:t>9</w:t>
      </w:r>
      <w:r>
        <w:t>.</w:t>
      </w:r>
      <w:r>
        <w:tab/>
        <w:t>When licence or permit is required</w:t>
      </w:r>
      <w:bookmarkEnd w:id="30"/>
      <w:bookmarkEnd w:id="31"/>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or pre</w:t>
      </w:r>
      <w:r>
        <w:noBreakHyphen/>
        <w:t>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Subsection"/>
      </w:pPr>
      <w:r>
        <w:tab/>
        <w:t>(3)</w:t>
      </w:r>
      <w:r>
        <w:tab/>
        <w:t>Subregulation (1) does not apply to an authorised worker who carries out permitted work in accordance with Part 4A.</w:t>
      </w:r>
    </w:p>
    <w:p>
      <w:pPr>
        <w:pStyle w:val="Footnotesection"/>
      </w:pPr>
      <w:r>
        <w:tab/>
        <w:t>[Regulation 9 amended: Gazette 12 Sep 2003 p. 4080; 28 Jun 2004 p. 2457; 7 Oct 2005 p. 4511; 29 Apr 2016 p. 1330; 13 Dec 2016 p. 5620; SL 2021/89 r. 5.]</w:t>
      </w:r>
    </w:p>
    <w:p>
      <w:pPr>
        <w:pStyle w:val="Heading5"/>
      </w:pPr>
      <w:bookmarkStart w:id="32" w:name="_Toc97633134"/>
      <w:bookmarkStart w:id="33" w:name="_Toc97016366"/>
      <w:r>
        <w:rPr>
          <w:rStyle w:val="CharSectno"/>
        </w:rPr>
        <w:t>10</w:t>
      </w:r>
      <w:r>
        <w:t>.</w:t>
      </w:r>
      <w:r>
        <w:tab/>
        <w:t>Unlicensed persons not to be employed etc. for plumbing work</w:t>
      </w:r>
      <w:bookmarkEnd w:id="32"/>
      <w:bookmarkEnd w:id="33"/>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Gazette 28 Jun 2004 p. 2406; 29 Apr 2016 p. 1330.]</w:t>
      </w:r>
    </w:p>
    <w:p>
      <w:pPr>
        <w:pStyle w:val="Heading5"/>
      </w:pPr>
      <w:bookmarkStart w:id="34" w:name="_Toc97633135"/>
      <w:bookmarkStart w:id="35" w:name="_Toc97016367"/>
      <w:r>
        <w:rPr>
          <w:rStyle w:val="CharSectno"/>
        </w:rPr>
        <w:t>11</w:t>
      </w:r>
      <w:r>
        <w:t>.</w:t>
      </w:r>
      <w:r>
        <w:tab/>
        <w:t>Classes of licence or permit</w:t>
      </w:r>
      <w:bookmarkEnd w:id="34"/>
      <w:bookmarkEnd w:id="35"/>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Gazette 20 Apr 2001 p. 2150; 12 Sep 2003 p. 4080; 7 Oct 2005 p. 4511; 19 Dec 2014 p. 4832.]</w:t>
      </w:r>
    </w:p>
    <w:p>
      <w:pPr>
        <w:pStyle w:val="Heading5"/>
      </w:pPr>
      <w:bookmarkStart w:id="36" w:name="_Toc97633136"/>
      <w:bookmarkStart w:id="37" w:name="_Toc97016368"/>
      <w:r>
        <w:rPr>
          <w:rStyle w:val="CharSectno"/>
        </w:rPr>
        <w:t>12</w:t>
      </w:r>
      <w:r>
        <w:t>.</w:t>
      </w:r>
      <w:r>
        <w:tab/>
        <w:t>Effect of plumbing contractor’s licence</w:t>
      </w:r>
      <w:bookmarkEnd w:id="36"/>
      <w:bookmarkEnd w:id="37"/>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pre</w:t>
      </w:r>
      <w:r>
        <w:noBreakHyphen/>
        <w:t>apprentice, the holder of a provisional tradesperson’s licence or the holder of a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 or pre</w:t>
      </w:r>
      <w:r>
        <w:noBreakHyphen/>
        <w:t>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Gazette 12 Sep 2003 p. 4080; 28 Jun 2004 p. 2406</w:t>
      </w:r>
      <w:r>
        <w:noBreakHyphen/>
        <w:t>7; 26 Jun 2007 p. 3063; 19 Dec 2014 p. 4832 and 4841; SL 2021/89 r. 6.]</w:t>
      </w:r>
    </w:p>
    <w:p>
      <w:pPr>
        <w:pStyle w:val="Heading5"/>
      </w:pPr>
      <w:bookmarkStart w:id="38" w:name="_Toc97633137"/>
      <w:bookmarkStart w:id="39" w:name="_Toc97016369"/>
      <w:r>
        <w:rPr>
          <w:rStyle w:val="CharSectno"/>
        </w:rPr>
        <w:t>13</w:t>
      </w:r>
      <w:r>
        <w:t>.</w:t>
      </w:r>
      <w:r>
        <w:tab/>
        <w:t>Effect of tradesperson’s licence</w:t>
      </w:r>
      <w:bookmarkEnd w:id="38"/>
      <w:bookmarkEnd w:id="39"/>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pre</w:t>
      </w:r>
      <w:r>
        <w:noBreakHyphen/>
        <w:t>apprentice, the holder of a provisional tradesperson’s licence or the holder of a provisional tradesperson’s licence (drainage plumbing),</w:t>
      </w:r>
    </w:p>
    <w:p>
      <w:pPr>
        <w:pStyle w:val="Subsection"/>
      </w:pPr>
      <w:r>
        <w:tab/>
      </w:r>
      <w:r>
        <w:tab/>
        <w:t>under the general direction and control of a licensed plumbing contractor.</w:t>
      </w:r>
    </w:p>
    <w:p>
      <w:pPr>
        <w:pStyle w:val="Subsection"/>
        <w:keepNext/>
        <w:spacing w:before="120"/>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pre</w:t>
      </w:r>
      <w:r>
        <w:noBreakHyphen/>
        <w:t>apprentice, the holder of a provisional tradesperson’s licence or the holder of a provisional tradesperson’s licence (drainage plumbing),</w:t>
      </w:r>
    </w:p>
    <w:p>
      <w:pPr>
        <w:pStyle w:val="Subsection"/>
        <w:spacing w:before="120"/>
      </w:pPr>
      <w:r>
        <w:tab/>
      </w:r>
      <w:r>
        <w:tab/>
        <w:t>under the general direction and control of a licensed plumbing contractor.</w:t>
      </w:r>
    </w:p>
    <w:p>
      <w:pPr>
        <w:pStyle w:val="Subsection"/>
        <w:keepNext/>
        <w:spacing w:before="120"/>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Gazette 20 Apr 2001 p. 2150; 12 Sep 2003 p. 4078 and p. 4080; 28 Jun 2004 p. 2457; 19 Dec 2014 p. 4832 and 4841; SL 2021/89 r. 7.]</w:t>
      </w:r>
    </w:p>
    <w:p>
      <w:pPr>
        <w:pStyle w:val="Heading5"/>
      </w:pPr>
      <w:bookmarkStart w:id="40" w:name="_Toc97633138"/>
      <w:bookmarkStart w:id="41" w:name="_Toc97016370"/>
      <w:r>
        <w:rPr>
          <w:rStyle w:val="CharSectno"/>
        </w:rPr>
        <w:t>13AA</w:t>
      </w:r>
      <w:r>
        <w:t>.</w:t>
      </w:r>
      <w:r>
        <w:tab/>
        <w:t>Effect of provisional tradesperson’s licence</w:t>
      </w:r>
      <w:bookmarkEnd w:id="40"/>
      <w:bookmarkEnd w:id="41"/>
    </w:p>
    <w:p>
      <w:pPr>
        <w:pStyle w:val="Subsection"/>
        <w:spacing w:before="120"/>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Gazette 19 Dec 2014 p. 4832</w:t>
      </w:r>
      <w:r>
        <w:noBreakHyphen/>
        <w:t>3.]</w:t>
      </w:r>
    </w:p>
    <w:p>
      <w:pPr>
        <w:pStyle w:val="Heading5"/>
      </w:pPr>
      <w:bookmarkStart w:id="42" w:name="_Toc97633139"/>
      <w:bookmarkStart w:id="43" w:name="_Toc97016371"/>
      <w:r>
        <w:rPr>
          <w:rStyle w:val="CharSectno"/>
        </w:rPr>
        <w:t>13AB</w:t>
      </w:r>
      <w:r>
        <w:t>.</w:t>
      </w:r>
      <w:r>
        <w:tab/>
        <w:t>Effect of provisional tradesperson’s licence (drainage plumbing)</w:t>
      </w:r>
      <w:bookmarkEnd w:id="42"/>
      <w:bookmarkEnd w:id="43"/>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Gazette 19 Dec 2014 p. 4833.]</w:t>
      </w:r>
    </w:p>
    <w:p>
      <w:pPr>
        <w:pStyle w:val="Heading5"/>
      </w:pPr>
      <w:bookmarkStart w:id="44" w:name="_Toc97633140"/>
      <w:bookmarkStart w:id="45" w:name="_Toc97016372"/>
      <w:r>
        <w:rPr>
          <w:rStyle w:val="CharSectno"/>
        </w:rPr>
        <w:t>13A</w:t>
      </w:r>
      <w:r>
        <w:t>.</w:t>
      </w:r>
      <w:r>
        <w:tab/>
        <w:t>Restricted plumbing permit, effect of</w:t>
      </w:r>
      <w:bookmarkEnd w:id="44"/>
      <w:bookmarkEnd w:id="45"/>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Gazette 7 Oct 2005 p. 4512</w:t>
      </w:r>
      <w:r>
        <w:noBreakHyphen/>
        <w:t>13; amended: Gazette 29 Apr 2016 p. 1331.]</w:t>
      </w:r>
    </w:p>
    <w:p>
      <w:pPr>
        <w:pStyle w:val="Heading5"/>
      </w:pPr>
      <w:bookmarkStart w:id="46" w:name="_Toc97633141"/>
      <w:bookmarkStart w:id="47" w:name="_Toc97016373"/>
      <w:r>
        <w:rPr>
          <w:rStyle w:val="CharSectno"/>
        </w:rPr>
        <w:t>14</w:t>
      </w:r>
      <w:r>
        <w:t>.</w:t>
      </w:r>
      <w:r>
        <w:tab/>
        <w:t>Only natural persons can hold licence or permit</w:t>
      </w:r>
      <w:bookmarkEnd w:id="46"/>
      <w:bookmarkEnd w:id="47"/>
    </w:p>
    <w:p>
      <w:pPr>
        <w:pStyle w:val="Subsection"/>
      </w:pPr>
      <w:r>
        <w:tab/>
      </w:r>
      <w:r>
        <w:tab/>
        <w:t>A licence or permit can only be held by a natural person.</w:t>
      </w:r>
    </w:p>
    <w:p>
      <w:pPr>
        <w:pStyle w:val="Footnotesection"/>
      </w:pPr>
      <w:r>
        <w:tab/>
        <w:t>[Regulation 14 amended: Gazette 7 Oct 2005 p. 4513; 29 May 2007 p. 2503.]</w:t>
      </w:r>
    </w:p>
    <w:p>
      <w:pPr>
        <w:pStyle w:val="Heading5"/>
      </w:pPr>
      <w:bookmarkStart w:id="48" w:name="_Toc97633142"/>
      <w:bookmarkStart w:id="49" w:name="_Toc97016374"/>
      <w:r>
        <w:rPr>
          <w:rStyle w:val="CharSectno"/>
        </w:rPr>
        <w:t>15</w:t>
      </w:r>
      <w:r>
        <w:t>.</w:t>
      </w:r>
      <w:r>
        <w:tab/>
        <w:t>Application for issue of licence or permit</w:t>
      </w:r>
      <w:bookmarkEnd w:id="48"/>
      <w:bookmarkEnd w:id="49"/>
    </w:p>
    <w:p>
      <w:pPr>
        <w:pStyle w:val="Subsection"/>
        <w:keepNext/>
      </w:pPr>
      <w:r>
        <w:tab/>
        <w:t>(1)</w:t>
      </w:r>
      <w:r>
        <w:tab/>
        <w:t xml:space="preserve">An application for the issue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Gazette 28 Jun 2004 p. 2407</w:t>
      </w:r>
      <w:r>
        <w:noBreakHyphen/>
        <w:t>8; 7 Oct 2005 p. 4513; 29 May 2007 p. 2503; 19 Dec 2014 p. 4833 and 4841; 29 Apr 2016 p. 1331.]</w:t>
      </w:r>
    </w:p>
    <w:p>
      <w:pPr>
        <w:pStyle w:val="Heading5"/>
        <w:spacing w:before="180"/>
      </w:pPr>
      <w:bookmarkStart w:id="50" w:name="_Toc97633143"/>
      <w:bookmarkStart w:id="51" w:name="_Toc97016375"/>
      <w:r>
        <w:rPr>
          <w:rStyle w:val="CharSectno"/>
        </w:rPr>
        <w:t>16</w:t>
      </w:r>
      <w:r>
        <w:t>.</w:t>
      </w:r>
      <w:r>
        <w:tab/>
        <w:t>False or misleading information in application, offence</w:t>
      </w:r>
      <w:bookmarkEnd w:id="50"/>
      <w:bookmarkEnd w:id="51"/>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Gazette 29 Apr 2016 p. 1332.]</w:t>
      </w:r>
    </w:p>
    <w:p>
      <w:pPr>
        <w:pStyle w:val="Heading5"/>
        <w:spacing w:before="180"/>
      </w:pPr>
      <w:bookmarkStart w:id="52" w:name="_Toc97633144"/>
      <w:bookmarkStart w:id="53" w:name="_Toc97016376"/>
      <w:r>
        <w:rPr>
          <w:rStyle w:val="CharSectno"/>
        </w:rPr>
        <w:t>17</w:t>
      </w:r>
      <w:r>
        <w:t>.</w:t>
      </w:r>
      <w:r>
        <w:tab/>
        <w:t>Issue of licence or permit</w:t>
      </w:r>
      <w:bookmarkEnd w:id="52"/>
      <w:bookmarkEnd w:id="53"/>
    </w:p>
    <w:p>
      <w:pPr>
        <w:pStyle w:val="Subsection"/>
        <w:spacing w:before="120"/>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Footnotesection"/>
      </w:pPr>
      <w:r>
        <w:tab/>
        <w:t>[Regulation 17 amended: Gazette 28 Jun 2004 p. 2408</w:t>
      </w:r>
      <w:r>
        <w:noBreakHyphen/>
        <w:t>9; 7 Oct 2005 p. 4514; 29 May 2007 p. 2503; 19 Dec 2014 p. 4833-4 and 4841; 29 Apr 2016 p. 1332.]</w:t>
      </w:r>
    </w:p>
    <w:p>
      <w:pPr>
        <w:pStyle w:val="Heading5"/>
      </w:pPr>
      <w:bookmarkStart w:id="54" w:name="_Toc97633145"/>
      <w:bookmarkStart w:id="55" w:name="_Toc97016377"/>
      <w:r>
        <w:rPr>
          <w:rStyle w:val="CharSectno"/>
        </w:rPr>
        <w:t>18</w:t>
      </w:r>
      <w:r>
        <w:t>.</w:t>
      </w:r>
      <w:r>
        <w:tab/>
        <w:t>Refusal to issue licence or permit</w:t>
      </w:r>
      <w:bookmarkEnd w:id="54"/>
      <w:bookmarkEnd w:id="55"/>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Gazette 28 Jun 2004 p. 2409; 7 Oct 2005 p. 4514; 29 May 2007 p. 2504; 19 Dec 2014 p. 4834 and 4841.]</w:t>
      </w:r>
    </w:p>
    <w:p>
      <w:pPr>
        <w:pStyle w:val="Heading5"/>
      </w:pPr>
      <w:bookmarkStart w:id="56" w:name="_Toc97633146"/>
      <w:bookmarkStart w:id="57" w:name="_Toc97016378"/>
      <w:r>
        <w:rPr>
          <w:rStyle w:val="CharSectno"/>
        </w:rPr>
        <w:t>19</w:t>
      </w:r>
      <w:r>
        <w:t>.</w:t>
      </w:r>
      <w:r>
        <w:tab/>
        <w:t>Conditions of licence or permit</w:t>
      </w:r>
      <w:bookmarkEnd w:id="56"/>
      <w:bookmarkEnd w:id="57"/>
    </w:p>
    <w:p>
      <w:pPr>
        <w:pStyle w:val="Subsection"/>
      </w:pPr>
      <w:r>
        <w:tab/>
        <w:t>(1)</w:t>
      </w:r>
      <w:r>
        <w:tab/>
        <w:t>A licence or permit may be issued subject to such conditions as the Board thinks fit and specifies in the licence or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Gazette 30 Dec 2004 p. 6928; 7 Oct 2005 p. 4514</w:t>
      </w:r>
      <w:r>
        <w:noBreakHyphen/>
        <w:t>15; 29 May 2007 p. 2504; 19 Dec 2014 p. 4834; 29 Apr 2016 p. 1332.]</w:t>
      </w:r>
    </w:p>
    <w:p>
      <w:pPr>
        <w:pStyle w:val="Heading5"/>
      </w:pPr>
      <w:bookmarkStart w:id="58" w:name="_Toc97633147"/>
      <w:bookmarkStart w:id="59" w:name="_Toc97016379"/>
      <w:r>
        <w:rPr>
          <w:rStyle w:val="CharSectno"/>
        </w:rPr>
        <w:t>19A</w:t>
      </w:r>
      <w:r>
        <w:t>.</w:t>
      </w:r>
      <w:r>
        <w:tab/>
        <w:t>Application for renewal of licence or permit</w:t>
      </w:r>
      <w:bookmarkEnd w:id="58"/>
      <w:bookmarkEnd w:id="59"/>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Gazette 29 Apr 2016 p. 1332</w:t>
      </w:r>
      <w:r>
        <w:noBreakHyphen/>
        <w:t>4.]</w:t>
      </w:r>
    </w:p>
    <w:p>
      <w:pPr>
        <w:pStyle w:val="Heading5"/>
      </w:pPr>
      <w:bookmarkStart w:id="60" w:name="_Toc97633148"/>
      <w:bookmarkStart w:id="61" w:name="_Toc97016380"/>
      <w:r>
        <w:rPr>
          <w:rStyle w:val="CharSectno"/>
        </w:rPr>
        <w:t>20</w:t>
      </w:r>
      <w:r>
        <w:t>.</w:t>
      </w:r>
      <w:r>
        <w:tab/>
        <w:t>Renewing licence and permit</w:t>
      </w:r>
      <w:bookmarkEnd w:id="60"/>
      <w:bookmarkEnd w:id="61"/>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In subregulations (3) and (4)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Gazette 29 Apr 2016 p. 1334</w:t>
      </w:r>
      <w:r>
        <w:noBreakHyphen/>
        <w:t>5.]</w:t>
      </w:r>
    </w:p>
    <w:p>
      <w:pPr>
        <w:pStyle w:val="Heading5"/>
        <w:spacing w:before="240"/>
      </w:pPr>
      <w:bookmarkStart w:id="62" w:name="_Toc97633149"/>
      <w:bookmarkStart w:id="63" w:name="_Toc97016381"/>
      <w:r>
        <w:rPr>
          <w:rStyle w:val="CharSectno"/>
        </w:rPr>
        <w:t>20A</w:t>
      </w:r>
      <w:r>
        <w:t>.</w:t>
      </w:r>
      <w:r>
        <w:tab/>
        <w:t>Reissuing licence or permit</w:t>
      </w:r>
      <w:bookmarkEnd w:id="62"/>
      <w:bookmarkEnd w:id="63"/>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 </w:t>
      </w:r>
      <w:r>
        <w:rPr>
          <w:iCs/>
          <w:vertAlign w:val="superscript"/>
        </w:rPr>
        <w:t>1</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Gazette 28 Jun 2004 p. 2411</w:t>
      </w:r>
      <w:r>
        <w:noBreakHyphen/>
        <w:t>12; amended: Gazette 19 Dec 2014 p. 4835</w:t>
      </w:r>
      <w:r>
        <w:noBreakHyphen/>
        <w:t>6 and 4841; 29 Apr 2016 p. 1335.]</w:t>
      </w:r>
    </w:p>
    <w:p>
      <w:pPr>
        <w:pStyle w:val="Heading5"/>
      </w:pPr>
      <w:bookmarkStart w:id="64" w:name="_Toc97633150"/>
      <w:bookmarkStart w:id="65" w:name="_Toc97016382"/>
      <w:r>
        <w:rPr>
          <w:rStyle w:val="CharSectno"/>
        </w:rPr>
        <w:t>21</w:t>
      </w:r>
      <w:r>
        <w:t>.</w:t>
      </w:r>
      <w:r>
        <w:tab/>
        <w:t>Duration of licence or permit</w:t>
      </w:r>
      <w:bookmarkEnd w:id="64"/>
      <w:bookmarkEnd w:id="65"/>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tab/>
        <w:t>(b)</w:t>
      </w:r>
      <w:r>
        <w:tab/>
        <w:t>if subregulation (3) applies, the day the licence or permit ceases to have effect under subregulation (3)(a).</w:t>
      </w:r>
    </w:p>
    <w:p>
      <w:pPr>
        <w:pStyle w:val="Footnotesection"/>
      </w:pPr>
      <w:r>
        <w:tab/>
        <w:t>[Regulation 21 inserted: Gazette 29 Apr 2016 p. 1335</w:t>
      </w:r>
      <w:r>
        <w:noBreakHyphen/>
        <w:t>7.]</w:t>
      </w:r>
    </w:p>
    <w:p>
      <w:pPr>
        <w:pStyle w:val="Heading5"/>
        <w:spacing w:before="240"/>
      </w:pPr>
      <w:bookmarkStart w:id="66" w:name="_Toc97633151"/>
      <w:bookmarkStart w:id="67" w:name="_Toc97016383"/>
      <w:r>
        <w:rPr>
          <w:rStyle w:val="CharSectno"/>
        </w:rPr>
        <w:t>21A</w:t>
      </w:r>
      <w:r>
        <w:t>.</w:t>
      </w:r>
      <w:r>
        <w:tab/>
        <w:t>Photograph of applicant etc., requirements for</w:t>
      </w:r>
      <w:bookmarkEnd w:id="66"/>
      <w:bookmarkEnd w:id="67"/>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Gazette 28 Jun 2004 p. 2412; amended: Gazette 7 Oct 2005 p. 4517; 29 Apr 2016 p. 1337.]</w:t>
      </w:r>
    </w:p>
    <w:p>
      <w:pPr>
        <w:pStyle w:val="Heading5"/>
      </w:pPr>
      <w:bookmarkStart w:id="68" w:name="_Toc97633152"/>
      <w:bookmarkStart w:id="69" w:name="_Toc97016384"/>
      <w:r>
        <w:rPr>
          <w:rStyle w:val="CharSectno"/>
        </w:rPr>
        <w:t>22</w:t>
      </w:r>
      <w:r>
        <w:t>.</w:t>
      </w:r>
      <w:r>
        <w:tab/>
        <w:t>Duplicate licence or permit, issue of</w:t>
      </w:r>
      <w:bookmarkEnd w:id="68"/>
      <w:bookmarkEnd w:id="69"/>
    </w:p>
    <w:p>
      <w:pPr>
        <w:pStyle w:val="Subsection"/>
      </w:pPr>
      <w:r>
        <w:tab/>
      </w:r>
      <w:r>
        <w:tab/>
        <w:t>If the Board is satisfied that a licence or permit has been lost or destroyed the Board may issue a duplicate licence or permit on payment of the fee set out in Schedule 1 Division 1.</w:t>
      </w:r>
    </w:p>
    <w:p>
      <w:pPr>
        <w:pStyle w:val="Footnotesection"/>
        <w:ind w:left="890" w:hanging="890"/>
      </w:pPr>
      <w:r>
        <w:tab/>
        <w:t>[Regulation 22 amended: Gazette 28 Jun 2004 p. 2413; 7 Oct 2005 p. 4517; SL 2020/196 r. 54.]</w:t>
      </w:r>
    </w:p>
    <w:p>
      <w:pPr>
        <w:pStyle w:val="Heading5"/>
      </w:pPr>
      <w:bookmarkStart w:id="70" w:name="_Toc97633153"/>
      <w:bookmarkStart w:id="71" w:name="_Toc97016385"/>
      <w:r>
        <w:rPr>
          <w:rStyle w:val="CharSectno"/>
        </w:rPr>
        <w:t>23</w:t>
      </w:r>
      <w:r>
        <w:t>.</w:t>
      </w:r>
      <w:r>
        <w:tab/>
        <w:t>Licence and permit not to be used by others</w:t>
      </w:r>
      <w:bookmarkEnd w:id="70"/>
      <w:bookmarkEnd w:id="71"/>
    </w:p>
    <w:p>
      <w:pPr>
        <w:pStyle w:val="Subsection"/>
      </w:pPr>
      <w:r>
        <w:tab/>
      </w:r>
      <w:r>
        <w:tab/>
        <w:t>A licensee or permit holder must not —</w:t>
      </w:r>
    </w:p>
    <w:p>
      <w:pPr>
        <w:pStyle w:val="Indenta"/>
      </w:pPr>
      <w:r>
        <w:tab/>
        <w:t>(a)</w:t>
      </w:r>
      <w:r>
        <w:tab/>
        <w:t>dispose of his or her licence or permit to another person; or</w:t>
      </w:r>
    </w:p>
    <w:p>
      <w:pPr>
        <w:pStyle w:val="Indenta"/>
        <w:keepNext/>
      </w:pPr>
      <w:r>
        <w:tab/>
        <w:t>(b)</w:t>
      </w:r>
      <w:r>
        <w:tab/>
        <w:t>permit another person to use his or her licence or permit.</w:t>
      </w:r>
    </w:p>
    <w:p>
      <w:pPr>
        <w:pStyle w:val="Penstart"/>
        <w:keepNext/>
      </w:pPr>
      <w:r>
        <w:tab/>
        <w:t>Penalty: a fine of $5 000.</w:t>
      </w:r>
    </w:p>
    <w:p>
      <w:pPr>
        <w:pStyle w:val="Footnotesection"/>
        <w:ind w:left="890" w:hanging="890"/>
      </w:pPr>
      <w:r>
        <w:tab/>
        <w:t>[Regulation 23 amended: Gazette 7 Oct 2005 p. 4518; 29 Apr 2016 p. 1337.]</w:t>
      </w:r>
    </w:p>
    <w:p>
      <w:pPr>
        <w:pStyle w:val="Heading5"/>
      </w:pPr>
      <w:bookmarkStart w:id="72" w:name="_Toc97633154"/>
      <w:bookmarkStart w:id="73" w:name="_Toc97016386"/>
      <w:r>
        <w:rPr>
          <w:rStyle w:val="CharSectno"/>
        </w:rPr>
        <w:t>24</w:t>
      </w:r>
      <w:r>
        <w:t>.</w:t>
      </w:r>
      <w:r>
        <w:tab/>
        <w:t>Licensed plumbing contractor’s licence to be displayed</w:t>
      </w:r>
      <w:bookmarkEnd w:id="72"/>
      <w:bookmarkEnd w:id="73"/>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Gazette 12 Sep 2003 p. 4080; 28 Jun 2004 p. 2457; 29 Apr 2016 p. 1338.]</w:t>
      </w:r>
    </w:p>
    <w:p>
      <w:pPr>
        <w:pStyle w:val="Heading5"/>
      </w:pPr>
      <w:bookmarkStart w:id="74" w:name="_Toc97633155"/>
      <w:bookmarkStart w:id="75" w:name="_Toc97016387"/>
      <w:r>
        <w:rPr>
          <w:rStyle w:val="CharSectno"/>
        </w:rPr>
        <w:t>24A</w:t>
      </w:r>
      <w:r>
        <w:t>.</w:t>
      </w:r>
      <w:r>
        <w:tab/>
        <w:t>Identification card, duty of holder to produce</w:t>
      </w:r>
      <w:bookmarkEnd w:id="74"/>
      <w:bookmarkEnd w:id="75"/>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Gazette 28 Jun 2004 p. 2413; amended: Gazette 7 Oct 2005 p. 4518; 29 Apr 2016 p. 1338.]</w:t>
      </w:r>
    </w:p>
    <w:p>
      <w:pPr>
        <w:pStyle w:val="Heading5"/>
        <w:keepNext w:val="0"/>
      </w:pPr>
      <w:bookmarkStart w:id="76" w:name="_Toc97633156"/>
      <w:bookmarkStart w:id="77" w:name="_Toc97016388"/>
      <w:r>
        <w:rPr>
          <w:rStyle w:val="CharSectno"/>
        </w:rPr>
        <w:t>25</w:t>
      </w:r>
      <w:r>
        <w:t>.</w:t>
      </w:r>
      <w:r>
        <w:tab/>
        <w:t>Licence or permit number to appear in advertising</w:t>
      </w:r>
      <w:bookmarkEnd w:id="76"/>
      <w:bookmarkEnd w:id="77"/>
    </w:p>
    <w:p>
      <w:pPr>
        <w:pStyle w:val="Subsection"/>
        <w:keepNext/>
        <w:spacing w:before="20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keepNext/>
        <w:spacing w:before="200"/>
      </w:pPr>
      <w:r>
        <w:tab/>
        <w:t>(2)</w:t>
      </w:r>
      <w:r>
        <w:tab/>
        <w:t>In subregulation (1) —</w:t>
      </w:r>
    </w:p>
    <w:p>
      <w:pPr>
        <w:pStyle w:val="Defstart"/>
        <w:keepNext/>
      </w:pPr>
      <w:r>
        <w:rPr>
          <w:b/>
        </w:rPr>
        <w:tab/>
      </w:r>
      <w:r>
        <w:rPr>
          <w:rStyle w:val="CharDefText"/>
        </w:rPr>
        <w:t>advertisement</w:t>
      </w:r>
      <w:r>
        <w:t xml:space="preserve"> includes —</w:t>
      </w:r>
    </w:p>
    <w:p>
      <w:pPr>
        <w:pStyle w:val="Defpara"/>
        <w:keepNext/>
      </w:pPr>
      <w:r>
        <w:tab/>
        <w:t>(a)</w:t>
      </w:r>
      <w:r>
        <w:tab/>
        <w:t>a business card;</w:t>
      </w:r>
    </w:p>
    <w:p>
      <w:pPr>
        <w:pStyle w:val="Defpara"/>
      </w:pPr>
      <w:r>
        <w:tab/>
        <w:t>(b)</w:t>
      </w:r>
      <w:r>
        <w:tab/>
        <w:t>a letterhead.</w:t>
      </w:r>
    </w:p>
    <w:p>
      <w:pPr>
        <w:pStyle w:val="Footnotesection"/>
      </w:pPr>
      <w:r>
        <w:tab/>
        <w:t>[Regulation 25 amended: Gazette 12 Sep 2003 p. 4078 and 4080; 28 Jun 2004 p. 2457; 7 Oct 2005 p. 4518; 29 Apr 2016 p. 1338.]</w:t>
      </w:r>
    </w:p>
    <w:p>
      <w:pPr>
        <w:pStyle w:val="Heading5"/>
        <w:spacing w:before="180"/>
      </w:pPr>
      <w:bookmarkStart w:id="78" w:name="_Toc97633157"/>
      <w:bookmarkStart w:id="79" w:name="_Toc97016389"/>
      <w:r>
        <w:rPr>
          <w:rStyle w:val="CharSectno"/>
        </w:rPr>
        <w:t>25A</w:t>
      </w:r>
      <w:r>
        <w:t>.</w:t>
      </w:r>
      <w:r>
        <w:tab/>
        <w:t>Licence or permit number to appear on business documents</w:t>
      </w:r>
      <w:bookmarkEnd w:id="78"/>
      <w:bookmarkEnd w:id="79"/>
    </w:p>
    <w:p>
      <w:pPr>
        <w:pStyle w:val="Subsection"/>
        <w:spacing w:before="20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keepNext/>
        <w:spacing w:before="20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Gazette 12 Sep 2003 p. 4078</w:t>
      </w:r>
      <w:r>
        <w:noBreakHyphen/>
        <w:t>9; amended: Gazette 28 Jun 2004 p. 2457; 7 Oct 2005 p. 4518</w:t>
      </w:r>
      <w:r>
        <w:noBreakHyphen/>
        <w:t>19.]</w:t>
      </w:r>
    </w:p>
    <w:p>
      <w:pPr>
        <w:pStyle w:val="Heading5"/>
      </w:pPr>
      <w:bookmarkStart w:id="80" w:name="_Toc97633158"/>
      <w:bookmarkStart w:id="81" w:name="_Toc97016390"/>
      <w:r>
        <w:rPr>
          <w:rStyle w:val="CharSectno"/>
        </w:rPr>
        <w:t>25B</w:t>
      </w:r>
      <w:r>
        <w:t>.</w:t>
      </w:r>
      <w:r>
        <w:tab/>
        <w:t>Records to be kept of work carried out</w:t>
      </w:r>
      <w:bookmarkEnd w:id="80"/>
      <w:bookmarkEnd w:id="81"/>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apprentice or pre</w:t>
      </w:r>
      <w:r>
        <w:noBreakHyphen/>
        <w:t>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Gazette 12 Sep 2003 p. 4079; amended: Gazette 28 Jun 2004 p. 2413 and p. 2457; 29 Apr 2016 p. 1338; SL 2021/89 r. 8.]</w:t>
      </w:r>
    </w:p>
    <w:p>
      <w:pPr>
        <w:pStyle w:val="Heading5"/>
        <w:keepLines w:val="0"/>
      </w:pPr>
      <w:bookmarkStart w:id="82" w:name="_Toc97633159"/>
      <w:bookmarkStart w:id="83" w:name="_Toc97016391"/>
      <w:r>
        <w:rPr>
          <w:rStyle w:val="CharSectno"/>
        </w:rPr>
        <w:t>26</w:t>
      </w:r>
      <w:r>
        <w:t>.</w:t>
      </w:r>
      <w:r>
        <w:tab/>
        <w:t>Licence and permit not transferable</w:t>
      </w:r>
      <w:bookmarkEnd w:id="82"/>
      <w:bookmarkEnd w:id="83"/>
    </w:p>
    <w:p>
      <w:pPr>
        <w:pStyle w:val="Subsection"/>
      </w:pPr>
      <w:r>
        <w:tab/>
      </w:r>
      <w:r>
        <w:tab/>
        <w:t>A licence or permit is not transferable.</w:t>
      </w:r>
    </w:p>
    <w:p>
      <w:pPr>
        <w:pStyle w:val="Footnotesection"/>
        <w:ind w:left="890" w:hanging="890"/>
      </w:pPr>
      <w:r>
        <w:tab/>
        <w:t>[Regulation 26 amended: Gazette 7 Oct 2005 p. 4519.]</w:t>
      </w:r>
    </w:p>
    <w:p>
      <w:pPr>
        <w:pStyle w:val="Heading5"/>
      </w:pPr>
      <w:bookmarkStart w:id="84" w:name="_Toc97633160"/>
      <w:bookmarkStart w:id="85" w:name="_Toc97016392"/>
      <w:r>
        <w:rPr>
          <w:rStyle w:val="CharSectno"/>
        </w:rPr>
        <w:t>26A</w:t>
      </w:r>
      <w:r>
        <w:t>.</w:t>
      </w:r>
      <w:r>
        <w:tab/>
        <w:t>Licence and permit, surrender of</w:t>
      </w:r>
      <w:bookmarkEnd w:id="84"/>
      <w:bookmarkEnd w:id="85"/>
    </w:p>
    <w:p>
      <w:pPr>
        <w:pStyle w:val="Subsection"/>
      </w:pPr>
      <w:r>
        <w:tab/>
        <w:t>(1)</w:t>
      </w:r>
      <w:r>
        <w:tab/>
        <w:t>A licensee or permit holder may surrender the licence or permit by giving written notice to the Board specifying the day on which the licence or permit is surrendered.</w:t>
      </w:r>
    </w:p>
    <w:p>
      <w:pPr>
        <w:pStyle w:val="Subsection"/>
      </w:pPr>
      <w:r>
        <w:tab/>
        <w:t>(2)</w:t>
      </w:r>
      <w:r>
        <w:tab/>
        <w:t>The day specified cannot be earlier than the day on which the notice is given to the Board.</w:t>
      </w:r>
    </w:p>
    <w:p>
      <w:pPr>
        <w:pStyle w:val="Subsection"/>
      </w:pPr>
      <w:r>
        <w:tab/>
        <w:t>(3)</w:t>
      </w:r>
      <w:r>
        <w:tab/>
        <w:t>The licence or permit must be given back to the Board on or before the day on which it is surrendered.</w:t>
      </w:r>
    </w:p>
    <w:p>
      <w:pPr>
        <w:pStyle w:val="Footnotesection"/>
      </w:pPr>
      <w:r>
        <w:tab/>
        <w:t>[Regulation 26A inserted: Gazette 29 May 2007 p. 2505.]</w:t>
      </w:r>
    </w:p>
    <w:p>
      <w:pPr>
        <w:pStyle w:val="Heading5"/>
      </w:pPr>
      <w:bookmarkStart w:id="86" w:name="_Toc97633161"/>
      <w:bookmarkStart w:id="87" w:name="_Toc97016393"/>
      <w:r>
        <w:rPr>
          <w:rStyle w:val="CharSectno"/>
        </w:rPr>
        <w:t>26B</w:t>
      </w:r>
      <w:r>
        <w:t>.</w:t>
      </w:r>
      <w:r>
        <w:tab/>
        <w:t>Refund of fees</w:t>
      </w:r>
      <w:bookmarkEnd w:id="86"/>
      <w:bookmarkEnd w:id="87"/>
    </w:p>
    <w:p>
      <w:pPr>
        <w:pStyle w:val="Subsection"/>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Gazette 29 May 2007 p. 2506; amended: Gazette 19 Dec 2014 p. 4836</w:t>
      </w:r>
      <w:r>
        <w:noBreakHyphen/>
        <w:t>7 and 4841.]</w:t>
      </w:r>
    </w:p>
    <w:p>
      <w:pPr>
        <w:pStyle w:val="Heading2"/>
      </w:pPr>
      <w:bookmarkStart w:id="88" w:name="_Toc97632986"/>
      <w:bookmarkStart w:id="89" w:name="_Toc97633162"/>
      <w:bookmarkStart w:id="90" w:name="_Toc97016230"/>
      <w:bookmarkStart w:id="91" w:name="_Toc97016394"/>
      <w:r>
        <w:rPr>
          <w:rStyle w:val="CharPartNo"/>
        </w:rPr>
        <w:t>Part 4</w:t>
      </w:r>
      <w:r>
        <w:rPr>
          <w:rStyle w:val="CharDivNo"/>
        </w:rPr>
        <w:t xml:space="preserve"> </w:t>
      </w:r>
      <w:r>
        <w:t>—</w:t>
      </w:r>
      <w:r>
        <w:rPr>
          <w:rStyle w:val="CharDivText"/>
        </w:rPr>
        <w:t xml:space="preserve"> </w:t>
      </w:r>
      <w:r>
        <w:rPr>
          <w:rStyle w:val="CharPartText"/>
        </w:rPr>
        <w:t>Disciplinary proceedings</w:t>
      </w:r>
      <w:bookmarkEnd w:id="88"/>
      <w:bookmarkEnd w:id="89"/>
      <w:bookmarkEnd w:id="90"/>
      <w:bookmarkEnd w:id="91"/>
    </w:p>
    <w:p>
      <w:pPr>
        <w:pStyle w:val="Heading5"/>
      </w:pPr>
      <w:bookmarkStart w:id="92" w:name="_Toc97633163"/>
      <w:bookmarkStart w:id="93" w:name="_Toc97016395"/>
      <w:r>
        <w:rPr>
          <w:rStyle w:val="CharSectno"/>
        </w:rPr>
        <w:t>26C</w:t>
      </w:r>
      <w:r>
        <w:t>.</w:t>
      </w:r>
      <w:r>
        <w:tab/>
        <w:t>Application of Part</w:t>
      </w:r>
      <w:bookmarkEnd w:id="92"/>
      <w:bookmarkEnd w:id="93"/>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Gazette 29 Apr 2016 p. 1339.]</w:t>
      </w:r>
    </w:p>
    <w:p>
      <w:pPr>
        <w:pStyle w:val="Heading5"/>
      </w:pPr>
      <w:bookmarkStart w:id="94" w:name="_Toc97633164"/>
      <w:bookmarkStart w:id="95" w:name="_Toc97016396"/>
      <w:r>
        <w:rPr>
          <w:rStyle w:val="CharSectno"/>
        </w:rPr>
        <w:t>27</w:t>
      </w:r>
      <w:r>
        <w:t>.</w:t>
      </w:r>
      <w:r>
        <w:tab/>
        <w:t>Disciplinary matters defined</w:t>
      </w:r>
      <w:bookmarkEnd w:id="94"/>
      <w:bookmarkEnd w:id="95"/>
    </w:p>
    <w:p>
      <w:pPr>
        <w:pStyle w:val="Subsection"/>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keepNext/>
      </w:pPr>
      <w:r>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Gazette 12 Sep 2003 p. 4079</w:t>
      </w:r>
      <w:r>
        <w:noBreakHyphen/>
        <w:t>80; 28 Jun 2004 p. 2413</w:t>
      </w:r>
      <w:r>
        <w:noBreakHyphen/>
        <w:t>15 and p. 2457; 7 Oct 2005 p. 4519</w:t>
      </w:r>
      <w:r>
        <w:noBreakHyphen/>
        <w:t>20; 19 Dec 2014 p. 4837; 29 Apr 2016 p. 1339-40.]</w:t>
      </w:r>
    </w:p>
    <w:p>
      <w:pPr>
        <w:pStyle w:val="Heading5"/>
      </w:pPr>
      <w:bookmarkStart w:id="96" w:name="_Toc97633165"/>
      <w:bookmarkStart w:id="97" w:name="_Toc97016397"/>
      <w:r>
        <w:rPr>
          <w:rStyle w:val="CharSectno"/>
        </w:rPr>
        <w:t>28</w:t>
      </w:r>
      <w:r>
        <w:t>.</w:t>
      </w:r>
      <w:r>
        <w:tab/>
        <w:t>Making a complaint about disciplinary matter</w:t>
      </w:r>
      <w:bookmarkEnd w:id="96"/>
      <w:bookmarkEnd w:id="97"/>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Gazette 29 Apr 2016 p. 1341.]</w:t>
      </w:r>
    </w:p>
    <w:p>
      <w:pPr>
        <w:pStyle w:val="Heading5"/>
      </w:pPr>
      <w:bookmarkStart w:id="98" w:name="_Toc97633166"/>
      <w:bookmarkStart w:id="99" w:name="_Toc97016398"/>
      <w:r>
        <w:rPr>
          <w:rStyle w:val="CharSectno"/>
        </w:rPr>
        <w:t>29</w:t>
      </w:r>
      <w:r>
        <w:t>.</w:t>
      </w:r>
      <w:r>
        <w:tab/>
        <w:t>Further information and verification</w:t>
      </w:r>
      <w:bookmarkEnd w:id="98"/>
      <w:bookmarkEnd w:id="99"/>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Gazette 29 Apr 2016 p. 1341.]</w:t>
      </w:r>
    </w:p>
    <w:p>
      <w:pPr>
        <w:pStyle w:val="Heading5"/>
      </w:pPr>
      <w:bookmarkStart w:id="100" w:name="_Toc97633167"/>
      <w:bookmarkStart w:id="101" w:name="_Toc97016399"/>
      <w:r>
        <w:rPr>
          <w:rStyle w:val="CharSectno"/>
        </w:rPr>
        <w:t>30</w:t>
      </w:r>
      <w:r>
        <w:t>.</w:t>
      </w:r>
      <w:r>
        <w:tab/>
        <w:t>Board to decide what action to take in respect of complaint</w:t>
      </w:r>
      <w:bookmarkEnd w:id="100"/>
      <w:bookmarkEnd w:id="101"/>
      <w:r>
        <w:t xml:space="preserve"> </w:t>
      </w:r>
    </w:p>
    <w:p>
      <w:pPr>
        <w:pStyle w:val="Subsection"/>
        <w:keepNext/>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Gazette 29 Apr 2016 p. 1341.]</w:t>
      </w:r>
    </w:p>
    <w:p>
      <w:pPr>
        <w:pStyle w:val="Heading5"/>
      </w:pPr>
      <w:bookmarkStart w:id="102" w:name="_Toc97633168"/>
      <w:bookmarkStart w:id="103" w:name="_Toc97016400"/>
      <w:r>
        <w:rPr>
          <w:rStyle w:val="CharSectno"/>
        </w:rPr>
        <w:t>31</w:t>
      </w:r>
      <w:r>
        <w:t>.</w:t>
      </w:r>
      <w:r>
        <w:tab/>
        <w:t>Board may deal with certain complaints</w:t>
      </w:r>
      <w:bookmarkEnd w:id="102"/>
      <w:bookmarkEnd w:id="103"/>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to the Board a penalty of a specified amount not exceeding $3 000.</w:t>
      </w:r>
    </w:p>
    <w:p>
      <w:pPr>
        <w:pStyle w:val="Subsection"/>
      </w:pPr>
      <w:r>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Gazette 29 Apr 2016 p. 1342</w:t>
      </w:r>
      <w:r>
        <w:noBreakHyphen/>
        <w:t>3; amended: Gazette 13 Dec 2016 p. 5620.]</w:t>
      </w:r>
    </w:p>
    <w:p>
      <w:pPr>
        <w:pStyle w:val="Ednotesection"/>
      </w:pPr>
      <w:r>
        <w:t>[</w:t>
      </w:r>
      <w:r>
        <w:rPr>
          <w:b/>
          <w:bCs/>
        </w:rPr>
        <w:t>32</w:t>
      </w:r>
      <w:r>
        <w:rPr>
          <w:b/>
          <w:bCs/>
        </w:rPr>
        <w:noBreakHyphen/>
        <w:t>33.</w:t>
      </w:r>
      <w:r>
        <w:tab/>
        <w:t>Deleted: Gazette 30 Dec 2004 p. 6929.]</w:t>
      </w:r>
    </w:p>
    <w:p>
      <w:pPr>
        <w:pStyle w:val="Heading5"/>
      </w:pPr>
      <w:bookmarkStart w:id="104" w:name="_Toc97633169"/>
      <w:bookmarkStart w:id="105" w:name="_Toc97016401"/>
      <w:r>
        <w:rPr>
          <w:rStyle w:val="CharSectno"/>
        </w:rPr>
        <w:t>34</w:t>
      </w:r>
      <w:r>
        <w:t>.</w:t>
      </w:r>
      <w:r>
        <w:tab/>
        <w:t>SAT’s powers on allegation of disciplinary matter</w:t>
      </w:r>
      <w:bookmarkEnd w:id="104"/>
      <w:bookmarkEnd w:id="105"/>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Gazette 28 Jun 2004 p. 2415; 30 Dec 2004 p. 6929; 7 Oct 2005 p. 4520; 29 Apr 2016 p. 1343.]</w:t>
      </w:r>
    </w:p>
    <w:p>
      <w:pPr>
        <w:pStyle w:val="Heading2"/>
      </w:pPr>
      <w:bookmarkStart w:id="106" w:name="_Toc97632994"/>
      <w:bookmarkStart w:id="107" w:name="_Toc97633170"/>
      <w:bookmarkStart w:id="108" w:name="_Toc97016238"/>
      <w:bookmarkStart w:id="109" w:name="_Toc97016402"/>
      <w:r>
        <w:rPr>
          <w:rStyle w:val="CharPartNo"/>
        </w:rPr>
        <w:t>Part 4A</w:t>
      </w:r>
      <w:r>
        <w:rPr>
          <w:rStyle w:val="CharDivNo"/>
        </w:rPr>
        <w:t> </w:t>
      </w:r>
      <w:r>
        <w:t>—</w:t>
      </w:r>
      <w:r>
        <w:rPr>
          <w:rStyle w:val="CharDivText"/>
        </w:rPr>
        <w:t> </w:t>
      </w:r>
      <w:r>
        <w:rPr>
          <w:rStyle w:val="CharPartText"/>
        </w:rPr>
        <w:t>Basic plumbing work in remote Aboriginal communities</w:t>
      </w:r>
      <w:bookmarkEnd w:id="106"/>
      <w:bookmarkEnd w:id="107"/>
      <w:bookmarkEnd w:id="108"/>
      <w:bookmarkEnd w:id="109"/>
    </w:p>
    <w:p>
      <w:pPr>
        <w:pStyle w:val="Footnoteheading"/>
      </w:pPr>
      <w:r>
        <w:tab/>
        <w:t>[Heading inserted: Gazette 13 Dec 2016 p. 5620.]</w:t>
      </w:r>
    </w:p>
    <w:p>
      <w:pPr>
        <w:pStyle w:val="Heading5"/>
      </w:pPr>
      <w:bookmarkStart w:id="110" w:name="_Toc97633171"/>
      <w:bookmarkStart w:id="111" w:name="_Toc97016403"/>
      <w:r>
        <w:rPr>
          <w:rStyle w:val="CharSectno"/>
        </w:rPr>
        <w:t>35</w:t>
      </w:r>
      <w:r>
        <w:t>.</w:t>
      </w:r>
      <w:r>
        <w:tab/>
        <w:t>Purpose of this Part</w:t>
      </w:r>
      <w:bookmarkEnd w:id="110"/>
      <w:bookmarkEnd w:id="111"/>
    </w:p>
    <w:p>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pPr>
        <w:pStyle w:val="Indenta"/>
      </w:pPr>
      <w:r>
        <w:tab/>
        <w:t>(a)</w:t>
      </w:r>
      <w:r>
        <w:tab/>
        <w:t>the plumbing work is required to prevent —</w:t>
      </w:r>
    </w:p>
    <w:p>
      <w:pPr>
        <w:pStyle w:val="Indenti"/>
      </w:pPr>
      <w:r>
        <w:tab/>
        <w:t>(i)</w:t>
      </w:r>
      <w:r>
        <w:tab/>
        <w:t xml:space="preserve">a risk to human health or safety; or </w:t>
      </w:r>
    </w:p>
    <w:p>
      <w:pPr>
        <w:pStyle w:val="Indenti"/>
      </w:pPr>
      <w:r>
        <w:tab/>
        <w:t>(ii)</w:t>
      </w:r>
      <w:r>
        <w:tab/>
        <w:t xml:space="preserve">a significant waste of water; </w:t>
      </w:r>
    </w:p>
    <w:p>
      <w:pPr>
        <w:pStyle w:val="Indenta"/>
      </w:pPr>
      <w:r>
        <w:tab/>
      </w:r>
      <w:r>
        <w:tab/>
        <w:t>and</w:t>
      </w:r>
    </w:p>
    <w:p>
      <w:pPr>
        <w:pStyle w:val="Indenta"/>
      </w:pPr>
      <w:r>
        <w:tab/>
        <w:t>(b)</w:t>
      </w:r>
      <w:r>
        <w:tab/>
        <w:t>a licensed plumbing contractor is reasonably unable to attend at the community in a timely manner to carry out the plumbing work.</w:t>
      </w:r>
    </w:p>
    <w:p>
      <w:pPr>
        <w:pStyle w:val="Footnotesection"/>
      </w:pPr>
      <w:r>
        <w:tab/>
        <w:t>[Regulation 35 inserted: Gazette 13 Dec 2016 p. 5620</w:t>
      </w:r>
      <w:r>
        <w:noBreakHyphen/>
        <w:t>1.]</w:t>
      </w:r>
    </w:p>
    <w:p>
      <w:pPr>
        <w:pStyle w:val="Heading5"/>
      </w:pPr>
      <w:bookmarkStart w:id="112" w:name="_Toc97633172"/>
      <w:bookmarkStart w:id="113" w:name="_Toc97016404"/>
      <w:r>
        <w:rPr>
          <w:rStyle w:val="CharSectno"/>
        </w:rPr>
        <w:t>36</w:t>
      </w:r>
      <w:r>
        <w:t>.</w:t>
      </w:r>
      <w:r>
        <w:tab/>
        <w:t>Application of this Part</w:t>
      </w:r>
      <w:bookmarkEnd w:id="112"/>
      <w:bookmarkEnd w:id="113"/>
    </w:p>
    <w:p>
      <w:pPr>
        <w:pStyle w:val="Subsection"/>
      </w:pPr>
      <w:r>
        <w:tab/>
      </w:r>
      <w:r>
        <w:tab/>
        <w:t>Nothing in this Part prevents a licensed plumbing contractor from carrying out the plumbing work referred to in this Part.</w:t>
      </w:r>
    </w:p>
    <w:p>
      <w:pPr>
        <w:pStyle w:val="Footnotesection"/>
      </w:pPr>
      <w:r>
        <w:tab/>
        <w:t>[Regulation 36 inserted: Gazette 13 Dec 2016 p. 5621.]</w:t>
      </w:r>
    </w:p>
    <w:p>
      <w:pPr>
        <w:pStyle w:val="Heading5"/>
      </w:pPr>
      <w:bookmarkStart w:id="114" w:name="_Toc97633173"/>
      <w:bookmarkStart w:id="115" w:name="_Toc97016405"/>
      <w:r>
        <w:rPr>
          <w:rStyle w:val="CharSectno"/>
        </w:rPr>
        <w:t>37</w:t>
      </w:r>
      <w:r>
        <w:t>.</w:t>
      </w:r>
      <w:r>
        <w:tab/>
        <w:t>Terms used</w:t>
      </w:r>
      <w:bookmarkEnd w:id="114"/>
      <w:bookmarkEnd w:id="115"/>
    </w:p>
    <w:p>
      <w:pPr>
        <w:pStyle w:val="Subsection"/>
      </w:pPr>
      <w:r>
        <w:tab/>
      </w:r>
      <w:r>
        <w:tab/>
        <w:t xml:space="preserve">In this Part — </w:t>
      </w:r>
    </w:p>
    <w:p>
      <w:pPr>
        <w:pStyle w:val="Defstart"/>
      </w:pPr>
      <w:r>
        <w:tab/>
      </w:r>
      <w:r>
        <w:rPr>
          <w:rStyle w:val="CharDefText"/>
        </w:rPr>
        <w:t>authorised worker</w:t>
      </w:r>
      <w:r>
        <w:t xml:space="preserve"> means a person who — </w:t>
      </w:r>
    </w:p>
    <w:p>
      <w:pPr>
        <w:pStyle w:val="Defpara"/>
      </w:pPr>
      <w:r>
        <w:tab/>
        <w:t>(a)</w:t>
      </w:r>
      <w:r>
        <w:tab/>
        <w:t>is employed or otherwise engaged by a service provider to provide Aboriginal environmental health services to an eligible remote community; and</w:t>
      </w:r>
    </w:p>
    <w:p>
      <w:pPr>
        <w:pStyle w:val="Defpara"/>
      </w:pPr>
      <w:r>
        <w:tab/>
        <w:t>(b)</w:t>
      </w:r>
      <w:r>
        <w:tab/>
        <w:t xml:space="preserve">holds any of the following — </w:t>
      </w:r>
    </w:p>
    <w:p>
      <w:pPr>
        <w:pStyle w:val="Indenti"/>
      </w:pPr>
      <w:r>
        <w:tab/>
        <w:t>(i)</w:t>
      </w:r>
      <w:r>
        <w:tab/>
        <w:t>a Certificate II in Population Health;</w:t>
      </w:r>
    </w:p>
    <w:p>
      <w:pPr>
        <w:pStyle w:val="Indenti"/>
      </w:pPr>
      <w:r>
        <w:tab/>
        <w:t>(ii)</w:t>
      </w:r>
      <w:r>
        <w:tab/>
        <w:t>a Certificate II in Indigenous Environmental Health;</w:t>
      </w:r>
    </w:p>
    <w:p>
      <w:pPr>
        <w:pStyle w:val="Indenti"/>
      </w:pPr>
      <w:r>
        <w:tab/>
        <w:t>(iii)</w:t>
      </w:r>
      <w:r>
        <w:tab/>
        <w:t>a qualification approved by the Board as being equivalent to the qualifications in subparagraph (i) or (ii);</w:t>
      </w:r>
    </w:p>
    <w:p>
      <w:pPr>
        <w:pStyle w:val="Indenta"/>
      </w:pPr>
      <w:r>
        <w:tab/>
      </w:r>
      <w:r>
        <w:tab/>
        <w:t>and</w:t>
      </w:r>
    </w:p>
    <w:p>
      <w:pPr>
        <w:pStyle w:val="Defpara"/>
      </w:pPr>
      <w:r>
        <w:tab/>
        <w:t>(c)</w:t>
      </w:r>
      <w:r>
        <w:tab/>
        <w:t>has completed qualifying plumbing courses;</w:t>
      </w:r>
    </w:p>
    <w:p>
      <w:pPr>
        <w:pStyle w:val="Defstart"/>
      </w:pPr>
      <w:r>
        <w:tab/>
      </w:r>
      <w:r>
        <w:rPr>
          <w:rStyle w:val="CharDefText"/>
        </w:rPr>
        <w:t>eligible remote community</w:t>
      </w:r>
      <w:r>
        <w:t xml:space="preserve"> means an Aboriginal community listed on a website maintained by the Building Commissioner;</w:t>
      </w:r>
    </w:p>
    <w:p>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pPr>
        <w:pStyle w:val="Defstart"/>
      </w:pPr>
      <w:r>
        <w:tab/>
      </w:r>
      <w:r>
        <w:rPr>
          <w:rStyle w:val="CharDefText"/>
        </w:rPr>
        <w:t>permitted work</w:t>
      </w:r>
      <w:r>
        <w:t xml:space="preserve"> means any of the following plumbing work — </w:t>
      </w:r>
    </w:p>
    <w:p>
      <w:pPr>
        <w:pStyle w:val="Defpara"/>
      </w:pPr>
      <w:r>
        <w:tab/>
        <w:t>(a)</w:t>
      </w:r>
      <w:r>
        <w:tab/>
        <w:t>replacing leaking tap washers, spindles, handles and shower roses (except when additional plumbing work is required);</w:t>
      </w:r>
    </w:p>
    <w:p>
      <w:pPr>
        <w:pStyle w:val="Defpara"/>
      </w:pPr>
      <w:r>
        <w:tab/>
        <w:t>(b)</w:t>
      </w:r>
      <w:r>
        <w:tab/>
        <w:t>replacing “P</w:t>
      </w:r>
      <w:r>
        <w:noBreakHyphen/>
        <w:t>Traps” and “S</w:t>
      </w:r>
      <w:r>
        <w:noBreakHyphen/>
        <w:t>Traps” in readily accessible locations, such as under sinks, basins or troughs;</w:t>
      </w:r>
    </w:p>
    <w:p>
      <w:pPr>
        <w:pStyle w:val="Defpara"/>
      </w:pPr>
      <w:r>
        <w:tab/>
        <w:t>(c)</w:t>
      </w:r>
      <w:r>
        <w:tab/>
        <w:t>replacing leaking hose taps and hose tap vacuum breakers;</w:t>
      </w:r>
    </w:p>
    <w:p>
      <w:pPr>
        <w:pStyle w:val="Defpara"/>
      </w:pPr>
      <w:r>
        <w:tab/>
        <w:t>(d)</w:t>
      </w:r>
      <w:r>
        <w:tab/>
        <w:t>replacing leaking cistern inlet and outlet washers and valves;</w:t>
      </w:r>
    </w:p>
    <w:p>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pPr>
        <w:pStyle w:val="Defpara"/>
      </w:pPr>
      <w:r>
        <w:tab/>
        <w:t>(f)</w:t>
      </w:r>
      <w:r>
        <w:tab/>
        <w:t>replacing general covers (e.g. missing or broken inspection mounds, gully mounds, grates and vent cowls);</w:t>
      </w:r>
    </w:p>
    <w:p>
      <w:pPr>
        <w:pStyle w:val="Defpara"/>
      </w:pPr>
      <w:r>
        <w:tab/>
        <w:t>(g)</w:t>
      </w:r>
      <w:r>
        <w:tab/>
        <w:t>clearing blocked waste pipes and drains by the use of plungers, flexible hand rods or hand</w:t>
      </w:r>
      <w:r>
        <w:noBreakHyphen/>
        <w:t>held water hoses only;</w:t>
      </w:r>
    </w:p>
    <w:p>
      <w:pPr>
        <w:pStyle w:val="Defpara"/>
      </w:pPr>
      <w:r>
        <w:tab/>
        <w:t>(h)</w:t>
      </w:r>
      <w:r>
        <w:tab/>
        <w:t>unblocking toilets, showers, basins, troughs, sinks and baths by the use of plungers, flexible hand rods or hand</w:t>
      </w:r>
      <w:r>
        <w:noBreakHyphen/>
        <w:t>held water hoses only;</w:t>
      </w:r>
    </w:p>
    <w:p>
      <w:pPr>
        <w:pStyle w:val="Defpara"/>
      </w:pPr>
      <w:r>
        <w:tab/>
        <w:t>(i)</w:t>
      </w:r>
      <w:r>
        <w:tab/>
        <w:t>other plumbing work approved by the Board;</w:t>
      </w:r>
    </w:p>
    <w:p>
      <w:pPr>
        <w:pStyle w:val="Defstart"/>
      </w:pPr>
      <w:r>
        <w:tab/>
      </w:r>
      <w:r>
        <w:rPr>
          <w:rStyle w:val="CharDefText"/>
        </w:rPr>
        <w:t>qualifying plumbing courses</w:t>
      </w:r>
      <w:r>
        <w:t xml:space="preserve"> means—</w:t>
      </w:r>
    </w:p>
    <w:p>
      <w:pPr>
        <w:pStyle w:val="Defpara"/>
      </w:pPr>
      <w:r>
        <w:tab/>
        <w:t>(a)</w:t>
      </w:r>
      <w:r>
        <w:tab/>
        <w:t xml:space="preserve">in relation to a person who holds a Certificate II in Population Health or an equivalent qualification approved by the Board — all of the following courses or any equivalent courses approved by the Board — </w:t>
      </w:r>
    </w:p>
    <w:p>
      <w:pPr>
        <w:pStyle w:val="Defsubpara"/>
      </w:pPr>
      <w:r>
        <w:tab/>
        <w:t>(i)</w:t>
      </w:r>
      <w:r>
        <w:tab/>
        <w:t>HLTPOP0001: Provide basic repairs and maintenance to health hardware and fixtures;</w:t>
      </w:r>
    </w:p>
    <w:p>
      <w:pPr>
        <w:pStyle w:val="Defsubpara"/>
      </w:pPr>
      <w:r>
        <w:tab/>
        <w:t>(ii)</w:t>
      </w:r>
      <w:r>
        <w:tab/>
        <w:t>HLTPOP0002: Monitor and maintain sewage systems;</w:t>
      </w:r>
    </w:p>
    <w:p>
      <w:pPr>
        <w:pStyle w:val="Defsubpara"/>
      </w:pPr>
      <w:r>
        <w:tab/>
        <w:t>(iii)</w:t>
      </w:r>
      <w:r>
        <w:tab/>
        <w:t xml:space="preserve">HLTPOP0003: Monitor and maintain water supply; </w:t>
      </w:r>
    </w:p>
    <w:p>
      <w:pPr>
        <w:pStyle w:val="Indenta"/>
      </w:pPr>
      <w:r>
        <w:tab/>
      </w:r>
      <w:r>
        <w:tab/>
        <w:t>or</w:t>
      </w:r>
    </w:p>
    <w:p>
      <w:pPr>
        <w:pStyle w:val="Defpara"/>
      </w:pPr>
      <w:r>
        <w:tab/>
        <w:t>(b)</w:t>
      </w:r>
      <w:r>
        <w:tab/>
        <w:t xml:space="preserve">in relation to a person who holds a Certificate II in Indigenous Environmental Health or an equivalent qualification approved by the Board — all of the following courses or any equivalent courses approved by the Board — </w:t>
      </w:r>
    </w:p>
    <w:p>
      <w:pPr>
        <w:pStyle w:val="Defsubpara"/>
      </w:pPr>
      <w:r>
        <w:tab/>
        <w:t>(i)</w:t>
      </w:r>
      <w:r>
        <w:tab/>
        <w:t>HLTPOP214D: Provide basic repairs and maintenance to health hardware and fixtures;</w:t>
      </w:r>
    </w:p>
    <w:p>
      <w:pPr>
        <w:pStyle w:val="Defsubpara"/>
      </w:pPr>
      <w:r>
        <w:tab/>
        <w:t>(ii)</w:t>
      </w:r>
      <w:r>
        <w:tab/>
        <w:t>HLTPOP216D: Monitor and maintain septic on-site systems;</w:t>
      </w:r>
    </w:p>
    <w:p>
      <w:pPr>
        <w:pStyle w:val="Defsubpara"/>
      </w:pPr>
      <w:r>
        <w:tab/>
        <w:t>(iii)</w:t>
      </w:r>
      <w:r>
        <w:tab/>
        <w:t>HLTPOP217D: Monitor and maintain sewerage or effluent systems;</w:t>
      </w:r>
    </w:p>
    <w:p>
      <w:pPr>
        <w:pStyle w:val="Defsubpara"/>
      </w:pPr>
      <w:r>
        <w:tab/>
        <w:t>(iv)</w:t>
      </w:r>
      <w:r>
        <w:tab/>
        <w:t>HLTPOP218D: Monitor and maintain water supply;</w:t>
      </w:r>
    </w:p>
    <w:p>
      <w:pPr>
        <w:pStyle w:val="Defstart"/>
      </w:pPr>
      <w:r>
        <w:tab/>
      </w:r>
      <w:r>
        <w:rPr>
          <w:rStyle w:val="CharDefText"/>
        </w:rPr>
        <w:t>service provider</w:t>
      </w:r>
      <w:r>
        <w:t xml:space="preserve"> means a person contracted by the Health Department to provide Aboriginal environmental health services to an eligible remote community.</w:t>
      </w:r>
    </w:p>
    <w:p>
      <w:pPr>
        <w:pStyle w:val="Footnotesection"/>
      </w:pPr>
      <w:r>
        <w:tab/>
        <w:t>[Regulation 37 inserted: Gazette 13 Dec 2016 p. 5621</w:t>
      </w:r>
      <w:r>
        <w:noBreakHyphen/>
        <w:t>3.]</w:t>
      </w:r>
    </w:p>
    <w:p>
      <w:pPr>
        <w:pStyle w:val="Heading5"/>
      </w:pPr>
      <w:bookmarkStart w:id="116" w:name="_Toc97633174"/>
      <w:bookmarkStart w:id="117" w:name="_Toc97016406"/>
      <w:r>
        <w:rPr>
          <w:rStyle w:val="CharSectno"/>
        </w:rPr>
        <w:t>38</w:t>
      </w:r>
      <w:r>
        <w:t>.</w:t>
      </w:r>
      <w:r>
        <w:tab/>
        <w:t>Authorised worker may carry out permitted work without a licence or permit</w:t>
      </w:r>
      <w:bookmarkEnd w:id="116"/>
      <w:bookmarkEnd w:id="117"/>
    </w:p>
    <w:p>
      <w:pPr>
        <w:pStyle w:val="Subsection"/>
        <w:spacing w:before="200"/>
      </w:pPr>
      <w:r>
        <w:tab/>
      </w:r>
      <w:r>
        <w:tab/>
        <w:t xml:space="preserve">An authorised worker may carry out permitted work in an eligible remote community without a licence or permit as long as the work is carried out — </w:t>
      </w:r>
    </w:p>
    <w:p>
      <w:pPr>
        <w:pStyle w:val="Indenta"/>
      </w:pPr>
      <w:r>
        <w:tab/>
        <w:t>(a)</w:t>
      </w:r>
      <w:r>
        <w:tab/>
        <w:t>for the purpose of this Part as stated in regulation 35; and</w:t>
      </w:r>
    </w:p>
    <w:p>
      <w:pPr>
        <w:pStyle w:val="Indenta"/>
      </w:pPr>
      <w:r>
        <w:tab/>
        <w:t>(b)</w:t>
      </w:r>
      <w:r>
        <w:tab/>
        <w:t>under the direction and control of a service provider.</w:t>
      </w:r>
    </w:p>
    <w:p>
      <w:pPr>
        <w:pStyle w:val="Footnotesection"/>
      </w:pPr>
      <w:r>
        <w:tab/>
        <w:t>[Regulation 38 inserted: Gazette 13 Dec 2016 p. 5623.]</w:t>
      </w:r>
    </w:p>
    <w:p>
      <w:pPr>
        <w:pStyle w:val="Heading5"/>
      </w:pPr>
      <w:bookmarkStart w:id="118" w:name="_Toc97633175"/>
      <w:bookmarkStart w:id="119" w:name="_Toc97016407"/>
      <w:r>
        <w:rPr>
          <w:rStyle w:val="CharSectno"/>
        </w:rPr>
        <w:t>39</w:t>
      </w:r>
      <w:r>
        <w:t>.</w:t>
      </w:r>
      <w:r>
        <w:tab/>
        <w:t>Service provider’s obligations</w:t>
      </w:r>
      <w:bookmarkEnd w:id="118"/>
      <w:bookmarkEnd w:id="119"/>
    </w:p>
    <w:p>
      <w:pPr>
        <w:pStyle w:val="Subsection"/>
        <w:spacing w:before="200"/>
      </w:pPr>
      <w:r>
        <w:tab/>
        <w:t>(1)</w:t>
      </w:r>
      <w:r>
        <w:tab/>
        <w:t>A service provider must ensure that each of its authorised workers only carries out permitted work for the purpose of this Part as stated in regulation 35.</w:t>
      </w:r>
    </w:p>
    <w:p>
      <w:pPr>
        <w:pStyle w:val="Penstart"/>
      </w:pPr>
      <w:r>
        <w:tab/>
        <w:t>Penalty for this subregulation: a fine of $1 000.</w:t>
      </w:r>
    </w:p>
    <w:p>
      <w:pPr>
        <w:pStyle w:val="Subsection"/>
        <w:spacing w:before="200"/>
      </w:pPr>
      <w:r>
        <w:tab/>
        <w:t>(2)</w:t>
      </w:r>
      <w:r>
        <w:tab/>
        <w:t xml:space="preserve">A service provider must keep records in the approved form of all permitted work carried out by each of its authorised workers and must make those records available for inspection by — </w:t>
      </w:r>
    </w:p>
    <w:p>
      <w:pPr>
        <w:pStyle w:val="Indenta"/>
      </w:pPr>
      <w:r>
        <w:tab/>
        <w:t>(a)</w:t>
      </w:r>
      <w:r>
        <w:tab/>
        <w:t>a plumbing compliance officer; or</w:t>
      </w:r>
    </w:p>
    <w:p>
      <w:pPr>
        <w:pStyle w:val="Indenta"/>
      </w:pPr>
      <w:r>
        <w:tab/>
        <w:t>(b)</w:t>
      </w:r>
      <w:r>
        <w:tab/>
        <w:t>a licensed plumbing contractor who reasonably requires a copy of the record to carry out plumbing work.</w:t>
      </w:r>
    </w:p>
    <w:p>
      <w:pPr>
        <w:pStyle w:val="Penstart"/>
      </w:pPr>
      <w:r>
        <w:tab/>
        <w:t>Penalty for this subregulation: a fine of $1 000.</w:t>
      </w:r>
    </w:p>
    <w:p>
      <w:pPr>
        <w:pStyle w:val="Subsection"/>
        <w:spacing w:before="200"/>
      </w:pPr>
      <w:r>
        <w:tab/>
        <w:t>(3)</w:t>
      </w:r>
      <w:r>
        <w:tab/>
        <w:t>A service provider must provide to each of its authorised workers carrying out permitted work the appropriate tools, equipment, personal protective clothing and equipment, and occupational safety and health training necessary to carry out the work safely and competently.</w:t>
      </w:r>
    </w:p>
    <w:p>
      <w:pPr>
        <w:pStyle w:val="Penstart"/>
      </w:pPr>
      <w:r>
        <w:tab/>
        <w:t>Penalty for this subregulation: a fine of $1 000.</w:t>
      </w:r>
    </w:p>
    <w:p>
      <w:pPr>
        <w:pStyle w:val="Subsection"/>
        <w:spacing w:before="200"/>
      </w:pPr>
      <w:r>
        <w:tab/>
        <w:t>(4)</w:t>
      </w:r>
      <w:r>
        <w:tab/>
        <w:t>A service provider must ensure that a person employed or otherwise engaged by it who would be an authorised worker on completion of qualifying plumbing courses undertakes those courses at the service provider’s expense.</w:t>
      </w:r>
    </w:p>
    <w:p>
      <w:pPr>
        <w:pStyle w:val="Penstart"/>
      </w:pPr>
      <w:r>
        <w:tab/>
        <w:t>Penalty for this subregulation: a fine of $1 000.</w:t>
      </w:r>
    </w:p>
    <w:p>
      <w:pPr>
        <w:pStyle w:val="Footnotesection"/>
      </w:pPr>
      <w:r>
        <w:tab/>
        <w:t>[Regulation 39 inserted: Gazette 13 Dec 2016 p. 5623; amended: Gazette 18 Oct 2019 p. 3674-5.]</w:t>
      </w:r>
    </w:p>
    <w:p>
      <w:pPr>
        <w:pStyle w:val="Heading5"/>
      </w:pPr>
      <w:bookmarkStart w:id="120" w:name="_Toc97633176"/>
      <w:bookmarkStart w:id="121" w:name="_Toc97016408"/>
      <w:r>
        <w:rPr>
          <w:rStyle w:val="CharSectno"/>
        </w:rPr>
        <w:t>39A</w:t>
      </w:r>
      <w:r>
        <w:t>.</w:t>
      </w:r>
      <w:r>
        <w:tab/>
        <w:t>Enforcement</w:t>
      </w:r>
      <w:bookmarkEnd w:id="120"/>
      <w:bookmarkEnd w:id="121"/>
    </w:p>
    <w:p>
      <w:pPr>
        <w:pStyle w:val="Subsection"/>
      </w:pPr>
      <w:r>
        <w:tab/>
        <w:t>(1)</w:t>
      </w:r>
      <w:r>
        <w:tab/>
        <w:t xml:space="preserve">Part 7 Division 2 applies to plumbing work carried out under this Part as if the relevant service provider — </w:t>
      </w:r>
    </w:p>
    <w:p>
      <w:pPr>
        <w:pStyle w:val="Indenta"/>
      </w:pPr>
      <w:r>
        <w:tab/>
        <w:t>(a)</w:t>
      </w:r>
      <w:r>
        <w:tab/>
        <w:t>had carried out, and was responsible for, the work; and</w:t>
      </w:r>
    </w:p>
    <w:p>
      <w:pPr>
        <w:pStyle w:val="Indenta"/>
      </w:pPr>
      <w:r>
        <w:tab/>
        <w:t>(b)</w:t>
      </w:r>
      <w:r>
        <w:tab/>
        <w:t>was a licensed plumbing contractor.</w:t>
      </w:r>
    </w:p>
    <w:p>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pPr>
        <w:pStyle w:val="Indenta"/>
      </w:pPr>
      <w:r>
        <w:tab/>
        <w:t>(a)</w:t>
      </w:r>
      <w:r>
        <w:tab/>
        <w:t>for a period of up to 6 months; or</w:t>
      </w:r>
    </w:p>
    <w:p>
      <w:pPr>
        <w:pStyle w:val="Indenta"/>
      </w:pPr>
      <w:r>
        <w:tab/>
        <w:t>(b)</w:t>
      </w:r>
      <w:r>
        <w:tab/>
        <w:t>indefinitely.</w:t>
      </w:r>
    </w:p>
    <w:p>
      <w:pPr>
        <w:pStyle w:val="Subsection"/>
      </w:pPr>
      <w:r>
        <w:tab/>
        <w:t>(3)</w:t>
      </w:r>
      <w:r>
        <w:tab/>
        <w:t>The Board may, on application by a service provider who is subject to a declaration under subregulation (2), revoke the declaration as from a date to be specified in a written notice to the service provider.</w:t>
      </w:r>
    </w:p>
    <w:p>
      <w:pPr>
        <w:pStyle w:val="Footnotesection"/>
      </w:pPr>
      <w:r>
        <w:tab/>
        <w:t>[Regulation 39A inserted: Gazette 13 Dec 2016 p. 5624.]</w:t>
      </w:r>
    </w:p>
    <w:p>
      <w:pPr>
        <w:pStyle w:val="Heading2"/>
      </w:pPr>
      <w:bookmarkStart w:id="122" w:name="_Toc97633001"/>
      <w:bookmarkStart w:id="123" w:name="_Toc97633177"/>
      <w:bookmarkStart w:id="124" w:name="_Toc97016245"/>
      <w:bookmarkStart w:id="125" w:name="_Toc97016409"/>
      <w:r>
        <w:rPr>
          <w:rStyle w:val="CharPartNo"/>
        </w:rPr>
        <w:t>Part 5</w:t>
      </w:r>
      <w:r>
        <w:rPr>
          <w:b w:val="0"/>
        </w:rPr>
        <w:t> </w:t>
      </w:r>
      <w:r>
        <w:t>—</w:t>
      </w:r>
      <w:r>
        <w:rPr>
          <w:b w:val="0"/>
        </w:rPr>
        <w:t> </w:t>
      </w:r>
      <w:r>
        <w:rPr>
          <w:rStyle w:val="CharPartText"/>
        </w:rPr>
        <w:t>Notification, certification and records of plumbing work</w:t>
      </w:r>
      <w:bookmarkEnd w:id="122"/>
      <w:bookmarkEnd w:id="123"/>
      <w:bookmarkEnd w:id="124"/>
      <w:bookmarkEnd w:id="125"/>
    </w:p>
    <w:p>
      <w:pPr>
        <w:pStyle w:val="Footnoteheading"/>
        <w:tabs>
          <w:tab w:val="left" w:pos="840"/>
        </w:tabs>
      </w:pPr>
      <w:r>
        <w:tab/>
        <w:t>[Heading inserted: Gazette 18 Oct 2019 p. 3675.]</w:t>
      </w:r>
    </w:p>
    <w:p>
      <w:pPr>
        <w:pStyle w:val="Heading3"/>
      </w:pPr>
      <w:bookmarkStart w:id="126" w:name="_Toc97633002"/>
      <w:bookmarkStart w:id="127" w:name="_Toc97633178"/>
      <w:bookmarkStart w:id="128" w:name="_Toc97016246"/>
      <w:bookmarkStart w:id="129" w:name="_Toc97016410"/>
      <w:r>
        <w:rPr>
          <w:rStyle w:val="CharDivNo"/>
        </w:rPr>
        <w:t>Division 1</w:t>
      </w:r>
      <w:r>
        <w:t> — </w:t>
      </w:r>
      <w:r>
        <w:rPr>
          <w:rStyle w:val="CharDivText"/>
        </w:rPr>
        <w:t>Major plumbing work</w:t>
      </w:r>
      <w:bookmarkEnd w:id="126"/>
      <w:bookmarkEnd w:id="127"/>
      <w:bookmarkEnd w:id="128"/>
      <w:bookmarkEnd w:id="129"/>
    </w:p>
    <w:p>
      <w:pPr>
        <w:pStyle w:val="Footnoteheading"/>
        <w:tabs>
          <w:tab w:val="left" w:pos="840"/>
        </w:tabs>
      </w:pPr>
      <w:r>
        <w:tab/>
        <w:t>[Heading inserted: Gazette 28 Jun 2004 p. 2416.]</w:t>
      </w:r>
    </w:p>
    <w:p>
      <w:pPr>
        <w:pStyle w:val="Heading5"/>
      </w:pPr>
      <w:bookmarkStart w:id="130" w:name="_Toc97633179"/>
      <w:bookmarkStart w:id="131" w:name="_Toc97016411"/>
      <w:r>
        <w:rPr>
          <w:rStyle w:val="CharSectno"/>
        </w:rPr>
        <w:t>40</w:t>
      </w:r>
      <w:r>
        <w:t>.</w:t>
      </w:r>
      <w:r>
        <w:tab/>
        <w:t>Application of Division</w:t>
      </w:r>
      <w:bookmarkEnd w:id="130"/>
      <w:bookmarkEnd w:id="131"/>
    </w:p>
    <w:p>
      <w:pPr>
        <w:pStyle w:val="Subsection"/>
      </w:pPr>
      <w:r>
        <w:tab/>
      </w:r>
      <w:r>
        <w:tab/>
        <w:t>This Division does not apply in respect of major plumbing work that includes a performance solution.</w:t>
      </w:r>
    </w:p>
    <w:p>
      <w:pPr>
        <w:pStyle w:val="Footnotesection"/>
        <w:rPr>
          <w:rStyle w:val="CharSectno"/>
        </w:rPr>
      </w:pPr>
      <w:r>
        <w:tab/>
        <w:t>[Regulation 40 inserted: Gazette 24 Apr 2015 p. 1496; amended: Gazette 13 Dec 2016 p. 5626.]</w:t>
      </w:r>
    </w:p>
    <w:p>
      <w:pPr>
        <w:pStyle w:val="Heading5"/>
      </w:pPr>
      <w:bookmarkStart w:id="132" w:name="_Toc97633180"/>
      <w:bookmarkStart w:id="133" w:name="_Toc97016412"/>
      <w:r>
        <w:rPr>
          <w:rStyle w:val="CharSectno"/>
        </w:rPr>
        <w:t>41</w:t>
      </w:r>
      <w:r>
        <w:t>.</w:t>
      </w:r>
      <w:r>
        <w:tab/>
        <w:t>Notice of intention to commence major plumbing work to be given to Board</w:t>
      </w:r>
      <w:bookmarkEnd w:id="132"/>
      <w:bookmarkEnd w:id="133"/>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Gazette 28 Jun 2004 p. 2416; amended: Gazette 7 Oct 2005 p. 4520</w:t>
      </w:r>
      <w:r>
        <w:noBreakHyphen/>
        <w:t>1; 29 Apr 2016 p. 1344.]</w:t>
      </w:r>
    </w:p>
    <w:p>
      <w:pPr>
        <w:pStyle w:val="Heading5"/>
      </w:pPr>
      <w:bookmarkStart w:id="134" w:name="_Toc97633181"/>
      <w:bookmarkStart w:id="135" w:name="_Toc97016413"/>
      <w:r>
        <w:rPr>
          <w:rStyle w:val="CharSectno"/>
        </w:rPr>
        <w:t>42</w:t>
      </w:r>
      <w:r>
        <w:t>.</w:t>
      </w:r>
      <w:r>
        <w:tab/>
        <w:t>Certificate of compliance for major plumbing work</w:t>
      </w:r>
      <w:bookmarkEnd w:id="134"/>
      <w:bookmarkEnd w:id="135"/>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keepLines/>
      </w:pPr>
      <w:r>
        <w:tab/>
        <w:t>(2)</w:t>
      </w:r>
      <w:r>
        <w:tab/>
        <w:t xml:space="preserve">The certificate must certify that — </w:t>
      </w:r>
    </w:p>
    <w:p>
      <w:pPr>
        <w:pStyle w:val="Indenta"/>
        <w:keepNext/>
        <w:keepLines/>
        <w:spacing w:before="60"/>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spacing w:before="60"/>
      </w:pPr>
      <w:r>
        <w:tab/>
        <w:t>(b)</w:t>
      </w:r>
      <w:r>
        <w:tab/>
        <w:t>existing plumbing that any of the plumbing referred to in paragraph (a) relies upon for its safe and effective operation is safe and in proper working order.</w:t>
      </w:r>
    </w:p>
    <w:p>
      <w:pPr>
        <w:pStyle w:val="Subsection"/>
        <w:spacing w:before="120"/>
      </w:pPr>
      <w:r>
        <w:tab/>
        <w:t>(3)</w:t>
      </w:r>
      <w:r>
        <w:tab/>
        <w:t>The certificate must be in the approved form.</w:t>
      </w:r>
    </w:p>
    <w:p>
      <w:pPr>
        <w:pStyle w:val="Subsection"/>
        <w:spacing w:before="120"/>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spacing w:before="120"/>
      </w:pPr>
      <w:r>
        <w:tab/>
        <w:t>(5)</w:t>
      </w:r>
      <w:r>
        <w:tab/>
        <w:t xml:space="preserve">If — </w:t>
      </w:r>
    </w:p>
    <w:p>
      <w:pPr>
        <w:pStyle w:val="Indenta"/>
        <w:spacing w:before="60"/>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spacing w:before="60"/>
      </w:pPr>
      <w:r>
        <w:tab/>
        <w:t>(b)</w:t>
      </w:r>
      <w:r>
        <w:tab/>
        <w:t>the plumbing work of the previous contractor or permit holder was not completed by the previous contractor or permit holder; and</w:t>
      </w:r>
    </w:p>
    <w:p>
      <w:pPr>
        <w:pStyle w:val="Indenta"/>
        <w:spacing w:before="60"/>
      </w:pPr>
      <w:r>
        <w:tab/>
        <w:t>(c)</w:t>
      </w:r>
      <w:r>
        <w:tab/>
        <w:t>a certificate of compliance for the plumbing work of the previous contractor or permit holder has not been given; and</w:t>
      </w:r>
    </w:p>
    <w:p>
      <w:pPr>
        <w:pStyle w:val="Indenta"/>
        <w:spacing w:before="60"/>
      </w:pPr>
      <w:r>
        <w:tab/>
        <w:t>(d)</w:t>
      </w:r>
      <w:r>
        <w:tab/>
        <w:t>the plumbing of the previous contractor or permit holder is essential to the safe and effective operation of the principal plumbing,</w:t>
      </w:r>
    </w:p>
    <w:p>
      <w:pPr>
        <w:pStyle w:val="Subsection"/>
        <w:spacing w:before="120"/>
      </w:pPr>
      <w:r>
        <w:tab/>
      </w:r>
      <w:r>
        <w:tab/>
        <w:t>the certificate must cover the plumbing of the previous contractor or permit holder.</w:t>
      </w:r>
    </w:p>
    <w:p>
      <w:pPr>
        <w:pStyle w:val="Subsection"/>
        <w:spacing w:before="12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for this subregulation: a fine of $3 000.</w:t>
      </w:r>
    </w:p>
    <w:p>
      <w:pPr>
        <w:pStyle w:val="Footnotesection"/>
      </w:pPr>
      <w:r>
        <w:tab/>
        <w:t>[Regulation 42 inserted: Gazette 28 Jun 2004 p. 2417</w:t>
      </w:r>
      <w:r>
        <w:noBreakHyphen/>
        <w:t>18; amended: Gazette 7 Oct 2005 p. 4521; 29 Apr 2016 p. 1344.]</w:t>
      </w:r>
    </w:p>
    <w:p>
      <w:pPr>
        <w:pStyle w:val="Heading5"/>
        <w:spacing w:before="240"/>
      </w:pPr>
      <w:bookmarkStart w:id="136" w:name="_Toc97633182"/>
      <w:bookmarkStart w:id="137" w:name="_Toc97016414"/>
      <w:r>
        <w:rPr>
          <w:rStyle w:val="CharSectno"/>
        </w:rPr>
        <w:t>43</w:t>
      </w:r>
      <w:r>
        <w:t>.</w:t>
      </w:r>
      <w:r>
        <w:tab/>
        <w:t>Non</w:t>
      </w:r>
      <w:r>
        <w:noBreakHyphen/>
        <w:t>completion of major plumbing work</w:t>
      </w:r>
      <w:bookmarkEnd w:id="136"/>
      <w:bookmarkEnd w:id="137"/>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spacing w:before="60"/>
      </w:pPr>
      <w:r>
        <w:tab/>
        <w:t>(a)</w:t>
      </w:r>
      <w:r>
        <w:tab/>
        <w:t>a licensed plumbing contractor or permit holder has given a notice of intention to carry out major plumbing work; and</w:t>
      </w:r>
    </w:p>
    <w:p>
      <w:pPr>
        <w:pStyle w:val="Indenta"/>
        <w:spacing w:before="60"/>
      </w:pPr>
      <w:r>
        <w:tab/>
        <w:t>(b)</w:t>
      </w:r>
      <w:r>
        <w:tab/>
        <w:t>the contractor or permit holder has commenced the work; and</w:t>
      </w:r>
    </w:p>
    <w:p>
      <w:pPr>
        <w:pStyle w:val="Indenta"/>
        <w:spacing w:before="60"/>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Gazette 28 Jun 2004 p. 2418</w:t>
      </w:r>
      <w:r>
        <w:noBreakHyphen/>
        <w:t>19; amended: Gazette 7 Oct 2005 p. 4521</w:t>
      </w:r>
      <w:r>
        <w:noBreakHyphen/>
        <w:t>2; 29 Apr 2016 p. 1344.]</w:t>
      </w:r>
    </w:p>
    <w:p>
      <w:pPr>
        <w:pStyle w:val="Heading3"/>
      </w:pPr>
      <w:bookmarkStart w:id="138" w:name="_Toc97633007"/>
      <w:bookmarkStart w:id="139" w:name="_Toc97633183"/>
      <w:bookmarkStart w:id="140" w:name="_Toc97016251"/>
      <w:bookmarkStart w:id="141" w:name="_Toc97016415"/>
      <w:r>
        <w:rPr>
          <w:rStyle w:val="CharDivNo"/>
        </w:rPr>
        <w:t>Division 2</w:t>
      </w:r>
      <w:r>
        <w:t> — </w:t>
      </w:r>
      <w:r>
        <w:rPr>
          <w:rStyle w:val="CharDivText"/>
        </w:rPr>
        <w:t>Minor plumbing work</w:t>
      </w:r>
      <w:bookmarkEnd w:id="138"/>
      <w:bookmarkEnd w:id="139"/>
      <w:bookmarkEnd w:id="140"/>
      <w:bookmarkEnd w:id="141"/>
    </w:p>
    <w:p>
      <w:pPr>
        <w:pStyle w:val="Footnoteheading"/>
        <w:keepNext/>
        <w:tabs>
          <w:tab w:val="left" w:pos="840"/>
        </w:tabs>
      </w:pPr>
      <w:r>
        <w:tab/>
        <w:t>[Heading inserted: Gazette 28 Jun 2004 p. 2419.]</w:t>
      </w:r>
    </w:p>
    <w:p>
      <w:pPr>
        <w:pStyle w:val="Heading5"/>
      </w:pPr>
      <w:bookmarkStart w:id="142" w:name="_Toc97633184"/>
      <w:bookmarkStart w:id="143" w:name="_Toc97016416"/>
      <w:r>
        <w:rPr>
          <w:rStyle w:val="CharSectno"/>
        </w:rPr>
        <w:t>44</w:t>
      </w:r>
      <w:r>
        <w:t>.</w:t>
      </w:r>
      <w:r>
        <w:tab/>
        <w:t>Application of Division</w:t>
      </w:r>
      <w:bookmarkEnd w:id="142"/>
      <w:bookmarkEnd w:id="143"/>
    </w:p>
    <w:p>
      <w:pPr>
        <w:pStyle w:val="Subsection"/>
      </w:pPr>
      <w:r>
        <w:tab/>
      </w:r>
      <w:r>
        <w:tab/>
        <w:t>This Division does not apply in respect of minor plumbing work that includes a performance solution.</w:t>
      </w:r>
    </w:p>
    <w:p>
      <w:pPr>
        <w:pStyle w:val="Footnotesection"/>
      </w:pPr>
      <w:r>
        <w:tab/>
        <w:t>[Regulation 44 inserted: Gazette 18 Oct 2019 p. 3675.]</w:t>
      </w:r>
    </w:p>
    <w:p>
      <w:pPr>
        <w:pStyle w:val="Heading5"/>
      </w:pPr>
      <w:bookmarkStart w:id="144" w:name="_Toc97633185"/>
      <w:bookmarkStart w:id="145" w:name="_Toc97016417"/>
      <w:r>
        <w:rPr>
          <w:rStyle w:val="CharSectno"/>
        </w:rPr>
        <w:t>44A</w:t>
      </w:r>
      <w:r>
        <w:t>.</w:t>
      </w:r>
      <w:r>
        <w:tab/>
        <w:t>Records of minor plumbing work</w:t>
      </w:r>
      <w:bookmarkEnd w:id="144"/>
      <w:bookmarkEnd w:id="145"/>
    </w:p>
    <w:p>
      <w:pPr>
        <w:pStyle w:val="Subsection"/>
      </w:pPr>
      <w:r>
        <w:tab/>
        <w:t>(1)</w:t>
      </w:r>
      <w:r>
        <w:tab/>
        <w:t>A licensed plumbing contractor or permit holder must keep a record of minor plumbing work completed by or for the contractor or permit holder.</w:t>
      </w:r>
    </w:p>
    <w:p>
      <w:pPr>
        <w:pStyle w:val="Penstart"/>
      </w:pPr>
      <w:r>
        <w:tab/>
        <w:t>Penalty for this subregulation: a fine of $5 000.</w:t>
      </w:r>
    </w:p>
    <w:p>
      <w:pPr>
        <w:pStyle w:val="Subsection"/>
      </w:pPr>
      <w:r>
        <w:tab/>
        <w:t>(2)</w:t>
      </w:r>
      <w:r>
        <w:tab/>
        <w:t xml:space="preserve">A licensed plumbing contractor or permit holder is not required to keep a record of minor plumbing work under subregulation (1) if — </w:t>
      </w:r>
    </w:p>
    <w:p>
      <w:pPr>
        <w:pStyle w:val="Indenta"/>
      </w:pPr>
      <w:r>
        <w:tab/>
        <w:t>(a)</w:t>
      </w:r>
      <w:r>
        <w:tab/>
        <w:t>the minor plumbing work is carried out for another licensed plumbing contractor or permit holder; and</w:t>
      </w:r>
    </w:p>
    <w:p>
      <w:pPr>
        <w:pStyle w:val="Indenta"/>
      </w:pPr>
      <w:r>
        <w:tab/>
        <w:t>(b)</w:t>
      </w:r>
      <w:r>
        <w:tab/>
        <w:t>that other licensed plumbing contractor or permit holder or another contractor or permit holder keeps, or ought to keep, a record of the work under subregulation (1).</w:t>
      </w:r>
    </w:p>
    <w:p>
      <w:pPr>
        <w:pStyle w:val="Subsection"/>
      </w:pPr>
      <w:r>
        <w:tab/>
        <w:t>(3)</w:t>
      </w:r>
      <w:r>
        <w:tab/>
        <w:t>A record required by subregulation (1) must be in the approved form.</w:t>
      </w:r>
    </w:p>
    <w:p>
      <w:pPr>
        <w:pStyle w:val="Penstart"/>
      </w:pPr>
      <w:r>
        <w:tab/>
        <w:t>Penalty for this subregulation: a fine of $5 000.</w:t>
      </w:r>
    </w:p>
    <w:p>
      <w:pPr>
        <w:pStyle w:val="Subsection"/>
      </w:pPr>
      <w:r>
        <w:tab/>
        <w:t>(4)</w:t>
      </w:r>
      <w:r>
        <w:tab/>
        <w:t>A record required by subregulation (1) must be kept at the licensed plumbing contractor’s or permit holder’s principal place of business.</w:t>
      </w:r>
    </w:p>
    <w:p>
      <w:pPr>
        <w:pStyle w:val="Penstart"/>
      </w:pPr>
      <w:r>
        <w:tab/>
        <w:t>Penalty for this subregulation: a fine of $5 000.</w:t>
      </w:r>
    </w:p>
    <w:p>
      <w:pPr>
        <w:pStyle w:val="Subsection"/>
        <w:keepNext/>
      </w:pPr>
      <w:r>
        <w:tab/>
        <w:t>(5)</w:t>
      </w:r>
      <w:r>
        <w:tab/>
        <w:t>A person required by subregulation (1) to keep a record of minor plumbing work must keep the record until the expiry of the period within which a rectification notice may be given in respect of the work under regulation 71(2).</w:t>
      </w:r>
    </w:p>
    <w:p>
      <w:pPr>
        <w:pStyle w:val="Penstart"/>
      </w:pPr>
      <w:r>
        <w:tab/>
        <w:t>Penalty for this subregulation: a fine of $5 000.</w:t>
      </w:r>
    </w:p>
    <w:p>
      <w:pPr>
        <w:pStyle w:val="Subsection"/>
      </w:pPr>
      <w:r>
        <w:tab/>
        <w:t>(6)</w:t>
      </w:r>
      <w:r>
        <w:tab/>
        <w:t xml:space="preserve">A person required by subregulation (1) to keep a record of minor plumbing work must produce the record for inspection upon being requested to do so by — </w:t>
      </w:r>
    </w:p>
    <w:p>
      <w:pPr>
        <w:pStyle w:val="Indenta"/>
      </w:pPr>
      <w:r>
        <w:tab/>
        <w:t>(a)</w:t>
      </w:r>
      <w:r>
        <w:tab/>
        <w:t>the Board; or</w:t>
      </w:r>
    </w:p>
    <w:p>
      <w:pPr>
        <w:pStyle w:val="Indenta"/>
      </w:pPr>
      <w:r>
        <w:tab/>
        <w:t>(b)</w:t>
      </w:r>
      <w:r>
        <w:tab/>
        <w:t>a plumbing compliance officer.</w:t>
      </w:r>
    </w:p>
    <w:p>
      <w:pPr>
        <w:pStyle w:val="Penstart"/>
      </w:pPr>
      <w:r>
        <w:tab/>
        <w:t>Penalty for this subregulation: a fine of $5 000.</w:t>
      </w:r>
    </w:p>
    <w:p>
      <w:pPr>
        <w:pStyle w:val="Subsection"/>
      </w:pPr>
      <w:r>
        <w:tab/>
        <w:t>(7)</w:t>
      </w:r>
      <w:r>
        <w:tab/>
        <w:t>This regulation does not limit regulation 25B(1).</w:t>
      </w:r>
    </w:p>
    <w:p>
      <w:pPr>
        <w:pStyle w:val="Footnotesection"/>
      </w:pPr>
      <w:r>
        <w:tab/>
        <w:t>[Regulation 44A inserted: Gazette 18 Oct 2019 p. 3675-6.]</w:t>
      </w:r>
    </w:p>
    <w:p>
      <w:pPr>
        <w:pStyle w:val="Heading3"/>
      </w:pPr>
      <w:bookmarkStart w:id="146" w:name="_Toc97633010"/>
      <w:bookmarkStart w:id="147" w:name="_Toc97633186"/>
      <w:bookmarkStart w:id="148" w:name="_Toc97016254"/>
      <w:bookmarkStart w:id="149" w:name="_Toc97016418"/>
      <w:r>
        <w:rPr>
          <w:rStyle w:val="CharDivNo"/>
        </w:rPr>
        <w:t>Division 2A</w:t>
      </w:r>
      <w:r>
        <w:t> — </w:t>
      </w:r>
      <w:r>
        <w:rPr>
          <w:rStyle w:val="CharDivText"/>
        </w:rPr>
        <w:t>Plumbing work including performance solutions</w:t>
      </w:r>
      <w:bookmarkEnd w:id="146"/>
      <w:bookmarkEnd w:id="147"/>
      <w:bookmarkEnd w:id="148"/>
      <w:bookmarkEnd w:id="149"/>
    </w:p>
    <w:p>
      <w:pPr>
        <w:pStyle w:val="Footnoteheading"/>
      </w:pPr>
      <w:r>
        <w:tab/>
        <w:t>[Heading inserted: Gazette 13 Dec 2016 p. 5628.]</w:t>
      </w:r>
    </w:p>
    <w:p>
      <w:pPr>
        <w:pStyle w:val="Heading5"/>
      </w:pPr>
      <w:bookmarkStart w:id="150" w:name="_Toc97633187"/>
      <w:bookmarkStart w:id="151" w:name="_Toc97016419"/>
      <w:r>
        <w:rPr>
          <w:rStyle w:val="CharSectno"/>
        </w:rPr>
        <w:t>45A</w:t>
      </w:r>
      <w:r>
        <w:t>.</w:t>
      </w:r>
      <w:r>
        <w:tab/>
        <w:t>Notice of intention to include performance solution</w:t>
      </w:r>
      <w:bookmarkEnd w:id="150"/>
      <w:bookmarkEnd w:id="151"/>
    </w:p>
    <w:p>
      <w:pPr>
        <w:pStyle w:val="Subsection"/>
      </w:pPr>
      <w:r>
        <w:tab/>
        <w:t>(1)</w:t>
      </w:r>
      <w:r>
        <w:tab/>
        <w:t>A licensed plumbing contractor must not carry out, or permit or arrange to be carried out, plumbing work that includes a performance solution unless the contractor has given the Board a notice of intention to carry out work including a performance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Division 2; and</w:t>
      </w:r>
    </w:p>
    <w:p>
      <w:pPr>
        <w:pStyle w:val="Indenta"/>
      </w:pPr>
      <w:r>
        <w:tab/>
        <w:t>(c)</w:t>
      </w:r>
      <w:r>
        <w:tab/>
        <w:t>be accompanied by the new installation fee (where relevant).</w:t>
      </w:r>
    </w:p>
    <w:p>
      <w:pPr>
        <w:pStyle w:val="Footnotesection"/>
      </w:pPr>
      <w:r>
        <w:tab/>
        <w:t>[Regulation 45A inserted: Gazette 24 Apr 2015 p. 1496</w:t>
      </w:r>
      <w:r>
        <w:noBreakHyphen/>
        <w:t>7; amended: Gazette 29 Apr 2016 p. 1345; 13 Dec 2016 p. 5626; 18 Oct 2019 p. 3676; SL 2020/196 r. 54.]</w:t>
      </w:r>
    </w:p>
    <w:p>
      <w:pPr>
        <w:pStyle w:val="Heading5"/>
      </w:pPr>
      <w:bookmarkStart w:id="152" w:name="_Toc97633188"/>
      <w:bookmarkStart w:id="153" w:name="_Toc97016420"/>
      <w:r>
        <w:rPr>
          <w:rStyle w:val="CharSectno"/>
        </w:rPr>
        <w:t>45B</w:t>
      </w:r>
      <w:r>
        <w:t>.</w:t>
      </w:r>
      <w:r>
        <w:tab/>
        <w:t>Certificate of compliance for performance solution</w:t>
      </w:r>
      <w:bookmarkEnd w:id="152"/>
      <w:bookmarkEnd w:id="153"/>
    </w:p>
    <w:p>
      <w:pPr>
        <w:pStyle w:val="Subsection"/>
      </w:pPr>
      <w:r>
        <w:tab/>
        <w:t>(1)</w:t>
      </w:r>
      <w:r>
        <w:tab/>
        <w:t xml:space="preserve">When plumbing work that includes a performance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keepNext/>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keepNext/>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keepNext/>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Gazette 24 Apr 2015 p. 1497</w:t>
      </w:r>
      <w:r>
        <w:noBreakHyphen/>
        <w:t>8; amended: Gazette 29 Apr 2016 p. 1345; 13 Dec 2016 p. 5626</w:t>
      </w:r>
      <w:r>
        <w:noBreakHyphen/>
        <w:t>7.]</w:t>
      </w:r>
    </w:p>
    <w:p>
      <w:pPr>
        <w:pStyle w:val="Heading5"/>
      </w:pPr>
      <w:bookmarkStart w:id="154" w:name="_Toc97633189"/>
      <w:bookmarkStart w:id="155" w:name="_Toc97016421"/>
      <w:r>
        <w:rPr>
          <w:rStyle w:val="CharSectno"/>
        </w:rPr>
        <w:t>45C</w:t>
      </w:r>
      <w:r>
        <w:t>.</w:t>
      </w:r>
      <w:r>
        <w:tab/>
        <w:t>Non-completion of plumbing work including performance solution</w:t>
      </w:r>
      <w:bookmarkEnd w:id="154"/>
      <w:bookmarkEnd w:id="155"/>
    </w:p>
    <w:p>
      <w:pPr>
        <w:pStyle w:val="Subsection"/>
        <w:keepNext/>
      </w:pPr>
      <w:r>
        <w:tab/>
        <w:t>(1)</w:t>
      </w:r>
      <w:r>
        <w:tab/>
        <w:t>A licensed plumbing contractor who has given a notice of intention to carry out work including a performance solution must, by giving notice to the Board in the approved form, withdraw the notice of intention to the extent that the contractor is not going to carry out the work including the performance solution.</w:t>
      </w:r>
    </w:p>
    <w:p>
      <w:pPr>
        <w:pStyle w:val="Penstart"/>
      </w:pPr>
      <w:r>
        <w:tab/>
        <w:t>Penalty for this subregulation: a fine of $3 000.</w:t>
      </w:r>
    </w:p>
    <w:p>
      <w:pPr>
        <w:pStyle w:val="Subsection"/>
        <w:keepNext/>
      </w:pPr>
      <w:r>
        <w:tab/>
        <w:t>(2)</w:t>
      </w:r>
      <w:r>
        <w:tab/>
        <w:t xml:space="preserve">A licensed plumbing contractor must comply with regulation 45B in relation to work including a performance solution that has been completed by the contractor if — </w:t>
      </w:r>
    </w:p>
    <w:p>
      <w:pPr>
        <w:pStyle w:val="Indenta"/>
      </w:pPr>
      <w:r>
        <w:tab/>
        <w:t>(a)</w:t>
      </w:r>
      <w:r>
        <w:tab/>
        <w:t>the contractor has given a notice of intention to carry out the work; and</w:t>
      </w:r>
    </w:p>
    <w:p>
      <w:pPr>
        <w:pStyle w:val="Indenta"/>
        <w:keepNext/>
      </w:pPr>
      <w:r>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Gazette 24 Apr 2015 p. 1498</w:t>
      </w:r>
      <w:r>
        <w:noBreakHyphen/>
        <w:t>9; amended: Gazette 29 Apr 2016 p. 1345; 13 Dec 2016 p. 5626</w:t>
      </w:r>
      <w:r>
        <w:noBreakHyphen/>
        <w:t>7.]</w:t>
      </w:r>
    </w:p>
    <w:p>
      <w:pPr>
        <w:pStyle w:val="Heading3"/>
        <w:keepNext w:val="0"/>
      </w:pPr>
      <w:bookmarkStart w:id="156" w:name="_Toc97633014"/>
      <w:bookmarkStart w:id="157" w:name="_Toc97633190"/>
      <w:bookmarkStart w:id="158" w:name="_Toc97016258"/>
      <w:bookmarkStart w:id="159" w:name="_Toc97016422"/>
      <w:r>
        <w:rPr>
          <w:rStyle w:val="CharDivNo"/>
        </w:rPr>
        <w:t>Division 2B</w:t>
      </w:r>
      <w:r>
        <w:t> — </w:t>
      </w:r>
      <w:r>
        <w:rPr>
          <w:rStyle w:val="CharDivText"/>
        </w:rPr>
        <w:t>Drainage plumbing diagrams for drainage plumbing work</w:t>
      </w:r>
      <w:bookmarkEnd w:id="156"/>
      <w:bookmarkEnd w:id="157"/>
      <w:bookmarkEnd w:id="158"/>
      <w:bookmarkEnd w:id="159"/>
    </w:p>
    <w:p>
      <w:pPr>
        <w:pStyle w:val="Footnoteheading"/>
        <w:spacing w:before="160"/>
      </w:pPr>
      <w:r>
        <w:tab/>
        <w:t>[Heading inserted: Gazette 13 Dec 2016 p. 5628.]</w:t>
      </w:r>
    </w:p>
    <w:p>
      <w:pPr>
        <w:pStyle w:val="Heading5"/>
        <w:keepNext w:val="0"/>
        <w:spacing w:before="260"/>
      </w:pPr>
      <w:bookmarkStart w:id="160" w:name="_Toc97633191"/>
      <w:bookmarkStart w:id="161" w:name="_Toc97016423"/>
      <w:r>
        <w:rPr>
          <w:rStyle w:val="CharSectno"/>
        </w:rPr>
        <w:t>45D</w:t>
      </w:r>
      <w:r>
        <w:t>.</w:t>
      </w:r>
      <w:r>
        <w:tab/>
        <w:t>Drainage plumbing diagram to be given to Board</w:t>
      </w:r>
      <w:bookmarkEnd w:id="160"/>
      <w:bookmarkEnd w:id="161"/>
    </w:p>
    <w:p>
      <w:pPr>
        <w:pStyle w:val="Subsection"/>
        <w:spacing w:before="200"/>
      </w:pPr>
      <w:r>
        <w:tab/>
        <w:t>(1)</w:t>
      </w:r>
      <w:r>
        <w:tab/>
        <w:t xml:space="preserve">A licensed plumbing contractor who carries out drainage plumbing work referred to in subregulation (2) must give the Board a diagram of the work — </w:t>
      </w:r>
    </w:p>
    <w:p>
      <w:pPr>
        <w:pStyle w:val="Indenta"/>
        <w:spacing w:before="100"/>
      </w:pPr>
      <w:r>
        <w:tab/>
        <w:t>(a)</w:t>
      </w:r>
      <w:r>
        <w:tab/>
        <w:t>in the approved form;</w:t>
      </w:r>
    </w:p>
    <w:p>
      <w:pPr>
        <w:pStyle w:val="Indenta"/>
        <w:spacing w:before="100"/>
      </w:pPr>
      <w:r>
        <w:tab/>
        <w:t>(b)</w:t>
      </w:r>
      <w:r>
        <w:tab/>
        <w:t>at the same time as a certificate of compliance for the work is given to the Board under regulation 42 or 45B.</w:t>
      </w:r>
    </w:p>
    <w:p>
      <w:pPr>
        <w:pStyle w:val="Penstart"/>
        <w:spacing w:before="100"/>
      </w:pPr>
      <w:r>
        <w:tab/>
        <w:t>Penalty for this subregulation: a fine of $ 5 000.</w:t>
      </w:r>
    </w:p>
    <w:p>
      <w:pPr>
        <w:pStyle w:val="Subsection"/>
        <w:spacing w:before="200"/>
      </w:pPr>
      <w:r>
        <w:tab/>
        <w:t>(2)</w:t>
      </w:r>
      <w:r>
        <w:tab/>
        <w:t>Drainage plumbing work for which a diagram must be given is work that involves the installation, alteration or extension of underground pipes and other fittings used or intended to be used for the carrying of —</w:t>
      </w:r>
    </w:p>
    <w:p>
      <w:pPr>
        <w:pStyle w:val="Indenta"/>
        <w:spacing w:before="100"/>
      </w:pPr>
      <w:r>
        <w:tab/>
        <w:t>(a)</w:t>
      </w:r>
      <w:r>
        <w:tab/>
        <w:t>wastewater to a sewer; or</w:t>
      </w:r>
    </w:p>
    <w:p>
      <w:pPr>
        <w:pStyle w:val="Indenta"/>
        <w:keepNext/>
        <w:spacing w:before="100"/>
      </w:pPr>
      <w:r>
        <w:tab/>
        <w:t>(b)</w:t>
      </w:r>
      <w:r>
        <w:tab/>
        <w:t>wastewater or other waste to an apparatus for the treatment of sewage.</w:t>
      </w:r>
    </w:p>
    <w:p>
      <w:pPr>
        <w:pStyle w:val="Footnotesection"/>
      </w:pPr>
      <w:r>
        <w:tab/>
        <w:t>[Regulation 45D inserted: Gazette 13 Dec 2016 p. 5628.]</w:t>
      </w:r>
    </w:p>
    <w:p>
      <w:pPr>
        <w:pStyle w:val="Heading5"/>
      </w:pPr>
      <w:bookmarkStart w:id="162" w:name="_Toc97633192"/>
      <w:bookmarkStart w:id="163" w:name="_Toc97016424"/>
      <w:r>
        <w:rPr>
          <w:rStyle w:val="CharSectno"/>
        </w:rPr>
        <w:t>45DA</w:t>
      </w:r>
      <w:r>
        <w:t>.</w:t>
      </w:r>
      <w:r>
        <w:tab/>
        <w:t>Diagram of sanitary drainage service line or sanitary drainage connection point to be given</w:t>
      </w:r>
      <w:bookmarkEnd w:id="162"/>
      <w:bookmarkEnd w:id="163"/>
    </w:p>
    <w:p>
      <w:pPr>
        <w:pStyle w:val="Subsection"/>
        <w:keepNext/>
      </w:pPr>
      <w:r>
        <w:tab/>
        <w:t>(1)</w:t>
      </w:r>
      <w:r>
        <w:tab/>
        <w:t xml:space="preserve">In this regulation each of the following terms has the meaning given in regulation 55 — </w:t>
      </w:r>
    </w:p>
    <w:p>
      <w:pPr>
        <w:pStyle w:val="Defstart"/>
        <w:keepNext/>
      </w:pPr>
      <w:r>
        <w:tab/>
      </w:r>
      <w:r>
        <w:rPr>
          <w:rStyle w:val="CharDefText"/>
        </w:rPr>
        <w:t>lot</w:t>
      </w:r>
      <w:r>
        <w:t xml:space="preserve"> </w:t>
      </w:r>
    </w:p>
    <w:p>
      <w:pPr>
        <w:pStyle w:val="Defstart"/>
        <w:keepNext/>
      </w:pPr>
      <w:r>
        <w:tab/>
      </w:r>
      <w:r>
        <w:rPr>
          <w:rStyle w:val="CharDefText"/>
        </w:rPr>
        <w:t>sanitary drainage connection point</w:t>
      </w:r>
      <w:r>
        <w:t xml:space="preserve"> </w:t>
      </w:r>
    </w:p>
    <w:p>
      <w:pPr>
        <w:pStyle w:val="Defstart"/>
        <w:keepNext/>
      </w:pPr>
      <w:r>
        <w:tab/>
      </w:r>
      <w:r>
        <w:rPr>
          <w:rStyle w:val="CharDefText"/>
        </w:rPr>
        <w:t>sanitary drainage service line</w:t>
      </w:r>
      <w:r>
        <w:t xml:space="preserve"> </w:t>
      </w:r>
    </w:p>
    <w:p>
      <w:pPr>
        <w:pStyle w:val="Defstart"/>
      </w:pPr>
      <w:r>
        <w:tab/>
      </w:r>
      <w:r>
        <w:rPr>
          <w:rStyle w:val="CharDefText"/>
        </w:rPr>
        <w:t>subdivided land</w:t>
      </w:r>
      <w:r>
        <w:t xml:space="preserve"> </w:t>
      </w:r>
    </w:p>
    <w:p>
      <w:pPr>
        <w:pStyle w:val="Subsection"/>
      </w:pPr>
      <w:r>
        <w:tab/>
        <w:t>(2)</w:t>
      </w:r>
      <w:r>
        <w:tab/>
        <w:t xml:space="preserve">A responsible person for plumbing work that is the installation of a sanitary drainage service line or sanitary drainage connection point on or for a lot on subdivided land must give the Board and the owner or occupier of the subdivided land a diagram of the plumbing work on the land — </w:t>
      </w:r>
    </w:p>
    <w:p>
      <w:pPr>
        <w:pStyle w:val="Indenta"/>
      </w:pPr>
      <w:r>
        <w:tab/>
        <w:t>(a)</w:t>
      </w:r>
      <w:r>
        <w:tab/>
        <w:t>in the approved form; and</w:t>
      </w:r>
    </w:p>
    <w:p>
      <w:pPr>
        <w:pStyle w:val="Indenta"/>
      </w:pPr>
      <w:r>
        <w:tab/>
        <w:t>(b)</w:t>
      </w:r>
      <w:r>
        <w:tab/>
        <w:t>at the same time as a certificate of compliance for the work is given to the Board under these regulations.</w:t>
      </w:r>
    </w:p>
    <w:p>
      <w:pPr>
        <w:pStyle w:val="Penstart"/>
      </w:pPr>
      <w:r>
        <w:tab/>
        <w:t>Penalty for this subregulation: a fine of $5 000.</w:t>
      </w:r>
    </w:p>
    <w:p>
      <w:pPr>
        <w:pStyle w:val="Footnotesection"/>
      </w:pPr>
      <w:r>
        <w:tab/>
        <w:t>[Regulation 45DA inserted: SL 2020/132 r. 5.]</w:t>
      </w:r>
    </w:p>
    <w:p>
      <w:pPr>
        <w:pStyle w:val="Heading5"/>
        <w:spacing w:before="260"/>
      </w:pPr>
      <w:bookmarkStart w:id="164" w:name="_Toc97633193"/>
      <w:bookmarkStart w:id="165" w:name="_Toc97016425"/>
      <w:r>
        <w:rPr>
          <w:rStyle w:val="CharSectno"/>
        </w:rPr>
        <w:t>45E</w:t>
      </w:r>
      <w:r>
        <w:t>.</w:t>
      </w:r>
      <w:r>
        <w:tab/>
        <w:t>Application to obtain copy of drainage plumbing diagram</w:t>
      </w:r>
      <w:bookmarkEnd w:id="164"/>
      <w:bookmarkEnd w:id="165"/>
    </w:p>
    <w:p>
      <w:pPr>
        <w:pStyle w:val="Subsection"/>
        <w:spacing w:before="200"/>
      </w:pPr>
      <w:r>
        <w:tab/>
        <w:t>(1)</w:t>
      </w:r>
      <w:r>
        <w:tab/>
        <w:t>A person may request a copy of a drainage plumbing diagram by applying to the Board in the approved form.</w:t>
      </w:r>
    </w:p>
    <w:p>
      <w:pPr>
        <w:pStyle w:val="Subsection"/>
        <w:spacing w:before="200"/>
      </w:pPr>
      <w:r>
        <w:tab/>
        <w:t>(2)</w:t>
      </w:r>
      <w:r>
        <w:tab/>
        <w:t>The application is to be accompanied by the fee set out in Schedule 1 Division 2.</w:t>
      </w:r>
    </w:p>
    <w:p>
      <w:pPr>
        <w:pStyle w:val="Subsection"/>
        <w:keepNext/>
        <w:spacing w:before="200"/>
      </w:pPr>
      <w:r>
        <w:tab/>
        <w:t>(3)</w:t>
      </w:r>
      <w:r>
        <w:tab/>
        <w:t>The Board is to refund to an applicant the fee referred to in subregulation (2) if the Board is unable to provide to the applicant a copy of the drainage plumbing diagram requested or if the layout of drainage plumbing cannot be determined from the copy.</w:t>
      </w:r>
    </w:p>
    <w:p>
      <w:pPr>
        <w:pStyle w:val="Footnotesection"/>
      </w:pPr>
      <w:r>
        <w:tab/>
        <w:t>[Regulation 45E inserted: Gazette 13 Dec 2016 p. 5629; amended: Gazette 29 Aug 2017 p. 4593; SL 2020/196 r. 54.]</w:t>
      </w:r>
    </w:p>
    <w:p>
      <w:pPr>
        <w:pStyle w:val="Heading5"/>
      </w:pPr>
      <w:bookmarkStart w:id="166" w:name="_Toc97633194"/>
      <w:bookmarkStart w:id="167" w:name="_Toc97016426"/>
      <w:r>
        <w:rPr>
          <w:rStyle w:val="CharSectno"/>
        </w:rPr>
        <w:t>45F</w:t>
      </w:r>
      <w:r>
        <w:t>.</w:t>
      </w:r>
      <w:r>
        <w:tab/>
        <w:t>Copy of drainage plumbing diagram may be provided</w:t>
      </w:r>
      <w:bookmarkEnd w:id="166"/>
      <w:bookmarkEnd w:id="167"/>
    </w:p>
    <w:p>
      <w:pPr>
        <w:pStyle w:val="Subsection"/>
      </w:pPr>
      <w:r>
        <w:tab/>
        <w:t>(1)</w:t>
      </w:r>
      <w:r>
        <w:tab/>
        <w:t xml:space="preserve">The Board may, for any purpose described in subregulation (2), provide a copy of a drainage plumbing diagram to a person who makes an application under regulation 45E. </w:t>
      </w:r>
    </w:p>
    <w:p>
      <w:pPr>
        <w:pStyle w:val="Subsection"/>
      </w:pPr>
      <w:r>
        <w:tab/>
        <w:t>(2)</w:t>
      </w:r>
      <w:r>
        <w:tab/>
        <w:t xml:space="preserve">The purposes referred to in subregulation (1) are — </w:t>
      </w:r>
    </w:p>
    <w:p>
      <w:pPr>
        <w:pStyle w:val="Indenta"/>
      </w:pPr>
      <w:r>
        <w:tab/>
        <w:t>(a)</w:t>
      </w:r>
      <w:r>
        <w:tab/>
        <w:t>the regulation and control of plumbing work; and</w:t>
      </w:r>
    </w:p>
    <w:p>
      <w:pPr>
        <w:pStyle w:val="Indenta"/>
      </w:pPr>
      <w:r>
        <w:tab/>
        <w:t>(b)</w:t>
      </w:r>
      <w:r>
        <w:tab/>
        <w:t>the maintenance of standards to be observed in, or in connection with, the carrying out of plumbing work.</w:t>
      </w:r>
    </w:p>
    <w:p>
      <w:pPr>
        <w:pStyle w:val="Footnotesection"/>
      </w:pPr>
      <w:r>
        <w:tab/>
        <w:t>[Regulation 45F inserted: Gazette 13 Dec 2016 p. 5629.]</w:t>
      </w:r>
    </w:p>
    <w:p>
      <w:pPr>
        <w:pStyle w:val="Heading3"/>
      </w:pPr>
      <w:bookmarkStart w:id="168" w:name="_Toc97633019"/>
      <w:bookmarkStart w:id="169" w:name="_Toc97633195"/>
      <w:bookmarkStart w:id="170" w:name="_Toc97016263"/>
      <w:bookmarkStart w:id="171" w:name="_Toc97016427"/>
      <w:r>
        <w:rPr>
          <w:rStyle w:val="CharDivNo"/>
        </w:rPr>
        <w:t>Division 3</w:t>
      </w:r>
      <w:r>
        <w:t> —</w:t>
      </w:r>
      <w:r>
        <w:rPr>
          <w:rStyle w:val="CharDivText"/>
        </w:rPr>
        <w:t> General provisions</w:t>
      </w:r>
      <w:bookmarkEnd w:id="168"/>
      <w:bookmarkEnd w:id="169"/>
      <w:bookmarkEnd w:id="170"/>
      <w:bookmarkEnd w:id="171"/>
    </w:p>
    <w:p>
      <w:pPr>
        <w:pStyle w:val="Footnoteheading"/>
        <w:tabs>
          <w:tab w:val="left" w:pos="840"/>
        </w:tabs>
      </w:pPr>
      <w:r>
        <w:tab/>
        <w:t>[Heading inserted: Gazette 28 Jun 2004 p. 2420.]</w:t>
      </w:r>
    </w:p>
    <w:p>
      <w:pPr>
        <w:pStyle w:val="Heading5"/>
      </w:pPr>
      <w:bookmarkStart w:id="172" w:name="_Toc97633196"/>
      <w:bookmarkStart w:id="173" w:name="_Toc97016428"/>
      <w:r>
        <w:rPr>
          <w:rStyle w:val="CharSectno"/>
        </w:rPr>
        <w:t>45</w:t>
      </w:r>
      <w:r>
        <w:t>.</w:t>
      </w:r>
      <w:r>
        <w:tab/>
        <w:t>New installation fee</w:t>
      </w:r>
      <w:bookmarkEnd w:id="172"/>
      <w:bookmarkEnd w:id="173"/>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 Division 2.</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Gazette 28 Jun 2004 p. 2420</w:t>
      </w:r>
      <w:r>
        <w:noBreakHyphen/>
        <w:t>1; amended: SL 2020/196 r. 54.]</w:t>
      </w:r>
    </w:p>
    <w:p>
      <w:pPr>
        <w:pStyle w:val="Heading5"/>
      </w:pPr>
      <w:bookmarkStart w:id="174" w:name="_Toc97633197"/>
      <w:bookmarkStart w:id="175" w:name="_Toc97016429"/>
      <w:r>
        <w:rPr>
          <w:rStyle w:val="CharSectno"/>
        </w:rPr>
        <w:t>46</w:t>
      </w:r>
      <w:r>
        <w:t>.</w:t>
      </w:r>
      <w:r>
        <w:tab/>
        <w:t>False or misleading statements in notices etc., offence</w:t>
      </w:r>
      <w:bookmarkEnd w:id="174"/>
      <w:bookmarkEnd w:id="175"/>
    </w:p>
    <w:p>
      <w:pPr>
        <w:pStyle w:val="Subsection"/>
      </w:pPr>
      <w:r>
        <w:tab/>
      </w:r>
      <w:r>
        <w:tab/>
        <w:t>A person who makes a statement or gives any information in a notice of intention, certificate of compliance or form given, or in a record kept,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Gazette 28 Jun 2004 p. 2421; amended: Gazette 29 Apr 2016 p. 1345; 18 Oct 2019 p. 3676.]</w:t>
      </w:r>
    </w:p>
    <w:p>
      <w:pPr>
        <w:pStyle w:val="Heading2"/>
      </w:pPr>
      <w:bookmarkStart w:id="176" w:name="_Toc97633022"/>
      <w:bookmarkStart w:id="177" w:name="_Toc97633198"/>
      <w:bookmarkStart w:id="178" w:name="_Toc97016266"/>
      <w:bookmarkStart w:id="179" w:name="_Toc97016430"/>
      <w:r>
        <w:rPr>
          <w:rStyle w:val="CharPartNo"/>
        </w:rPr>
        <w:t>Part 6</w:t>
      </w:r>
      <w:r>
        <w:rPr>
          <w:rStyle w:val="CharDivNo"/>
        </w:rPr>
        <w:t> </w:t>
      </w:r>
      <w:r>
        <w:t>—</w:t>
      </w:r>
      <w:r>
        <w:rPr>
          <w:rStyle w:val="CharDivText"/>
        </w:rPr>
        <w:t> </w:t>
      </w:r>
      <w:r>
        <w:rPr>
          <w:rStyle w:val="CharPartText"/>
        </w:rPr>
        <w:t>Plumbing standards</w:t>
      </w:r>
      <w:bookmarkEnd w:id="176"/>
      <w:bookmarkEnd w:id="177"/>
      <w:bookmarkEnd w:id="178"/>
      <w:bookmarkEnd w:id="179"/>
    </w:p>
    <w:p>
      <w:pPr>
        <w:pStyle w:val="Footnoteheading"/>
      </w:pPr>
      <w:r>
        <w:tab/>
        <w:t>[Heading inserted: Gazette 24 Apr 2015 p. 1499.]</w:t>
      </w:r>
    </w:p>
    <w:p>
      <w:pPr>
        <w:pStyle w:val="Ednotesection"/>
      </w:pPr>
      <w:r>
        <w:t>[</w:t>
      </w:r>
      <w:r>
        <w:rPr>
          <w:b/>
        </w:rPr>
        <w:t>47.</w:t>
      </w:r>
      <w:r>
        <w:tab/>
        <w:t>Deleted: SL 2020/132 r. 6.]</w:t>
      </w:r>
    </w:p>
    <w:p>
      <w:pPr>
        <w:pStyle w:val="Heading5"/>
      </w:pPr>
      <w:bookmarkStart w:id="180" w:name="_Toc97633199"/>
      <w:bookmarkStart w:id="181" w:name="_Toc97016431"/>
      <w:r>
        <w:rPr>
          <w:rStyle w:val="CharSectno"/>
        </w:rPr>
        <w:t>48</w:t>
      </w:r>
      <w:r>
        <w:t>.</w:t>
      </w:r>
      <w:r>
        <w:tab/>
        <w:t>Plumbing standards</w:t>
      </w:r>
      <w:bookmarkEnd w:id="180"/>
      <w:bookmarkEnd w:id="181"/>
    </w:p>
    <w:p>
      <w:pPr>
        <w:pStyle w:val="Subsection"/>
      </w:pPr>
      <w:r>
        <w:tab/>
        <w:t>(1)</w:t>
      </w:r>
      <w:r>
        <w:tab/>
        <w:t xml:space="preserve">The standards that apply to plumbing and plumbing work </w:t>
      </w:r>
      <w:r>
        <w:rPr>
          <w:spacing w:val="28"/>
        </w:rPr>
        <w:t>(</w:t>
      </w:r>
      <w:r>
        <w:rPr>
          <w:rStyle w:val="CharDefText"/>
        </w:rPr>
        <w:t>plumbing standards</w:t>
      </w:r>
      <w:r>
        <w:t xml:space="preserve">) are — </w:t>
      </w:r>
    </w:p>
    <w:p>
      <w:pPr>
        <w:pStyle w:val="Indenta"/>
      </w:pPr>
      <w:r>
        <w:tab/>
        <w:t>(a)</w:t>
      </w:r>
      <w:r>
        <w:tab/>
        <w:t>the requirements set out in subregulation (2), subject to the modifications in regulation 49; and</w:t>
      </w:r>
    </w:p>
    <w:p>
      <w:pPr>
        <w:pStyle w:val="Indenta"/>
      </w:pPr>
      <w:r>
        <w:tab/>
        <w:t>(b)</w:t>
      </w:r>
      <w:r>
        <w:tab/>
        <w:t>if the plumbing and plumbing work is work to which a provision of Part 6A applies — the requirements set out in the provision.</w:t>
      </w:r>
    </w:p>
    <w:p>
      <w:pPr>
        <w:pStyle w:val="Subsection"/>
      </w:pPr>
      <w:r>
        <w:tab/>
        <w:t>(2)</w:t>
      </w:r>
      <w:r>
        <w:tab/>
        <w:t xml:space="preserve">For the purposes of subregulation (1)(a), the requirements are those — </w:t>
      </w:r>
    </w:p>
    <w:p>
      <w:pPr>
        <w:pStyle w:val="Indenta"/>
      </w:pPr>
      <w:r>
        <w:tab/>
        <w:t>(a)</w:t>
      </w:r>
      <w:r>
        <w:tab/>
        <w:t xml:space="preserve">set out in the following provisions of the Plumbing Code — </w:t>
      </w:r>
    </w:p>
    <w:p>
      <w:pPr>
        <w:pStyle w:val="Indenti"/>
      </w:pPr>
      <w:r>
        <w:tab/>
        <w:t>(i)</w:t>
      </w:r>
      <w:r>
        <w:tab/>
        <w:t xml:space="preserve">Section A; </w:t>
      </w:r>
    </w:p>
    <w:p>
      <w:pPr>
        <w:pStyle w:val="Indenti"/>
      </w:pPr>
      <w:r>
        <w:tab/>
        <w:t>(ii)</w:t>
      </w:r>
      <w:r>
        <w:tab/>
        <w:t>Parts B1, B2 (other than Part B2.4), B3, B4 and B5;</w:t>
      </w:r>
    </w:p>
    <w:p>
      <w:pPr>
        <w:pStyle w:val="Indenti"/>
        <w:rPr>
          <w:rStyle w:val="DraftersNotes"/>
        </w:rPr>
      </w:pPr>
      <w:r>
        <w:tab/>
        <w:t>(iii)</w:t>
      </w:r>
      <w:r>
        <w:tab/>
        <w:t>Section C;</w:t>
      </w:r>
    </w:p>
    <w:p>
      <w:pPr>
        <w:pStyle w:val="Indenta"/>
      </w:pPr>
      <w:r>
        <w:tab/>
      </w:r>
      <w:r>
        <w:tab/>
        <w:t>and</w:t>
      </w:r>
    </w:p>
    <w:p>
      <w:pPr>
        <w:pStyle w:val="Indenta"/>
      </w:pPr>
      <w:r>
        <w:tab/>
        <w:t>(b)</w:t>
      </w:r>
      <w:r>
        <w:tab/>
        <w:t xml:space="preserve">that relate to — </w:t>
      </w:r>
    </w:p>
    <w:p>
      <w:pPr>
        <w:pStyle w:val="Indenti"/>
      </w:pPr>
      <w:r>
        <w:tab/>
        <w:t>(i)</w:t>
      </w:r>
      <w:r>
        <w:tab/>
        <w:t>water supply plumbing or water supply plumbing work; or</w:t>
      </w:r>
    </w:p>
    <w:p>
      <w:pPr>
        <w:pStyle w:val="Indenti"/>
      </w:pPr>
      <w:r>
        <w:tab/>
        <w:t>(ii)</w:t>
      </w:r>
      <w:r>
        <w:tab/>
        <w:t>sanitary plumbing or sanitary plumbing work; or</w:t>
      </w:r>
    </w:p>
    <w:p>
      <w:pPr>
        <w:pStyle w:val="Indenti"/>
      </w:pPr>
      <w:r>
        <w:tab/>
        <w:t>(iii)</w:t>
      </w:r>
      <w:r>
        <w:tab/>
        <w:t>drainage plumbing or drainage plumbing work.</w:t>
      </w:r>
    </w:p>
    <w:p>
      <w:pPr>
        <w:pStyle w:val="Footnotesection"/>
      </w:pPr>
      <w:r>
        <w:tab/>
        <w:t>[Regulation 48 inserted: SL 2020/132 r. 6.]</w:t>
      </w:r>
    </w:p>
    <w:p>
      <w:pPr>
        <w:pStyle w:val="Heading5"/>
      </w:pPr>
      <w:bookmarkStart w:id="182" w:name="_Toc97633200"/>
      <w:bookmarkStart w:id="183" w:name="_Toc97016432"/>
      <w:r>
        <w:rPr>
          <w:rStyle w:val="CharSectno"/>
        </w:rPr>
        <w:t>49</w:t>
      </w:r>
      <w:r>
        <w:t>.</w:t>
      </w:r>
      <w:r>
        <w:tab/>
        <w:t>Modifications to Plumbing Code</w:t>
      </w:r>
      <w:bookmarkEnd w:id="182"/>
      <w:bookmarkEnd w:id="183"/>
    </w:p>
    <w:p>
      <w:pPr>
        <w:pStyle w:val="Ednotesubsection"/>
        <w:keepNext/>
      </w:pPr>
      <w:r>
        <w:tab/>
        <w:t>[(1)</w:t>
      </w:r>
      <w:r>
        <w:tab/>
        <w:t>deleted]</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2.4.1</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 and insert:</w:t>
            </w:r>
          </w:p>
          <w:p>
            <w:pPr>
              <w:pStyle w:val="BlankOpen"/>
            </w:pPr>
          </w:p>
          <w:p>
            <w:pPr>
              <w:pStyle w:val="TableNAm"/>
              <w:ind w:left="592" w:hanging="592"/>
              <w:rPr>
                <w:sz w:val="22"/>
                <w:szCs w:val="22"/>
              </w:rPr>
            </w:pPr>
            <w:r>
              <w:rPr>
                <w:sz w:val="22"/>
                <w:szCs w:val="22"/>
              </w:rPr>
              <w:t>(a)</w:t>
            </w:r>
            <w:r>
              <w:rPr>
                <w:sz w:val="22"/>
                <w:szCs w:val="22"/>
              </w:rPr>
              <w:tab/>
              <w:t xml:space="preserve">Bends in pipes shall — </w:t>
            </w:r>
          </w:p>
          <w:p>
            <w:pPr>
              <w:pStyle w:val="TableNAm"/>
              <w:tabs>
                <w:tab w:val="left" w:pos="1136"/>
              </w:tabs>
              <w:ind w:left="1162" w:hanging="1162"/>
              <w:rPr>
                <w:sz w:val="22"/>
                <w:szCs w:val="22"/>
              </w:rPr>
            </w:pPr>
            <w:r>
              <w:rPr>
                <w:sz w:val="22"/>
                <w:szCs w:val="22"/>
              </w:rPr>
              <w:tab/>
              <w:t>(i)</w:t>
            </w:r>
            <w:r>
              <w:rPr>
                <w:sz w:val="22"/>
                <w:szCs w:val="22"/>
              </w:rPr>
              <w:tab/>
              <w:t>have a throat radius complying with AS/NZS 1260:2017 (PVC</w:t>
            </w:r>
            <w:r>
              <w:rPr>
                <w:sz w:val="22"/>
                <w:szCs w:val="22"/>
              </w:rPr>
              <w:noBreakHyphen/>
              <w:t>U pipes and fittings for drain, waste and vent applications) Table 5.6 and Figure B6; and</w:t>
            </w:r>
          </w:p>
          <w:p>
            <w:pPr>
              <w:pStyle w:val="TableNAm"/>
              <w:tabs>
                <w:tab w:val="left" w:pos="1136"/>
              </w:tabs>
              <w:ind w:left="1162" w:hanging="1162"/>
              <w:rPr>
                <w:sz w:val="22"/>
                <w:szCs w:val="22"/>
              </w:rPr>
            </w:pPr>
            <w:r>
              <w:rPr>
                <w:sz w:val="22"/>
                <w:szCs w:val="22"/>
              </w:rPr>
              <w:tab/>
              <w:t>(ii)</w:t>
            </w:r>
            <w:r>
              <w:rPr>
                <w:sz w:val="22"/>
                <w:szCs w:val="22"/>
              </w:rPr>
              <w:tab/>
              <w:t>be free from wrinkling and flattening.</w:t>
            </w:r>
          </w:p>
          <w:p>
            <w:pPr>
              <w:pStyle w:val="BlankClose"/>
            </w:pPr>
          </w:p>
        </w:tc>
      </w:tr>
      <w:tr>
        <w:tc>
          <w:tcPr>
            <w:tcW w:w="2279" w:type="dxa"/>
            <w:tcBorders>
              <w:top w:val="single" w:sz="4" w:space="0" w:color="auto"/>
              <w:bottom w:val="single" w:sz="4" w:space="0" w:color="auto"/>
            </w:tcBorders>
          </w:tcPr>
          <w:p>
            <w:pPr>
              <w:pStyle w:val="TableNAm"/>
              <w:rPr>
                <w:sz w:val="22"/>
                <w:szCs w:val="22"/>
              </w:rPr>
            </w:pPr>
            <w:r>
              <w:rPr>
                <w:sz w:val="22"/>
                <w:szCs w:val="22"/>
              </w:rPr>
              <w:t>Clause 3.8.2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rStyle w:val="DraftersNotes"/>
                <w:b w:val="0"/>
                <w:i w:val="0"/>
                <w:sz w:val="22"/>
                <w:szCs w:val="22"/>
              </w:rPr>
            </w:pPr>
            <w:r>
              <w:rPr>
                <w:sz w:val="22"/>
                <w:szCs w:val="22"/>
              </w:rPr>
              <w:t>(b)</w:t>
            </w:r>
            <w:r>
              <w:rPr>
                <w:sz w:val="22"/>
                <w:szCs w:val="22"/>
              </w:rPr>
              <w:tab/>
              <w:t xml:space="preserve">the drains laid through footings shall be installed with an annular space of not less than 25 mm filled with a liner of flexible material. However, the drains need not be installed in such a way if the drains are installed in a building that is — </w:t>
            </w:r>
          </w:p>
          <w:p>
            <w:pPr>
              <w:pStyle w:val="TableNAm"/>
              <w:tabs>
                <w:tab w:val="left" w:pos="1136"/>
              </w:tabs>
              <w:ind w:left="1162" w:hanging="1162"/>
              <w:rPr>
                <w:sz w:val="22"/>
                <w:szCs w:val="22"/>
              </w:rPr>
            </w:pPr>
            <w:r>
              <w:rPr>
                <w:sz w:val="22"/>
                <w:szCs w:val="22"/>
              </w:rPr>
              <w:tab/>
              <w:t>(i)</w:t>
            </w:r>
            <w:r>
              <w:rPr>
                <w:sz w:val="22"/>
                <w:szCs w:val="22"/>
              </w:rPr>
              <w:tab/>
              <w:t xml:space="preserve">classified as a Class 1a or 10a building under Volume 1 and 2 of the National Construction Code; and </w:t>
            </w:r>
          </w:p>
          <w:p>
            <w:pPr>
              <w:pStyle w:val="TableNAm"/>
              <w:tabs>
                <w:tab w:val="left" w:pos="1136"/>
              </w:tabs>
              <w:ind w:left="1162" w:hanging="1162"/>
              <w:rPr>
                <w:rStyle w:val="DraftersNotes"/>
                <w:b w:val="0"/>
                <w:i w:val="0"/>
                <w:sz w:val="22"/>
                <w:szCs w:val="22"/>
              </w:rPr>
            </w:pPr>
            <w:r>
              <w:rPr>
                <w:sz w:val="22"/>
                <w:szCs w:val="22"/>
              </w:rPr>
              <w:tab/>
              <w:t>(ii)</w:t>
            </w:r>
            <w:r>
              <w:rPr>
                <w:sz w:val="22"/>
                <w:szCs w:val="22"/>
              </w:rPr>
              <w:tab/>
              <w:t>in sandy soil classified as Class ‘A’ within the meaning of AS 2870</w:t>
            </w:r>
            <w:r>
              <w:rPr>
                <w:sz w:val="22"/>
                <w:szCs w:val="22"/>
              </w:rPr>
              <w:noBreakHyphen/>
              <w:t>2011 (Residential slabs and footings).</w:t>
            </w:r>
          </w:p>
          <w:p>
            <w:pPr>
              <w:pStyle w:val="BlankClose"/>
              <w:rPr>
                <w:sz w:val="22"/>
                <w:szCs w:val="22"/>
              </w:rPr>
            </w:pPr>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r>
              <w:rPr>
                <w:sz w:val="22"/>
                <w:szCs w:val="22"/>
              </w:rPr>
              <w:t>Delete paragraph (d) and insert:</w:t>
            </w:r>
          </w:p>
          <w:p>
            <w:pPr>
              <w:pStyle w:val="BlankOpen"/>
              <w:rPr>
                <w:sz w:val="22"/>
                <w:szCs w:val="22"/>
              </w:rPr>
            </w:pP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 xml:space="preserve">A vacuum sewer system DN 100 downstream vent shall be connected on the main drain — </w:t>
            </w:r>
          </w:p>
          <w:p>
            <w:pPr>
              <w:pStyle w:val="TableNAm"/>
              <w:tabs>
                <w:tab w:val="left" w:pos="1136"/>
              </w:tabs>
              <w:ind w:left="1162" w:hanging="1162"/>
              <w:rPr>
                <w:sz w:val="22"/>
                <w:szCs w:val="22"/>
              </w:rPr>
            </w:pPr>
            <w:r>
              <w:rPr>
                <w:sz w:val="22"/>
                <w:szCs w:val="22"/>
              </w:rPr>
              <w:tab/>
              <w:t>(i)</w:t>
            </w:r>
            <w:r>
              <w:rPr>
                <w:sz w:val="22"/>
                <w:szCs w:val="22"/>
              </w:rPr>
              <w:tab/>
              <w:t xml:space="preserve">before or on the inspection shaft riser; and </w:t>
            </w:r>
          </w:p>
          <w:p>
            <w:pPr>
              <w:pStyle w:val="TableNAm"/>
              <w:tabs>
                <w:tab w:val="left" w:pos="1136"/>
              </w:tabs>
              <w:ind w:left="1162" w:hanging="1162"/>
              <w:rPr>
                <w:sz w:val="22"/>
                <w:szCs w:val="22"/>
              </w:rPr>
            </w:pPr>
            <w:r>
              <w:rPr>
                <w:sz w:val="22"/>
                <w:szCs w:val="22"/>
              </w:rPr>
              <w:tab/>
              <w:t>(ii)</w:t>
            </w:r>
            <w:r>
              <w:rPr>
                <w:sz w:val="22"/>
                <w:szCs w:val="22"/>
              </w:rPr>
              <w:tab/>
              <w:t>after the last fixture on the main drain.</w:t>
            </w:r>
          </w:p>
          <w:p>
            <w:pPr>
              <w:pStyle w:val="TableNAm"/>
              <w:ind w:left="592" w:hanging="592"/>
              <w:rPr>
                <w:rStyle w:val="DraftersNotes"/>
                <w:b w:val="0"/>
                <w:i w:val="0"/>
                <w:sz w:val="22"/>
                <w:szCs w:val="22"/>
              </w:rPr>
            </w:pPr>
            <w:r>
              <w:rPr>
                <w:sz w:val="22"/>
                <w:szCs w:val="22"/>
              </w:rPr>
              <w:tab/>
              <w:t>The vacuum sewer system DN 100 downstream vent should be connected as close as possible to the inspection shaft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 xml:space="preserve">Vacuum sewer system and boundary trap low level vents shall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BlankClose"/>
              <w:rPr>
                <w:sz w:val="22"/>
                <w:szCs w:val="22"/>
              </w:rPr>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4.5.3</w:t>
            </w:r>
          </w:p>
        </w:tc>
        <w:tc>
          <w:tcPr>
            <w:tcW w:w="3969" w:type="dxa"/>
            <w:tcBorders>
              <w:top w:val="single" w:sz="4" w:space="0" w:color="auto"/>
              <w:bottom w:val="single" w:sz="4" w:space="0" w:color="auto"/>
            </w:tcBorders>
          </w:tcPr>
          <w:p>
            <w:pPr>
              <w:pStyle w:val="TableNAm"/>
              <w:tabs>
                <w:tab w:val="left" w:pos="1136"/>
              </w:tabs>
              <w:ind w:left="1162" w:hanging="1162"/>
              <w:rPr>
                <w:sz w:val="22"/>
                <w:szCs w:val="22"/>
              </w:rPr>
            </w:pPr>
            <w:r>
              <w:rPr>
                <w:sz w:val="22"/>
                <w:szCs w:val="22"/>
              </w:rPr>
              <w:t>At the end of the clause insert:</w:t>
            </w:r>
          </w:p>
          <w:p>
            <w:pPr>
              <w:pStyle w:val="BlankOpen"/>
              <w:rPr>
                <w:sz w:val="22"/>
                <w:szCs w:val="22"/>
              </w:rPr>
            </w:pPr>
          </w:p>
          <w:p>
            <w:pPr>
              <w:pStyle w:val="TableNAm"/>
              <w:tabs>
                <w:tab w:val="left" w:pos="1136"/>
              </w:tabs>
              <w:spacing w:before="0"/>
              <w:rPr>
                <w:sz w:val="22"/>
                <w:szCs w:val="22"/>
              </w:rPr>
            </w:pPr>
            <w:r>
              <w:rPr>
                <w:sz w:val="22"/>
                <w:szCs w:val="22"/>
              </w:rPr>
              <w:t xml:space="preserve">However, if the reflux valve is being installed in relation to an existing building, the reflux valve may be installed upstream from the inspection shaft or boundary trap. </w:t>
            </w:r>
          </w:p>
          <w:p>
            <w:pPr>
              <w:pStyle w:val="BlankClose"/>
              <w:rPr>
                <w:sz w:val="22"/>
                <w:szCs w:val="22"/>
              </w:rPr>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in relation to a class 1a or class 10a building within the meaning of Volume 1 and 2 of the National Construction Code</w:t>
            </w:r>
            <w:r>
              <w:t xml:space="preserve"> — </w:t>
            </w:r>
            <w:r>
              <w:rPr>
                <w:sz w:val="22"/>
                <w:szCs w:val="22"/>
              </w:rPr>
              <w:t>have the height of the gully riser not more than 600 mm measured from the top of the water seal to the grate of the gully.</w:t>
            </w:r>
          </w:p>
          <w:p>
            <w:pPr>
              <w:pStyle w:val="BlankClose"/>
            </w:pPr>
          </w:p>
        </w:tc>
      </w:tr>
      <w:tr>
        <w:trPr>
          <w:cantSplit/>
        </w:trPr>
        <w:tc>
          <w:tcPr>
            <w:tcW w:w="2279" w:type="dxa"/>
            <w:tcBorders>
              <w:bottom w:val="single" w:sz="4" w:space="0" w:color="auto"/>
            </w:tcBorders>
          </w:tcPr>
          <w:p>
            <w:pPr>
              <w:pStyle w:val="TableNAm"/>
              <w:rPr>
                <w:sz w:val="22"/>
                <w:szCs w:val="22"/>
              </w:rPr>
            </w:pPr>
            <w:r>
              <w:rPr>
                <w:sz w:val="22"/>
                <w:szCs w:val="22"/>
              </w:rPr>
              <w:t>Table 4.6.6.6</w:t>
            </w:r>
          </w:p>
        </w:tc>
        <w:tc>
          <w:tcPr>
            <w:tcW w:w="3969" w:type="dxa"/>
            <w:tcBorders>
              <w:bottom w:val="single" w:sz="4" w:space="0" w:color="auto"/>
            </w:tcBorders>
          </w:tcPr>
          <w:p>
            <w:pPr>
              <w:pStyle w:val="TableNAm"/>
              <w:rPr>
                <w:sz w:val="22"/>
                <w:szCs w:val="22"/>
              </w:rPr>
            </w:pPr>
            <w:r>
              <w:rPr>
                <w:sz w:val="22"/>
                <w:szCs w:val="22"/>
              </w:rPr>
              <w:t>Delete the table and insert:</w:t>
            </w:r>
          </w:p>
          <w:p>
            <w:pPr>
              <w:pStyle w:val="TableNAm"/>
              <w:jc w:val="center"/>
              <w:rPr>
                <w:sz w:val="22"/>
                <w:szCs w:val="22"/>
              </w:rPr>
            </w:pPr>
          </w:p>
          <w:p>
            <w:pPr>
              <w:pStyle w:val="TableNAm"/>
              <w:jc w:val="center"/>
              <w:rPr>
                <w:b/>
                <w:sz w:val="22"/>
                <w:szCs w:val="22"/>
              </w:rPr>
            </w:pPr>
            <w:r>
              <w:rPr>
                <w:b/>
                <w:sz w:val="22"/>
                <w:szCs w:val="22"/>
              </w:rPr>
              <w:t>TABLE 4.6.6.6</w:t>
            </w:r>
          </w:p>
          <w:p>
            <w:pPr>
              <w:pStyle w:val="TableNAm"/>
              <w:jc w:val="center"/>
              <w:rPr>
                <w:b/>
                <w:sz w:val="22"/>
                <w:szCs w:val="22"/>
              </w:rPr>
            </w:pPr>
            <w:r>
              <w:rPr>
                <w:b/>
                <w:sz w:val="22"/>
                <w:szCs w:val="22"/>
              </w:rPr>
              <w:t>POINT OF MEASUREMENT ON FIXTURES FOR HEIGHT ABOVE OVERFLOW GULLY</w:t>
            </w:r>
          </w:p>
          <w:tbl>
            <w:tblPr>
              <w:tblW w:w="3980" w:type="dxa"/>
              <w:tblInd w:w="34" w:type="dxa"/>
              <w:tblLayout w:type="fixed"/>
              <w:tblLook w:val="0000" w:firstRow="0" w:lastRow="0" w:firstColumn="0" w:lastColumn="0" w:noHBand="0" w:noVBand="0"/>
            </w:tblPr>
            <w:tblGrid>
              <w:gridCol w:w="1570"/>
              <w:gridCol w:w="2410"/>
            </w:tblGrid>
            <w:tr>
              <w:trPr>
                <w:cantSplit/>
                <w:tblHeader/>
              </w:trPr>
              <w:tc>
                <w:tcPr>
                  <w:tcW w:w="1570" w:type="dxa"/>
                  <w:tcBorders>
                    <w:top w:val="single" w:sz="4" w:space="0" w:color="auto"/>
                    <w:bottom w:val="single" w:sz="4" w:space="0" w:color="auto"/>
                    <w:right w:val="single" w:sz="4" w:space="0" w:color="auto"/>
                  </w:tcBorders>
                </w:tcPr>
                <w:p>
                  <w:pPr>
                    <w:pStyle w:val="TableNAm"/>
                    <w:keepNext/>
                    <w:keepLines/>
                    <w:tabs>
                      <w:tab w:val="left" w:pos="247"/>
                    </w:tabs>
                    <w:jc w:val="center"/>
                    <w:rPr>
                      <w:b/>
                      <w:sz w:val="22"/>
                      <w:szCs w:val="22"/>
                    </w:rPr>
                  </w:pPr>
                  <w:r>
                    <w:rPr>
                      <w:b/>
                      <w:sz w:val="22"/>
                      <w:szCs w:val="22"/>
                    </w:rPr>
                    <w:t>Fixture</w:t>
                  </w:r>
                </w:p>
              </w:tc>
              <w:tc>
                <w:tcPr>
                  <w:tcW w:w="2410" w:type="dxa"/>
                  <w:tcBorders>
                    <w:top w:val="single" w:sz="4" w:space="0" w:color="auto"/>
                    <w:left w:val="single" w:sz="4" w:space="0" w:color="auto"/>
                    <w:bottom w:val="single" w:sz="4" w:space="0" w:color="auto"/>
                  </w:tcBorders>
                </w:tcPr>
                <w:p>
                  <w:pPr>
                    <w:pStyle w:val="TableNAm"/>
                    <w:keepNext/>
                    <w:keepLines/>
                    <w:tabs>
                      <w:tab w:val="left" w:pos="247"/>
                    </w:tabs>
                    <w:jc w:val="center"/>
                    <w:rPr>
                      <w:b/>
                      <w:sz w:val="22"/>
                      <w:szCs w:val="22"/>
                    </w:rPr>
                  </w:pPr>
                  <w:r>
                    <w:rPr>
                      <w:b/>
                      <w:sz w:val="22"/>
                      <w:szCs w:val="22"/>
                    </w:rPr>
                    <w:t>Point of measurement</w:t>
                  </w:r>
                </w:p>
              </w:tc>
            </w:tr>
            <w:tr>
              <w:trPr>
                <w:cantSplit/>
              </w:trPr>
              <w:tc>
                <w:tcPr>
                  <w:tcW w:w="1570" w:type="dxa"/>
                  <w:tcBorders>
                    <w:bottom w:val="single" w:sz="4" w:space="0" w:color="auto"/>
                    <w:right w:val="single" w:sz="4" w:space="0" w:color="auto"/>
                  </w:tcBorders>
                </w:tcPr>
                <w:p>
                  <w:pPr>
                    <w:pStyle w:val="TableNAm"/>
                    <w:tabs>
                      <w:tab w:val="left" w:pos="247"/>
                    </w:tabs>
                    <w:rPr>
                      <w:sz w:val="22"/>
                      <w:szCs w:val="22"/>
                    </w:rPr>
                  </w:pPr>
                  <w:r>
                    <w:rPr>
                      <w:sz w:val="22"/>
                      <w:szCs w:val="22"/>
                    </w:rPr>
                    <w:t>Floor waste gully</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Top surface level of the grate</w:t>
                  </w:r>
                </w:p>
              </w:tc>
            </w:tr>
            <w:tr>
              <w:trPr>
                <w:cantSplit/>
              </w:trPr>
              <w:tc>
                <w:tcPr>
                  <w:tcW w:w="1570" w:type="dxa"/>
                  <w:tcBorders>
                    <w:top w:val="single" w:sz="4" w:space="0" w:color="auto"/>
                    <w:bottom w:val="single" w:sz="4" w:space="0" w:color="auto"/>
                    <w:right w:val="single" w:sz="4" w:space="0" w:color="auto"/>
                  </w:tcBorders>
                </w:tcPr>
                <w:p>
                  <w:pPr>
                    <w:pStyle w:val="TableNAm"/>
                    <w:tabs>
                      <w:tab w:val="left" w:pos="247"/>
                    </w:tabs>
                    <w:rPr>
                      <w:sz w:val="22"/>
                      <w:szCs w:val="22"/>
                    </w:rPr>
                  </w:pPr>
                  <w:r>
                    <w:rPr>
                      <w:sz w:val="22"/>
                      <w:szCs w:val="22"/>
                    </w:rPr>
                    <w:t>All other fixtures (including greywater diversion devices)</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Overflow level of the fixture</w:t>
                  </w:r>
                </w:p>
              </w:tc>
            </w:tr>
          </w:tbl>
          <w:p>
            <w:pPr>
              <w:pStyle w:val="TableNAm"/>
              <w:jc w:val="center"/>
              <w:rPr>
                <w:sz w:val="22"/>
                <w:szCs w:val="22"/>
              </w:rPr>
            </w:pP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4.7.1</w:t>
            </w:r>
          </w:p>
        </w:tc>
        <w:tc>
          <w:tcPr>
            <w:tcW w:w="3969" w:type="dxa"/>
            <w:tcBorders>
              <w:bottom w:val="single" w:sz="4" w:space="0" w:color="auto"/>
            </w:tcBorders>
          </w:tcPr>
          <w:p>
            <w:pPr>
              <w:pStyle w:val="TableNAm"/>
              <w:rPr>
                <w:sz w:val="22"/>
                <w:szCs w:val="22"/>
              </w:rPr>
            </w:pPr>
            <w:r>
              <w:rPr>
                <w:sz w:val="22"/>
                <w:szCs w:val="22"/>
              </w:rPr>
              <w:t>Delete paragraph (c) and insert:</w:t>
            </w:r>
          </w:p>
          <w:p>
            <w:pPr>
              <w:pStyle w:val="TableNAm"/>
              <w:rPr>
                <w:sz w:val="22"/>
                <w:szCs w:val="22"/>
              </w:rPr>
            </w:pPr>
          </w:p>
          <w:p>
            <w:pPr>
              <w:pStyle w:val="TableNAm"/>
              <w:ind w:left="601" w:hanging="601"/>
              <w:rPr>
                <w:rStyle w:val="DraftersNotes"/>
                <w:b w:val="0"/>
                <w:i w:val="0"/>
                <w:sz w:val="22"/>
                <w:szCs w:val="22"/>
              </w:rPr>
            </w:pPr>
            <w:r>
              <w:rPr>
                <w:sz w:val="22"/>
                <w:szCs w:val="22"/>
              </w:rPr>
              <w:t>(c)</w:t>
            </w:r>
            <w:r>
              <w:rPr>
                <w:sz w:val="22"/>
                <w:szCs w:val="22"/>
              </w:rPr>
              <w:tab/>
              <w:t>on the downstream end of any branch drain that exits a building, between the building and the junction into the main drain;</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6.5.1</w:t>
            </w:r>
          </w:p>
        </w:tc>
        <w:tc>
          <w:tcPr>
            <w:tcW w:w="3969" w:type="dxa"/>
            <w:tcBorders>
              <w:bottom w:val="single" w:sz="4" w:space="0" w:color="auto"/>
            </w:tcBorders>
          </w:tcPr>
          <w:p>
            <w:pPr>
              <w:pStyle w:val="TableNAm"/>
              <w:rPr>
                <w:sz w:val="22"/>
                <w:szCs w:val="22"/>
              </w:rPr>
            </w:pPr>
            <w:r>
              <w:rPr>
                <w:sz w:val="22"/>
                <w:szCs w:val="22"/>
              </w:rPr>
              <w:t>Delete the clause and insert:</w:t>
            </w:r>
          </w:p>
          <w:p>
            <w:pPr>
              <w:pStyle w:val="TableNAm"/>
              <w:rPr>
                <w:sz w:val="22"/>
                <w:szCs w:val="22"/>
              </w:rPr>
            </w:pPr>
          </w:p>
          <w:p>
            <w:pPr>
              <w:pStyle w:val="TableNAm"/>
              <w:ind w:left="601" w:hanging="601"/>
              <w:rPr>
                <w:b/>
                <w:sz w:val="22"/>
                <w:szCs w:val="22"/>
              </w:rPr>
            </w:pPr>
            <w:r>
              <w:rPr>
                <w:b/>
                <w:sz w:val="22"/>
                <w:szCs w:val="22"/>
              </w:rPr>
              <w:t>6.5.1</w:t>
            </w:r>
            <w:r>
              <w:rPr>
                <w:b/>
                <w:sz w:val="22"/>
                <w:szCs w:val="22"/>
              </w:rPr>
              <w:tab/>
              <w:t>General</w:t>
            </w:r>
          </w:p>
          <w:p>
            <w:pPr>
              <w:pStyle w:val="TableNAm"/>
              <w:rPr>
                <w:sz w:val="22"/>
                <w:szCs w:val="22"/>
              </w:rPr>
            </w:pPr>
            <w:r>
              <w:rPr>
                <w:sz w:val="22"/>
                <w:szCs w:val="22"/>
              </w:rPr>
              <w:t>Each sanitary fixture and appliance shall have a trap or self</w:t>
            </w:r>
            <w:r>
              <w:rPr>
                <w:sz w:val="22"/>
                <w:szCs w:val="22"/>
              </w:rPr>
              <w:noBreakHyphen/>
              <w:t xml:space="preserve">sealing device and be in the same room as the fixture and/or appliance that it serves. </w:t>
            </w:r>
          </w:p>
          <w:p>
            <w:pPr>
              <w:pStyle w:val="TableNAm"/>
              <w:rPr>
                <w:sz w:val="22"/>
                <w:szCs w:val="22"/>
              </w:rPr>
            </w:pPr>
            <w:r>
              <w:rPr>
                <w:sz w:val="22"/>
                <w:szCs w:val="22"/>
              </w:rPr>
              <w:t>Traps for sanitary fixtures that are buried in the ground or embedded in concrete in the same room as the fixture shall be installed directly below the fixture outlet. Self-sealing devices and traps with loose nuts and seals shall not be installed in the ground or concrete.</w:t>
            </w:r>
          </w:p>
          <w:p>
            <w:pPr>
              <w:pStyle w:val="TableNAm"/>
              <w:rPr>
                <w:sz w:val="22"/>
                <w:szCs w:val="22"/>
              </w:rPr>
            </w:pPr>
            <w:r>
              <w:rPr>
                <w:sz w:val="22"/>
                <w:szCs w:val="22"/>
              </w:rPr>
              <w:t xml:space="preserve">All other fixture traps shall be installed in accessible locations. </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13.9</w:t>
            </w:r>
          </w:p>
        </w:tc>
        <w:tc>
          <w:tcPr>
            <w:tcW w:w="3969" w:type="dxa"/>
            <w:tcBorders>
              <w:bottom w:val="single" w:sz="4" w:space="0" w:color="auto"/>
            </w:tcBorders>
          </w:tcPr>
          <w:p>
            <w:pPr>
              <w:pStyle w:val="TableNAm"/>
              <w:rPr>
                <w:sz w:val="22"/>
                <w:szCs w:val="22"/>
              </w:rPr>
            </w:pPr>
            <w:r>
              <w:rPr>
                <w:sz w:val="22"/>
                <w:szCs w:val="22"/>
              </w:rPr>
              <w:t xml:space="preserve">Delete the passage that begins with “Where” and continues to the end of the clause. </w:t>
            </w:r>
          </w:p>
        </w:tc>
      </w:tr>
    </w:tbl>
    <w:p>
      <w:pPr>
        <w:pStyle w:val="Subsection"/>
      </w:pPr>
      <w:r>
        <w:tab/>
        <w:t>(3)</w:t>
      </w:r>
      <w:r>
        <w:tab/>
        <w:t>For the purposes of regulation 48, the modifications set out in the Table are made to AS/NZS 3500.4 (Heated water services) as referenced in the Plumbing Code.</w:t>
      </w:r>
    </w:p>
    <w:p>
      <w:pPr>
        <w:pStyle w:val="THeadingNAm"/>
      </w:pPr>
      <w:r>
        <w:t>Table</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3827"/>
      </w:tblGrid>
      <w:tr>
        <w:trPr>
          <w:cantSplit/>
          <w:tblHeader/>
        </w:trPr>
        <w:tc>
          <w:tcPr>
            <w:tcW w:w="2268" w:type="dxa"/>
            <w:tcBorders>
              <w:right w:val="nil"/>
            </w:tcBorders>
          </w:tcPr>
          <w:p>
            <w:pPr>
              <w:pStyle w:val="TableNAm"/>
            </w:pPr>
            <w:r>
              <w:rPr>
                <w:b/>
                <w:sz w:val="22"/>
                <w:szCs w:val="22"/>
              </w:rPr>
              <w:t>Provision</w:t>
            </w:r>
          </w:p>
        </w:tc>
        <w:tc>
          <w:tcPr>
            <w:tcW w:w="3827" w:type="dxa"/>
            <w:tcBorders>
              <w:left w:val="nil"/>
            </w:tcBorders>
          </w:tcPr>
          <w:p>
            <w:pPr>
              <w:pStyle w:val="TableNAm"/>
            </w:pPr>
            <w:r>
              <w:rPr>
                <w:b/>
                <w:sz w:val="22"/>
                <w:szCs w:val="22"/>
              </w:rPr>
              <w:t>Modification</w:t>
            </w:r>
          </w:p>
        </w:tc>
      </w:tr>
      <w:tr>
        <w:trPr>
          <w:cantSplit/>
        </w:trPr>
        <w:tc>
          <w:tcPr>
            <w:tcW w:w="2268" w:type="dxa"/>
            <w:tcBorders>
              <w:right w:val="nil"/>
            </w:tcBorders>
          </w:tcPr>
          <w:p>
            <w:pPr>
              <w:pStyle w:val="TableNAm"/>
            </w:pPr>
            <w:r>
              <w:rPr>
                <w:sz w:val="22"/>
                <w:szCs w:val="22"/>
              </w:rPr>
              <w:t>Clause </w:t>
            </w:r>
            <w:r>
              <w:t>1.11.2</w:t>
            </w:r>
          </w:p>
        </w:tc>
        <w:tc>
          <w:tcPr>
            <w:tcW w:w="3827" w:type="dxa"/>
            <w:tcBorders>
              <w:left w:val="nil"/>
            </w:tcBorders>
          </w:tcPr>
          <w:p>
            <w:pPr>
              <w:pStyle w:val="TableNAm"/>
              <w:rPr>
                <w:sz w:val="22"/>
                <w:szCs w:val="22"/>
              </w:rPr>
            </w:pPr>
            <w:r>
              <w:rPr>
                <w:sz w:val="22"/>
                <w:szCs w:val="22"/>
              </w:rPr>
              <w:t>After “installations” insert:</w:t>
            </w:r>
          </w:p>
          <w:p>
            <w:pPr>
              <w:pStyle w:val="BlankOpen"/>
            </w:pPr>
          </w:p>
          <w:p>
            <w:pPr>
              <w:pStyle w:val="TableNAm"/>
              <w:rPr>
                <w:sz w:val="22"/>
                <w:szCs w:val="22"/>
              </w:rPr>
            </w:pPr>
            <w:r>
              <w:rPr>
                <w:sz w:val="22"/>
                <w:szCs w:val="22"/>
              </w:rPr>
              <w:t>and replacement solar water heater installations</w:t>
            </w:r>
          </w:p>
        </w:tc>
      </w:tr>
      <w:tr>
        <w:trPr>
          <w:cantSplit/>
        </w:trPr>
        <w:tc>
          <w:tcPr>
            <w:tcW w:w="2268" w:type="dxa"/>
            <w:tcBorders>
              <w:right w:val="nil"/>
            </w:tcBorders>
          </w:tcPr>
          <w:p>
            <w:pPr>
              <w:pStyle w:val="TableNAm"/>
            </w:pPr>
            <w:r>
              <w:rPr>
                <w:sz w:val="22"/>
                <w:szCs w:val="22"/>
              </w:rPr>
              <w:t>Table 5.9.1(A)</w:t>
            </w:r>
          </w:p>
        </w:tc>
        <w:tc>
          <w:tcPr>
            <w:tcW w:w="3827" w:type="dxa"/>
            <w:tcBorders>
              <w:left w:val="nil"/>
            </w:tcBorders>
          </w:tcPr>
          <w:p>
            <w:pPr>
              <w:pStyle w:val="TableNAm"/>
            </w:pPr>
            <w:r>
              <w:rPr>
                <w:sz w:val="22"/>
                <w:szCs w:val="22"/>
              </w:rPr>
              <w:t>In the item relating to Expansion control valve (Australia)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“See Note 1 of Clause 5.8” and insert:</w:t>
            </w:r>
          </w:p>
          <w:p>
            <w:pPr>
              <w:pStyle w:val="BlankOpen"/>
            </w:pPr>
          </w:p>
          <w:p>
            <w:pPr>
              <w:pStyle w:val="TableNAm"/>
            </w:pPr>
            <w:r>
              <w:rPr>
                <w:sz w:val="22"/>
                <w:szCs w:val="22"/>
              </w:rPr>
              <w:t>Yes</w:t>
            </w:r>
          </w:p>
        </w:tc>
      </w:tr>
    </w:tbl>
    <w:p>
      <w:pPr>
        <w:pStyle w:val="Ednotesubsection"/>
        <w:tabs>
          <w:tab w:val="clear" w:pos="595"/>
          <w:tab w:val="clear" w:pos="879"/>
          <w:tab w:val="left" w:pos="284"/>
        </w:tabs>
      </w:pPr>
      <w:r>
        <w:tab/>
        <w:t>[(4), (5) deleted]</w:t>
      </w:r>
    </w:p>
    <w:p>
      <w:pPr>
        <w:pStyle w:val="Footnotesection"/>
      </w:pPr>
      <w:r>
        <w:tab/>
        <w:t>[Regulation 49 inserted: Gazette 24 Apr 2015 p. 1500</w:t>
      </w:r>
      <w:r>
        <w:noBreakHyphen/>
        <w:t>12; amended: Gazette 29 Apr 2016 p. 1346; 13 Dec 2016 p. 5624</w:t>
      </w:r>
      <w:r>
        <w:noBreakHyphen/>
        <w:t>5; 9 Apr 2019 p. 1057</w:t>
      </w:r>
      <w:r>
        <w:noBreakHyphen/>
        <w:t>60.]</w:t>
      </w:r>
    </w:p>
    <w:p>
      <w:pPr>
        <w:pStyle w:val="Heading5"/>
      </w:pPr>
      <w:bookmarkStart w:id="184" w:name="_Toc97633201"/>
      <w:bookmarkStart w:id="185" w:name="_Toc97016433"/>
      <w:r>
        <w:rPr>
          <w:rStyle w:val="CharSectno"/>
        </w:rPr>
        <w:t>50</w:t>
      </w:r>
      <w:r>
        <w:t>.</w:t>
      </w:r>
      <w:r>
        <w:tab/>
        <w:t>Compliance with plumbing standards and standard of work</w:t>
      </w:r>
      <w:bookmarkEnd w:id="184"/>
      <w:bookmarkEnd w:id="185"/>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Gazette 24 Apr 2015 p. 1512.]</w:t>
      </w:r>
    </w:p>
    <w:p>
      <w:pPr>
        <w:pStyle w:val="Heading5"/>
      </w:pPr>
      <w:bookmarkStart w:id="186" w:name="_Toc97633202"/>
      <w:bookmarkStart w:id="187" w:name="_Toc97016434"/>
      <w:r>
        <w:rPr>
          <w:rStyle w:val="CharSectno"/>
        </w:rPr>
        <w:t>51</w:t>
      </w:r>
      <w:r>
        <w:t>.</w:t>
      </w:r>
      <w:r>
        <w:tab/>
        <w:t>Connecting unsafe plumbing</w:t>
      </w:r>
      <w:bookmarkEnd w:id="186"/>
      <w:bookmarkEnd w:id="187"/>
    </w:p>
    <w:p>
      <w:pPr>
        <w:pStyle w:val="Subsection"/>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Gazette 24 Apr 2015 p. 1512</w:t>
      </w:r>
      <w:r>
        <w:noBreakHyphen/>
        <w:t>13; amended: Gazette 29 Apr 2016 p. 1346.]</w:t>
      </w:r>
    </w:p>
    <w:p>
      <w:pPr>
        <w:pStyle w:val="Heading5"/>
      </w:pPr>
      <w:bookmarkStart w:id="188" w:name="_Toc97633203"/>
      <w:bookmarkStart w:id="189" w:name="_Toc97016435"/>
      <w:r>
        <w:rPr>
          <w:rStyle w:val="CharSectno"/>
        </w:rPr>
        <w:t>52</w:t>
      </w:r>
      <w:r>
        <w:t>.</w:t>
      </w:r>
      <w:r>
        <w:tab/>
        <w:t>Specifications not to be exceeded</w:t>
      </w:r>
      <w:bookmarkEnd w:id="188"/>
      <w:bookmarkEnd w:id="189"/>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for this subregulation: a fine of $5 000.</w:t>
      </w:r>
    </w:p>
    <w:p>
      <w:pPr>
        <w:pStyle w:val="Subsection"/>
      </w:pPr>
      <w:r>
        <w:tab/>
        <w:t>(2)</w:t>
      </w:r>
      <w:r>
        <w:tab/>
        <w:t>Subregulation (1) does not apply if the manufacturers specifications for installation or operating conditions are inconsistent with the plumbing standards that apply to the plumbing.</w:t>
      </w:r>
    </w:p>
    <w:p>
      <w:pPr>
        <w:pStyle w:val="Footnotesection"/>
      </w:pPr>
      <w:r>
        <w:tab/>
        <w:t>[Regulation 52 inserted: Gazette 24 Apr 2015 p. 1513; amended: Gazette 29 Apr 2016 p. 1347; 13 Dec 2016 p. 5625.]</w:t>
      </w:r>
    </w:p>
    <w:p>
      <w:pPr>
        <w:pStyle w:val="Heading5"/>
      </w:pPr>
      <w:bookmarkStart w:id="190" w:name="_Toc97633204"/>
      <w:bookmarkStart w:id="191" w:name="_Toc97016436"/>
      <w:r>
        <w:rPr>
          <w:rStyle w:val="CharSectno"/>
        </w:rPr>
        <w:t>53</w:t>
      </w:r>
      <w:r>
        <w:t>.</w:t>
      </w:r>
      <w:r>
        <w:tab/>
        <w:t>Liquid waste from airconditioners</w:t>
      </w:r>
      <w:bookmarkEnd w:id="190"/>
      <w:bookmarkEnd w:id="191"/>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keepNext/>
      </w:pPr>
      <w:r>
        <w:tab/>
        <w:t>(2)</w:t>
      </w:r>
      <w:r>
        <w:tab/>
        <w:t>A person who is a responsible person for drainage plumbing work that involves or would result in the discharge of airconditioning waste into the sewer must ensure that the work is carried out in accordance with the requirements of AS/NZS 3500.2 (Sanitary plumbing and drainage) clause 13.20.</w:t>
      </w:r>
    </w:p>
    <w:p>
      <w:pPr>
        <w:pStyle w:val="Footnotesection"/>
      </w:pPr>
      <w:r>
        <w:tab/>
        <w:t>[Regulation 53 inserted: Gazette 24 Apr 2015 p. 1513</w:t>
      </w:r>
      <w:r>
        <w:noBreakHyphen/>
        <w:t>14; amended: Gazette 13 Dec 2016 p. 5625.]</w:t>
      </w:r>
    </w:p>
    <w:p>
      <w:pPr>
        <w:pStyle w:val="Heading5"/>
      </w:pPr>
      <w:bookmarkStart w:id="192" w:name="_Toc97633205"/>
      <w:bookmarkStart w:id="193" w:name="_Toc97016437"/>
      <w:r>
        <w:rPr>
          <w:rStyle w:val="CharSectno"/>
        </w:rPr>
        <w:t>54</w:t>
      </w:r>
      <w:r>
        <w:t>.</w:t>
      </w:r>
      <w:r>
        <w:tab/>
        <w:t>Non</w:t>
      </w:r>
      <w:r>
        <w:noBreakHyphen/>
        <w:t>application, modification of, plumbing standards</w:t>
      </w:r>
      <w:bookmarkEnd w:id="192"/>
      <w:bookmarkEnd w:id="193"/>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 Division 2.</w:t>
      </w:r>
    </w:p>
    <w:p>
      <w:pPr>
        <w:pStyle w:val="Footnotesection"/>
      </w:pPr>
      <w:r>
        <w:tab/>
        <w:t>[Regulation 54 inserted: Gazette 24 Apr 2015 p. 1514</w:t>
      </w:r>
      <w:r>
        <w:noBreakHyphen/>
        <w:t>15; amended: SL 2020/196 r. 54.]</w:t>
      </w:r>
    </w:p>
    <w:p>
      <w:pPr>
        <w:pStyle w:val="Heading2"/>
      </w:pPr>
      <w:bookmarkStart w:id="194" w:name="_Toc97633030"/>
      <w:bookmarkStart w:id="195" w:name="_Toc97633206"/>
      <w:bookmarkStart w:id="196" w:name="_Toc97016274"/>
      <w:bookmarkStart w:id="197" w:name="_Toc97016438"/>
      <w:r>
        <w:rPr>
          <w:rStyle w:val="CharPartNo"/>
        </w:rPr>
        <w:t>Part 6A</w:t>
      </w:r>
      <w:r>
        <w:rPr>
          <w:b w:val="0"/>
        </w:rPr>
        <w:t> </w:t>
      </w:r>
      <w:r>
        <w:t>—</w:t>
      </w:r>
      <w:r>
        <w:rPr>
          <w:b w:val="0"/>
        </w:rPr>
        <w:t> </w:t>
      </w:r>
      <w:r>
        <w:rPr>
          <w:rStyle w:val="CharPartText"/>
        </w:rPr>
        <w:t>Plumbing standards for plumbing and plumbing work on subdivided land</w:t>
      </w:r>
      <w:bookmarkEnd w:id="194"/>
      <w:bookmarkEnd w:id="195"/>
      <w:bookmarkEnd w:id="196"/>
      <w:bookmarkEnd w:id="197"/>
    </w:p>
    <w:p>
      <w:pPr>
        <w:pStyle w:val="Footnoteheading"/>
      </w:pPr>
      <w:r>
        <w:tab/>
        <w:t>[Heading inserted: SL 2020/132 r. 7.]</w:t>
      </w:r>
    </w:p>
    <w:p>
      <w:pPr>
        <w:pStyle w:val="Heading5"/>
      </w:pPr>
      <w:bookmarkStart w:id="198" w:name="_Toc97633207"/>
      <w:bookmarkStart w:id="199" w:name="_Toc97016439"/>
      <w:r>
        <w:rPr>
          <w:rStyle w:val="CharSectno"/>
        </w:rPr>
        <w:t>55</w:t>
      </w:r>
      <w:r>
        <w:t>.</w:t>
      </w:r>
      <w:r>
        <w:tab/>
        <w:t>Terms used</w:t>
      </w:r>
      <w:bookmarkEnd w:id="198"/>
      <w:bookmarkEnd w:id="199"/>
    </w:p>
    <w:p>
      <w:pPr>
        <w:pStyle w:val="Subsection"/>
      </w:pPr>
      <w:r>
        <w:tab/>
      </w:r>
      <w:r>
        <w:tab/>
        <w:t xml:space="preserve">In this Part — </w:t>
      </w:r>
    </w:p>
    <w:p>
      <w:pPr>
        <w:pStyle w:val="Defstart"/>
      </w:pPr>
      <w:r>
        <w:tab/>
      </w:r>
      <w:r>
        <w:rPr>
          <w:rStyle w:val="CharDefText"/>
        </w:rPr>
        <w:t>approved disposal system</w:t>
      </w:r>
      <w:r>
        <w:t xml:space="preserve"> has the meaning given in the Plumbing Code Schedule 3;</w:t>
      </w:r>
    </w:p>
    <w:p>
      <w:pPr>
        <w:pStyle w:val="Defstart"/>
      </w:pPr>
      <w:r>
        <w:tab/>
      </w:r>
      <w:r>
        <w:rPr>
          <w:rStyle w:val="CharDefText"/>
        </w:rPr>
        <w:t>common property</w:t>
      </w:r>
      <w:r>
        <w:t>, in relation to subdivided land, means a part of the land shown on a proposed scheme plan as common property;</w:t>
      </w:r>
    </w:p>
    <w:p>
      <w:pPr>
        <w:pStyle w:val="Defstart"/>
      </w:pPr>
      <w:r>
        <w:tab/>
      </w:r>
      <w:r>
        <w:rPr>
          <w:rStyle w:val="CharDefText"/>
        </w:rPr>
        <w:t>connection point</w:t>
      </w:r>
      <w:r>
        <w:t xml:space="preserve"> means a sanitary drainage connection point or water service connection point;</w:t>
      </w:r>
    </w:p>
    <w:p>
      <w:pPr>
        <w:pStyle w:val="Defstart"/>
        <w:rPr>
          <w:rStyle w:val="DraftersNotes"/>
        </w:rPr>
      </w:pPr>
      <w:r>
        <w:tab/>
      </w:r>
      <w:r>
        <w:rPr>
          <w:rStyle w:val="CharDefText"/>
        </w:rPr>
        <w:t>lot</w:t>
      </w:r>
      <w:r>
        <w:t xml:space="preserve">, in relation to subdivided land, means a part of the land shown on a proposed scheme plan as a lot that is not land shown on the plan as common property, a road or reserve; </w:t>
      </w:r>
    </w:p>
    <w:p>
      <w:pPr>
        <w:pStyle w:val="Defstart"/>
      </w:pPr>
      <w:r>
        <w:tab/>
      </w:r>
      <w:r>
        <w:rPr>
          <w:rStyle w:val="CharDefText"/>
        </w:rPr>
        <w:t>proposed scheme plan</w:t>
      </w:r>
      <w:r>
        <w:t xml:space="preserve">, in relation to land, means — </w:t>
      </w:r>
    </w:p>
    <w:p>
      <w:pPr>
        <w:pStyle w:val="Defpara"/>
      </w:pPr>
      <w:r>
        <w:tab/>
        <w:t>(a)</w:t>
      </w:r>
      <w:r>
        <w:tab/>
        <w:t>a scheme plan proposed to be registered for a survey</w:t>
      </w:r>
      <w:r>
        <w:noBreakHyphen/>
        <w:t xml:space="preserve">strata scheme (as defined in the </w:t>
      </w:r>
      <w:r>
        <w:rPr>
          <w:i/>
        </w:rPr>
        <w:t>Strata Titles Act 1985</w:t>
      </w:r>
      <w:r>
        <w:t xml:space="preserve"> section 9) under the </w:t>
      </w:r>
      <w:r>
        <w:rPr>
          <w:i/>
        </w:rPr>
        <w:t>Strata Titles Act 1985</w:t>
      </w:r>
      <w:r>
        <w:t>; or</w:t>
      </w:r>
    </w:p>
    <w:p>
      <w:pPr>
        <w:pStyle w:val="Defpara"/>
      </w:pPr>
      <w:r>
        <w:tab/>
        <w:t>(b)</w:t>
      </w:r>
      <w:r>
        <w:tab/>
        <w:t xml:space="preserve">a scheme plan proposed to be registered for a community titles (land) scheme (as defined in the </w:t>
      </w:r>
      <w:r>
        <w:rPr>
          <w:i/>
        </w:rPr>
        <w:t>Community Titles Act 2018</w:t>
      </w:r>
      <w:r>
        <w:t xml:space="preserve"> section 11(8)) under the </w:t>
      </w:r>
      <w:r>
        <w:rPr>
          <w:i/>
        </w:rPr>
        <w:t>Community Titles Act 2018</w:t>
      </w:r>
      <w:r>
        <w:t>;</w:t>
      </w:r>
    </w:p>
    <w:p>
      <w:pPr>
        <w:pStyle w:val="Defstart"/>
      </w:pPr>
      <w:r>
        <w:tab/>
      </w:r>
      <w:r>
        <w:rPr>
          <w:rStyle w:val="CharDefText"/>
        </w:rPr>
        <w:t>sanitary drainage connection point</w:t>
      </w:r>
      <w:r>
        <w:t>, for a lot on subdivided land, means a point on the lot at which a sanitary main drain for a building on the lot can be connected to a sanitary drainage service line;</w:t>
      </w:r>
    </w:p>
    <w:p>
      <w:pPr>
        <w:pStyle w:val="Defstart"/>
      </w:pPr>
      <w:r>
        <w:tab/>
      </w:r>
      <w:r>
        <w:rPr>
          <w:rStyle w:val="CharDefText"/>
        </w:rPr>
        <w:t>sanitary drainage service line</w:t>
      </w:r>
      <w:r>
        <w:t>, for a lot on subdivided land, means a pipe used or intended to be used for the carrying of wastewater from the sanitary drainage connection point for the lot to a sewer or an approved disposal system;</w:t>
      </w:r>
    </w:p>
    <w:p>
      <w:pPr>
        <w:pStyle w:val="Defstart"/>
      </w:pPr>
      <w:r>
        <w:tab/>
      </w:r>
      <w:r>
        <w:rPr>
          <w:rStyle w:val="CharDefText"/>
        </w:rPr>
        <w:t>service line</w:t>
      </w:r>
      <w:r>
        <w:t xml:space="preserve"> means a sanitary drainage service line or water service line;</w:t>
      </w:r>
    </w:p>
    <w:p>
      <w:pPr>
        <w:pStyle w:val="Defstart"/>
      </w:pPr>
      <w:r>
        <w:tab/>
      </w:r>
      <w:r>
        <w:rPr>
          <w:rStyle w:val="CharDefText"/>
        </w:rPr>
        <w:t>subdivided land</w:t>
      </w:r>
      <w:r>
        <w:t xml:space="preserve"> means land the subject of a proposed scheme plan;</w:t>
      </w:r>
    </w:p>
    <w:p>
      <w:pPr>
        <w:pStyle w:val="Defstart"/>
      </w:pPr>
      <w:r>
        <w:tab/>
      </w:r>
      <w:r>
        <w:rPr>
          <w:rStyle w:val="CharDefText"/>
        </w:rPr>
        <w:t>water service connection point</w:t>
      </w:r>
      <w:r>
        <w:t>, for a lot on subdivided land, means a point on the lot at which a water service for a building on the lot can be connected to a water service line;</w:t>
      </w:r>
    </w:p>
    <w:p>
      <w:pPr>
        <w:pStyle w:val="Defstart"/>
      </w:pPr>
      <w:r>
        <w:tab/>
      </w:r>
      <w:r>
        <w:rPr>
          <w:rStyle w:val="CharDefText"/>
        </w:rPr>
        <w:t>water service line</w:t>
      </w:r>
      <w:r>
        <w:t>, for a lot on subdivided land, means a pipe connecting a water services provider’s meter assembly to the water service connection point for the lot.</w:t>
      </w:r>
    </w:p>
    <w:p>
      <w:pPr>
        <w:pStyle w:val="Footnotesection"/>
      </w:pPr>
      <w:r>
        <w:tab/>
        <w:t>[Regulation 55 inserted: SL 2020/132 r. 7; amended: SL 2021/71 r. 9.]</w:t>
      </w:r>
    </w:p>
    <w:p>
      <w:pPr>
        <w:pStyle w:val="Heading5"/>
      </w:pPr>
      <w:bookmarkStart w:id="200" w:name="_Toc97633208"/>
      <w:bookmarkStart w:id="201" w:name="_Toc97016440"/>
      <w:r>
        <w:rPr>
          <w:rStyle w:val="CharSectno"/>
        </w:rPr>
        <w:t>56</w:t>
      </w:r>
      <w:r>
        <w:t>.</w:t>
      </w:r>
      <w:r>
        <w:tab/>
        <w:t>Connection points</w:t>
      </w:r>
      <w:bookmarkEnd w:id="200"/>
      <w:bookmarkEnd w:id="201"/>
    </w:p>
    <w:p>
      <w:pPr>
        <w:pStyle w:val="Subsection"/>
      </w:pPr>
      <w:r>
        <w:tab/>
        <w:t>(1)</w:t>
      </w:r>
      <w:r>
        <w:tab/>
        <w:t xml:space="preserve">This regulation applies to plumbing and plumbing work that is the installation of a connection point for a lot on subdivided land. </w:t>
      </w:r>
    </w:p>
    <w:p>
      <w:pPr>
        <w:pStyle w:val="Subsection"/>
      </w:pPr>
      <w:r>
        <w:tab/>
        <w:t>(2)</w:t>
      </w:r>
      <w:r>
        <w:tab/>
        <w:t xml:space="preserve">A responsible person for the installation of a sanitary drainage connection point for the lot on subdivided land must ensure — </w:t>
      </w:r>
    </w:p>
    <w:p>
      <w:pPr>
        <w:pStyle w:val="Indenta"/>
      </w:pPr>
      <w:r>
        <w:tab/>
        <w:t>(a)</w:t>
      </w:r>
      <w:r>
        <w:tab/>
        <w:t xml:space="preserve">the sanitary drainage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installed at a depth that is sufficient to ensure that a sanitary drainage system for a building on the lot can be connected to the connection point in accordance with the minimum grades set out in the AS/NZS 3500.2 (Sanitary plumbing and drainage) clause 3.4; and</w:t>
      </w:r>
    </w:p>
    <w:p>
      <w:pPr>
        <w:pStyle w:val="Indenti"/>
      </w:pPr>
      <w:r>
        <w:tab/>
        <w:t>(iv)</w:t>
      </w:r>
      <w:r>
        <w:tab/>
        <w:t xml:space="preserve">of a size, type and quality to perform the function for which it is installed; </w:t>
      </w:r>
    </w:p>
    <w:p>
      <w:pPr>
        <w:pStyle w:val="Indenta"/>
      </w:pPr>
      <w:r>
        <w:tab/>
      </w:r>
      <w:r>
        <w:tab/>
        <w:t>and</w:t>
      </w:r>
    </w:p>
    <w:p>
      <w:pPr>
        <w:pStyle w:val="Indenta"/>
      </w:pPr>
      <w:r>
        <w:tab/>
        <w:t>(b)</w:t>
      </w:r>
      <w:r>
        <w:tab/>
        <w:t xml:space="preserve">a pipe is placed immediately above where the sanitary drainage connection point is located that has — </w:t>
      </w:r>
    </w:p>
    <w:p>
      <w:pPr>
        <w:pStyle w:val="Indenti"/>
      </w:pPr>
      <w:r>
        <w:tab/>
        <w:t>(i)</w:t>
      </w:r>
      <w:r>
        <w:tab/>
        <w:t>a nominal diameter of 40 mm; and</w:t>
      </w:r>
    </w:p>
    <w:p>
      <w:pPr>
        <w:pStyle w:val="Indenti"/>
      </w:pPr>
      <w:r>
        <w:tab/>
        <w:t>(ii)</w:t>
      </w:r>
      <w:r>
        <w:tab/>
        <w:t>tape attached to the pipe that indicates that a sanitary drainage connection point is underneath the pipe; and</w:t>
      </w:r>
    </w:p>
    <w:p>
      <w:pPr>
        <w:pStyle w:val="Indenti"/>
      </w:pPr>
      <w:r>
        <w:tab/>
        <w:t>(iii)</w:t>
      </w:r>
      <w:r>
        <w:tab/>
        <w:t>a 40 mm cap placed on the exposed end of the pipe.</w:t>
      </w:r>
    </w:p>
    <w:p>
      <w:pPr>
        <w:pStyle w:val="Subsection"/>
      </w:pPr>
      <w:r>
        <w:tab/>
        <w:t>(3)</w:t>
      </w:r>
      <w:r>
        <w:tab/>
        <w:t xml:space="preserve">A responsible person for the installation of a water service connection point for the lot on subdivided land must ensure — </w:t>
      </w:r>
    </w:p>
    <w:p>
      <w:pPr>
        <w:pStyle w:val="Indenta"/>
      </w:pPr>
      <w:r>
        <w:tab/>
        <w:t>(a)</w:t>
      </w:r>
      <w:r>
        <w:tab/>
        <w:t xml:space="preserve">the water service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 xml:space="preserve">of a size, type and quality to perform the function for which it is installed; </w:t>
      </w:r>
    </w:p>
    <w:p>
      <w:pPr>
        <w:pStyle w:val="Indenta"/>
      </w:pPr>
      <w:r>
        <w:tab/>
      </w:r>
      <w:r>
        <w:tab/>
        <w:t>and</w:t>
      </w:r>
    </w:p>
    <w:p>
      <w:pPr>
        <w:pStyle w:val="Indenta"/>
      </w:pPr>
      <w:r>
        <w:tab/>
        <w:t>(b)</w:t>
      </w:r>
      <w:r>
        <w:tab/>
        <w:t xml:space="preserve">a pipe is placed immediately above where the water service connection point is located that has — </w:t>
      </w:r>
    </w:p>
    <w:p>
      <w:pPr>
        <w:pStyle w:val="Indenti"/>
      </w:pPr>
      <w:r>
        <w:tab/>
        <w:t>(i)</w:t>
      </w:r>
      <w:r>
        <w:tab/>
        <w:t>a nominal diameter of 40 mm; and</w:t>
      </w:r>
    </w:p>
    <w:p>
      <w:pPr>
        <w:pStyle w:val="Indenti"/>
      </w:pPr>
      <w:r>
        <w:tab/>
        <w:t>(ii)</w:t>
      </w:r>
      <w:r>
        <w:tab/>
        <w:t>tape attached to the pipe that indicates that a water service connection point is underneath the pipe; and</w:t>
      </w:r>
    </w:p>
    <w:p>
      <w:pPr>
        <w:pStyle w:val="Indenti"/>
      </w:pPr>
      <w:r>
        <w:tab/>
        <w:t>(iii)</w:t>
      </w:r>
      <w:r>
        <w:tab/>
        <w:t>a 40 mm cap placed on the exposed end of the pipe.</w:t>
      </w:r>
    </w:p>
    <w:p>
      <w:pPr>
        <w:pStyle w:val="Footnotesection"/>
      </w:pPr>
      <w:r>
        <w:tab/>
        <w:t>[Regulation 56 inserted: SL 2020/132 r. 7.]</w:t>
      </w:r>
    </w:p>
    <w:p>
      <w:pPr>
        <w:pStyle w:val="Heading5"/>
      </w:pPr>
      <w:bookmarkStart w:id="202" w:name="_Toc97633209"/>
      <w:bookmarkStart w:id="203" w:name="_Toc97016441"/>
      <w:r>
        <w:rPr>
          <w:rStyle w:val="CharSectno"/>
        </w:rPr>
        <w:t>57</w:t>
      </w:r>
      <w:r>
        <w:t>.</w:t>
      </w:r>
      <w:r>
        <w:tab/>
        <w:t>Service lines</w:t>
      </w:r>
      <w:bookmarkEnd w:id="202"/>
      <w:bookmarkEnd w:id="203"/>
      <w:r>
        <w:t xml:space="preserve"> </w:t>
      </w:r>
    </w:p>
    <w:p>
      <w:pPr>
        <w:pStyle w:val="Subsection"/>
      </w:pPr>
      <w:r>
        <w:tab/>
        <w:t>(1)</w:t>
      </w:r>
      <w:r>
        <w:tab/>
        <w:t xml:space="preserve">In this regulation — </w:t>
      </w:r>
    </w:p>
    <w:p>
      <w:pPr>
        <w:pStyle w:val="Defstart"/>
      </w:pPr>
      <w:r>
        <w:tab/>
      </w:r>
      <w:r>
        <w:rPr>
          <w:rStyle w:val="CharDefText"/>
        </w:rPr>
        <w:t>internal boundary</w:t>
      </w:r>
      <w:r>
        <w:t xml:space="preserve">, in relation to a lot on subdivided land, means the boundary of the lot on subdivided land as shown on the proposed scheme plan, other than the part of the boundary of the lot that is the main boundary; </w:t>
      </w:r>
    </w:p>
    <w:p>
      <w:pPr>
        <w:pStyle w:val="Defstart"/>
      </w:pPr>
      <w:r>
        <w:tab/>
      </w:r>
      <w:r>
        <w:rPr>
          <w:rStyle w:val="CharDefText"/>
        </w:rPr>
        <w:t>main boundary</w:t>
      </w:r>
      <w:r>
        <w:t>, in relation to subdivided land, means a boundary of the subdivided land and other land not forming part of the subdivided land as shown on the proposed scheme plan.</w:t>
      </w:r>
    </w:p>
    <w:p>
      <w:pPr>
        <w:pStyle w:val="Subsection"/>
      </w:pPr>
      <w:r>
        <w:tab/>
        <w:t>(2)</w:t>
      </w:r>
      <w:r>
        <w:tab/>
        <w:t>This regulation applies to plumbing and plumbing work that is the installation of a service line for a lot on subdivided land.</w:t>
      </w:r>
    </w:p>
    <w:p>
      <w:pPr>
        <w:pStyle w:val="Subsection"/>
      </w:pPr>
      <w:r>
        <w:tab/>
        <w:t>(3)</w:t>
      </w:r>
      <w:r>
        <w:tab/>
        <w:t xml:space="preserve">A responsible person for the installation of the service line for the lot on subdivided land must ensure that the service line is — </w:t>
      </w:r>
    </w:p>
    <w:p>
      <w:pPr>
        <w:pStyle w:val="Indenta"/>
      </w:pPr>
      <w:r>
        <w:tab/>
        <w:t>(a)</w:t>
      </w:r>
      <w:r>
        <w:tab/>
        <w:t xml:space="preserve">installed for the lot; and </w:t>
      </w:r>
    </w:p>
    <w:p>
      <w:pPr>
        <w:pStyle w:val="Indenta"/>
      </w:pPr>
      <w:r>
        <w:tab/>
        <w:t>(b)</w:t>
      </w:r>
      <w:r>
        <w:tab/>
        <w:t xml:space="preserve">installed — </w:t>
      </w:r>
    </w:p>
    <w:p>
      <w:pPr>
        <w:pStyle w:val="Indenti"/>
      </w:pPr>
      <w:r>
        <w:tab/>
        <w:t>(i)</w:t>
      </w:r>
      <w:r>
        <w:tab/>
        <w:t>within the main boundary of the subdivided land; and</w:t>
      </w:r>
    </w:p>
    <w:p>
      <w:pPr>
        <w:pStyle w:val="Indenti"/>
      </w:pPr>
      <w:r>
        <w:tab/>
        <w:t>(ii)</w:t>
      </w:r>
      <w:r>
        <w:tab/>
        <w:t>if there is no other way to connect the sanitary drainage service line to a sewer or an approved disposal system — outside the main boundary of the subdivided land to the extent necessary to connect the service line to the sewer or system.</w:t>
      </w:r>
    </w:p>
    <w:p>
      <w:pPr>
        <w:pStyle w:val="Subsection"/>
      </w:pPr>
      <w:r>
        <w:tab/>
        <w:t>(4)</w:t>
      </w:r>
      <w:r>
        <w:tab/>
        <w:t xml:space="preserve">A responsible person for the installation of the service line for the lot on subdivided land must ensure that the part of the service line that is installed on the lot or another lot on the subdivided land is — </w:t>
      </w:r>
    </w:p>
    <w:p>
      <w:pPr>
        <w:pStyle w:val="Indenta"/>
      </w:pPr>
      <w:r>
        <w:tab/>
        <w:t>(a)</w:t>
      </w:r>
      <w:r>
        <w:tab/>
        <w:t xml:space="preserve">installed — </w:t>
      </w:r>
    </w:p>
    <w:p>
      <w:pPr>
        <w:pStyle w:val="Indenti"/>
      </w:pPr>
      <w:r>
        <w:tab/>
        <w:t>(i)</w:t>
      </w:r>
      <w:r>
        <w:tab/>
        <w:t>parallel with the main boundary of the subdivided land; and</w:t>
      </w:r>
    </w:p>
    <w:p>
      <w:pPr>
        <w:pStyle w:val="Indenti"/>
      </w:pPr>
      <w:r>
        <w:tab/>
        <w:t>(ii)</w:t>
      </w:r>
      <w:r>
        <w:tab/>
        <w:t xml:space="preserve">no more than 1.5 m from the main boundary; </w:t>
      </w:r>
    </w:p>
    <w:p>
      <w:pPr>
        <w:pStyle w:val="Indenta"/>
      </w:pPr>
      <w:r>
        <w:tab/>
      </w:r>
      <w:r>
        <w:tab/>
        <w:t>or</w:t>
      </w:r>
    </w:p>
    <w:p>
      <w:pPr>
        <w:pStyle w:val="Indenta"/>
      </w:pPr>
      <w:r>
        <w:tab/>
        <w:t>(b)</w:t>
      </w:r>
      <w:r>
        <w:tab/>
        <w:t xml:space="preserve">installed — </w:t>
      </w:r>
    </w:p>
    <w:p>
      <w:pPr>
        <w:pStyle w:val="Indenti"/>
      </w:pPr>
      <w:r>
        <w:tab/>
        <w:t>(i)</w:t>
      </w:r>
      <w:r>
        <w:tab/>
        <w:t>parallel with an internal boundary of the lot; and</w:t>
      </w:r>
    </w:p>
    <w:p>
      <w:pPr>
        <w:pStyle w:val="Indenti"/>
      </w:pPr>
      <w:r>
        <w:tab/>
        <w:t>(ii)</w:t>
      </w:r>
      <w:r>
        <w:tab/>
        <w:t xml:space="preserve">no more than 1 m from the internal boundary of the lot; </w:t>
      </w:r>
    </w:p>
    <w:p>
      <w:pPr>
        <w:pStyle w:val="Indenta"/>
      </w:pPr>
      <w:r>
        <w:tab/>
      </w:r>
      <w:r>
        <w:tab/>
        <w:t>or</w:t>
      </w:r>
    </w:p>
    <w:p>
      <w:pPr>
        <w:pStyle w:val="Indenta"/>
      </w:pPr>
      <w:r>
        <w:tab/>
        <w:t>(c)</w:t>
      </w:r>
      <w:r>
        <w:tab/>
        <w:t>if the lot is on subdivided land to which regulation 58 applies — installed in accordance with regulation 58(2).</w:t>
      </w:r>
    </w:p>
    <w:p>
      <w:pPr>
        <w:pStyle w:val="Subsection"/>
      </w:pPr>
      <w:r>
        <w:tab/>
        <w:t>(5)</w:t>
      </w:r>
      <w:r>
        <w:tab/>
        <w:t>A responsible person for the installation of the service line for the lot on subdivided land must ensure that the service line is of a size, type and quality to perform the function for which it is installed.</w:t>
      </w:r>
    </w:p>
    <w:p>
      <w:pPr>
        <w:pStyle w:val="Footnotesection"/>
      </w:pPr>
      <w:r>
        <w:tab/>
        <w:t>[Regulation 57 inserted: SL 2020/132 r. 7.]</w:t>
      </w:r>
    </w:p>
    <w:p>
      <w:pPr>
        <w:pStyle w:val="Heading5"/>
      </w:pPr>
      <w:bookmarkStart w:id="204" w:name="_Toc97633210"/>
      <w:bookmarkStart w:id="205" w:name="_Toc97016442"/>
      <w:r>
        <w:rPr>
          <w:rStyle w:val="CharSectno"/>
        </w:rPr>
        <w:t>58</w:t>
      </w:r>
      <w:r>
        <w:t>.</w:t>
      </w:r>
      <w:r>
        <w:tab/>
        <w:t>Connection points and service lines on rear driveway for particular subdivided land</w:t>
      </w:r>
      <w:bookmarkEnd w:id="204"/>
      <w:bookmarkEnd w:id="205"/>
    </w:p>
    <w:p>
      <w:pPr>
        <w:pStyle w:val="Subsection"/>
      </w:pPr>
      <w:r>
        <w:tab/>
        <w:t>(1)</w:t>
      </w:r>
      <w:r>
        <w:tab/>
        <w:t xml:space="preserve">This regulation applies to plumbing and plumbing work that is the installation of a service line or connection point for a lot on subdivided land if the proposed scheme plan for the land shows that — </w:t>
      </w:r>
    </w:p>
    <w:p>
      <w:pPr>
        <w:pStyle w:val="Indenta"/>
      </w:pPr>
      <w:r>
        <w:tab/>
        <w:t>(a)</w:t>
      </w:r>
      <w:r>
        <w:tab/>
        <w:t>the land will be divided into 2 lots; and</w:t>
      </w:r>
    </w:p>
    <w:p>
      <w:pPr>
        <w:pStyle w:val="Indenta"/>
      </w:pPr>
      <w:r>
        <w:tab/>
        <w:t>(b)</w:t>
      </w:r>
      <w:r>
        <w:tab/>
        <w:t xml:space="preserve">1 of the lots (the </w:t>
      </w:r>
      <w:r>
        <w:rPr>
          <w:rStyle w:val="CharDefText"/>
        </w:rPr>
        <w:t>front lot</w:t>
      </w:r>
      <w:r>
        <w:t xml:space="preserve">) is between the other lot (the </w:t>
      </w:r>
      <w:r>
        <w:rPr>
          <w:rStyle w:val="CharDefText"/>
        </w:rPr>
        <w:t>rear lot</w:t>
      </w:r>
      <w:r>
        <w:t>) and a street outside the subdivided land; and</w:t>
      </w:r>
    </w:p>
    <w:p>
      <w:pPr>
        <w:pStyle w:val="Indenta"/>
      </w:pPr>
      <w:r>
        <w:tab/>
        <w:t>(c)</w:t>
      </w:r>
      <w:r>
        <w:tab/>
        <w:t xml:space="preserve">the proposed scheme plan shows the rear lot will only be connected to the street outside the subdivided land by a driveway (the </w:t>
      </w:r>
      <w:r>
        <w:rPr>
          <w:rStyle w:val="CharDefText"/>
        </w:rPr>
        <w:t>rear driveway</w:t>
      </w:r>
      <w:r>
        <w:t>); and</w:t>
      </w:r>
    </w:p>
    <w:p>
      <w:pPr>
        <w:pStyle w:val="Indenta"/>
      </w:pPr>
      <w:r>
        <w:tab/>
        <w:t>(d)</w:t>
      </w:r>
      <w:r>
        <w:tab/>
        <w:t>the rear driveway is part of the rear lot or is common property.</w:t>
      </w:r>
    </w:p>
    <w:p>
      <w:pPr>
        <w:pStyle w:val="Subsection"/>
      </w:pPr>
      <w:r>
        <w:tab/>
        <w:t>(2)</w:t>
      </w:r>
      <w:r>
        <w:tab/>
        <w:t xml:space="preserve">A responsible person for the installation of the service line for the front lot or rear lot on the subdivided land may install, or cause to be installed, the service line for the lot anywhere on the part of the land the proposed scheme plan shows as the rear driveway. </w:t>
      </w:r>
    </w:p>
    <w:p>
      <w:pPr>
        <w:pStyle w:val="Subsection"/>
      </w:pPr>
      <w:r>
        <w:tab/>
        <w:t>(3)</w:t>
      </w:r>
      <w:r>
        <w:tab/>
        <w:t xml:space="preserve">A responsible person for the installation of the connection point for the rear lot on the subdivided land may install, or cause to be installed, the connection point for the lot anywhere on the part of the land the proposed scheme plan shows as the rear driveway. </w:t>
      </w:r>
    </w:p>
    <w:p>
      <w:pPr>
        <w:pStyle w:val="Footnotesection"/>
      </w:pPr>
      <w:r>
        <w:tab/>
        <w:t>[Regulation 58 inserted: SL 2020/132 r. 7.]</w:t>
      </w:r>
    </w:p>
    <w:p>
      <w:pPr>
        <w:pStyle w:val="Heading5"/>
      </w:pPr>
      <w:bookmarkStart w:id="206" w:name="_Toc97633211"/>
      <w:bookmarkStart w:id="207" w:name="_Toc97016443"/>
      <w:r>
        <w:rPr>
          <w:rStyle w:val="CharSectno"/>
        </w:rPr>
        <w:t>59</w:t>
      </w:r>
      <w:r>
        <w:t>.</w:t>
      </w:r>
      <w:r>
        <w:tab/>
        <w:t>Service lines on subdivided land with existing building to be moved to be in accordance with r. 57 and 58</w:t>
      </w:r>
      <w:bookmarkEnd w:id="206"/>
      <w:bookmarkEnd w:id="207"/>
    </w:p>
    <w:p>
      <w:pPr>
        <w:pStyle w:val="Subsection"/>
      </w:pPr>
      <w:r>
        <w:tab/>
        <w:t>(1)</w:t>
      </w:r>
      <w:r>
        <w:tab/>
        <w:t xml:space="preserve">This regulation applies to plumbing and plumbing work that is the installation of a service line for a lot on subdivided land if — </w:t>
      </w:r>
    </w:p>
    <w:p>
      <w:pPr>
        <w:pStyle w:val="Indenta"/>
      </w:pPr>
      <w:r>
        <w:tab/>
        <w:t>(a)</w:t>
      </w:r>
      <w:r>
        <w:tab/>
        <w:t xml:space="preserve">the subdivided land has an existing building on it that is connected to existing service lines; and </w:t>
      </w:r>
    </w:p>
    <w:p>
      <w:pPr>
        <w:pStyle w:val="Indenta"/>
      </w:pPr>
      <w:r>
        <w:tab/>
        <w:t>(b)</w:t>
      </w:r>
      <w:r>
        <w:tab/>
        <w:t xml:space="preserve">the existing building will be on 1 of the lots (the </w:t>
      </w:r>
      <w:r>
        <w:rPr>
          <w:rStyle w:val="CharDefText"/>
        </w:rPr>
        <w:t>existing building lot</w:t>
      </w:r>
      <w:r>
        <w:t>) on the subdivided land; and</w:t>
      </w:r>
    </w:p>
    <w:p>
      <w:pPr>
        <w:pStyle w:val="Indenta"/>
      </w:pPr>
      <w:r>
        <w:tab/>
        <w:t>(c)</w:t>
      </w:r>
      <w:r>
        <w:tab/>
        <w:t>the existing service lines for the existing building will not be wholly within the existing building lot.</w:t>
      </w:r>
    </w:p>
    <w:p>
      <w:pPr>
        <w:pStyle w:val="Subsection"/>
      </w:pPr>
      <w:r>
        <w:tab/>
        <w:t>(2)</w:t>
      </w:r>
      <w:r>
        <w:tab/>
        <w:t>A responsible person for the installation of the service line must ensure that the service line for the existing building lot is installed in accordance with regulations 57 and 58.</w:t>
      </w:r>
    </w:p>
    <w:p>
      <w:pPr>
        <w:pStyle w:val="Footnotesection"/>
      </w:pPr>
      <w:r>
        <w:tab/>
        <w:t>[Regulation 59 inserted: SL 2020/132 r. 7; amended: SL 2021/71 r. 10.]</w:t>
      </w:r>
    </w:p>
    <w:p>
      <w:pPr>
        <w:pStyle w:val="Ednotesection"/>
      </w:pPr>
      <w:r>
        <w:t>[</w:t>
      </w:r>
      <w:r>
        <w:rPr>
          <w:b/>
        </w:rPr>
        <w:t>60</w:t>
      </w:r>
      <w:r>
        <w:rPr>
          <w:b/>
        </w:rPr>
        <w:noBreakHyphen/>
        <w:t>65.</w:t>
      </w:r>
      <w:r>
        <w:tab/>
        <w:t>Deleted: Gazette 24 Apr 2015 p. 1499.]</w:t>
      </w:r>
    </w:p>
    <w:p>
      <w:pPr>
        <w:pStyle w:val="Heading2"/>
      </w:pPr>
      <w:bookmarkStart w:id="208" w:name="_Toc97633036"/>
      <w:bookmarkStart w:id="209" w:name="_Toc97633212"/>
      <w:bookmarkStart w:id="210" w:name="_Toc97016280"/>
      <w:bookmarkStart w:id="211" w:name="_Toc97016444"/>
      <w:r>
        <w:rPr>
          <w:rStyle w:val="CharPartNo"/>
        </w:rPr>
        <w:t>Part 7</w:t>
      </w:r>
      <w:r>
        <w:rPr>
          <w:b w:val="0"/>
        </w:rPr>
        <w:t> </w:t>
      </w:r>
      <w:r>
        <w:t>—</w:t>
      </w:r>
      <w:r>
        <w:rPr>
          <w:b w:val="0"/>
        </w:rPr>
        <w:t> </w:t>
      </w:r>
      <w:r>
        <w:rPr>
          <w:rStyle w:val="CharPartText"/>
        </w:rPr>
        <w:t>Inspection, investigation and enforcement</w:t>
      </w:r>
      <w:bookmarkEnd w:id="208"/>
      <w:bookmarkEnd w:id="209"/>
      <w:bookmarkEnd w:id="210"/>
      <w:bookmarkEnd w:id="211"/>
    </w:p>
    <w:p>
      <w:pPr>
        <w:pStyle w:val="Footnoteheading"/>
        <w:tabs>
          <w:tab w:val="left" w:pos="840"/>
        </w:tabs>
      </w:pPr>
      <w:r>
        <w:tab/>
        <w:t>[Heading inserted: Gazette 28 Jun 2004 p. 2432.]</w:t>
      </w:r>
    </w:p>
    <w:p>
      <w:pPr>
        <w:pStyle w:val="Heading3"/>
      </w:pPr>
      <w:bookmarkStart w:id="212" w:name="_Toc97633037"/>
      <w:bookmarkStart w:id="213" w:name="_Toc97633213"/>
      <w:bookmarkStart w:id="214" w:name="_Toc97016281"/>
      <w:bookmarkStart w:id="215" w:name="_Toc97016445"/>
      <w:r>
        <w:rPr>
          <w:rStyle w:val="CharDivNo"/>
        </w:rPr>
        <w:t>Division 1</w:t>
      </w:r>
      <w:r>
        <w:t> — </w:t>
      </w:r>
      <w:r>
        <w:rPr>
          <w:rStyle w:val="CharDivText"/>
        </w:rPr>
        <w:t>Plumbing compliance officers</w:t>
      </w:r>
      <w:bookmarkEnd w:id="212"/>
      <w:bookmarkEnd w:id="213"/>
      <w:bookmarkEnd w:id="214"/>
      <w:bookmarkEnd w:id="215"/>
    </w:p>
    <w:p>
      <w:pPr>
        <w:pStyle w:val="Footnoteheading"/>
        <w:tabs>
          <w:tab w:val="left" w:pos="840"/>
        </w:tabs>
      </w:pPr>
      <w:r>
        <w:tab/>
        <w:t>[Heading inserted: Gazette 28 Jun 2004 p. 2432.]</w:t>
      </w:r>
    </w:p>
    <w:p>
      <w:pPr>
        <w:pStyle w:val="Heading5"/>
        <w:spacing w:before="240"/>
      </w:pPr>
      <w:bookmarkStart w:id="216" w:name="_Toc97633214"/>
      <w:bookmarkStart w:id="217" w:name="_Toc97016446"/>
      <w:r>
        <w:rPr>
          <w:rStyle w:val="CharSectno"/>
        </w:rPr>
        <w:t>66</w:t>
      </w:r>
      <w:r>
        <w:t>.</w:t>
      </w:r>
      <w:r>
        <w:tab/>
        <w:t>Plumbing compliance officers, designation of and identity cards for</w:t>
      </w:r>
      <w:bookmarkEnd w:id="216"/>
      <w:bookmarkEnd w:id="217"/>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Gazette 28 Jun 2004 p. 2432</w:t>
      </w:r>
      <w:r>
        <w:noBreakHyphen/>
        <w:t>3.]</w:t>
      </w:r>
    </w:p>
    <w:p>
      <w:pPr>
        <w:pStyle w:val="Heading3"/>
      </w:pPr>
      <w:bookmarkStart w:id="218" w:name="_Toc97633039"/>
      <w:bookmarkStart w:id="219" w:name="_Toc97633215"/>
      <w:bookmarkStart w:id="220" w:name="_Toc97016283"/>
      <w:bookmarkStart w:id="221" w:name="_Toc97016447"/>
      <w:r>
        <w:rPr>
          <w:rStyle w:val="CharDivNo"/>
        </w:rPr>
        <w:t>Division 2</w:t>
      </w:r>
      <w:r>
        <w:t> — </w:t>
      </w:r>
      <w:r>
        <w:rPr>
          <w:rStyle w:val="CharDivText"/>
        </w:rPr>
        <w:t>Inspection and rectification of plumbing work</w:t>
      </w:r>
      <w:bookmarkEnd w:id="218"/>
      <w:bookmarkEnd w:id="219"/>
      <w:bookmarkEnd w:id="220"/>
      <w:bookmarkEnd w:id="221"/>
    </w:p>
    <w:p>
      <w:pPr>
        <w:pStyle w:val="Footnoteheading"/>
        <w:keepNext/>
        <w:keepLines/>
        <w:tabs>
          <w:tab w:val="left" w:pos="840"/>
        </w:tabs>
      </w:pPr>
      <w:r>
        <w:tab/>
        <w:t>[Heading inserted: Gazette 28 Jun 2004 p. 2433.]</w:t>
      </w:r>
    </w:p>
    <w:p>
      <w:pPr>
        <w:pStyle w:val="Heading5"/>
      </w:pPr>
      <w:bookmarkStart w:id="222" w:name="_Toc97633216"/>
      <w:bookmarkStart w:id="223" w:name="_Toc97016448"/>
      <w:r>
        <w:rPr>
          <w:rStyle w:val="CharSectno"/>
        </w:rPr>
        <w:t>67</w:t>
      </w:r>
      <w:r>
        <w:t>.</w:t>
      </w:r>
      <w:r>
        <w:tab/>
        <w:t>Entry for inspection purposes, rules applying to</w:t>
      </w:r>
      <w:bookmarkEnd w:id="222"/>
      <w:bookmarkEnd w:id="223"/>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Gazette 28 Jun 2004 p. 2433.]</w:t>
      </w:r>
    </w:p>
    <w:p>
      <w:pPr>
        <w:pStyle w:val="Heading5"/>
      </w:pPr>
      <w:bookmarkStart w:id="224" w:name="_Toc97633217"/>
      <w:bookmarkStart w:id="225" w:name="_Toc97016449"/>
      <w:r>
        <w:rPr>
          <w:rStyle w:val="CharSectno"/>
        </w:rPr>
        <w:t>68</w:t>
      </w:r>
      <w:r>
        <w:t>.</w:t>
      </w:r>
      <w:r>
        <w:tab/>
        <w:t>Inspection of plumbing work by officer, notice of etc.</w:t>
      </w:r>
      <w:bookmarkEnd w:id="224"/>
      <w:bookmarkEnd w:id="225"/>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Gazette 28 Jun 2004 p. 2433</w:t>
      </w:r>
      <w:r>
        <w:noBreakHyphen/>
        <w:t>5; amended: Gazette 7 Oct 2005 p. 4522</w:t>
      </w:r>
      <w:r>
        <w:noBreakHyphen/>
        <w:t>3.]</w:t>
      </w:r>
    </w:p>
    <w:p>
      <w:pPr>
        <w:pStyle w:val="Heading5"/>
      </w:pPr>
      <w:bookmarkStart w:id="226" w:name="_Toc97633218"/>
      <w:bookmarkStart w:id="227" w:name="_Toc97016450"/>
      <w:r>
        <w:rPr>
          <w:rStyle w:val="CharSectno"/>
        </w:rPr>
        <w:t>69</w:t>
      </w:r>
      <w:r>
        <w:t>.</w:t>
      </w:r>
      <w:r>
        <w:tab/>
        <w:t>Notice of inspection may be given to dwelling owner etc. in some cases</w:t>
      </w:r>
      <w:bookmarkEnd w:id="226"/>
      <w:bookmarkEnd w:id="227"/>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Gazette 28 Jun 2004 p. 2435; amended: Gazette 7 Oct 2005 p. 4523.]</w:t>
      </w:r>
    </w:p>
    <w:p>
      <w:pPr>
        <w:pStyle w:val="Heading5"/>
      </w:pPr>
      <w:bookmarkStart w:id="228" w:name="_Toc97633219"/>
      <w:bookmarkStart w:id="229" w:name="_Toc97016451"/>
      <w:r>
        <w:rPr>
          <w:rStyle w:val="CharSectno"/>
        </w:rPr>
        <w:t>70</w:t>
      </w:r>
      <w:r>
        <w:t>.</w:t>
      </w:r>
      <w:r>
        <w:tab/>
        <w:t>Drainage plumbing work (major plumbing work) ready for inspection, notice to be given to Board of</w:t>
      </w:r>
      <w:bookmarkEnd w:id="228"/>
      <w:bookmarkEnd w:id="229"/>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Gazette 28 Jun 2004 p. 2435</w:t>
      </w:r>
      <w:r>
        <w:noBreakHyphen/>
        <w:t>6; amended: Gazette 1 May 2007 p. 1896</w:t>
      </w:r>
      <w:r>
        <w:noBreakHyphen/>
        <w:t>7; 29 Apr 2016 p. 1347.]</w:t>
      </w:r>
    </w:p>
    <w:p>
      <w:pPr>
        <w:pStyle w:val="Heading5"/>
      </w:pPr>
      <w:bookmarkStart w:id="230" w:name="_Toc97633220"/>
      <w:bookmarkStart w:id="231" w:name="_Toc97016452"/>
      <w:r>
        <w:rPr>
          <w:rStyle w:val="CharSectno"/>
        </w:rPr>
        <w:t>71</w:t>
      </w:r>
      <w:r>
        <w:t>.</w:t>
      </w:r>
      <w:r>
        <w:tab/>
        <w:t>Rectification notices</w:t>
      </w:r>
      <w:bookmarkEnd w:id="230"/>
      <w:bookmarkEnd w:id="231"/>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 performance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cannot be given more than 6 years after — </w:t>
      </w:r>
    </w:p>
    <w:p>
      <w:pPr>
        <w:pStyle w:val="Indenta"/>
      </w:pPr>
      <w:r>
        <w:tab/>
        <w:t>(a)</w:t>
      </w:r>
      <w:r>
        <w:tab/>
        <w:t xml:space="preserve">unless paragraph (b) applies, the day on which — </w:t>
      </w:r>
    </w:p>
    <w:p>
      <w:pPr>
        <w:pStyle w:val="Indenti"/>
      </w:pPr>
      <w:r>
        <w:tab/>
        <w:t>(i)</w:t>
      </w:r>
      <w:r>
        <w:tab/>
        <w:t>for major plumbing work or plumbing work that includes a performance solution — a certificate of compliance for the plumbing work was given under regulation 42(1) or 45B(1), as the case requires; or</w:t>
      </w:r>
    </w:p>
    <w:p>
      <w:pPr>
        <w:pStyle w:val="Indenti"/>
      </w:pPr>
      <w:r>
        <w:tab/>
        <w:t>(ii)</w:t>
      </w:r>
      <w:r>
        <w:tab/>
        <w:t>for minor plumbing work that does not include a performance solution — the minor plumbing work was completed;</w:t>
      </w:r>
    </w:p>
    <w:p>
      <w:pPr>
        <w:pStyle w:val="Indenta"/>
      </w:pPr>
      <w:r>
        <w:tab/>
      </w:r>
      <w:r>
        <w:tab/>
        <w:t>or</w:t>
      </w:r>
    </w:p>
    <w:p>
      <w:pPr>
        <w:pStyle w:val="Indenta"/>
      </w:pPr>
      <w:r>
        <w:tab/>
        <w:t>(b)</w:t>
      </w:r>
      <w:r>
        <w:tab/>
        <w:t>if 1 or more previous rectification notices have been given in respect of the plumbing work — the day on which the most recent previous rectification notice in respect of the plumbing work was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keepNext/>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ind w:left="890" w:hanging="890"/>
      </w:pPr>
      <w:r>
        <w:tab/>
        <w:t>[Regulation 71 inserted: Gazette 24 Apr 2015 p. 1515</w:t>
      </w:r>
      <w:r>
        <w:noBreakHyphen/>
        <w:t>17; amended: Gazette 13 Dec 2016 p. 5626; 18 Oct 2019 p. 3676</w:t>
      </w:r>
      <w:r>
        <w:noBreakHyphen/>
        <w:t>7.]</w:t>
      </w:r>
    </w:p>
    <w:p>
      <w:pPr>
        <w:pStyle w:val="Heading5"/>
      </w:pPr>
      <w:bookmarkStart w:id="232" w:name="_Toc97633221"/>
      <w:bookmarkStart w:id="233" w:name="_Toc97016453"/>
      <w:r>
        <w:rPr>
          <w:rStyle w:val="CharSectno"/>
        </w:rPr>
        <w:t>72</w:t>
      </w:r>
      <w:r>
        <w:t>.</w:t>
      </w:r>
      <w:r>
        <w:tab/>
        <w:t>Rectification notice to be complied with etc.</w:t>
      </w:r>
      <w:bookmarkEnd w:id="232"/>
      <w:bookmarkEnd w:id="233"/>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keepNext/>
      </w:pPr>
      <w:r>
        <w:tab/>
        <w:t>(b)</w:t>
      </w:r>
      <w:r>
        <w:tab/>
        <w:t>if the officer cannot be notified — the Board,</w:t>
      </w:r>
    </w:p>
    <w:p>
      <w:pPr>
        <w:pStyle w:val="Subsection"/>
        <w:keepNext/>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keepNext/>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keepNext/>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Gazette 28 Jun 2004 p. 2438</w:t>
      </w:r>
      <w:r>
        <w:noBreakHyphen/>
        <w:t>9; amended: Gazette 29 Apr 2016 p. 1347-8.]</w:t>
      </w:r>
    </w:p>
    <w:p>
      <w:pPr>
        <w:pStyle w:val="Heading5"/>
      </w:pPr>
      <w:bookmarkStart w:id="234" w:name="_Toc97633222"/>
      <w:bookmarkStart w:id="235" w:name="_Toc97016454"/>
      <w:r>
        <w:rPr>
          <w:rStyle w:val="CharSectno"/>
        </w:rPr>
        <w:t>73</w:t>
      </w:r>
      <w:r>
        <w:t>.</w:t>
      </w:r>
      <w:r>
        <w:tab/>
        <w:t>Inspection of rectified plumbing work, fee for</w:t>
      </w:r>
      <w:bookmarkEnd w:id="234"/>
      <w:bookmarkEnd w:id="235"/>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Division 2 for each hour or part</w:t>
      </w:r>
      <w:r>
        <w:noBreakHyphen/>
        <w:t>hour of the inspection.</w:t>
      </w:r>
    </w:p>
    <w:p>
      <w:pPr>
        <w:pStyle w:val="Footnotesection"/>
      </w:pPr>
      <w:r>
        <w:tab/>
        <w:t>[Regulation 73 inserted: Gazette 28 Jun 2004 p. 2439; amended: SL 2020/196 r. 54.]</w:t>
      </w:r>
    </w:p>
    <w:p>
      <w:pPr>
        <w:pStyle w:val="Heading3"/>
      </w:pPr>
      <w:bookmarkStart w:id="236" w:name="_Toc97633047"/>
      <w:bookmarkStart w:id="237" w:name="_Toc97633223"/>
      <w:bookmarkStart w:id="238" w:name="_Toc97016291"/>
      <w:bookmarkStart w:id="239" w:name="_Toc97016455"/>
      <w:r>
        <w:rPr>
          <w:rStyle w:val="CharDivNo"/>
        </w:rPr>
        <w:t>Division 3</w:t>
      </w:r>
      <w:r>
        <w:t> — </w:t>
      </w:r>
      <w:r>
        <w:rPr>
          <w:rStyle w:val="CharDivText"/>
        </w:rPr>
        <w:t>Infringement notices</w:t>
      </w:r>
      <w:bookmarkEnd w:id="236"/>
      <w:bookmarkEnd w:id="237"/>
      <w:bookmarkEnd w:id="238"/>
      <w:bookmarkEnd w:id="239"/>
    </w:p>
    <w:p>
      <w:pPr>
        <w:pStyle w:val="Footnoteheading"/>
        <w:tabs>
          <w:tab w:val="left" w:pos="840"/>
        </w:tabs>
      </w:pPr>
      <w:r>
        <w:tab/>
        <w:t>[Heading inserted: Gazette 28 Jun 2004 p. 2440.]</w:t>
      </w:r>
    </w:p>
    <w:p>
      <w:pPr>
        <w:pStyle w:val="Heading5"/>
      </w:pPr>
      <w:bookmarkStart w:id="240" w:name="_Toc97633224"/>
      <w:bookmarkStart w:id="241" w:name="_Toc97016456"/>
      <w:r>
        <w:rPr>
          <w:rStyle w:val="CharSectno"/>
        </w:rPr>
        <w:t>74</w:t>
      </w:r>
      <w:r>
        <w:t>.</w:t>
      </w:r>
      <w:r>
        <w:tab/>
        <w:t>Terms used</w:t>
      </w:r>
      <w:bookmarkEnd w:id="240"/>
      <w:bookmarkEnd w:id="241"/>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Gazette 29 Apr 2016 p. 1348.]</w:t>
      </w:r>
    </w:p>
    <w:p>
      <w:pPr>
        <w:pStyle w:val="Heading5"/>
      </w:pPr>
      <w:bookmarkStart w:id="242" w:name="_Toc97633225"/>
      <w:bookmarkStart w:id="243" w:name="_Toc97016457"/>
      <w:r>
        <w:rPr>
          <w:rStyle w:val="CharSectno"/>
        </w:rPr>
        <w:t>75</w:t>
      </w:r>
      <w:r>
        <w:t>.</w:t>
      </w:r>
      <w:r>
        <w:tab/>
        <w:t>Infringement notices, issue of</w:t>
      </w:r>
      <w:bookmarkEnd w:id="242"/>
      <w:bookmarkEnd w:id="243"/>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9(1), 42(1),</w:t>
            </w:r>
            <w:r>
              <w:rPr>
                <w:sz w:val="22"/>
              </w:rPr>
              <w:t xml:space="preserve"> 44A(1), (3), (4), (5) or (6),</w:t>
            </w:r>
            <w:r>
              <w:rPr>
                <w:sz w:val="22"/>
                <w:szCs w:val="22"/>
              </w:rPr>
              <w:t xml:space="preserve">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 xml:space="preserve">25, 39, </w:t>
            </w:r>
            <w:r>
              <w:rPr>
                <w:sz w:val="22"/>
              </w:rPr>
              <w:t>104(3), 105, 111(3)</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 xml:space="preserve">45D(1), </w:t>
            </w:r>
            <w:r>
              <w:rPr>
                <w:sz w:val="22"/>
              </w:rPr>
              <w:t xml:space="preserve">45DA(2), </w:t>
            </w:r>
            <w:r>
              <w:rPr>
                <w:sz w:val="22"/>
                <w:szCs w:val="22"/>
              </w:rPr>
              <w:t>70(1), 70(3)</w:t>
            </w:r>
          </w:p>
        </w:tc>
        <w:tc>
          <w:tcPr>
            <w:tcW w:w="2551" w:type="dxa"/>
          </w:tcPr>
          <w:p>
            <w:pPr>
              <w:pStyle w:val="TableNAm"/>
              <w:jc w:val="center"/>
              <w:rPr>
                <w:sz w:val="22"/>
                <w:szCs w:val="22"/>
              </w:rPr>
            </w:pPr>
            <w:r>
              <w:rPr>
                <w:sz w:val="22"/>
                <w:szCs w:val="22"/>
              </w:rPr>
              <w:t>500</w:t>
            </w:r>
          </w:p>
        </w:tc>
      </w:tr>
    </w:tbl>
    <w:p>
      <w:pPr>
        <w:pStyle w:val="Footnotesection"/>
      </w:pPr>
      <w:r>
        <w:tab/>
        <w:t>[Regulation 75 inserted: Gazette 28 Jun 2004 p. 2440; amended: Gazette 24 Apr 2015 p. 1517; 29 Apr 2016 p. 1348</w:t>
      </w:r>
      <w:r>
        <w:noBreakHyphen/>
        <w:t>9; 13 Dec 2016 p. 5625 and p. 5629; 18 Oct 2019 p. 3677; SL 2020/132 r. 8.]</w:t>
      </w:r>
    </w:p>
    <w:p>
      <w:pPr>
        <w:pStyle w:val="Heading5"/>
      </w:pPr>
      <w:bookmarkStart w:id="244" w:name="_Toc97633226"/>
      <w:bookmarkStart w:id="245" w:name="_Toc97016458"/>
      <w:r>
        <w:rPr>
          <w:rStyle w:val="CharSectno"/>
        </w:rPr>
        <w:t>76</w:t>
      </w:r>
      <w:r>
        <w:t>.</w:t>
      </w:r>
      <w:r>
        <w:tab/>
        <w:t>Extending time to pay modified penalty</w:t>
      </w:r>
      <w:bookmarkEnd w:id="244"/>
      <w:bookmarkEnd w:id="245"/>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Gazette 29 Apr 2016 p. 1349.]</w:t>
      </w:r>
    </w:p>
    <w:p>
      <w:pPr>
        <w:pStyle w:val="Heading5"/>
      </w:pPr>
      <w:bookmarkStart w:id="246" w:name="_Toc97633227"/>
      <w:bookmarkStart w:id="247" w:name="_Toc97016459"/>
      <w:r>
        <w:rPr>
          <w:rStyle w:val="CharSectno"/>
        </w:rPr>
        <w:t>77</w:t>
      </w:r>
      <w:r>
        <w:t>.</w:t>
      </w:r>
      <w:r>
        <w:tab/>
        <w:t>Withdrawing infringement notice</w:t>
      </w:r>
      <w:bookmarkEnd w:id="246"/>
      <w:bookmarkEnd w:id="247"/>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Gazette 28 Jun 2004 p. 2441; amended: Gazette 29 Apr 2016 p. 1349.]</w:t>
      </w:r>
    </w:p>
    <w:p>
      <w:pPr>
        <w:pStyle w:val="Heading5"/>
        <w:spacing w:before="240"/>
      </w:pPr>
      <w:bookmarkStart w:id="248" w:name="_Toc97633228"/>
      <w:bookmarkStart w:id="249" w:name="_Toc97016460"/>
      <w:r>
        <w:rPr>
          <w:rStyle w:val="CharSectno"/>
        </w:rPr>
        <w:t>78</w:t>
      </w:r>
      <w:r>
        <w:t>.</w:t>
      </w:r>
      <w:r>
        <w:tab/>
        <w:t>Payment of modified penalty, consequences of</w:t>
      </w:r>
      <w:bookmarkEnd w:id="248"/>
      <w:bookmarkEnd w:id="249"/>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Gazette 28 Jun 2004 p. 2441.]</w:t>
      </w:r>
    </w:p>
    <w:p>
      <w:pPr>
        <w:pStyle w:val="Heading5"/>
        <w:spacing w:before="240"/>
      </w:pPr>
      <w:bookmarkStart w:id="250" w:name="_Toc97633229"/>
      <w:bookmarkStart w:id="251" w:name="_Toc97016461"/>
      <w:r>
        <w:rPr>
          <w:rStyle w:val="CharSectno"/>
        </w:rPr>
        <w:t>79</w:t>
      </w:r>
      <w:r>
        <w:t>.</w:t>
      </w:r>
      <w:r>
        <w:tab/>
        <w:t>Paid modified penalties, application of</w:t>
      </w:r>
      <w:bookmarkEnd w:id="250"/>
      <w:bookmarkEnd w:id="251"/>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Gazette 28 Jun 2004 p. 2442.]</w:t>
      </w:r>
    </w:p>
    <w:p>
      <w:pPr>
        <w:pStyle w:val="Heading5"/>
      </w:pPr>
      <w:bookmarkStart w:id="252" w:name="_Toc97633230"/>
      <w:bookmarkStart w:id="253" w:name="_Toc97016462"/>
      <w:r>
        <w:rPr>
          <w:rStyle w:val="CharSectno"/>
        </w:rPr>
        <w:t>80</w:t>
      </w:r>
      <w:r>
        <w:t>.</w:t>
      </w:r>
      <w:r>
        <w:tab/>
        <w:t>Designation of employee of department as authorised person</w:t>
      </w:r>
      <w:bookmarkEnd w:id="252"/>
      <w:bookmarkEnd w:id="253"/>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Gazette 29 Apr 2016 p. 1350.]</w:t>
      </w:r>
    </w:p>
    <w:p>
      <w:pPr>
        <w:pStyle w:val="Heading3"/>
        <w:keepLines/>
        <w:spacing w:before="200"/>
      </w:pPr>
      <w:bookmarkStart w:id="254" w:name="_Toc97633055"/>
      <w:bookmarkStart w:id="255" w:name="_Toc97633231"/>
      <w:bookmarkStart w:id="256" w:name="_Toc97016299"/>
      <w:bookmarkStart w:id="257" w:name="_Toc97016463"/>
      <w:r>
        <w:rPr>
          <w:rStyle w:val="CharDivNo"/>
        </w:rPr>
        <w:t>Division 4</w:t>
      </w:r>
      <w:r>
        <w:t> — </w:t>
      </w:r>
      <w:r>
        <w:rPr>
          <w:rStyle w:val="CharDivText"/>
        </w:rPr>
        <w:t>Dangerous situations</w:t>
      </w:r>
      <w:bookmarkEnd w:id="254"/>
      <w:bookmarkEnd w:id="255"/>
      <w:bookmarkEnd w:id="256"/>
      <w:bookmarkEnd w:id="257"/>
    </w:p>
    <w:p>
      <w:pPr>
        <w:pStyle w:val="Footnoteheading"/>
        <w:keepNext/>
        <w:keepLines/>
        <w:tabs>
          <w:tab w:val="left" w:pos="840"/>
        </w:tabs>
        <w:spacing w:before="100"/>
      </w:pPr>
      <w:r>
        <w:tab/>
        <w:t>[Heading inserted: Gazette 28 Jun 2004 p. 2442.]</w:t>
      </w:r>
    </w:p>
    <w:p>
      <w:pPr>
        <w:pStyle w:val="Heading5"/>
        <w:spacing w:before="180"/>
      </w:pPr>
      <w:bookmarkStart w:id="258" w:name="_Toc97633232"/>
      <w:bookmarkStart w:id="259" w:name="_Toc97016464"/>
      <w:r>
        <w:rPr>
          <w:rStyle w:val="CharSectno"/>
        </w:rPr>
        <w:t>81</w:t>
      </w:r>
      <w:r>
        <w:t>.</w:t>
      </w:r>
      <w:r>
        <w:tab/>
        <w:t>Plumbing compliance officers’ powers to deal with dangerous situations</w:t>
      </w:r>
      <w:bookmarkEnd w:id="258"/>
      <w:bookmarkEnd w:id="259"/>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keepNext/>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Gazette 28 Jun 2004 p. 2442</w:t>
      </w:r>
      <w:r>
        <w:noBreakHyphen/>
        <w:t>3.]</w:t>
      </w:r>
    </w:p>
    <w:p>
      <w:pPr>
        <w:pStyle w:val="Heading3"/>
        <w:widowControl w:val="0"/>
      </w:pPr>
      <w:bookmarkStart w:id="260" w:name="_Toc97633057"/>
      <w:bookmarkStart w:id="261" w:name="_Toc97633233"/>
      <w:bookmarkStart w:id="262" w:name="_Toc97016301"/>
      <w:bookmarkStart w:id="263" w:name="_Toc97016465"/>
      <w:r>
        <w:rPr>
          <w:rStyle w:val="CharDivNo"/>
        </w:rPr>
        <w:t>Division 5</w:t>
      </w:r>
      <w:r>
        <w:t> — </w:t>
      </w:r>
      <w:r>
        <w:rPr>
          <w:rStyle w:val="CharDivText"/>
        </w:rPr>
        <w:t>Powers of entry, inspection and investigation</w:t>
      </w:r>
      <w:bookmarkEnd w:id="260"/>
      <w:bookmarkEnd w:id="261"/>
      <w:bookmarkEnd w:id="262"/>
      <w:bookmarkEnd w:id="263"/>
    </w:p>
    <w:p>
      <w:pPr>
        <w:pStyle w:val="Footnoteheading"/>
        <w:keepNext/>
        <w:widowControl w:val="0"/>
        <w:tabs>
          <w:tab w:val="left" w:pos="840"/>
        </w:tabs>
      </w:pPr>
      <w:r>
        <w:tab/>
        <w:t>[Heading inserted: Gazette 28 Jun 2004 p. 2443.]</w:t>
      </w:r>
    </w:p>
    <w:p>
      <w:pPr>
        <w:pStyle w:val="Heading5"/>
        <w:keepLines w:val="0"/>
        <w:widowControl w:val="0"/>
        <w:spacing w:before="240"/>
      </w:pPr>
      <w:bookmarkStart w:id="264" w:name="_Toc97633234"/>
      <w:bookmarkStart w:id="265" w:name="_Toc97016466"/>
      <w:r>
        <w:rPr>
          <w:rStyle w:val="CharSectno"/>
        </w:rPr>
        <w:t>82</w:t>
      </w:r>
      <w:r>
        <w:t>.</w:t>
      </w:r>
      <w:r>
        <w:tab/>
        <w:t>Terms used</w:t>
      </w:r>
      <w:bookmarkEnd w:id="264"/>
      <w:bookmarkEnd w:id="265"/>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4A, 5, 6 or 7 is being or has been complied with; and</w:t>
      </w:r>
    </w:p>
    <w:p>
      <w:pPr>
        <w:pStyle w:val="Defpara"/>
      </w:pPr>
      <w:r>
        <w:tab/>
        <w:t>(b)</w:t>
      </w:r>
      <w:r>
        <w:tab/>
        <w:t>obtaining evidence of a contravention of Part 3, 4A,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Gazette 28 Jun 2004 p. 2443; amended: Gazette 13 Dec 2016 p. 5626.]</w:t>
      </w:r>
    </w:p>
    <w:p>
      <w:pPr>
        <w:pStyle w:val="Heading5"/>
        <w:spacing w:before="240"/>
      </w:pPr>
      <w:bookmarkStart w:id="266" w:name="_Toc97633235"/>
      <w:bookmarkStart w:id="267" w:name="_Toc97016467"/>
      <w:r>
        <w:rPr>
          <w:rStyle w:val="CharSectno"/>
        </w:rPr>
        <w:t>83</w:t>
      </w:r>
      <w:r>
        <w:t>.</w:t>
      </w:r>
      <w:r>
        <w:tab/>
        <w:t>Power to enter for inspection or compliance purposes</w:t>
      </w:r>
      <w:bookmarkEnd w:id="266"/>
      <w:bookmarkEnd w:id="267"/>
    </w:p>
    <w:p>
      <w:pPr>
        <w:pStyle w:val="Subsection"/>
        <w:spacing w:before="180"/>
      </w:pPr>
      <w:r>
        <w:tab/>
        <w:t>(1)</w:t>
      </w:r>
      <w:r>
        <w:tab/>
        <w:t>A plumbing compliance officer may, for inspection or compliance purposes, enter a place that is not a dwelling at any reasonable time.</w:t>
      </w:r>
    </w:p>
    <w:p>
      <w:pPr>
        <w:pStyle w:val="Subsection"/>
        <w:keepNext/>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Gazette 28 Jun 2004 p. 2444</w:t>
      </w:r>
      <w:r>
        <w:noBreakHyphen/>
        <w:t>5.]</w:t>
      </w:r>
    </w:p>
    <w:p>
      <w:pPr>
        <w:pStyle w:val="Heading5"/>
      </w:pPr>
      <w:bookmarkStart w:id="268" w:name="_Toc97633236"/>
      <w:bookmarkStart w:id="269" w:name="_Toc97016468"/>
      <w:r>
        <w:rPr>
          <w:rStyle w:val="CharSectno"/>
        </w:rPr>
        <w:t>84</w:t>
      </w:r>
      <w:r>
        <w:t>.</w:t>
      </w:r>
      <w:r>
        <w:tab/>
        <w:t>Notice of intention to enter dwelling, issue of</w:t>
      </w:r>
      <w:bookmarkEnd w:id="268"/>
      <w:bookmarkEnd w:id="269"/>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Gazette 28 Jun 2004 p. 2445.]</w:t>
      </w:r>
    </w:p>
    <w:p>
      <w:pPr>
        <w:pStyle w:val="Heading5"/>
      </w:pPr>
      <w:bookmarkStart w:id="270" w:name="_Toc97633237"/>
      <w:bookmarkStart w:id="271" w:name="_Toc97016469"/>
      <w:r>
        <w:rPr>
          <w:rStyle w:val="CharSectno"/>
        </w:rPr>
        <w:t>85</w:t>
      </w:r>
      <w:r>
        <w:t>.</w:t>
      </w:r>
      <w:r>
        <w:tab/>
        <w:t>General powers for inspection and compliance purposes</w:t>
      </w:r>
      <w:bookmarkEnd w:id="270"/>
      <w:bookmarkEnd w:id="271"/>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Gazette 28 Jun 2004 p. 2445</w:t>
      </w:r>
      <w:r>
        <w:noBreakHyphen/>
        <w:t>6.]</w:t>
      </w:r>
    </w:p>
    <w:p>
      <w:pPr>
        <w:pStyle w:val="Heading5"/>
      </w:pPr>
      <w:bookmarkStart w:id="272" w:name="_Toc97633238"/>
      <w:bookmarkStart w:id="273" w:name="_Toc97016470"/>
      <w:r>
        <w:rPr>
          <w:rStyle w:val="CharSectno"/>
        </w:rPr>
        <w:t>86</w:t>
      </w:r>
      <w:r>
        <w:t>.</w:t>
      </w:r>
      <w:r>
        <w:tab/>
        <w:t>Entry warrants</w:t>
      </w:r>
      <w:bookmarkEnd w:id="272"/>
      <w:bookmarkEnd w:id="273"/>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Gazette 28 Jun 2004 p. 2446</w:t>
      </w:r>
      <w:r>
        <w:noBreakHyphen/>
        <w:t>7.]</w:t>
      </w:r>
    </w:p>
    <w:p>
      <w:pPr>
        <w:pStyle w:val="Heading5"/>
      </w:pPr>
      <w:bookmarkStart w:id="274" w:name="_Toc97633239"/>
      <w:bookmarkStart w:id="275" w:name="_Toc97016471"/>
      <w:r>
        <w:rPr>
          <w:rStyle w:val="CharSectno"/>
        </w:rPr>
        <w:t>87</w:t>
      </w:r>
      <w:r>
        <w:t>.</w:t>
      </w:r>
      <w:r>
        <w:tab/>
        <w:t>Assistants and equipment, use of</w:t>
      </w:r>
      <w:bookmarkEnd w:id="274"/>
      <w:bookmarkEnd w:id="275"/>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Gazette 28 Jun 2004 p. 2447.]</w:t>
      </w:r>
    </w:p>
    <w:p>
      <w:pPr>
        <w:pStyle w:val="Heading5"/>
      </w:pPr>
      <w:bookmarkStart w:id="276" w:name="_Toc97633240"/>
      <w:bookmarkStart w:id="277" w:name="_Toc97016472"/>
      <w:r>
        <w:rPr>
          <w:rStyle w:val="CharSectno"/>
        </w:rPr>
        <w:t>88</w:t>
      </w:r>
      <w:r>
        <w:t>.</w:t>
      </w:r>
      <w:r>
        <w:tab/>
        <w:t>Purpose of entry to be given on request</w:t>
      </w:r>
      <w:bookmarkEnd w:id="276"/>
      <w:bookmarkEnd w:id="277"/>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Gazette 28 Jun 2004 p. 2448.]</w:t>
      </w:r>
    </w:p>
    <w:p>
      <w:pPr>
        <w:pStyle w:val="Heading3"/>
      </w:pPr>
      <w:bookmarkStart w:id="278" w:name="_Toc97633065"/>
      <w:bookmarkStart w:id="279" w:name="_Toc97633241"/>
      <w:bookmarkStart w:id="280" w:name="_Toc97016309"/>
      <w:bookmarkStart w:id="281" w:name="_Toc97016473"/>
      <w:r>
        <w:rPr>
          <w:rStyle w:val="CharDivNo"/>
        </w:rPr>
        <w:t>Division 6</w:t>
      </w:r>
      <w:r>
        <w:t> — </w:t>
      </w:r>
      <w:r>
        <w:rPr>
          <w:rStyle w:val="CharDivText"/>
        </w:rPr>
        <w:t>General provisions</w:t>
      </w:r>
      <w:bookmarkEnd w:id="278"/>
      <w:bookmarkEnd w:id="279"/>
      <w:bookmarkEnd w:id="280"/>
      <w:bookmarkEnd w:id="281"/>
    </w:p>
    <w:p>
      <w:pPr>
        <w:pStyle w:val="Footnoteheading"/>
        <w:keepNext/>
        <w:tabs>
          <w:tab w:val="left" w:pos="840"/>
        </w:tabs>
      </w:pPr>
      <w:r>
        <w:tab/>
        <w:t>[Heading inserted: Gazette 28 Jun 2004 p. 2448.]</w:t>
      </w:r>
    </w:p>
    <w:p>
      <w:pPr>
        <w:pStyle w:val="Heading5"/>
      </w:pPr>
      <w:bookmarkStart w:id="282" w:name="_Toc97633242"/>
      <w:bookmarkStart w:id="283" w:name="_Toc97016474"/>
      <w:r>
        <w:rPr>
          <w:rStyle w:val="CharSectno"/>
        </w:rPr>
        <w:t>89</w:t>
      </w:r>
      <w:r>
        <w:t>.</w:t>
      </w:r>
      <w:r>
        <w:tab/>
        <w:t>Remedial action by State under r. 72(5) or 81, recovering cost of</w:t>
      </w:r>
      <w:bookmarkEnd w:id="282"/>
      <w:bookmarkEnd w:id="283"/>
    </w:p>
    <w:p>
      <w:pPr>
        <w:pStyle w:val="Subsection"/>
        <w:spacing w:before="120"/>
      </w:pPr>
      <w:r>
        <w:tab/>
        <w:t>(1)</w:t>
      </w:r>
      <w:r>
        <w:tab/>
        <w:t>The State may recover any reasonable costs and expenses incurred under regulation 72(5) or 81 in a court of competent jurisdiction as a debt due to the State.</w:t>
      </w:r>
    </w:p>
    <w:p>
      <w:pPr>
        <w:pStyle w:val="Subsection"/>
        <w:spacing w:before="120"/>
      </w:pPr>
      <w:r>
        <w:tab/>
        <w:t>(2)</w:t>
      </w:r>
      <w:r>
        <w:tab/>
        <w:t>Costs and expenses incurred under regulation 72(5) are recoverable from the person given the rectification notice under regulation 71.</w:t>
      </w:r>
    </w:p>
    <w:p>
      <w:pPr>
        <w:pStyle w:val="Subsection"/>
        <w:spacing w:before="120"/>
      </w:pPr>
      <w:r>
        <w:tab/>
        <w:t>(3)</w:t>
      </w:r>
      <w:r>
        <w:tab/>
        <w:t>Costs and expenses incurred under regulation 81 are recoverable jointly and severally from the person or persons who carried out the plumbing work that gave rise to the dangerous situation.</w:t>
      </w:r>
    </w:p>
    <w:p>
      <w:pPr>
        <w:pStyle w:val="Subsection"/>
        <w:spacing w:before="120"/>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spacing w:before="120"/>
      </w:pPr>
      <w:r>
        <w:tab/>
        <w:t>(5)</w:t>
      </w:r>
      <w:r>
        <w:tab/>
        <w:t>For the purposes of subregulation (3), plumbing work under Part 4A is taken to have been carried out by the relevant service provider.</w:t>
      </w:r>
    </w:p>
    <w:p>
      <w:pPr>
        <w:pStyle w:val="Footnotesection"/>
      </w:pPr>
      <w:r>
        <w:tab/>
        <w:t>[Regulation 89 inserted: Gazette 28 Jun 2004 p. 2448; amended: Gazette 13 Dec 2016 p. 5626.]</w:t>
      </w:r>
    </w:p>
    <w:p>
      <w:pPr>
        <w:pStyle w:val="Heading5"/>
      </w:pPr>
      <w:bookmarkStart w:id="284" w:name="_Toc97633243"/>
      <w:bookmarkStart w:id="285" w:name="_Toc97016475"/>
      <w:r>
        <w:rPr>
          <w:rStyle w:val="CharSectno"/>
        </w:rPr>
        <w:t>90</w:t>
      </w:r>
      <w:r>
        <w:t>.</w:t>
      </w:r>
      <w:r>
        <w:tab/>
        <w:t>Offences</w:t>
      </w:r>
      <w:bookmarkEnd w:id="284"/>
      <w:bookmarkEnd w:id="285"/>
    </w:p>
    <w:p>
      <w:pPr>
        <w:pStyle w:val="Subsection"/>
        <w:spacing w:before="120"/>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Footnotesection"/>
      </w:pPr>
      <w:r>
        <w:tab/>
        <w:t>[Regulation 90 inserted: Gazette 28 Jun 2004 p. 2449; amended: Gazette 29 Apr 2016 p. 1350.]</w:t>
      </w:r>
    </w:p>
    <w:p>
      <w:pPr>
        <w:pStyle w:val="Heading2"/>
      </w:pPr>
      <w:bookmarkStart w:id="286" w:name="_Toc97633068"/>
      <w:bookmarkStart w:id="287" w:name="_Toc97633244"/>
      <w:bookmarkStart w:id="288" w:name="_Toc97016312"/>
      <w:bookmarkStart w:id="289" w:name="_Toc97016476"/>
      <w:r>
        <w:rPr>
          <w:rStyle w:val="CharPartNo"/>
        </w:rPr>
        <w:t>Part 8</w:t>
      </w:r>
      <w:r>
        <w:rPr>
          <w:rStyle w:val="CharDivNo"/>
        </w:rPr>
        <w:t> </w:t>
      </w:r>
      <w:r>
        <w:t>—</w:t>
      </w:r>
      <w:r>
        <w:rPr>
          <w:rStyle w:val="CharDivText"/>
        </w:rPr>
        <w:t> </w:t>
      </w:r>
      <w:r>
        <w:rPr>
          <w:rStyle w:val="CharPartText"/>
        </w:rPr>
        <w:t>Miscellaneous provisions</w:t>
      </w:r>
      <w:bookmarkEnd w:id="286"/>
      <w:bookmarkEnd w:id="287"/>
      <w:bookmarkEnd w:id="288"/>
      <w:bookmarkEnd w:id="289"/>
    </w:p>
    <w:p>
      <w:pPr>
        <w:pStyle w:val="Footnoteheading"/>
        <w:tabs>
          <w:tab w:val="left" w:pos="840"/>
        </w:tabs>
      </w:pPr>
      <w:r>
        <w:tab/>
        <w:t>[Heading inserted: Gazette 28 Jun 2004 p. 2449.]</w:t>
      </w:r>
    </w:p>
    <w:p>
      <w:pPr>
        <w:pStyle w:val="Heading5"/>
      </w:pPr>
      <w:bookmarkStart w:id="290" w:name="_Toc97633245"/>
      <w:bookmarkStart w:id="291" w:name="_Toc97016477"/>
      <w:r>
        <w:rPr>
          <w:rStyle w:val="CharSectno"/>
        </w:rPr>
        <w:t>100</w:t>
      </w:r>
      <w:r>
        <w:t>.</w:t>
      </w:r>
      <w:r>
        <w:tab/>
        <w:t>Application to SAT for review of certain decisions of Board</w:t>
      </w:r>
      <w:bookmarkEnd w:id="290"/>
      <w:bookmarkEnd w:id="291"/>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(ea)</w:t>
      </w:r>
      <w:r>
        <w:tab/>
        <w:t>to make a declaration under regulation 39A(2); or</w:t>
      </w:r>
    </w:p>
    <w:p>
      <w:pPr>
        <w:pStyle w:val="Indenta"/>
      </w:pPr>
      <w:r>
        <w:tab/>
        <w:t>(eb)</w:t>
      </w:r>
      <w:r>
        <w:tab/>
        <w:t>to refuse to revoke a declaration under regulation 39A(3);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Gazette 28 Jun 2004 p. 2449; amended: Gazette 30 Dec 2004 p. 6930; 7 Oct 2005 p. 4524; 29 Apr 2016 p. 1351; 13 Dec 2016 p. 5626.]</w:t>
      </w:r>
    </w:p>
    <w:p>
      <w:pPr>
        <w:pStyle w:val="Ednotesection"/>
      </w:pPr>
      <w:r>
        <w:t>[</w:t>
      </w:r>
      <w:r>
        <w:rPr>
          <w:b/>
          <w:bCs/>
        </w:rPr>
        <w:t>101.</w:t>
      </w:r>
      <w:r>
        <w:tab/>
        <w:t>Deleted: Gazette 30 Dec 2004 p. 6930.]</w:t>
      </w:r>
    </w:p>
    <w:p>
      <w:pPr>
        <w:pStyle w:val="Heading5"/>
      </w:pPr>
      <w:bookmarkStart w:id="292" w:name="_Toc97633246"/>
      <w:bookmarkStart w:id="293" w:name="_Toc97016478"/>
      <w:r>
        <w:rPr>
          <w:rStyle w:val="CharSectno"/>
        </w:rPr>
        <w:t>102</w:t>
      </w:r>
      <w:r>
        <w:t>.</w:t>
      </w:r>
      <w:r>
        <w:tab/>
        <w:t>Register of licences etc., public access to etc.</w:t>
      </w:r>
      <w:bookmarkEnd w:id="292"/>
      <w:bookmarkEnd w:id="293"/>
    </w:p>
    <w:p>
      <w:pPr>
        <w:pStyle w:val="Subsection"/>
        <w:keepNext/>
      </w:pPr>
      <w:r>
        <w:tab/>
        <w:t>(1)</w:t>
      </w:r>
      <w:r>
        <w:tab/>
        <w:t>The Board is to keep a register of licences and permits in such form as the Board determines.</w:t>
      </w:r>
    </w:p>
    <w:p>
      <w:pPr>
        <w:pStyle w:val="Subsection"/>
        <w:spacing w:before="120"/>
      </w:pPr>
      <w:r>
        <w:tab/>
        <w:t>(2)</w:t>
      </w:r>
      <w:r>
        <w:tab/>
        <w:t>The register is to be available for public inspection at the office of the Board during normal office hours.</w:t>
      </w:r>
    </w:p>
    <w:p>
      <w:pPr>
        <w:pStyle w:val="Subsection"/>
        <w:spacing w:before="120"/>
      </w:pPr>
      <w:r>
        <w:tab/>
        <w:t>(3)</w:t>
      </w:r>
      <w:r>
        <w:tab/>
        <w:t>A person may obtain from the Board a copy of the register on payment of the fee set out in Schedule 1 Division 1.</w:t>
      </w:r>
    </w:p>
    <w:p>
      <w:pPr>
        <w:pStyle w:val="Subsection"/>
        <w:spacing w:before="120"/>
        <w:rPr>
          <w:b/>
          <w:sz w:val="20"/>
        </w:rPr>
      </w:pPr>
      <w:r>
        <w:tab/>
        <w:t>(4)</w:t>
      </w:r>
      <w:r>
        <w:tab/>
        <w:t>A person may obtain from the Board an extract from the register relating to a particular licence or permit on payment of the fee set out in Schedule 1 Division 1.</w:t>
      </w:r>
    </w:p>
    <w:p>
      <w:pPr>
        <w:pStyle w:val="Subsection"/>
        <w:keepNext/>
        <w:spacing w:before="120"/>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Gazette 28 Jun 2004 p. 2449 and amended: Gazette 28 Jun 2004 p. 2450; 7 Oct 2005 p. 4524; 26 Jun 2007 p. 3069; SL 2020/196 r. 54.]</w:t>
      </w:r>
    </w:p>
    <w:p>
      <w:pPr>
        <w:pStyle w:val="Heading5"/>
        <w:keepNext w:val="0"/>
        <w:keepLines w:val="0"/>
        <w:spacing w:before="180"/>
      </w:pPr>
      <w:bookmarkStart w:id="294" w:name="_Toc97633247"/>
      <w:bookmarkStart w:id="295" w:name="_Toc97016479"/>
      <w:r>
        <w:rPr>
          <w:rStyle w:val="CharSectno"/>
        </w:rPr>
        <w:t>103</w:t>
      </w:r>
      <w:r>
        <w:t>.</w:t>
      </w:r>
      <w:r>
        <w:tab/>
        <w:t>Register, content of</w:t>
      </w:r>
      <w:bookmarkEnd w:id="294"/>
      <w:bookmarkEnd w:id="295"/>
    </w:p>
    <w:p>
      <w:pPr>
        <w:pStyle w:val="Subsection"/>
        <w:spacing w:before="120"/>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Gazette 28 Jun 2004 p. 2449 and amended: Gazette 28 Jun 2004 p. 2450; 7 Oct 2005 p. 4524; 26 Jun 2007 p. 3069.]</w:t>
      </w:r>
    </w:p>
    <w:p>
      <w:pPr>
        <w:pStyle w:val="Heading5"/>
        <w:keepNext w:val="0"/>
        <w:spacing w:before="260"/>
      </w:pPr>
      <w:bookmarkStart w:id="296" w:name="_Toc97633248"/>
      <w:bookmarkStart w:id="297" w:name="_Toc97016480"/>
      <w:r>
        <w:rPr>
          <w:rStyle w:val="CharSectno"/>
        </w:rPr>
        <w:t>104</w:t>
      </w:r>
      <w:r>
        <w:t>.</w:t>
      </w:r>
      <w:r>
        <w:tab/>
        <w:t>Register, Board may amend etc.</w:t>
      </w:r>
      <w:bookmarkEnd w:id="296"/>
      <w:bookmarkEnd w:id="297"/>
    </w:p>
    <w:p>
      <w:pPr>
        <w:pStyle w:val="Subsection"/>
        <w:keepNext/>
        <w:spacing w:before="200"/>
      </w:pPr>
      <w:r>
        <w:tab/>
        <w:t>(1)</w:t>
      </w:r>
      <w:r>
        <w:tab/>
        <w:t>The Board may make such amendments, additions and corrections to the register as are necessary to ensure that the register is an accurate record of the information it contains.</w:t>
      </w:r>
    </w:p>
    <w:p>
      <w:pPr>
        <w:pStyle w:val="Subsection"/>
        <w:spacing w:before="200"/>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spacing w:before="200"/>
      </w:pPr>
      <w:r>
        <w:tab/>
        <w:t>(3)</w:t>
      </w:r>
      <w:r>
        <w:tab/>
        <w:t>A licensee or permit holder must comply with a notice given to the licensee or permit holder under subregulation (2).</w:t>
      </w:r>
    </w:p>
    <w:p>
      <w:pPr>
        <w:pStyle w:val="Penstart"/>
        <w:spacing w:before="200"/>
      </w:pPr>
      <w:r>
        <w:tab/>
        <w:t>Penalty for this subregulation: a fine of $2 000.</w:t>
      </w:r>
    </w:p>
    <w:p>
      <w:pPr>
        <w:pStyle w:val="Footnotesection"/>
        <w:spacing w:before="140"/>
        <w:ind w:left="890" w:hanging="890"/>
      </w:pPr>
      <w:r>
        <w:tab/>
        <w:t>[Regulation 104, formerly regulation 45, renumbered as regulation 104: Gazette 28 Jun 2004 p. 2449 and amended: Gazette 28 Jun 2004 p. 2450; 7 Oct 2005 p. 4524; 29 Apr 2016 p. 1351.]</w:t>
      </w:r>
    </w:p>
    <w:p>
      <w:pPr>
        <w:pStyle w:val="Heading5"/>
        <w:keepNext w:val="0"/>
        <w:spacing w:before="260"/>
      </w:pPr>
      <w:bookmarkStart w:id="298" w:name="_Toc97633249"/>
      <w:bookmarkStart w:id="299" w:name="_Toc97016481"/>
      <w:r>
        <w:rPr>
          <w:rStyle w:val="CharSectno"/>
        </w:rPr>
        <w:t>105</w:t>
      </w:r>
      <w:r>
        <w:t>.</w:t>
      </w:r>
      <w:r>
        <w:tab/>
        <w:t>Change of address etc., licensee etc. to notify Board of</w:t>
      </w:r>
      <w:bookmarkEnd w:id="298"/>
      <w:bookmarkEnd w:id="299"/>
    </w:p>
    <w:p>
      <w:pPr>
        <w:pStyle w:val="Subsection"/>
        <w:keepNext/>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Penalty: a fine of $1 000.</w:t>
      </w:r>
    </w:p>
    <w:p>
      <w:pPr>
        <w:pStyle w:val="Footnotesection"/>
      </w:pPr>
      <w:r>
        <w:tab/>
        <w:t>[Regulation 105, formerly regulation 46, renumbered as regulation 105: Gazette 28 Jun 2004 p. 2449; amended: Gazette 7 Oct 2005 p. 4525; 26 Jun 2007 p. 3069; 29 Apr 2016 p. 1351.]</w:t>
      </w:r>
    </w:p>
    <w:p>
      <w:pPr>
        <w:pStyle w:val="Heading5"/>
      </w:pPr>
      <w:bookmarkStart w:id="300" w:name="_Toc97633250"/>
      <w:bookmarkStart w:id="301" w:name="_Toc97016482"/>
      <w:r>
        <w:rPr>
          <w:rStyle w:val="CharSectno"/>
        </w:rPr>
        <w:t>106</w:t>
      </w:r>
      <w:r>
        <w:t>.</w:t>
      </w:r>
      <w:r>
        <w:tab/>
        <w:t>Forms, approval of etc.</w:t>
      </w:r>
      <w:bookmarkEnd w:id="300"/>
      <w:bookmarkEnd w:id="301"/>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 (if any).</w:t>
      </w:r>
    </w:p>
    <w:p>
      <w:pPr>
        <w:pStyle w:val="Subsection"/>
      </w:pPr>
      <w:r>
        <w:tab/>
        <w:t>(2)</w:t>
      </w:r>
      <w:r>
        <w:tab/>
        <w:t>In addition to the Board’s power under subregulation (1), the Board may require that the notice and certificates that must be given under regulations 41(1), 42(1), 45A(1), 45B(1) and 111(3)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keepNext/>
      </w:pPr>
      <w:r>
        <w:tab/>
        <w:t>(3)</w:t>
      </w:r>
      <w:r>
        <w:tab/>
        <w:t>The Board must make available notices and certificates required under regulations 41(1), 42(1), 45A(1), 45B(1) and 111(3)  that comply with the Board’s approval and requirements under this regulation, and the Board may charge a fee that does not exceed the relevant fee set out in Schedule 1 Division 2 item 1, 2, 3, 10 or 11.</w:t>
      </w:r>
    </w:p>
    <w:p>
      <w:pPr>
        <w:pStyle w:val="Footnotesection"/>
      </w:pPr>
      <w:r>
        <w:tab/>
        <w:t>[Regulation 106 inserted: Gazette 28 Jun 2004 p. 2451; amended: Gazette 13 Dec 2016 p. 5629; 23 Jun 2017 p. 3248; 18 Jun 2019 p. 2107; 18 Oct 2019 p. 3677; SL 2020/196 r. 54.]</w:t>
      </w:r>
    </w:p>
    <w:p>
      <w:pPr>
        <w:pStyle w:val="Heading5"/>
      </w:pPr>
      <w:bookmarkStart w:id="302" w:name="_Toc97633251"/>
      <w:bookmarkStart w:id="303" w:name="_Toc97016483"/>
      <w:r>
        <w:rPr>
          <w:rStyle w:val="CharSectno"/>
        </w:rPr>
        <w:t>107</w:t>
      </w:r>
      <w:r>
        <w:t>.</w:t>
      </w:r>
      <w:r>
        <w:tab/>
        <w:t>Evidentiary provisions</w:t>
      </w:r>
      <w:bookmarkEnd w:id="302"/>
      <w:bookmarkEnd w:id="303"/>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keepNext/>
      </w:pPr>
      <w:r>
        <w:tab/>
        <w:t>(c)</w:t>
      </w:r>
      <w:r>
        <w:tab/>
        <w:t>that particular plumbing work does or does not meet the plumbing standards.</w:t>
      </w:r>
    </w:p>
    <w:p>
      <w:pPr>
        <w:pStyle w:val="Footnotesection"/>
      </w:pPr>
      <w:r>
        <w:tab/>
        <w:t>[Regulation 107, formerly regulation 47, renumbered as regulation 107: Gazette 28 Jun 2004 p. 2449 and amended: Gazette 28 Jun 2004 p. 2452; 7 Oct 2005 p. 4525.]</w:t>
      </w:r>
    </w:p>
    <w:p>
      <w:pPr>
        <w:pStyle w:val="Heading5"/>
      </w:pPr>
      <w:bookmarkStart w:id="304" w:name="_Toc97633252"/>
      <w:bookmarkStart w:id="305" w:name="_Toc97016484"/>
      <w:r>
        <w:rPr>
          <w:rStyle w:val="CharSectno"/>
        </w:rPr>
        <w:t>108</w:t>
      </w:r>
      <w:r>
        <w:t>.</w:t>
      </w:r>
      <w:r>
        <w:tab/>
        <w:t>Information about Board, Board may publish</w:t>
      </w:r>
      <w:bookmarkEnd w:id="304"/>
      <w:bookmarkEnd w:id="305"/>
    </w:p>
    <w:p>
      <w:pPr>
        <w:pStyle w:val="Subsection"/>
        <w:keepNext/>
        <w:keepLines/>
      </w:pPr>
      <w:r>
        <w:tab/>
      </w:r>
      <w:r>
        <w:tab/>
        <w:t>The Board may publish information concerning the performance by the Board of its functions under the Act.</w:t>
      </w:r>
    </w:p>
    <w:p>
      <w:pPr>
        <w:pStyle w:val="Footnotesection"/>
      </w:pPr>
      <w:r>
        <w:tab/>
        <w:t>[Regulation 108 inserted as regulation 47B: Gazette 12 Sep 2003 p. 4080; renumbered as regulation 108: Gazette 28 Jun 2004 p. 2449.]</w:t>
      </w:r>
    </w:p>
    <w:p>
      <w:pPr>
        <w:pStyle w:val="Heading5"/>
      </w:pPr>
      <w:bookmarkStart w:id="306" w:name="_Toc97633253"/>
      <w:bookmarkStart w:id="307" w:name="_Toc97016485"/>
      <w:r>
        <w:rPr>
          <w:rStyle w:val="CharSectno"/>
        </w:rPr>
        <w:t>109</w:t>
      </w:r>
      <w:r>
        <w:t>.</w:t>
      </w:r>
      <w:r>
        <w:tab/>
        <w:t>Information that may be disclosed (Act s. 60B(2)(b))</w:t>
      </w:r>
      <w:bookmarkEnd w:id="306"/>
      <w:bookmarkEnd w:id="307"/>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Gazette 26 Jun 2007 p. 3070.]</w:t>
      </w:r>
    </w:p>
    <w:p>
      <w:pPr>
        <w:pStyle w:val="Ednotesection"/>
      </w:pPr>
      <w:r>
        <w:t>[</w:t>
      </w:r>
      <w:r>
        <w:rPr>
          <w:b/>
        </w:rPr>
        <w:t>109A.</w:t>
      </w:r>
      <w:r>
        <w:tab/>
        <w:t>Deleted: SL 2021/86 r. 58.]</w:t>
      </w:r>
    </w:p>
    <w:p>
      <w:pPr>
        <w:pStyle w:val="Heading5"/>
      </w:pPr>
      <w:bookmarkStart w:id="308" w:name="_Toc97633254"/>
      <w:bookmarkStart w:id="309" w:name="_Toc97016486"/>
      <w:r>
        <w:rPr>
          <w:rStyle w:val="CharSectno"/>
        </w:rPr>
        <w:t>110</w:t>
      </w:r>
      <w:r>
        <w:t>.</w:t>
      </w:r>
      <w:r>
        <w:tab/>
        <w:t xml:space="preserve">Transitional provision for </w:t>
      </w:r>
      <w:r>
        <w:rPr>
          <w:i/>
        </w:rPr>
        <w:t>Plumbers Licensing and Plumbing Standards Amendment Regulations 2019</w:t>
      </w:r>
      <w:bookmarkEnd w:id="308"/>
      <w:bookmarkEnd w:id="309"/>
    </w:p>
    <w:p>
      <w:pPr>
        <w:pStyle w:val="Subsection"/>
      </w:pPr>
      <w:r>
        <w:tab/>
      </w:r>
      <w:r>
        <w:tab/>
        <w:t>The plumbing standards that apply on and after 1 May 2019 to plumbing and plumbing work commenced, but not completed, before that date are the plumbing standards as they stood at the time the plumbing or plumbing work was commenced.</w:t>
      </w:r>
    </w:p>
    <w:p>
      <w:pPr>
        <w:pStyle w:val="Footnotesection"/>
      </w:pPr>
      <w:r>
        <w:tab/>
        <w:t>[Regulation 110 inserted: Gazette 9 Apr 2019 p. 1060.]</w:t>
      </w:r>
    </w:p>
    <w:p>
      <w:pPr>
        <w:pStyle w:val="Heading5"/>
      </w:pPr>
      <w:bookmarkStart w:id="310" w:name="_Toc97633255"/>
      <w:bookmarkStart w:id="311" w:name="_Toc97016487"/>
      <w:r>
        <w:rPr>
          <w:rStyle w:val="CharSectno"/>
        </w:rPr>
        <w:t>111</w:t>
      </w:r>
      <w:r>
        <w:t>.</w:t>
      </w:r>
      <w:r>
        <w:tab/>
        <w:t xml:space="preserve">Transitional provisions for </w:t>
      </w:r>
      <w:r>
        <w:rPr>
          <w:i/>
        </w:rPr>
        <w:t>Plumbers Licensing and Plumbing Standards Amendment Regulations (No. 3) 2019</w:t>
      </w:r>
      <w:bookmarkEnd w:id="310"/>
      <w:bookmarkEnd w:id="311"/>
    </w:p>
    <w:p>
      <w:pPr>
        <w:pStyle w:val="Subsection"/>
      </w:pPr>
      <w:r>
        <w:tab/>
        <w:t>(1)</w:t>
      </w:r>
      <w:r>
        <w:tab/>
        <w:t xml:space="preserve">In this regulation — </w:t>
      </w:r>
    </w:p>
    <w:p>
      <w:pPr>
        <w:pStyle w:val="Defstart"/>
      </w:pPr>
      <w:r>
        <w:tab/>
      </w:r>
      <w:r>
        <w:rPr>
          <w:rStyle w:val="CharDefText"/>
        </w:rPr>
        <w:t>former regulation 44</w:t>
      </w:r>
      <w:r>
        <w:t xml:space="preserve"> means regulation 44 as in force immediately before 1 January 2020.</w:t>
      </w:r>
    </w:p>
    <w:p>
      <w:pPr>
        <w:pStyle w:val="Subsection"/>
      </w:pPr>
      <w:r>
        <w:tab/>
        <w:t>(2)</w:t>
      </w:r>
      <w:r>
        <w:tab/>
        <w:t xml:space="preserve">The amendments made by the </w:t>
      </w:r>
      <w:r>
        <w:rPr>
          <w:i/>
        </w:rPr>
        <w:t>Plumbers Licensing and Plumbing Standards Amendment Regulations (No. 3) 2019</w:t>
      </w:r>
      <w:r>
        <w:t xml:space="preserve"> regulation 7 apply in relation to minor plumbing work completed on or after 1 January 2020.</w:t>
      </w:r>
    </w:p>
    <w:p>
      <w:pPr>
        <w:pStyle w:val="Subsection"/>
      </w:pPr>
      <w:r>
        <w:tab/>
        <w:t>(3)</w:t>
      </w:r>
      <w:r>
        <w:tab/>
        <w:t xml:space="preserve">If a certificate under former regulation 44 was not given before 1 January 2020 in relation to any minor plumbing work completed by or for a licensed plumbing contractor or permit holder in a month that ended before 1 January 2020, the contractor or permit holder must — </w:t>
      </w:r>
    </w:p>
    <w:p>
      <w:pPr>
        <w:pStyle w:val="Indenta"/>
      </w:pPr>
      <w:r>
        <w:tab/>
        <w:t>(a)</w:t>
      </w:r>
      <w:r>
        <w:tab/>
        <w:t>complete a certificate that complies with the requirements of former regulation 44 for all minor plumbing work completed by or for the contractor or permit holder in that month; and</w:t>
      </w:r>
    </w:p>
    <w:p>
      <w:pPr>
        <w:pStyle w:val="Indenta"/>
      </w:pPr>
      <w:r>
        <w:tab/>
        <w:t>(b)</w:t>
      </w:r>
      <w:r>
        <w:tab/>
        <w:t>give the certificate to the Board within 20 working days after 31 December 2019.</w:t>
      </w:r>
    </w:p>
    <w:p>
      <w:pPr>
        <w:pStyle w:val="Penstart"/>
      </w:pPr>
      <w:r>
        <w:tab/>
        <w:t>Penalty for this subregulation: a fine of $2 000.</w:t>
      </w:r>
    </w:p>
    <w:p>
      <w:pPr>
        <w:pStyle w:val="Subsection"/>
      </w:pPr>
      <w:r>
        <w:tab/>
        <w:t>(4)</w:t>
      </w:r>
      <w:r>
        <w:tab/>
        <w:t>On application by a licensed plumbing contractor or permit holder, the Board must refund the fee paid under regulation 106(3) for any unused certificate obtained for the purpose of certifying minor plumbing work under former regulation 44 or this regulation.</w:t>
      </w:r>
    </w:p>
    <w:p>
      <w:pPr>
        <w:pStyle w:val="Footnotesection"/>
      </w:pPr>
      <w:r>
        <w:tab/>
        <w:t>[Regulation 111 inserted: Gazette 18 Oct 2019 p. 3678.]</w:t>
      </w:r>
    </w:p>
    <w:p>
      <w:pPr>
        <w:pStyle w:val="Ednotepart"/>
        <w:ind w:left="1140" w:hanging="1140"/>
      </w:pPr>
      <w:r>
        <w:t>[Part 9:</w:t>
      </w:r>
      <w:r>
        <w:tab/>
        <w:t>Div. 1 (r. 112</w:t>
      </w:r>
      <w:r>
        <w:noBreakHyphen/>
        <w:t>117) and Div. 2 (r. 120</w:t>
      </w:r>
      <w:r>
        <w:noBreakHyphen/>
        <w:t>124) deleted: Gazette 29 Apr 2016 p. 1352.]</w:t>
      </w:r>
    </w:p>
    <w:p>
      <w:pPr>
        <w:spacing w:before="120"/>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12" w:name="_Toc97633080"/>
      <w:bookmarkStart w:id="313" w:name="_Toc97633256"/>
      <w:bookmarkStart w:id="314" w:name="_Toc97016324"/>
      <w:bookmarkStart w:id="315" w:name="_Toc97016488"/>
      <w:r>
        <w:rPr>
          <w:rStyle w:val="CharSchNo"/>
        </w:rPr>
        <w:t>Schedule 1 </w:t>
      </w:r>
      <w:r>
        <w:t>— </w:t>
      </w:r>
      <w:r>
        <w:rPr>
          <w:rStyle w:val="CharSchText"/>
        </w:rPr>
        <w:t>Fees</w:t>
      </w:r>
      <w:bookmarkEnd w:id="312"/>
      <w:bookmarkEnd w:id="313"/>
      <w:bookmarkEnd w:id="314"/>
      <w:bookmarkEnd w:id="315"/>
    </w:p>
    <w:p>
      <w:pPr>
        <w:pStyle w:val="yShoulderClause"/>
      </w:pPr>
      <w:r>
        <w:t>[r. 3, 22, 45A, 45E, 45, 54, 73, 102 and 106]</w:t>
      </w:r>
    </w:p>
    <w:p>
      <w:pPr>
        <w:pStyle w:val="yFootnoteheading"/>
      </w:pPr>
      <w:r>
        <w:tab/>
        <w:t>[Heading inserted: SL 2021/86 r. 59.]</w:t>
      </w:r>
    </w:p>
    <w:p>
      <w:pPr>
        <w:pStyle w:val="yHeading3"/>
      </w:pPr>
      <w:bookmarkStart w:id="316" w:name="_Toc97633081"/>
      <w:bookmarkStart w:id="317" w:name="_Toc97633257"/>
      <w:bookmarkStart w:id="318" w:name="_Toc97016325"/>
      <w:bookmarkStart w:id="319" w:name="_Toc97016489"/>
      <w:r>
        <w:rPr>
          <w:rStyle w:val="CharSDivNo"/>
        </w:rPr>
        <w:t>Division 1</w:t>
      </w:r>
      <w:r>
        <w:t> — </w:t>
      </w:r>
      <w:r>
        <w:rPr>
          <w:rStyle w:val="CharSDivText"/>
        </w:rPr>
        <w:t>Authorisation fees</w:t>
      </w:r>
      <w:bookmarkEnd w:id="316"/>
      <w:bookmarkEnd w:id="317"/>
      <w:bookmarkEnd w:id="318"/>
      <w:bookmarkEnd w:id="319"/>
    </w:p>
    <w:p>
      <w:pPr>
        <w:pStyle w:val="yFootnoteheading"/>
        <w:spacing w:after="120"/>
      </w:pPr>
      <w:r>
        <w:tab/>
        <w:t>[Heading inserted: SL 2021/86 r. 59.]</w:t>
      </w:r>
    </w:p>
    <w:tbl>
      <w:tblPr>
        <w:tblW w:w="7088" w:type="dxa"/>
        <w:jc w:val="center"/>
        <w:tblLayout w:type="fixed"/>
        <w:tblLook w:val="0000" w:firstRow="0" w:lastRow="0" w:firstColumn="0" w:lastColumn="0" w:noHBand="0" w:noVBand="0"/>
      </w:tblPr>
      <w:tblGrid>
        <w:gridCol w:w="709"/>
        <w:gridCol w:w="4961"/>
        <w:gridCol w:w="1418"/>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18" w:type="dxa"/>
            <w:tcBorders>
              <w:top w:val="single" w:sz="4" w:space="0" w:color="auto"/>
              <w:bottom w:val="single" w:sz="4" w:space="0" w:color="auto"/>
            </w:tcBorders>
            <w:noWrap/>
          </w:tcPr>
          <w:p>
            <w:pPr>
              <w:pStyle w:val="yTableNAm"/>
              <w:jc w:val="center"/>
              <w:rPr>
                <w:b/>
              </w:rPr>
            </w:pPr>
            <w:r>
              <w:rPr>
                <w:b/>
              </w:rPr>
              <w:t>Column 2</w:t>
            </w:r>
          </w:p>
          <w:p>
            <w:pPr>
              <w:pStyle w:val="yTableNAm"/>
              <w:jc w:val="center"/>
            </w:pPr>
            <w:r>
              <w:rPr>
                <w:b/>
              </w:rPr>
              <w:t>Fee ($)</w:t>
            </w:r>
          </w:p>
        </w:tc>
      </w:tr>
      <w:tr>
        <w:trPr>
          <w:cantSplit/>
          <w:jc w:val="center"/>
        </w:trPr>
        <w:tc>
          <w:tcPr>
            <w:tcW w:w="709" w:type="dxa"/>
            <w:noWrap/>
          </w:tcPr>
          <w:p>
            <w:pPr>
              <w:pStyle w:val="yTableNAm"/>
            </w:pPr>
            <w:r>
              <w:t>1.</w:t>
            </w:r>
          </w:p>
        </w:tc>
        <w:tc>
          <w:tcPr>
            <w:tcW w:w="4961" w:type="dxa"/>
            <w:noWrap/>
          </w:tcPr>
          <w:p>
            <w:pPr>
              <w:pStyle w:val="yTableNAm"/>
            </w:pPr>
            <w:r>
              <w:t>Application for plumbing contractor’s licence (r. 15)</w:t>
            </w:r>
          </w:p>
        </w:tc>
        <w:tc>
          <w:tcPr>
            <w:tcW w:w="1418" w:type="dxa"/>
            <w:noWrap/>
            <w:vAlign w:val="bottom"/>
          </w:tcPr>
          <w:p>
            <w:pPr>
              <w:pStyle w:val="yTableNAm"/>
              <w:jc w:val="right"/>
            </w:pPr>
            <w:r>
              <w:t>66.50</w:t>
            </w:r>
          </w:p>
        </w:tc>
      </w:tr>
      <w:tr>
        <w:trPr>
          <w:cantSplit/>
          <w:jc w:val="center"/>
        </w:trPr>
        <w:tc>
          <w:tcPr>
            <w:tcW w:w="709" w:type="dxa"/>
            <w:noWrap/>
          </w:tcPr>
          <w:p>
            <w:pPr>
              <w:pStyle w:val="yTableNAm"/>
            </w:pPr>
            <w:r>
              <w:t>2.</w:t>
            </w:r>
          </w:p>
        </w:tc>
        <w:tc>
          <w:tcPr>
            <w:tcW w:w="4961" w:type="dxa"/>
            <w:noWrap/>
          </w:tcPr>
          <w:p>
            <w:pPr>
              <w:pStyle w:val="yTableNAm"/>
            </w:pPr>
            <w:r>
              <w:t>Application for tradesperson’s licence or tradesperson’s licence (drainage plumbing) (r. 15)</w:t>
            </w:r>
          </w:p>
        </w:tc>
        <w:tc>
          <w:tcPr>
            <w:tcW w:w="1418" w:type="dxa"/>
            <w:noWrap/>
            <w:vAlign w:val="bottom"/>
          </w:tcPr>
          <w:p>
            <w:pPr>
              <w:pStyle w:val="yTableNAm"/>
              <w:jc w:val="right"/>
            </w:pPr>
            <w:r>
              <w:t>29.50</w:t>
            </w:r>
          </w:p>
        </w:tc>
      </w:tr>
      <w:tr>
        <w:trPr>
          <w:cantSplit/>
          <w:jc w:val="center"/>
        </w:trPr>
        <w:tc>
          <w:tcPr>
            <w:tcW w:w="709" w:type="dxa"/>
            <w:noWrap/>
          </w:tcPr>
          <w:p>
            <w:pPr>
              <w:pStyle w:val="yTableNAm"/>
            </w:pPr>
            <w:r>
              <w:t>3.</w:t>
            </w:r>
          </w:p>
        </w:tc>
        <w:tc>
          <w:tcPr>
            <w:tcW w:w="4961" w:type="dxa"/>
            <w:noWrap/>
          </w:tcPr>
          <w:p>
            <w:pPr>
              <w:pStyle w:val="yTableNAm"/>
            </w:pPr>
            <w:r>
              <w:t>Application for provisional tradesperson’s licence or provisional tradesperson’s licence (drainage plumbing) (r. 15)</w:t>
            </w:r>
          </w:p>
        </w:tc>
        <w:tc>
          <w:tcPr>
            <w:tcW w:w="1418" w:type="dxa"/>
            <w:noWrap/>
            <w:vAlign w:val="bottom"/>
          </w:tcPr>
          <w:p>
            <w:pPr>
              <w:pStyle w:val="yTableNAm"/>
              <w:jc w:val="right"/>
            </w:pPr>
            <w:r>
              <w:t>25.00</w:t>
            </w:r>
          </w:p>
        </w:tc>
      </w:tr>
      <w:tr>
        <w:trPr>
          <w:cantSplit/>
          <w:jc w:val="center"/>
        </w:trPr>
        <w:tc>
          <w:tcPr>
            <w:tcW w:w="709" w:type="dxa"/>
            <w:noWrap/>
          </w:tcPr>
          <w:p>
            <w:pPr>
              <w:pStyle w:val="yTableNAm"/>
            </w:pPr>
            <w:r>
              <w:t>4.</w:t>
            </w:r>
          </w:p>
        </w:tc>
        <w:tc>
          <w:tcPr>
            <w:tcW w:w="4961" w:type="dxa"/>
            <w:noWrap/>
          </w:tcPr>
          <w:p>
            <w:pPr>
              <w:pStyle w:val="yTableNAm"/>
            </w:pPr>
            <w:r>
              <w:t>Application for restricted plumbing permit (r. 15)</w:t>
            </w:r>
          </w:p>
        </w:tc>
        <w:tc>
          <w:tcPr>
            <w:tcW w:w="1418" w:type="dxa"/>
            <w:noWrap/>
            <w:vAlign w:val="bottom"/>
          </w:tcPr>
          <w:p>
            <w:pPr>
              <w:pStyle w:val="yTableNAm"/>
              <w:jc w:val="right"/>
            </w:pPr>
            <w:r>
              <w:t>25.00</w:t>
            </w:r>
          </w:p>
        </w:tc>
      </w:tr>
      <w:tr>
        <w:trPr>
          <w:cantSplit/>
          <w:jc w:val="center"/>
        </w:trPr>
        <w:tc>
          <w:tcPr>
            <w:tcW w:w="709" w:type="dxa"/>
            <w:noWrap/>
          </w:tcPr>
          <w:p>
            <w:pPr>
              <w:pStyle w:val="yTableNAm"/>
            </w:pPr>
            <w:r>
              <w:t>5.</w:t>
            </w:r>
          </w:p>
        </w:tc>
        <w:tc>
          <w:tcPr>
            <w:tcW w:w="4961" w:type="dxa"/>
            <w:noWrap/>
          </w:tcPr>
          <w:p>
            <w:pPr>
              <w:pStyle w:val="yTableNAm"/>
            </w:pPr>
            <w:r>
              <w:t>Issue of plumbing contractor’s licence (r. 17)</w:t>
            </w:r>
          </w:p>
        </w:tc>
        <w:tc>
          <w:tcPr>
            <w:tcW w:w="1418" w:type="dxa"/>
            <w:noWrap/>
            <w:vAlign w:val="bottom"/>
          </w:tcPr>
          <w:p>
            <w:pPr>
              <w:pStyle w:val="yTableNAm"/>
              <w:jc w:val="right"/>
            </w:pPr>
            <w:r>
              <w:t>680.00</w:t>
            </w:r>
          </w:p>
        </w:tc>
      </w:tr>
      <w:tr>
        <w:trPr>
          <w:cantSplit/>
          <w:jc w:val="center"/>
        </w:trPr>
        <w:tc>
          <w:tcPr>
            <w:tcW w:w="709" w:type="dxa"/>
            <w:noWrap/>
          </w:tcPr>
          <w:p>
            <w:pPr>
              <w:pStyle w:val="yTableNAm"/>
            </w:pPr>
            <w:r>
              <w:t>6.</w:t>
            </w:r>
          </w:p>
        </w:tc>
        <w:tc>
          <w:tcPr>
            <w:tcW w:w="4961" w:type="dxa"/>
            <w:noWrap/>
          </w:tcPr>
          <w:p>
            <w:pPr>
              <w:pStyle w:val="yTableNAm"/>
            </w:pPr>
            <w:r>
              <w:t>Issue of tradesperson’s licence or tradesperson’s licence (drainage plumbing) (r. 17)</w:t>
            </w:r>
          </w:p>
        </w:tc>
        <w:tc>
          <w:tcPr>
            <w:tcW w:w="1418" w:type="dxa"/>
            <w:noWrap/>
            <w:vAlign w:val="bottom"/>
          </w:tcPr>
          <w:p>
            <w:pPr>
              <w:pStyle w:val="yTableNAm"/>
              <w:jc w:val="right"/>
            </w:pPr>
            <w:r>
              <w:t>240.00</w:t>
            </w:r>
          </w:p>
        </w:tc>
      </w:tr>
      <w:tr>
        <w:trPr>
          <w:cantSplit/>
          <w:jc w:val="center"/>
        </w:trPr>
        <w:tc>
          <w:tcPr>
            <w:tcW w:w="709" w:type="dxa"/>
            <w:noWrap/>
          </w:tcPr>
          <w:p>
            <w:pPr>
              <w:pStyle w:val="yTableNAm"/>
            </w:pPr>
            <w:r>
              <w:t>7.</w:t>
            </w:r>
          </w:p>
        </w:tc>
        <w:tc>
          <w:tcPr>
            <w:tcW w:w="4961" w:type="dxa"/>
            <w:noWrap/>
          </w:tcPr>
          <w:p>
            <w:pPr>
              <w:pStyle w:val="yTableNAm"/>
            </w:pPr>
            <w:r>
              <w:t>Issue of provisional tradesperson’s licence or provisional tradesperson’s licence (drainage plumbing) (r. 17)</w:t>
            </w:r>
          </w:p>
        </w:tc>
        <w:tc>
          <w:tcPr>
            <w:tcW w:w="1418" w:type="dxa"/>
            <w:noWrap/>
            <w:vAlign w:val="bottom"/>
          </w:tcPr>
          <w:p>
            <w:pPr>
              <w:pStyle w:val="yTableNAm"/>
              <w:jc w:val="right"/>
            </w:pPr>
            <w:r>
              <w:t>75.00</w:t>
            </w:r>
          </w:p>
        </w:tc>
      </w:tr>
      <w:tr>
        <w:trPr>
          <w:cantSplit/>
          <w:jc w:val="center"/>
        </w:trPr>
        <w:tc>
          <w:tcPr>
            <w:tcW w:w="709" w:type="dxa"/>
            <w:noWrap/>
          </w:tcPr>
          <w:p>
            <w:pPr>
              <w:pStyle w:val="yTableNAm"/>
            </w:pPr>
            <w:r>
              <w:t>8.</w:t>
            </w:r>
          </w:p>
        </w:tc>
        <w:tc>
          <w:tcPr>
            <w:tcW w:w="4961" w:type="dxa"/>
            <w:noWrap/>
          </w:tcPr>
          <w:p>
            <w:pPr>
              <w:pStyle w:val="yTableNAm"/>
            </w:pPr>
            <w:r>
              <w:t>Issue of restricted plumbing permit (r. 17)</w:t>
            </w:r>
          </w:p>
        </w:tc>
        <w:tc>
          <w:tcPr>
            <w:tcW w:w="1418" w:type="dxa"/>
            <w:noWrap/>
            <w:vAlign w:val="bottom"/>
          </w:tcPr>
          <w:p>
            <w:pPr>
              <w:pStyle w:val="yTableNAm"/>
              <w:jc w:val="right"/>
            </w:pPr>
            <w:r>
              <w:t>301.00</w:t>
            </w:r>
          </w:p>
        </w:tc>
      </w:tr>
      <w:tr>
        <w:trPr>
          <w:cantSplit/>
          <w:jc w:val="center"/>
        </w:trPr>
        <w:tc>
          <w:tcPr>
            <w:tcW w:w="709" w:type="dxa"/>
            <w:noWrap/>
          </w:tcPr>
          <w:p>
            <w:pPr>
              <w:pStyle w:val="yTableNAm"/>
            </w:pPr>
            <w:r>
              <w:t>9.</w:t>
            </w:r>
          </w:p>
        </w:tc>
        <w:tc>
          <w:tcPr>
            <w:tcW w:w="4961" w:type="dxa"/>
            <w:noWrap/>
          </w:tcPr>
          <w:p>
            <w:pPr>
              <w:pStyle w:val="yTableNAm"/>
            </w:pPr>
            <w:r>
              <w:t>Renewal of plumbing contractor’s licence (r. 19A)</w:t>
            </w:r>
          </w:p>
        </w:tc>
        <w:tc>
          <w:tcPr>
            <w:tcW w:w="1418" w:type="dxa"/>
            <w:noWrap/>
            <w:vAlign w:val="bottom"/>
          </w:tcPr>
          <w:p>
            <w:pPr>
              <w:pStyle w:val="yTableNAm"/>
              <w:jc w:val="right"/>
            </w:pPr>
            <w:r>
              <w:t>680.00</w:t>
            </w:r>
          </w:p>
        </w:tc>
      </w:tr>
      <w:tr>
        <w:trPr>
          <w:cantSplit/>
          <w:jc w:val="center"/>
        </w:trPr>
        <w:tc>
          <w:tcPr>
            <w:tcW w:w="709" w:type="dxa"/>
            <w:noWrap/>
          </w:tcPr>
          <w:p>
            <w:pPr>
              <w:pStyle w:val="yTableNAm"/>
            </w:pPr>
            <w:r>
              <w:t>10.</w:t>
            </w:r>
          </w:p>
        </w:tc>
        <w:tc>
          <w:tcPr>
            <w:tcW w:w="4961" w:type="dxa"/>
            <w:noWrap/>
          </w:tcPr>
          <w:p>
            <w:pPr>
              <w:pStyle w:val="yTableNAm"/>
            </w:pPr>
            <w:r>
              <w:t>Renewal of tradesperson’s licence or tradesperson’s licence (drainage plumbing) (r. 19A)</w:t>
            </w:r>
          </w:p>
        </w:tc>
        <w:tc>
          <w:tcPr>
            <w:tcW w:w="1418" w:type="dxa"/>
            <w:noWrap/>
            <w:vAlign w:val="bottom"/>
          </w:tcPr>
          <w:p>
            <w:pPr>
              <w:pStyle w:val="yTableNAm"/>
              <w:jc w:val="right"/>
            </w:pPr>
            <w:r>
              <w:t>240.00</w:t>
            </w:r>
          </w:p>
        </w:tc>
      </w:tr>
      <w:tr>
        <w:trPr>
          <w:cantSplit/>
          <w:jc w:val="center"/>
        </w:trPr>
        <w:tc>
          <w:tcPr>
            <w:tcW w:w="709" w:type="dxa"/>
            <w:noWrap/>
          </w:tcPr>
          <w:p>
            <w:pPr>
              <w:pStyle w:val="yTableNAm"/>
            </w:pPr>
            <w:r>
              <w:t>11.</w:t>
            </w:r>
          </w:p>
        </w:tc>
        <w:tc>
          <w:tcPr>
            <w:tcW w:w="4961" w:type="dxa"/>
            <w:noWrap/>
          </w:tcPr>
          <w:p>
            <w:pPr>
              <w:pStyle w:val="yTableNAm"/>
            </w:pPr>
            <w:r>
              <w:t>Renewal of provisional tradesperson’s licence or provisional tradesperson’s licence (drainage plumbing) (r. 19A)</w:t>
            </w:r>
          </w:p>
        </w:tc>
        <w:tc>
          <w:tcPr>
            <w:tcW w:w="1418" w:type="dxa"/>
            <w:noWrap/>
            <w:vAlign w:val="bottom"/>
          </w:tcPr>
          <w:p>
            <w:pPr>
              <w:pStyle w:val="yTableNAm"/>
              <w:jc w:val="right"/>
            </w:pPr>
            <w:r>
              <w:t>79.00</w:t>
            </w:r>
          </w:p>
        </w:tc>
      </w:tr>
      <w:tr>
        <w:trPr>
          <w:cantSplit/>
          <w:jc w:val="center"/>
        </w:trPr>
        <w:tc>
          <w:tcPr>
            <w:tcW w:w="709" w:type="dxa"/>
            <w:noWrap/>
          </w:tcPr>
          <w:p>
            <w:pPr>
              <w:pStyle w:val="yTableNAm"/>
            </w:pPr>
            <w:r>
              <w:t>12.</w:t>
            </w:r>
          </w:p>
        </w:tc>
        <w:tc>
          <w:tcPr>
            <w:tcW w:w="4961" w:type="dxa"/>
            <w:noWrap/>
          </w:tcPr>
          <w:p>
            <w:pPr>
              <w:pStyle w:val="yTableNAm"/>
            </w:pPr>
            <w:r>
              <w:t>Renewal of restricted plumbing permit (r. 19A)</w:t>
            </w:r>
          </w:p>
        </w:tc>
        <w:tc>
          <w:tcPr>
            <w:tcW w:w="1418" w:type="dxa"/>
            <w:noWrap/>
            <w:vAlign w:val="bottom"/>
          </w:tcPr>
          <w:p>
            <w:pPr>
              <w:pStyle w:val="yTableNAm"/>
              <w:jc w:val="right"/>
            </w:pPr>
            <w:r>
              <w:t>309.00</w:t>
            </w:r>
          </w:p>
        </w:tc>
      </w:tr>
      <w:tr>
        <w:trPr>
          <w:cantSplit/>
          <w:jc w:val="center"/>
        </w:trPr>
        <w:tc>
          <w:tcPr>
            <w:tcW w:w="709" w:type="dxa"/>
            <w:noWrap/>
          </w:tcPr>
          <w:p>
            <w:pPr>
              <w:pStyle w:val="yTableNAm"/>
            </w:pPr>
            <w:r>
              <w:t>13.</w:t>
            </w:r>
          </w:p>
        </w:tc>
        <w:tc>
          <w:tcPr>
            <w:tcW w:w="4961" w:type="dxa"/>
            <w:noWrap/>
          </w:tcPr>
          <w:p>
            <w:pPr>
              <w:pStyle w:val="yTableNAm"/>
            </w:pPr>
            <w:r>
              <w:t>Issue of duplicate licence or permit (r. 22)</w:t>
            </w:r>
          </w:p>
        </w:tc>
        <w:tc>
          <w:tcPr>
            <w:tcW w:w="1418" w:type="dxa"/>
            <w:noWrap/>
            <w:vAlign w:val="bottom"/>
          </w:tcPr>
          <w:p>
            <w:pPr>
              <w:pStyle w:val="yTableNAm"/>
              <w:jc w:val="right"/>
            </w:pPr>
            <w:r>
              <w:t>65.00</w:t>
            </w:r>
          </w:p>
        </w:tc>
      </w:tr>
      <w:tr>
        <w:trPr>
          <w:cantSplit/>
          <w:jc w:val="center"/>
        </w:trPr>
        <w:tc>
          <w:tcPr>
            <w:tcW w:w="709" w:type="dxa"/>
            <w:noWrap/>
          </w:tcPr>
          <w:p>
            <w:pPr>
              <w:pStyle w:val="yTableNAm"/>
            </w:pPr>
            <w:r>
              <w:t>14.</w:t>
            </w:r>
          </w:p>
        </w:tc>
        <w:tc>
          <w:tcPr>
            <w:tcW w:w="4961" w:type="dxa"/>
            <w:noWrap/>
          </w:tcPr>
          <w:p>
            <w:pPr>
              <w:pStyle w:val="yTableNAm"/>
            </w:pPr>
            <w:r>
              <w:t>Copy of register (r. 102(3))</w:t>
            </w:r>
          </w:p>
        </w:tc>
        <w:tc>
          <w:tcPr>
            <w:tcW w:w="1418" w:type="dxa"/>
            <w:noWrap/>
            <w:vAlign w:val="bottom"/>
          </w:tcPr>
          <w:p>
            <w:pPr>
              <w:pStyle w:val="yTableNAm"/>
              <w:jc w:val="right"/>
            </w:pPr>
            <w:r>
              <w:t>61.80</w:t>
            </w:r>
          </w:p>
        </w:tc>
      </w:tr>
      <w:tr>
        <w:trPr>
          <w:cantSplit/>
          <w:jc w:val="center"/>
        </w:trPr>
        <w:tc>
          <w:tcPr>
            <w:tcW w:w="709" w:type="dxa"/>
            <w:tcBorders>
              <w:bottom w:val="single" w:sz="4" w:space="0" w:color="auto"/>
            </w:tcBorders>
            <w:noWrap/>
          </w:tcPr>
          <w:p>
            <w:pPr>
              <w:pStyle w:val="yTableNAm"/>
              <w:spacing w:after="120"/>
            </w:pPr>
            <w:r>
              <w:t>15.</w:t>
            </w:r>
          </w:p>
        </w:tc>
        <w:tc>
          <w:tcPr>
            <w:tcW w:w="4961" w:type="dxa"/>
            <w:tcBorders>
              <w:bottom w:val="single" w:sz="4" w:space="0" w:color="auto"/>
            </w:tcBorders>
            <w:noWrap/>
          </w:tcPr>
          <w:p>
            <w:pPr>
              <w:pStyle w:val="yTableNAm"/>
              <w:spacing w:after="120"/>
            </w:pPr>
            <w:r>
              <w:t>Extract from register (r. 102(4))</w:t>
            </w:r>
          </w:p>
        </w:tc>
        <w:tc>
          <w:tcPr>
            <w:tcW w:w="1418" w:type="dxa"/>
            <w:tcBorders>
              <w:bottom w:val="single" w:sz="4" w:space="0" w:color="auto"/>
            </w:tcBorders>
            <w:noWrap/>
            <w:vAlign w:val="bottom"/>
          </w:tcPr>
          <w:p>
            <w:pPr>
              <w:pStyle w:val="yTableNAm"/>
              <w:spacing w:after="120"/>
              <w:jc w:val="right"/>
            </w:pPr>
            <w:r>
              <w:t>61.80</w:t>
            </w:r>
          </w:p>
        </w:tc>
      </w:tr>
    </w:tbl>
    <w:p>
      <w:pPr>
        <w:pStyle w:val="yEdnotesection"/>
      </w:pPr>
      <w:r>
        <w:tab/>
        <w:t>[Division 1 inserted: SL 2021/86 r. 59.]</w:t>
      </w:r>
    </w:p>
    <w:p>
      <w:pPr>
        <w:pStyle w:val="yHeading3"/>
      </w:pPr>
      <w:bookmarkStart w:id="320" w:name="_Toc97633082"/>
      <w:bookmarkStart w:id="321" w:name="_Toc97633258"/>
      <w:bookmarkStart w:id="322" w:name="_Toc97016326"/>
      <w:bookmarkStart w:id="323" w:name="_Toc97016490"/>
      <w:r>
        <w:rPr>
          <w:rStyle w:val="CharSDivNo"/>
        </w:rPr>
        <w:t>Division 2</w:t>
      </w:r>
      <w:r>
        <w:t> — </w:t>
      </w:r>
      <w:r>
        <w:rPr>
          <w:rStyle w:val="CharSDivText"/>
        </w:rPr>
        <w:t>Compliance fees</w:t>
      </w:r>
      <w:bookmarkEnd w:id="320"/>
      <w:bookmarkEnd w:id="321"/>
      <w:bookmarkEnd w:id="322"/>
      <w:bookmarkEnd w:id="323"/>
    </w:p>
    <w:p>
      <w:pPr>
        <w:pStyle w:val="yFootnoteheading"/>
        <w:spacing w:after="120"/>
      </w:pPr>
      <w:r>
        <w:tab/>
        <w:t>[Heading inserted: SL 2021/86 r. 59.]</w:t>
      </w:r>
    </w:p>
    <w:tbl>
      <w:tblPr>
        <w:tblW w:w="7088" w:type="dxa"/>
        <w:tblLayout w:type="fixed"/>
        <w:tblLook w:val="0000" w:firstRow="0" w:lastRow="0" w:firstColumn="0" w:lastColumn="0" w:noHBand="0" w:noVBand="0"/>
      </w:tblPr>
      <w:tblGrid>
        <w:gridCol w:w="709"/>
        <w:gridCol w:w="4928"/>
        <w:gridCol w:w="1451"/>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28"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51" w:type="dxa"/>
            <w:tcBorders>
              <w:top w:val="single" w:sz="4" w:space="0" w:color="auto"/>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trPr>
        <w:tc>
          <w:tcPr>
            <w:tcW w:w="709" w:type="dxa"/>
            <w:noWrap/>
          </w:tcPr>
          <w:p>
            <w:pPr>
              <w:pStyle w:val="yTableNAm"/>
            </w:pPr>
            <w:r>
              <w:t>1.</w:t>
            </w:r>
          </w:p>
        </w:tc>
        <w:tc>
          <w:tcPr>
            <w:tcW w:w="4928" w:type="dxa"/>
            <w:noWrap/>
          </w:tcPr>
          <w:p>
            <w:pPr>
              <w:pStyle w:val="yTableNAm"/>
            </w:pPr>
            <w:r>
              <w:t>Combined notice of intention and certificate of compliance (r. 41(1) and 42(1)) — 1 notice/certificate</w:t>
            </w:r>
          </w:p>
        </w:tc>
        <w:tc>
          <w:tcPr>
            <w:tcW w:w="1451" w:type="dxa"/>
            <w:tcBorders>
              <w:top w:val="single" w:sz="4" w:space="0" w:color="auto"/>
            </w:tcBorders>
            <w:noWrap/>
            <w:vAlign w:val="bottom"/>
          </w:tcPr>
          <w:p>
            <w:pPr>
              <w:pStyle w:val="yTableNAm"/>
              <w:jc w:val="right"/>
            </w:pPr>
            <w:r>
              <w:t>22.50</w:t>
            </w:r>
          </w:p>
        </w:tc>
      </w:tr>
      <w:tr>
        <w:trPr>
          <w:cantSplit/>
        </w:trPr>
        <w:tc>
          <w:tcPr>
            <w:tcW w:w="709" w:type="dxa"/>
            <w:noWrap/>
          </w:tcPr>
          <w:p>
            <w:pPr>
              <w:pStyle w:val="yTableNAm"/>
            </w:pPr>
            <w:r>
              <w:t>2.</w:t>
            </w:r>
          </w:p>
        </w:tc>
        <w:tc>
          <w:tcPr>
            <w:tcW w:w="4928" w:type="dxa"/>
            <w:noWrap/>
          </w:tcPr>
          <w:p>
            <w:pPr>
              <w:pStyle w:val="yTableNAm"/>
            </w:pPr>
            <w:r>
              <w:t>Combined notice of intention and certificate of compliance (r. 41(1) and 42(1)) — booklet of 2 or more notices/certificates</w:t>
            </w:r>
          </w:p>
        </w:tc>
        <w:tc>
          <w:tcPr>
            <w:tcW w:w="1451" w:type="dxa"/>
            <w:noWrap/>
          </w:tcPr>
          <w:p>
            <w:pPr>
              <w:pStyle w:val="yTableNAm"/>
              <w:jc w:val="right"/>
            </w:pPr>
            <w:r>
              <w:br/>
            </w:r>
            <w:r>
              <w:br/>
              <w:t>22.50 per notice/</w:t>
            </w:r>
            <w:r>
              <w:br/>
              <w:t>certificate</w:t>
            </w:r>
          </w:p>
        </w:tc>
      </w:tr>
      <w:tr>
        <w:trPr>
          <w:cantSplit/>
        </w:trPr>
        <w:tc>
          <w:tcPr>
            <w:tcW w:w="709" w:type="dxa"/>
            <w:noWrap/>
          </w:tcPr>
          <w:p>
            <w:pPr>
              <w:pStyle w:val="yTableNAm"/>
            </w:pPr>
            <w:r>
              <w:t>3.</w:t>
            </w:r>
          </w:p>
        </w:tc>
        <w:tc>
          <w:tcPr>
            <w:tcW w:w="4928" w:type="dxa"/>
            <w:noWrap/>
          </w:tcPr>
          <w:p>
            <w:pPr>
              <w:pStyle w:val="yTableNAm"/>
            </w:pPr>
            <w:r>
              <w:t>Combined notice of intention and certificate of compliance to carry out work that includes performance solution (r. 45A(1) and 45B(1)) — 1 notice/certificate</w:t>
            </w:r>
          </w:p>
        </w:tc>
        <w:tc>
          <w:tcPr>
            <w:tcW w:w="1451" w:type="dxa"/>
            <w:noWrap/>
          </w:tcPr>
          <w:p>
            <w:pPr>
              <w:pStyle w:val="yTableNAm"/>
              <w:jc w:val="right"/>
            </w:pPr>
            <w:r>
              <w:br/>
            </w:r>
            <w:r>
              <w:br/>
            </w:r>
            <w:r>
              <w:br/>
              <w:t>23.45</w:t>
            </w:r>
          </w:p>
        </w:tc>
      </w:tr>
      <w:tr>
        <w:trPr>
          <w:cantSplit/>
        </w:trPr>
        <w:tc>
          <w:tcPr>
            <w:tcW w:w="709" w:type="dxa"/>
            <w:noWrap/>
          </w:tcPr>
          <w:p>
            <w:pPr>
              <w:pStyle w:val="yTableNAm"/>
            </w:pPr>
            <w:r>
              <w:t>4.</w:t>
            </w:r>
          </w:p>
        </w:tc>
        <w:tc>
          <w:tcPr>
            <w:tcW w:w="4928" w:type="dxa"/>
            <w:noWrap/>
          </w:tcPr>
          <w:p>
            <w:pPr>
              <w:pStyle w:val="yTableNAm"/>
            </w:pPr>
            <w:r>
              <w:t>Lodgment fee for notice of intention to carry out work that includes performance solution (r. 45A(3))</w:t>
            </w:r>
          </w:p>
        </w:tc>
        <w:tc>
          <w:tcPr>
            <w:tcW w:w="1451" w:type="dxa"/>
            <w:noWrap/>
            <w:vAlign w:val="bottom"/>
          </w:tcPr>
          <w:p>
            <w:pPr>
              <w:pStyle w:val="yTableNAm"/>
              <w:jc w:val="right"/>
            </w:pPr>
            <w:r>
              <w:t>795.60</w:t>
            </w:r>
          </w:p>
        </w:tc>
      </w:tr>
      <w:tr>
        <w:trPr>
          <w:cantSplit/>
        </w:trPr>
        <w:tc>
          <w:tcPr>
            <w:tcW w:w="709" w:type="dxa"/>
            <w:noWrap/>
          </w:tcPr>
          <w:p>
            <w:pPr>
              <w:pStyle w:val="yTableNAm"/>
            </w:pPr>
            <w:r>
              <w:t>5.</w:t>
            </w:r>
          </w:p>
        </w:tc>
        <w:tc>
          <w:tcPr>
            <w:tcW w:w="4928" w:type="dxa"/>
            <w:noWrap/>
          </w:tcPr>
          <w:p>
            <w:pPr>
              <w:pStyle w:val="yTableNAm"/>
            </w:pPr>
            <w:r>
              <w:t>Copy of a drainage plumbing diagram (r. 45E)</w:t>
            </w:r>
          </w:p>
        </w:tc>
        <w:tc>
          <w:tcPr>
            <w:tcW w:w="1451" w:type="dxa"/>
            <w:noWrap/>
            <w:vAlign w:val="bottom"/>
          </w:tcPr>
          <w:p>
            <w:pPr>
              <w:pStyle w:val="yTableNAm"/>
              <w:jc w:val="right"/>
            </w:pPr>
            <w:r>
              <w:t>11.00</w:t>
            </w:r>
          </w:p>
        </w:tc>
      </w:tr>
      <w:tr>
        <w:trPr>
          <w:cantSplit/>
        </w:trPr>
        <w:tc>
          <w:tcPr>
            <w:tcW w:w="709" w:type="dxa"/>
            <w:noWrap/>
          </w:tcPr>
          <w:p>
            <w:pPr>
              <w:pStyle w:val="yTableNAm"/>
            </w:pPr>
            <w:r>
              <w:t>6.</w:t>
            </w:r>
          </w:p>
        </w:tc>
        <w:tc>
          <w:tcPr>
            <w:tcW w:w="4928" w:type="dxa"/>
            <w:noWrap/>
          </w:tcPr>
          <w:p>
            <w:pPr>
              <w:pStyle w:val="yTableNAm"/>
            </w:pPr>
            <w:r>
              <w:t>New installation fee for plumbing work involving 9 or less fixtures (r. 45)</w:t>
            </w:r>
          </w:p>
        </w:tc>
        <w:tc>
          <w:tcPr>
            <w:tcW w:w="1451" w:type="dxa"/>
            <w:noWrap/>
            <w:vAlign w:val="bottom"/>
          </w:tcPr>
          <w:p>
            <w:pPr>
              <w:pStyle w:val="yTableNAm"/>
              <w:jc w:val="right"/>
            </w:pPr>
            <w:r>
              <w:t>69.25</w:t>
            </w:r>
          </w:p>
        </w:tc>
      </w:tr>
      <w:tr>
        <w:trPr>
          <w:cantSplit/>
        </w:trPr>
        <w:tc>
          <w:tcPr>
            <w:tcW w:w="709" w:type="dxa"/>
            <w:noWrap/>
          </w:tcPr>
          <w:p>
            <w:pPr>
              <w:pStyle w:val="yTableNAm"/>
            </w:pPr>
            <w:r>
              <w:t>7.</w:t>
            </w:r>
          </w:p>
        </w:tc>
        <w:tc>
          <w:tcPr>
            <w:tcW w:w="4928" w:type="dxa"/>
            <w:noWrap/>
          </w:tcPr>
          <w:p>
            <w:pPr>
              <w:pStyle w:val="yTableNAm"/>
            </w:pPr>
            <w:r>
              <w:t>New installation fee for plumbing work involving more than 9 fixtures (r. 45)</w:t>
            </w:r>
          </w:p>
        </w:tc>
        <w:tc>
          <w:tcPr>
            <w:tcW w:w="1451" w:type="dxa"/>
            <w:noWrap/>
          </w:tcPr>
          <w:p>
            <w:pPr>
              <w:pStyle w:val="yTableNAm"/>
              <w:jc w:val="right"/>
            </w:pPr>
            <w:r>
              <w:br/>
              <w:t>69.25 plus 11.40 for each fixture more than 9</w:t>
            </w:r>
          </w:p>
        </w:tc>
      </w:tr>
      <w:tr>
        <w:trPr>
          <w:cantSplit/>
        </w:trPr>
        <w:tc>
          <w:tcPr>
            <w:tcW w:w="709" w:type="dxa"/>
            <w:noWrap/>
          </w:tcPr>
          <w:p>
            <w:pPr>
              <w:pStyle w:val="yTableNAm"/>
            </w:pPr>
            <w:r>
              <w:t>8.</w:t>
            </w:r>
          </w:p>
        </w:tc>
        <w:tc>
          <w:tcPr>
            <w:tcW w:w="4928" w:type="dxa"/>
            <w:noWrap/>
          </w:tcPr>
          <w:p>
            <w:pPr>
              <w:pStyle w:val="yTableNAm"/>
            </w:pPr>
            <w:r>
              <w:t>Application for declaration for non</w:t>
            </w:r>
            <w:r>
              <w:noBreakHyphen/>
              <w:t>application or modification of plumbing standards (r. 54)</w:t>
            </w:r>
          </w:p>
        </w:tc>
        <w:tc>
          <w:tcPr>
            <w:tcW w:w="1451" w:type="dxa"/>
            <w:noWrap/>
            <w:vAlign w:val="bottom"/>
          </w:tcPr>
          <w:p>
            <w:pPr>
              <w:pStyle w:val="yTableNAm"/>
              <w:jc w:val="right"/>
            </w:pPr>
            <w:r>
              <w:t>795.60</w:t>
            </w:r>
          </w:p>
        </w:tc>
      </w:tr>
      <w:tr>
        <w:trPr>
          <w:cantSplit/>
        </w:trPr>
        <w:tc>
          <w:tcPr>
            <w:tcW w:w="709" w:type="dxa"/>
            <w:noWrap/>
          </w:tcPr>
          <w:p>
            <w:pPr>
              <w:pStyle w:val="yTableNAm"/>
              <w:spacing w:after="120"/>
            </w:pPr>
            <w:r>
              <w:t>9.</w:t>
            </w:r>
          </w:p>
        </w:tc>
        <w:tc>
          <w:tcPr>
            <w:tcW w:w="4928" w:type="dxa"/>
            <w:noWrap/>
          </w:tcPr>
          <w:p>
            <w:pPr>
              <w:pStyle w:val="yTableNAm"/>
              <w:spacing w:after="120"/>
            </w:pPr>
            <w:r>
              <w:t>Re</w:t>
            </w:r>
            <w:r>
              <w:noBreakHyphen/>
              <w:t>inspection fee per hour or part</w:t>
            </w:r>
            <w:r>
              <w:noBreakHyphen/>
              <w:t>hour (r. 73)</w:t>
            </w:r>
          </w:p>
        </w:tc>
        <w:tc>
          <w:tcPr>
            <w:tcW w:w="1451" w:type="dxa"/>
            <w:noWrap/>
            <w:vAlign w:val="bottom"/>
          </w:tcPr>
          <w:p>
            <w:pPr>
              <w:pStyle w:val="yTableNAm"/>
              <w:spacing w:after="120"/>
              <w:jc w:val="right"/>
            </w:pPr>
            <w:r>
              <w:t>130.00</w:t>
            </w:r>
          </w:p>
        </w:tc>
      </w:tr>
      <w:tr>
        <w:trPr>
          <w:cantSplit/>
        </w:trPr>
        <w:tc>
          <w:tcPr>
            <w:tcW w:w="709" w:type="dxa"/>
            <w:noWrap/>
          </w:tcPr>
          <w:p>
            <w:pPr>
              <w:pStyle w:val="yTableNAm"/>
              <w:spacing w:after="120"/>
            </w:pPr>
            <w:r>
              <w:t>10.</w:t>
            </w:r>
          </w:p>
        </w:tc>
        <w:tc>
          <w:tcPr>
            <w:tcW w:w="4928" w:type="dxa"/>
            <w:noWrap/>
          </w:tcPr>
          <w:p>
            <w:pPr>
              <w:pStyle w:val="yTableNAm"/>
              <w:spacing w:after="120"/>
            </w:pPr>
            <w:r>
              <w:t>Multi</w:t>
            </w:r>
            <w:r>
              <w:noBreakHyphen/>
              <w:t>entry certificate of compliance (r. 111(3)) — 1 multi</w:t>
            </w:r>
            <w:r>
              <w:noBreakHyphen/>
              <w:t>entry certificate</w:t>
            </w:r>
          </w:p>
        </w:tc>
        <w:tc>
          <w:tcPr>
            <w:tcW w:w="1451" w:type="dxa"/>
            <w:noWrap/>
            <w:vAlign w:val="bottom"/>
          </w:tcPr>
          <w:p>
            <w:pPr>
              <w:pStyle w:val="yTableNAm"/>
              <w:spacing w:after="120"/>
              <w:jc w:val="right"/>
            </w:pPr>
            <w:r>
              <w:t>17.00</w:t>
            </w:r>
          </w:p>
        </w:tc>
      </w:tr>
      <w:tr>
        <w:trPr>
          <w:cantSplit/>
        </w:trPr>
        <w:tc>
          <w:tcPr>
            <w:tcW w:w="709" w:type="dxa"/>
            <w:tcBorders>
              <w:bottom w:val="single" w:sz="4" w:space="0" w:color="auto"/>
            </w:tcBorders>
            <w:noWrap/>
          </w:tcPr>
          <w:p>
            <w:pPr>
              <w:pStyle w:val="yTableNAm"/>
              <w:spacing w:after="120"/>
            </w:pPr>
            <w:r>
              <w:t>11.</w:t>
            </w:r>
          </w:p>
        </w:tc>
        <w:tc>
          <w:tcPr>
            <w:tcW w:w="4928" w:type="dxa"/>
            <w:tcBorders>
              <w:bottom w:val="single" w:sz="4" w:space="0" w:color="auto"/>
            </w:tcBorders>
            <w:noWrap/>
          </w:tcPr>
          <w:p>
            <w:pPr>
              <w:pStyle w:val="yTableNAm"/>
              <w:spacing w:after="120"/>
            </w:pPr>
            <w:r>
              <w:t>Multi</w:t>
            </w:r>
            <w:r>
              <w:noBreakHyphen/>
              <w:t>entry certificate of compliance (r. 111(3)) — booklet of 2 or more multi</w:t>
            </w:r>
            <w:r>
              <w:noBreakHyphen/>
              <w:t>entry certificates</w:t>
            </w:r>
          </w:p>
        </w:tc>
        <w:tc>
          <w:tcPr>
            <w:tcW w:w="1451" w:type="dxa"/>
            <w:tcBorders>
              <w:bottom w:val="single" w:sz="4" w:space="0" w:color="auto"/>
            </w:tcBorders>
            <w:noWrap/>
            <w:vAlign w:val="bottom"/>
          </w:tcPr>
          <w:p>
            <w:pPr>
              <w:pStyle w:val="yTableNAm"/>
              <w:spacing w:after="120"/>
              <w:jc w:val="right"/>
            </w:pPr>
            <w:r>
              <w:t>16.80 per certificate</w:t>
            </w:r>
          </w:p>
        </w:tc>
      </w:tr>
    </w:tbl>
    <w:p>
      <w:pPr>
        <w:pStyle w:val="yEdnotesection"/>
      </w:pPr>
      <w:r>
        <w:tab/>
        <w:t>[Division 2 inserted: SL 2021/86 r. 59.]</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325" w:name="_Toc97633083"/>
      <w:bookmarkStart w:id="326" w:name="_Toc97633259"/>
      <w:bookmarkStart w:id="327" w:name="_Toc97016327"/>
      <w:bookmarkStart w:id="328" w:name="_Toc97016491"/>
      <w:r>
        <w:rPr>
          <w:rStyle w:val="CharSchNo"/>
        </w:rPr>
        <w:t>Schedule 2</w:t>
      </w:r>
      <w:r>
        <w:rPr>
          <w:rStyle w:val="CharSDivNo"/>
          <w:sz w:val="28"/>
        </w:rPr>
        <w:t> </w:t>
      </w:r>
      <w:r>
        <w:t>—</w:t>
      </w:r>
      <w:r>
        <w:rPr>
          <w:rStyle w:val="CharSDivText"/>
          <w:sz w:val="28"/>
        </w:rPr>
        <w:t> </w:t>
      </w:r>
      <w:r>
        <w:rPr>
          <w:rStyle w:val="CharSchText"/>
        </w:rPr>
        <w:t>Constitution and proceedings</w:t>
      </w:r>
      <w:bookmarkEnd w:id="325"/>
      <w:bookmarkEnd w:id="326"/>
      <w:bookmarkEnd w:id="327"/>
      <w:bookmarkEnd w:id="328"/>
    </w:p>
    <w:p>
      <w:pPr>
        <w:pStyle w:val="yShoulderClause"/>
      </w:pPr>
      <w:r>
        <w:t>[r. 8]</w:t>
      </w:r>
    </w:p>
    <w:p>
      <w:pPr>
        <w:pStyle w:val="yHeading5"/>
      </w:pPr>
      <w:bookmarkStart w:id="329" w:name="_Toc97633260"/>
      <w:bookmarkStart w:id="330" w:name="_Toc97016492"/>
      <w:r>
        <w:rPr>
          <w:rStyle w:val="CharSClsNo"/>
        </w:rPr>
        <w:t>1</w:t>
      </w:r>
      <w:r>
        <w:t>.</w:t>
      </w:r>
      <w:r>
        <w:tab/>
        <w:t>Term used: meeting</w:t>
      </w:r>
      <w:bookmarkEnd w:id="329"/>
      <w:bookmarkEnd w:id="330"/>
    </w:p>
    <w:p>
      <w:pPr>
        <w:pStyle w:val="ySubsection"/>
      </w:pPr>
      <w:r>
        <w:tab/>
      </w:r>
      <w:r>
        <w:tab/>
        <w:t>In this Schedule —</w:t>
      </w:r>
    </w:p>
    <w:p>
      <w:pPr>
        <w:pStyle w:val="yDefstart"/>
      </w:pPr>
      <w:r>
        <w:tab/>
      </w:r>
      <w:r>
        <w:rPr>
          <w:rStyle w:val="CharDefText"/>
        </w:rPr>
        <w:t>meeting</w:t>
      </w:r>
      <w:r>
        <w:t xml:space="preserve"> means a meeting of the Board.</w:t>
      </w:r>
    </w:p>
    <w:p>
      <w:pPr>
        <w:pStyle w:val="yHeading5"/>
      </w:pPr>
      <w:bookmarkStart w:id="331" w:name="_Toc97633261"/>
      <w:bookmarkStart w:id="332" w:name="_Toc97016493"/>
      <w:r>
        <w:rPr>
          <w:rStyle w:val="CharSClsNo"/>
        </w:rPr>
        <w:t>2</w:t>
      </w:r>
      <w:r>
        <w:t>.</w:t>
      </w:r>
      <w:r>
        <w:tab/>
        <w:t>Term of office</w:t>
      </w:r>
      <w:bookmarkEnd w:id="331"/>
      <w:bookmarkEnd w:id="332"/>
    </w:p>
    <w:p>
      <w:pPr>
        <w:pStyle w:val="ySubsection"/>
      </w:pPr>
      <w:r>
        <w:tab/>
        <w:t>(1)</w:t>
      </w:r>
      <w:r>
        <w:tab/>
        <w:t>Subject to subclause (2) and clause 3, a member holds office for such term, not exceeding 3 years, as is specified in the member’s instrument of appointment, and is eligible for reappointment.</w:t>
      </w:r>
    </w:p>
    <w:p>
      <w:pPr>
        <w:pStyle w:val="ySubsection"/>
      </w:pPr>
      <w:r>
        <w:tab/>
        <w:t>(2)</w:t>
      </w:r>
      <w:r>
        <w:tab/>
        <w:t xml:space="preserve">If a member’s term expires without a person having been appointed to fill the vacancy, the member continues in office until any of the following occurs — </w:t>
      </w:r>
    </w:p>
    <w:p>
      <w:pPr>
        <w:pStyle w:val="yIndenta"/>
      </w:pPr>
      <w:r>
        <w:tab/>
        <w:t>(a)</w:t>
      </w:r>
      <w:r>
        <w:tab/>
        <w:t>the office of the member becomes vacant under clause 3(1);</w:t>
      </w:r>
    </w:p>
    <w:p>
      <w:pPr>
        <w:pStyle w:val="yIndenta"/>
      </w:pPr>
      <w:r>
        <w:tab/>
        <w:t>(b)</w:t>
      </w:r>
      <w:r>
        <w:tab/>
        <w:t xml:space="preserve">a person is appointed to fill the vacancy; </w:t>
      </w:r>
    </w:p>
    <w:p>
      <w:pPr>
        <w:pStyle w:val="yIndenta"/>
      </w:pPr>
      <w:r>
        <w:tab/>
        <w:t>(c)</w:t>
      </w:r>
      <w:r>
        <w:tab/>
        <w:t>a period of 6 months elapses after the expiry of the term of office.</w:t>
      </w:r>
    </w:p>
    <w:p>
      <w:pPr>
        <w:pStyle w:val="yEdnotesection"/>
      </w:pPr>
      <w:r>
        <w:tab/>
        <w:t>[Clause 2 amended: Gazette 9 Apr 2019 p. 1060.]</w:t>
      </w:r>
    </w:p>
    <w:p>
      <w:pPr>
        <w:pStyle w:val="yHeading5"/>
      </w:pPr>
      <w:bookmarkStart w:id="333" w:name="_Toc97633262"/>
      <w:bookmarkStart w:id="334" w:name="_Toc97016494"/>
      <w:r>
        <w:rPr>
          <w:rStyle w:val="CharSClsNo"/>
        </w:rPr>
        <w:t>3</w:t>
      </w:r>
      <w:r>
        <w:t>.</w:t>
      </w:r>
      <w:r>
        <w:tab/>
        <w:t>Vacancies, when they occur</w:t>
      </w:r>
      <w:bookmarkEnd w:id="333"/>
      <w:bookmarkEnd w:id="334"/>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Gazette 28 Sep 2001 p. 5357</w:t>
      </w:r>
      <w:r>
        <w:noBreakHyphen/>
        <w:t>8.]</w:t>
      </w:r>
    </w:p>
    <w:p>
      <w:pPr>
        <w:pStyle w:val="yHeading5"/>
      </w:pPr>
      <w:bookmarkStart w:id="335" w:name="_Toc97633263"/>
      <w:bookmarkStart w:id="336" w:name="_Toc97016495"/>
      <w:r>
        <w:rPr>
          <w:rStyle w:val="CharSClsNo"/>
        </w:rPr>
        <w:t>4</w:t>
      </w:r>
      <w:r>
        <w:t>.</w:t>
      </w:r>
      <w:r>
        <w:tab/>
        <w:t>Alternate members, appointment of etc.</w:t>
      </w:r>
      <w:bookmarkEnd w:id="335"/>
      <w:bookmarkEnd w:id="336"/>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pPr>
      <w:bookmarkStart w:id="337" w:name="_Toc97633264"/>
      <w:bookmarkStart w:id="338" w:name="_Toc97016496"/>
      <w:r>
        <w:rPr>
          <w:rStyle w:val="CharSClsNo"/>
        </w:rPr>
        <w:t>5</w:t>
      </w:r>
      <w:r>
        <w:t>.</w:t>
      </w:r>
      <w:r>
        <w:tab/>
        <w:t>Leave of absence</w:t>
      </w:r>
      <w:bookmarkEnd w:id="337"/>
      <w:bookmarkEnd w:id="338"/>
    </w:p>
    <w:p>
      <w:pPr>
        <w:pStyle w:val="ySubsection"/>
      </w:pPr>
      <w:r>
        <w:tab/>
      </w:r>
      <w:r>
        <w:tab/>
        <w:t>The Board may grant leave of absence to a member on the terms and conditions that it thinks fit.</w:t>
      </w:r>
    </w:p>
    <w:p>
      <w:pPr>
        <w:pStyle w:val="yHeading5"/>
      </w:pPr>
      <w:bookmarkStart w:id="339" w:name="_Toc97633265"/>
      <w:bookmarkStart w:id="340" w:name="_Toc97016497"/>
      <w:r>
        <w:rPr>
          <w:rStyle w:val="CharSClsNo"/>
        </w:rPr>
        <w:t>6</w:t>
      </w:r>
      <w:r>
        <w:t>.</w:t>
      </w:r>
      <w:r>
        <w:tab/>
        <w:t>General procedure</w:t>
      </w:r>
      <w:bookmarkEnd w:id="339"/>
      <w:bookmarkEnd w:id="340"/>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pPr>
      <w:bookmarkStart w:id="341" w:name="_Toc97633266"/>
      <w:bookmarkStart w:id="342" w:name="_Toc97016498"/>
      <w:r>
        <w:rPr>
          <w:rStyle w:val="CharSClsNo"/>
        </w:rPr>
        <w:t>7</w:t>
      </w:r>
      <w:r>
        <w:t>.</w:t>
      </w:r>
      <w:r>
        <w:tab/>
        <w:t>Quorum</w:t>
      </w:r>
      <w:bookmarkEnd w:id="341"/>
      <w:bookmarkEnd w:id="342"/>
    </w:p>
    <w:p>
      <w:pPr>
        <w:pStyle w:val="ySubsection"/>
        <w:keepNext/>
      </w:pPr>
      <w:r>
        <w:tab/>
      </w:r>
      <w:r>
        <w:tab/>
        <w:t>A quorum for a meeting is 4 members.</w:t>
      </w:r>
    </w:p>
    <w:p>
      <w:pPr>
        <w:pStyle w:val="yFootnotesection"/>
      </w:pPr>
      <w:r>
        <w:tab/>
        <w:t>[Clause 7 amended: Gazette 1 Jun 2004 p. 1911.]</w:t>
      </w:r>
    </w:p>
    <w:p>
      <w:pPr>
        <w:pStyle w:val="yHeading5"/>
      </w:pPr>
      <w:bookmarkStart w:id="343" w:name="_Toc97633267"/>
      <w:bookmarkStart w:id="344" w:name="_Toc97016499"/>
      <w:r>
        <w:rPr>
          <w:rStyle w:val="CharSClsNo"/>
        </w:rPr>
        <w:t>8</w:t>
      </w:r>
      <w:r>
        <w:t>.</w:t>
      </w:r>
      <w:r>
        <w:tab/>
        <w:t>Voting</w:t>
      </w:r>
      <w:bookmarkEnd w:id="343"/>
      <w:bookmarkEnd w:id="344"/>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pPr>
      <w:bookmarkStart w:id="345" w:name="_Toc97633268"/>
      <w:bookmarkStart w:id="346" w:name="_Toc97016500"/>
      <w:r>
        <w:rPr>
          <w:rStyle w:val="CharSClsNo"/>
        </w:rPr>
        <w:t>9</w:t>
      </w:r>
      <w:r>
        <w:t>.</w:t>
      </w:r>
      <w:r>
        <w:tab/>
        <w:t>Resolutions may be passed without meeting</w:t>
      </w:r>
      <w:bookmarkEnd w:id="345"/>
      <w:bookmarkEnd w:id="346"/>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pPr>
      <w:bookmarkStart w:id="347" w:name="_Toc97633269"/>
      <w:bookmarkStart w:id="348" w:name="_Toc97016501"/>
      <w:r>
        <w:rPr>
          <w:rStyle w:val="CharSClsNo"/>
        </w:rPr>
        <w:t>10</w:t>
      </w:r>
      <w:r>
        <w:t>.</w:t>
      </w:r>
      <w:r>
        <w:tab/>
        <w:t>Holding meetings remotely</w:t>
      </w:r>
      <w:bookmarkEnd w:id="347"/>
      <w:bookmarkEnd w:id="348"/>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349" w:name="_Toc97633094"/>
      <w:bookmarkStart w:id="350" w:name="_Toc97633270"/>
      <w:bookmarkStart w:id="351" w:name="_Toc97016338"/>
      <w:bookmarkStart w:id="352" w:name="_Toc97016502"/>
      <w:r>
        <w:rPr>
          <w:rStyle w:val="CharSchNo"/>
        </w:rPr>
        <w:t>Schedule 3</w:t>
      </w:r>
      <w:r>
        <w:t> — </w:t>
      </w:r>
      <w:r>
        <w:rPr>
          <w:rStyle w:val="CharSchText"/>
        </w:rPr>
        <w:t>Licence or permit requirements</w:t>
      </w:r>
      <w:bookmarkEnd w:id="349"/>
      <w:bookmarkEnd w:id="350"/>
      <w:bookmarkEnd w:id="351"/>
      <w:bookmarkEnd w:id="352"/>
    </w:p>
    <w:p>
      <w:pPr>
        <w:pStyle w:val="yShoulderClause"/>
      </w:pPr>
      <w:r>
        <w:t>[r. 17(1)(b)]</w:t>
      </w:r>
    </w:p>
    <w:p>
      <w:pPr>
        <w:pStyle w:val="yFootnoteheading"/>
      </w:pPr>
      <w:r>
        <w:tab/>
        <w:t>[Heading inserted: Gazette 19 Dec 2014 p. 4838.]</w:t>
      </w:r>
    </w:p>
    <w:p>
      <w:pPr>
        <w:pStyle w:val="yHeading3"/>
      </w:pPr>
      <w:bookmarkStart w:id="353" w:name="_Toc97633095"/>
      <w:bookmarkStart w:id="354" w:name="_Toc97633271"/>
      <w:bookmarkStart w:id="355" w:name="_Toc97016339"/>
      <w:bookmarkStart w:id="356" w:name="_Toc97016503"/>
      <w:r>
        <w:rPr>
          <w:rStyle w:val="CharSDivNo"/>
        </w:rPr>
        <w:t>Division 1</w:t>
      </w:r>
      <w:r>
        <w:t> — </w:t>
      </w:r>
      <w:r>
        <w:rPr>
          <w:rStyle w:val="CharSDivText"/>
        </w:rPr>
        <w:t>Preliminary</w:t>
      </w:r>
      <w:bookmarkEnd w:id="353"/>
      <w:bookmarkEnd w:id="354"/>
      <w:bookmarkEnd w:id="355"/>
      <w:bookmarkEnd w:id="356"/>
    </w:p>
    <w:p>
      <w:pPr>
        <w:pStyle w:val="yFootnoteheading"/>
      </w:pPr>
      <w:r>
        <w:tab/>
        <w:t>[Heading inserted: Gazette 19 Dec 2014 p. 4838.]</w:t>
      </w:r>
    </w:p>
    <w:p>
      <w:pPr>
        <w:pStyle w:val="yHeading5"/>
      </w:pPr>
      <w:bookmarkStart w:id="357" w:name="_Toc97633272"/>
      <w:bookmarkStart w:id="358" w:name="_Toc97016504"/>
      <w:r>
        <w:rPr>
          <w:rStyle w:val="CharSClsNo"/>
        </w:rPr>
        <w:t>1</w:t>
      </w:r>
      <w:r>
        <w:t>.</w:t>
      </w:r>
      <w:r>
        <w:tab/>
        <w:t>Terms used</w:t>
      </w:r>
      <w:bookmarkEnd w:id="357"/>
      <w:bookmarkEnd w:id="358"/>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Gazette 19 Dec 2014 p. 4838</w:t>
      </w:r>
      <w:r>
        <w:noBreakHyphen/>
        <w:t>9.]</w:t>
      </w:r>
    </w:p>
    <w:p>
      <w:pPr>
        <w:pStyle w:val="yHeading3"/>
      </w:pPr>
      <w:bookmarkStart w:id="359" w:name="_Toc97633097"/>
      <w:bookmarkStart w:id="360" w:name="_Toc97633273"/>
      <w:bookmarkStart w:id="361" w:name="_Toc97016341"/>
      <w:bookmarkStart w:id="362" w:name="_Toc97016505"/>
      <w:r>
        <w:rPr>
          <w:rStyle w:val="CharSDivNo"/>
        </w:rPr>
        <w:t>Division 2</w:t>
      </w:r>
      <w:r>
        <w:t> — </w:t>
      </w:r>
      <w:r>
        <w:rPr>
          <w:rStyle w:val="CharSDivText"/>
        </w:rPr>
        <w:t>Licence requirements</w:t>
      </w:r>
      <w:bookmarkEnd w:id="359"/>
      <w:bookmarkEnd w:id="360"/>
      <w:bookmarkEnd w:id="361"/>
      <w:bookmarkEnd w:id="362"/>
    </w:p>
    <w:p>
      <w:pPr>
        <w:pStyle w:val="yFootnoteheading"/>
      </w:pPr>
      <w:r>
        <w:tab/>
        <w:t>[Heading inserted: Gazette 19 Dec 2014 p. 4839.]</w:t>
      </w:r>
    </w:p>
    <w:p>
      <w:pPr>
        <w:pStyle w:val="yHeading5"/>
      </w:pPr>
      <w:bookmarkStart w:id="363" w:name="_Toc97633274"/>
      <w:bookmarkStart w:id="364" w:name="_Toc97016506"/>
      <w:r>
        <w:rPr>
          <w:rStyle w:val="CharSClsNo"/>
        </w:rPr>
        <w:t>2</w:t>
      </w:r>
      <w:r>
        <w:t>.</w:t>
      </w:r>
      <w:r>
        <w:tab/>
        <w:t>Plumbing contractor’s licence</w:t>
      </w:r>
      <w:bookmarkEnd w:id="363"/>
      <w:bookmarkEnd w:id="364"/>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Gazette 19 Dec 2014 p. 4839.]</w:t>
      </w:r>
    </w:p>
    <w:p>
      <w:pPr>
        <w:pStyle w:val="yHeading5"/>
      </w:pPr>
      <w:bookmarkStart w:id="365" w:name="_Toc97633275"/>
      <w:bookmarkStart w:id="366" w:name="_Toc97016507"/>
      <w:r>
        <w:rPr>
          <w:rStyle w:val="CharSClsNo"/>
        </w:rPr>
        <w:t>3</w:t>
      </w:r>
      <w:r>
        <w:t>.</w:t>
      </w:r>
      <w:r>
        <w:tab/>
        <w:t>Tradesperson’s licence</w:t>
      </w:r>
      <w:bookmarkEnd w:id="365"/>
      <w:bookmarkEnd w:id="366"/>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Gazette 19 Dec 2014 p. 4839.]</w:t>
      </w:r>
    </w:p>
    <w:p>
      <w:pPr>
        <w:pStyle w:val="yHeading5"/>
      </w:pPr>
      <w:bookmarkStart w:id="367" w:name="_Toc97633276"/>
      <w:bookmarkStart w:id="368" w:name="_Toc97016508"/>
      <w:r>
        <w:rPr>
          <w:rStyle w:val="CharSClsNo"/>
        </w:rPr>
        <w:t>4</w:t>
      </w:r>
      <w:r>
        <w:t>.</w:t>
      </w:r>
      <w:r>
        <w:tab/>
        <w:t>Tradesperson’s licence (drainage plumbing)</w:t>
      </w:r>
      <w:bookmarkEnd w:id="367"/>
      <w:bookmarkEnd w:id="368"/>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Gazette 19 Dec 2014 p. 4839</w:t>
      </w:r>
      <w:r>
        <w:noBreakHyphen/>
        <w:t>40.]</w:t>
      </w:r>
    </w:p>
    <w:p>
      <w:pPr>
        <w:pStyle w:val="yHeading5"/>
      </w:pPr>
      <w:bookmarkStart w:id="369" w:name="_Toc97633277"/>
      <w:bookmarkStart w:id="370" w:name="_Toc97016509"/>
      <w:r>
        <w:rPr>
          <w:rStyle w:val="CharSClsNo"/>
        </w:rPr>
        <w:t>5</w:t>
      </w:r>
      <w:r>
        <w:t>.</w:t>
      </w:r>
      <w:r>
        <w:tab/>
        <w:t>Provisional tradesperson’s licence</w:t>
      </w:r>
      <w:bookmarkEnd w:id="369"/>
      <w:bookmarkEnd w:id="370"/>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Gazette 19 Dec 2014 p. 4840.]</w:t>
      </w:r>
    </w:p>
    <w:p>
      <w:pPr>
        <w:pStyle w:val="yHeading5"/>
      </w:pPr>
      <w:bookmarkStart w:id="371" w:name="_Toc97633278"/>
      <w:bookmarkStart w:id="372" w:name="_Toc97016510"/>
      <w:r>
        <w:rPr>
          <w:rStyle w:val="CharSClsNo"/>
        </w:rPr>
        <w:t>6</w:t>
      </w:r>
      <w:r>
        <w:t>.</w:t>
      </w:r>
      <w:r>
        <w:tab/>
        <w:t>Provisional tradesperson’s licence (drainage plumbing)</w:t>
      </w:r>
      <w:bookmarkEnd w:id="371"/>
      <w:bookmarkEnd w:id="372"/>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Gazette 19 Dec 2014 p. 4840.]</w:t>
      </w:r>
    </w:p>
    <w:p>
      <w:pPr>
        <w:pStyle w:val="yHeading3"/>
      </w:pPr>
      <w:bookmarkStart w:id="373" w:name="_Toc97633103"/>
      <w:bookmarkStart w:id="374" w:name="_Toc97633279"/>
      <w:bookmarkStart w:id="375" w:name="_Toc97016347"/>
      <w:bookmarkStart w:id="376" w:name="_Toc97016511"/>
      <w:r>
        <w:rPr>
          <w:rStyle w:val="CharSDivNo"/>
        </w:rPr>
        <w:t>Division 3</w:t>
      </w:r>
      <w:r>
        <w:t> — </w:t>
      </w:r>
      <w:r>
        <w:rPr>
          <w:rStyle w:val="CharSDivText"/>
        </w:rPr>
        <w:t>Permit requirements</w:t>
      </w:r>
      <w:bookmarkEnd w:id="373"/>
      <w:bookmarkEnd w:id="374"/>
      <w:bookmarkEnd w:id="375"/>
      <w:bookmarkEnd w:id="376"/>
    </w:p>
    <w:p>
      <w:pPr>
        <w:pStyle w:val="yFootnoteheading"/>
        <w:keepNext/>
      </w:pPr>
      <w:r>
        <w:tab/>
        <w:t>[Heading inserted: Gazette 19 Dec 2014 p. 4840.]</w:t>
      </w:r>
    </w:p>
    <w:p>
      <w:pPr>
        <w:pStyle w:val="yHeading5"/>
      </w:pPr>
      <w:bookmarkStart w:id="377" w:name="_Toc97633280"/>
      <w:bookmarkStart w:id="378" w:name="_Toc97016512"/>
      <w:r>
        <w:rPr>
          <w:rStyle w:val="CharSClsNo"/>
        </w:rPr>
        <w:t>7</w:t>
      </w:r>
      <w:r>
        <w:t>.</w:t>
      </w:r>
      <w:r>
        <w:tab/>
        <w:t>Restricted plumbing permit</w:t>
      </w:r>
      <w:bookmarkEnd w:id="377"/>
      <w:bookmarkEnd w:id="378"/>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Gazette 19 Dec 2014 p. 4840</w:t>
      </w:r>
      <w:r>
        <w:noBreakHyphen/>
        <w:t>1; amended: Gazette 29 Apr 2016 p. 1352.]</w:t>
      </w:r>
    </w:p>
    <w:p>
      <w:pPr>
        <w:pStyle w:val="yFootnotesection"/>
        <w:sectPr>
          <w:headerReference w:type="even" r:id="rId25"/>
          <w:pgSz w:w="11907" w:h="16840" w:code="9"/>
          <w:pgMar w:top="2381" w:right="2410" w:bottom="3544" w:left="2410" w:header="720" w:footer="3544" w:gutter="0"/>
          <w:cols w:space="720"/>
        </w:sectPr>
      </w:pPr>
    </w:p>
    <w:p>
      <w:pPr>
        <w:pStyle w:val="yScheduleHeading"/>
      </w:pPr>
      <w:bookmarkStart w:id="379" w:name="_Toc97633105"/>
      <w:bookmarkStart w:id="380" w:name="_Toc97633281"/>
      <w:bookmarkStart w:id="381" w:name="_Toc97016349"/>
      <w:bookmarkStart w:id="382" w:name="_Toc97016513"/>
      <w:r>
        <w:rPr>
          <w:rStyle w:val="CharSchNo"/>
        </w:rPr>
        <w:t>Schedule 4</w:t>
      </w:r>
      <w:r>
        <w:rPr>
          <w:rStyle w:val="CharSDivNo"/>
        </w:rPr>
        <w:t> </w:t>
      </w:r>
      <w:r>
        <w:t>—</w:t>
      </w:r>
      <w:r>
        <w:rPr>
          <w:rStyle w:val="CharSDivText"/>
        </w:rPr>
        <w:t> </w:t>
      </w:r>
      <w:r>
        <w:rPr>
          <w:rStyle w:val="CharSchText"/>
        </w:rPr>
        <w:t>Forms</w:t>
      </w:r>
      <w:bookmarkEnd w:id="379"/>
      <w:bookmarkEnd w:id="380"/>
      <w:bookmarkEnd w:id="381"/>
      <w:bookmarkEnd w:id="382"/>
    </w:p>
    <w:p>
      <w:pPr>
        <w:pStyle w:val="yShoulderClause"/>
        <w:rPr>
          <w:snapToGrid w:val="0"/>
        </w:rPr>
      </w:pPr>
      <w:r>
        <w:rPr>
          <w:snapToGrid w:val="0"/>
        </w:rPr>
        <w:t>[r. 75(2) and 77(1)]</w:t>
      </w:r>
    </w:p>
    <w:p>
      <w:pPr>
        <w:pStyle w:val="yFootnoteheading"/>
        <w:rPr>
          <w:b/>
          <w:bCs/>
        </w:rPr>
      </w:pPr>
      <w:r>
        <w:rPr>
          <w:bCs/>
          <w:iCs/>
        </w:rPr>
        <w:tab/>
        <w:t>[Heading inserted: Gazette</w:t>
      </w:r>
      <w:r>
        <w:rPr>
          <w:snapToGrid w:val="0"/>
        </w:rPr>
        <w:t xml:space="preserve"> 28 Jun 2004 p. 2461.]</w:t>
      </w:r>
    </w:p>
    <w:p>
      <w:pPr>
        <w:pStyle w:val="yMiscellaneousHeading"/>
        <w:spacing w:after="8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szCs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Gazette 28 Jun 2004 p. 24</w:t>
      </w:r>
      <w:r>
        <w:t>62</w:t>
      </w:r>
      <w:r>
        <w:noBreakHyphen/>
        <w:t>3; amended: Gazette 14 Nov 2013 p. 5234; 13 Dec 2016 p. 5630</w:t>
      </w:r>
      <w:r>
        <w:rPr>
          <w:snapToGrid/>
        </w:rPr>
        <w:t>.]</w:t>
      </w:r>
    </w:p>
    <w:p>
      <w:pPr>
        <w:pStyle w:val="yMiscellaneousHeading"/>
        <w:pageBreakBefore/>
        <w:spacing w:before="32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keepNext/>
              <w:rPr>
                <w:b/>
                <w:sz w:val="18"/>
              </w:rPr>
            </w:pPr>
            <w:r>
              <w:rPr>
                <w:b/>
                <w:sz w:val="18"/>
              </w:rPr>
              <w:t>Authorised person who issued this notice</w:t>
            </w:r>
          </w:p>
        </w:tc>
        <w:tc>
          <w:tcPr>
            <w:tcW w:w="5812" w:type="dxa"/>
            <w:gridSpan w:val="5"/>
          </w:tcPr>
          <w:p>
            <w:pPr>
              <w:pStyle w:val="yTable"/>
              <w:keepNext/>
              <w:tabs>
                <w:tab w:val="left" w:pos="563"/>
              </w:tabs>
              <w:spacing w:beforeLines="30" w:before="72"/>
              <w:rPr>
                <w:sz w:val="18"/>
              </w:rPr>
            </w:pPr>
            <w:r>
              <w:rPr>
                <w:sz w:val="18"/>
              </w:rPr>
              <w:t>Name: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Signature: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Date:</w:t>
            </w:r>
          </w:p>
        </w:tc>
      </w:tr>
    </w:tbl>
    <w:p>
      <w:pPr>
        <w:pStyle w:val="yFootnotesection"/>
      </w:pPr>
      <w:r>
        <w:rPr>
          <w:bCs/>
          <w:iCs/>
        </w:rPr>
        <w:tab/>
        <w:t>[Form 2</w:t>
      </w:r>
      <w:r>
        <w:t> inserted: Gazette 28 Jun 2004 p. 2463; amended: Gazette 14 Nov 2013 p. 5234.]</w:t>
      </w: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81" w:right="2410" w:bottom="3544" w:left="2410" w:header="720" w:footer="3544" w:gutter="0"/>
          <w:cols w:space="720"/>
        </w:sectPr>
      </w:pPr>
    </w:p>
    <w:p>
      <w:pPr>
        <w:pStyle w:val="nHeading2"/>
      </w:pPr>
      <w:bookmarkStart w:id="383" w:name="_Toc97633106"/>
      <w:bookmarkStart w:id="384" w:name="_Toc97633282"/>
      <w:bookmarkStart w:id="385" w:name="_Toc97016350"/>
      <w:bookmarkStart w:id="386" w:name="_Toc97016514"/>
      <w:r>
        <w:t>Notes</w:t>
      </w:r>
      <w:bookmarkEnd w:id="383"/>
      <w:bookmarkEnd w:id="384"/>
      <w:bookmarkEnd w:id="385"/>
      <w:bookmarkEnd w:id="386"/>
    </w:p>
    <w:p>
      <w:pPr>
        <w:pStyle w:val="nStatement"/>
      </w:pPr>
      <w:r>
        <w:t xml:space="preserve">This is a compilation of the </w:t>
      </w:r>
      <w:r>
        <w:rPr>
          <w:i/>
          <w:noProof/>
        </w:rPr>
        <w:t>Plumbers Licensing and Plumbing Standards Regulations 2000</w:t>
      </w:r>
      <w:r>
        <w:t xml:space="preserve"> and includes amendments made by other written laws. For provisions that have come into operation, and for information about any reprints, see the compilation table. </w:t>
      </w:r>
      <w:ins w:id="387" w:author="Master Repository Process" w:date="2022-03-11T12:55:00Z">
        <w:r>
          <w:t>For provisions that have not yet come into operation see the uncommenced provisions table.</w:t>
        </w:r>
      </w:ins>
    </w:p>
    <w:p>
      <w:pPr>
        <w:pStyle w:val="nHeading3"/>
      </w:pPr>
      <w:bookmarkStart w:id="388" w:name="_Toc97633283"/>
      <w:bookmarkStart w:id="389" w:name="_Toc97016515"/>
      <w:r>
        <w:t>Compilation table</w:t>
      </w:r>
      <w:bookmarkEnd w:id="388"/>
      <w:bookmarkEnd w:id="389"/>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right w:val="nil"/>
            </w:tcBorders>
          </w:tcPr>
          <w:p>
            <w:pPr>
              <w:pStyle w:val="nTable"/>
              <w:spacing w:after="40"/>
              <w:rPr>
                <w:i/>
              </w:rPr>
            </w:pPr>
            <w:r>
              <w:rPr>
                <w:i/>
              </w:rPr>
              <w:t>Water Services Coordination (Plumbers Licensing) Regulations 2000</w:t>
            </w:r>
            <w:r>
              <w:rPr>
                <w:vertAlign w:val="superscript"/>
              </w:rPr>
              <w:t> 2</w:t>
            </w:r>
          </w:p>
        </w:tc>
        <w:tc>
          <w:tcPr>
            <w:tcW w:w="1276" w:type="dxa"/>
            <w:tcBorders>
              <w:top w:val="single" w:sz="8" w:space="0" w:color="auto"/>
              <w:left w:val="nil"/>
              <w:bottom w:val="nil"/>
              <w:right w:val="nil"/>
            </w:tcBorders>
          </w:tcPr>
          <w:p>
            <w:pPr>
              <w:pStyle w:val="nTable"/>
              <w:spacing w:after="40"/>
            </w:pPr>
            <w:r>
              <w:t>16 Jun 2000 p. 2897</w:t>
            </w:r>
            <w:r>
              <w:noBreakHyphen/>
              <w:t>936</w:t>
            </w:r>
          </w:p>
        </w:tc>
        <w:tc>
          <w:tcPr>
            <w:tcW w:w="2693" w:type="dxa"/>
            <w:tcBorders>
              <w:top w:val="single" w:sz="8" w:space="0" w:color="auto"/>
              <w:left w:val="nil"/>
              <w:bottom w:val="nil"/>
            </w:tcBorders>
          </w:tcPr>
          <w:p>
            <w:pPr>
              <w:pStyle w:val="nTable"/>
              <w:spacing w:after="40"/>
            </w:pPr>
            <w:r>
              <w:t>19 Jun 2000 (see r. 2 and Gazette 16 Jun 2000 p. 2939)</w:t>
            </w:r>
          </w:p>
        </w:tc>
      </w:tr>
      <w:tr>
        <w:tc>
          <w:tcPr>
            <w:tcW w:w="3119" w:type="dxa"/>
            <w:tcBorders>
              <w:top w:val="nil"/>
              <w:bottom w:val="nil"/>
              <w:right w:val="nil"/>
            </w:tcBorders>
          </w:tcPr>
          <w:p>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pPr>
              <w:pStyle w:val="nTable"/>
              <w:spacing w:after="40"/>
            </w:pPr>
            <w:r>
              <w:t>20 Apr 2001 p. 2149</w:t>
            </w:r>
            <w:r>
              <w:noBreakHyphen/>
              <w:t>51</w:t>
            </w:r>
          </w:p>
        </w:tc>
        <w:tc>
          <w:tcPr>
            <w:tcW w:w="2693" w:type="dxa"/>
            <w:tcBorders>
              <w:top w:val="nil"/>
              <w:left w:val="nil"/>
              <w:bottom w:val="nil"/>
            </w:tcBorders>
          </w:tcPr>
          <w:p>
            <w:pPr>
              <w:pStyle w:val="nTable"/>
              <w:spacing w:after="40"/>
            </w:pPr>
            <w:r>
              <w:t>20 Apr 2001</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pPr>
              <w:pStyle w:val="nTable"/>
              <w:spacing w:after="40"/>
            </w:pPr>
            <w:r>
              <w:t>31 Jul 2001</w:t>
            </w:r>
            <w:r>
              <w:br/>
              <w:t>p. 3919</w:t>
            </w:r>
            <w:r>
              <w:noBreakHyphen/>
              <w:t>22</w:t>
            </w:r>
          </w:p>
        </w:tc>
        <w:tc>
          <w:tcPr>
            <w:tcW w:w="2693" w:type="dxa"/>
            <w:tcBorders>
              <w:top w:val="nil"/>
              <w:left w:val="nil"/>
              <w:bottom w:val="nil"/>
            </w:tcBorders>
          </w:tcPr>
          <w:p>
            <w:pPr>
              <w:pStyle w:val="nTable"/>
              <w:spacing w:after="40"/>
            </w:pPr>
            <w:r>
              <w:t>1 Aug 2001 (see r. 2)</w:t>
            </w:r>
          </w:p>
        </w:tc>
      </w:tr>
      <w:tr>
        <w:tc>
          <w:tcPr>
            <w:tcW w:w="3119" w:type="dxa"/>
            <w:tcBorders>
              <w:top w:val="nil"/>
              <w:bottom w:val="nil"/>
              <w:right w:val="nil"/>
            </w:tcBorders>
          </w:tcPr>
          <w:p>
            <w:pPr>
              <w:pStyle w:val="nTable"/>
              <w:spacing w:after="40"/>
              <w:rPr>
                <w:i/>
              </w:rPr>
            </w:pPr>
            <w:r>
              <w:rPr>
                <w:i/>
              </w:rPr>
              <w:t>Corporations (Consequential Amendments) Regulations 2001 Pt. 8</w:t>
            </w:r>
          </w:p>
        </w:tc>
        <w:tc>
          <w:tcPr>
            <w:tcW w:w="1276" w:type="dxa"/>
            <w:tcBorders>
              <w:top w:val="nil"/>
              <w:left w:val="nil"/>
              <w:bottom w:val="nil"/>
              <w:right w:val="nil"/>
            </w:tcBorders>
          </w:tcPr>
          <w:p>
            <w:pPr>
              <w:pStyle w:val="nTable"/>
              <w:spacing w:after="40"/>
            </w:pPr>
            <w:r>
              <w:t>28 Sep 2001 p. 5353</w:t>
            </w:r>
            <w:r>
              <w:noBreakHyphen/>
              <w:t>8</w:t>
            </w:r>
          </w:p>
        </w:tc>
        <w:tc>
          <w:tcPr>
            <w:tcW w:w="2693" w:type="dxa"/>
            <w:tcBorders>
              <w:top w:val="nil"/>
              <w:left w:val="nil"/>
              <w:bottom w:val="nil"/>
            </w:tcBorders>
          </w:tcPr>
          <w:p>
            <w:pPr>
              <w:pStyle w:val="nTable"/>
              <w:spacing w:after="40"/>
            </w:pPr>
            <w:r>
              <w:t>15 Jul 2001 (see r. 2 and Cwlth Gazette 13 Jul 2001 No. S285)</w:t>
            </w:r>
          </w:p>
        </w:tc>
      </w:tr>
      <w:tr>
        <w:tc>
          <w:tcPr>
            <w:tcW w:w="3119" w:type="dxa"/>
            <w:tcBorders>
              <w:top w:val="nil"/>
              <w:bottom w:val="nil"/>
              <w:right w:val="nil"/>
            </w:tcBorders>
          </w:tcPr>
          <w:p>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pPr>
              <w:pStyle w:val="nTable"/>
              <w:spacing w:after="40"/>
            </w:pPr>
            <w:r>
              <w:t>12 Sep 2003 p. 4077</w:t>
            </w:r>
            <w:r>
              <w:noBreakHyphen/>
              <w:t>81</w:t>
            </w:r>
          </w:p>
        </w:tc>
        <w:tc>
          <w:tcPr>
            <w:tcW w:w="2693" w:type="dxa"/>
            <w:tcBorders>
              <w:top w:val="nil"/>
              <w:left w:val="nil"/>
              <w:bottom w:val="nil"/>
            </w:tcBorders>
          </w:tcPr>
          <w:p>
            <w:pPr>
              <w:pStyle w:val="nTable"/>
              <w:spacing w:after="40"/>
            </w:pPr>
            <w:r>
              <w:t>12 Sep 2003</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2004</w:t>
            </w:r>
            <w:r>
              <w:rPr>
                <w:vertAlign w:val="superscript"/>
              </w:rPr>
              <w:t> 3</w:t>
            </w:r>
          </w:p>
        </w:tc>
        <w:tc>
          <w:tcPr>
            <w:tcW w:w="1276" w:type="dxa"/>
            <w:tcBorders>
              <w:top w:val="nil"/>
              <w:left w:val="nil"/>
              <w:bottom w:val="nil"/>
              <w:right w:val="nil"/>
            </w:tcBorders>
          </w:tcPr>
          <w:p>
            <w:pPr>
              <w:pStyle w:val="nTable"/>
              <w:spacing w:after="40"/>
            </w:pPr>
            <w:r>
              <w:t>1 Jun 2004 p. 1909</w:t>
            </w:r>
            <w:r>
              <w:noBreakHyphen/>
              <w:t>12</w:t>
            </w:r>
          </w:p>
        </w:tc>
        <w:tc>
          <w:tcPr>
            <w:tcW w:w="2693" w:type="dxa"/>
            <w:tcBorders>
              <w:top w:val="nil"/>
              <w:left w:val="nil"/>
              <w:bottom w:val="nil"/>
            </w:tcBorders>
          </w:tcPr>
          <w:p>
            <w:pPr>
              <w:pStyle w:val="nTable"/>
              <w:spacing w:after="40"/>
            </w:pPr>
            <w:r>
              <w:t>1 Jun 2004</w:t>
            </w:r>
          </w:p>
        </w:tc>
      </w:tr>
      <w:tr>
        <w:tc>
          <w:tcPr>
            <w:tcW w:w="3119" w:type="dxa"/>
            <w:tcBorders>
              <w:top w:val="nil"/>
              <w:bottom w:val="nil"/>
              <w:right w:val="nil"/>
            </w:tcBorders>
          </w:tcPr>
          <w:p>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pPr>
              <w:pStyle w:val="nTable"/>
              <w:spacing w:after="40"/>
            </w:pPr>
            <w:r>
              <w:t>28 Jun 2004 p. 2397</w:t>
            </w:r>
            <w:r>
              <w:noBreakHyphen/>
              <w:t>463</w:t>
            </w:r>
          </w:p>
        </w:tc>
        <w:tc>
          <w:tcPr>
            <w:tcW w:w="2693" w:type="dxa"/>
            <w:tcBorders>
              <w:top w:val="nil"/>
              <w:left w:val="nil"/>
              <w:bottom w:val="nil"/>
            </w:tcBorders>
          </w:tcPr>
          <w:p>
            <w:pPr>
              <w:pStyle w:val="nTable"/>
              <w:spacing w:after="40"/>
            </w:pPr>
            <w:r>
              <w:t>1 Jul 2004 (see r. 2)</w:t>
            </w:r>
          </w:p>
        </w:tc>
      </w:tr>
      <w:tr>
        <w:trPr>
          <w:cantSplit/>
        </w:trPr>
        <w:tc>
          <w:tcPr>
            <w:tcW w:w="7088" w:type="dxa"/>
            <w:gridSpan w:val="3"/>
            <w:tcBorders>
              <w:top w:val="nil"/>
              <w:bottom w:val="nil"/>
            </w:tcBorders>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Borders>
              <w:top w:val="nil"/>
              <w:bottom w:val="nil"/>
            </w:tcBorders>
          </w:tcPr>
          <w:p>
            <w:pPr>
              <w:pStyle w:val="nTable"/>
              <w:spacing w:after="40"/>
              <w:rPr>
                <w:vertAlign w:val="superscript"/>
              </w:rPr>
            </w:pPr>
            <w:r>
              <w:rPr>
                <w:i/>
              </w:rPr>
              <w:t>Water Services Licensing (Plumbers Licensing and Plumbing Standards) Amendment Regulations (No. 3) 2004</w:t>
            </w:r>
          </w:p>
        </w:tc>
        <w:tc>
          <w:tcPr>
            <w:tcW w:w="1276" w:type="dxa"/>
            <w:tcBorders>
              <w:top w:val="nil"/>
              <w:bottom w:val="nil"/>
            </w:tcBorders>
          </w:tcPr>
          <w:p>
            <w:pPr>
              <w:pStyle w:val="nTable"/>
              <w:spacing w:after="40"/>
            </w:pPr>
            <w:r>
              <w:t>30 Dec 2004 p. 6928</w:t>
            </w:r>
            <w:r>
              <w:noBreakHyphen/>
              <w:t>30</w:t>
            </w:r>
          </w:p>
        </w:tc>
        <w:tc>
          <w:tcPr>
            <w:tcW w:w="2693" w:type="dxa"/>
            <w:tcBorders>
              <w:top w:val="nil"/>
              <w:bottom w:val="nil"/>
            </w:tcBorders>
          </w:tcPr>
          <w:p>
            <w:pPr>
              <w:pStyle w:val="nTable"/>
              <w:spacing w:after="40"/>
            </w:pPr>
            <w:r>
              <w:t xml:space="preserve">1 Jan 2005 (see r. 2 and </w:t>
            </w:r>
            <w:r>
              <w:rPr>
                <w:i/>
                <w:iCs/>
              </w:rPr>
              <w:t>Gazette</w:t>
            </w:r>
            <w:r>
              <w:t xml:space="preserve"> 31 Dec 2004 p. 7130)</w:t>
            </w:r>
          </w:p>
        </w:tc>
      </w:tr>
      <w:tr>
        <w:tc>
          <w:tcPr>
            <w:tcW w:w="3119" w:type="dxa"/>
            <w:tcBorders>
              <w:top w:val="nil"/>
              <w:bottom w:val="nil"/>
            </w:tcBorders>
          </w:tcPr>
          <w:p>
            <w:pPr>
              <w:pStyle w:val="nTable"/>
              <w:spacing w:after="40"/>
            </w:pPr>
            <w:r>
              <w:rPr>
                <w:i/>
              </w:rPr>
              <w:t>Courts and Legal Practice (Consequential Amendments) Regulations 2005</w:t>
            </w:r>
            <w:r>
              <w:t xml:space="preserve"> r. 14</w:t>
            </w:r>
          </w:p>
        </w:tc>
        <w:tc>
          <w:tcPr>
            <w:tcW w:w="1276" w:type="dxa"/>
            <w:tcBorders>
              <w:top w:val="nil"/>
              <w:bottom w:val="nil"/>
            </w:tcBorders>
          </w:tcPr>
          <w:p>
            <w:pPr>
              <w:pStyle w:val="nTable"/>
              <w:spacing w:after="40"/>
            </w:pPr>
            <w:r>
              <w:t>19 Apr 2005 p. 1294</w:t>
            </w:r>
            <w:r>
              <w:noBreakHyphen/>
              <w:t>302</w:t>
            </w:r>
          </w:p>
        </w:tc>
        <w:tc>
          <w:tcPr>
            <w:tcW w:w="2693" w:type="dxa"/>
            <w:tcBorders>
              <w:top w:val="nil"/>
              <w:bottom w:val="nil"/>
            </w:tcBorders>
          </w:tcPr>
          <w:p>
            <w:pPr>
              <w:pStyle w:val="nTable"/>
              <w:spacing w:after="40"/>
            </w:pPr>
            <w:r>
              <w:t>19 Apr 2005</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2005</w:t>
            </w:r>
          </w:p>
        </w:tc>
        <w:tc>
          <w:tcPr>
            <w:tcW w:w="1276" w:type="dxa"/>
            <w:tcBorders>
              <w:top w:val="nil"/>
              <w:bottom w:val="nil"/>
            </w:tcBorders>
          </w:tcPr>
          <w:p>
            <w:pPr>
              <w:pStyle w:val="nTable"/>
              <w:spacing w:after="40"/>
            </w:pPr>
            <w:r>
              <w:t>7 Oct 2005 p. 4507</w:t>
            </w:r>
            <w:r>
              <w:noBreakHyphen/>
              <w:t>28</w:t>
            </w:r>
          </w:p>
        </w:tc>
        <w:tc>
          <w:tcPr>
            <w:tcW w:w="2693" w:type="dxa"/>
            <w:tcBorders>
              <w:top w:val="nil"/>
              <w:bottom w:val="nil"/>
            </w:tcBorders>
          </w:tcPr>
          <w:p>
            <w:pPr>
              <w:pStyle w:val="nTable"/>
              <w:spacing w:after="40"/>
            </w:pPr>
            <w:r>
              <w:t>7 Oct 2005</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2007</w:t>
            </w:r>
          </w:p>
        </w:tc>
        <w:tc>
          <w:tcPr>
            <w:tcW w:w="1276" w:type="dxa"/>
            <w:tcBorders>
              <w:top w:val="nil"/>
              <w:bottom w:val="nil"/>
            </w:tcBorders>
          </w:tcPr>
          <w:p>
            <w:pPr>
              <w:pStyle w:val="nTable"/>
              <w:keepNext/>
              <w:keepLines/>
              <w:spacing w:after="40"/>
            </w:pPr>
            <w:r>
              <w:t>1 May 2007 p. 1896</w:t>
            </w:r>
            <w:r>
              <w:noBreakHyphen/>
              <w:t>7</w:t>
            </w:r>
          </w:p>
        </w:tc>
        <w:tc>
          <w:tcPr>
            <w:tcW w:w="2693" w:type="dxa"/>
            <w:tcBorders>
              <w:top w:val="nil"/>
              <w:bottom w:val="nil"/>
            </w:tcBorders>
          </w:tcPr>
          <w:p>
            <w:pPr>
              <w:pStyle w:val="nTable"/>
              <w:keepNext/>
              <w:keepLines/>
              <w:spacing w:after="40"/>
            </w:pPr>
            <w:r>
              <w:t>1 May 2007</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2007</w:t>
            </w:r>
          </w:p>
        </w:tc>
        <w:tc>
          <w:tcPr>
            <w:tcW w:w="1276" w:type="dxa"/>
            <w:tcBorders>
              <w:top w:val="nil"/>
              <w:bottom w:val="nil"/>
            </w:tcBorders>
          </w:tcPr>
          <w:p>
            <w:pPr>
              <w:pStyle w:val="nTable"/>
              <w:keepNext/>
              <w:keepLines/>
              <w:spacing w:after="40"/>
            </w:pPr>
            <w:r>
              <w:t>29 May 2007 p. 2502</w:t>
            </w:r>
            <w:r>
              <w:noBreakHyphen/>
              <w:t>6</w:t>
            </w:r>
          </w:p>
        </w:tc>
        <w:tc>
          <w:tcPr>
            <w:tcW w:w="2693" w:type="dxa"/>
            <w:tcBorders>
              <w:top w:val="nil"/>
              <w:bottom w:val="nil"/>
            </w:tcBorders>
          </w:tcPr>
          <w:p>
            <w:pPr>
              <w:pStyle w:val="nTable"/>
              <w:keepNext/>
              <w:keepLines/>
              <w:spacing w:after="40"/>
            </w:pPr>
            <w:r>
              <w:t>r. 1 and 2: 29 May 2007 (see r. 2(a));</w:t>
            </w:r>
            <w:r>
              <w:br/>
              <w:t>Regulations other than r. 1 and 2: 1 Jun 2007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3) 2007</w:t>
            </w:r>
          </w:p>
        </w:tc>
        <w:tc>
          <w:tcPr>
            <w:tcW w:w="1276" w:type="dxa"/>
            <w:tcBorders>
              <w:top w:val="nil"/>
              <w:bottom w:val="nil"/>
            </w:tcBorders>
          </w:tcPr>
          <w:p>
            <w:pPr>
              <w:pStyle w:val="nTable"/>
              <w:keepNext/>
              <w:keepLines/>
              <w:spacing w:after="40"/>
            </w:pPr>
            <w:r>
              <w:t>26 Jun 2007 p. 3062</w:t>
            </w:r>
            <w:r>
              <w:noBreakHyphen/>
              <w:t>70</w:t>
            </w:r>
          </w:p>
        </w:tc>
        <w:tc>
          <w:tcPr>
            <w:tcW w:w="2693" w:type="dxa"/>
            <w:tcBorders>
              <w:top w:val="nil"/>
              <w:bottom w:val="nil"/>
            </w:tcBorders>
          </w:tcPr>
          <w:p>
            <w:pPr>
              <w:pStyle w:val="nTable"/>
              <w:keepNext/>
              <w:keepLines/>
              <w:spacing w:after="40"/>
            </w:pPr>
            <w:r>
              <w:t>r. 1 and 2: 26 Jun 2007 (see r. 2(a));</w:t>
            </w:r>
            <w:r>
              <w:br/>
              <w:t>Regulations other than r. 1 and 2: 1 Jul 2007 (see r. 2(b))</w:t>
            </w:r>
          </w:p>
        </w:tc>
      </w:tr>
      <w:tr>
        <w:trPr>
          <w:cantSplit/>
        </w:trPr>
        <w:tc>
          <w:tcPr>
            <w:tcW w:w="7088" w:type="dxa"/>
            <w:gridSpan w:val="3"/>
            <w:tcBorders>
              <w:top w:val="nil"/>
              <w:bottom w:val="nil"/>
            </w:tcBorders>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2009</w:t>
            </w:r>
          </w:p>
        </w:tc>
        <w:tc>
          <w:tcPr>
            <w:tcW w:w="1276" w:type="dxa"/>
            <w:tcBorders>
              <w:top w:val="nil"/>
              <w:bottom w:val="nil"/>
            </w:tcBorders>
          </w:tcPr>
          <w:p>
            <w:pPr>
              <w:pStyle w:val="nTable"/>
              <w:keepNext/>
              <w:keepLines/>
              <w:spacing w:after="40"/>
            </w:pPr>
            <w:r>
              <w:t>11 Dec 2009 p. 5060</w:t>
            </w:r>
            <w:r>
              <w:noBreakHyphen/>
              <w:t>1</w:t>
            </w:r>
          </w:p>
        </w:tc>
        <w:tc>
          <w:tcPr>
            <w:tcW w:w="2693" w:type="dxa"/>
            <w:tcBorders>
              <w:top w:val="nil"/>
              <w:bottom w:val="nil"/>
            </w:tcBorders>
          </w:tcPr>
          <w:p>
            <w:pPr>
              <w:pStyle w:val="nTable"/>
              <w:keepNext/>
              <w:keepLines/>
              <w:spacing w:after="40"/>
            </w:pPr>
            <w:r>
              <w:t>r. 1 and 2: 11 Dec 2009 (see r. 2(a));</w:t>
            </w:r>
            <w:r>
              <w:br/>
              <w:t>Regulations other than r. 1 and 2: 12 Dec 2009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2010</w:t>
            </w:r>
          </w:p>
        </w:tc>
        <w:tc>
          <w:tcPr>
            <w:tcW w:w="1276" w:type="dxa"/>
            <w:tcBorders>
              <w:top w:val="nil"/>
              <w:bottom w:val="nil"/>
            </w:tcBorders>
          </w:tcPr>
          <w:p>
            <w:pPr>
              <w:pStyle w:val="nTable"/>
              <w:keepNext/>
              <w:keepLines/>
              <w:spacing w:after="40"/>
            </w:pPr>
            <w:r>
              <w:t>25 Jun 2010 p. 2881</w:t>
            </w:r>
            <w:r>
              <w:noBreakHyphen/>
              <w:t>2</w:t>
            </w:r>
          </w:p>
        </w:tc>
        <w:tc>
          <w:tcPr>
            <w:tcW w:w="2693" w:type="dxa"/>
            <w:tcBorders>
              <w:top w:val="nil"/>
              <w:bottom w:val="nil"/>
            </w:tcBorders>
          </w:tcPr>
          <w:p>
            <w:pPr>
              <w:pStyle w:val="nTable"/>
              <w:keepNext/>
              <w:keepLines/>
              <w:spacing w:after="40"/>
            </w:pPr>
            <w:r>
              <w:t>r. 1 and 2: 25 Jun 2010 (see r. 2(a));</w:t>
            </w:r>
            <w:r>
              <w:br/>
              <w:t>Regulations other than r. 1 and 2: 1 Jul 2010 (see r. 2(b))</w:t>
            </w:r>
          </w:p>
        </w:tc>
      </w:tr>
      <w:tr>
        <w:tc>
          <w:tcPr>
            <w:tcW w:w="3119" w:type="dxa"/>
            <w:tcBorders>
              <w:top w:val="nil"/>
              <w:bottom w:val="nil"/>
            </w:tcBorders>
          </w:tcPr>
          <w:p>
            <w:pPr>
              <w:pStyle w:val="nTable"/>
              <w:spacing w:after="40"/>
            </w:pPr>
            <w:r>
              <w:rPr>
                <w:i/>
              </w:rPr>
              <w:t>Public Sector Reform (Consequential Amendments) Regulations 2011</w:t>
            </w:r>
            <w:r>
              <w:t xml:space="preserve"> r. 20</w:t>
            </w:r>
          </w:p>
        </w:tc>
        <w:tc>
          <w:tcPr>
            <w:tcW w:w="1276" w:type="dxa"/>
            <w:tcBorders>
              <w:top w:val="nil"/>
              <w:bottom w:val="nil"/>
            </w:tcBorders>
          </w:tcPr>
          <w:p>
            <w:pPr>
              <w:pStyle w:val="nTable"/>
              <w:spacing w:after="40"/>
            </w:pPr>
            <w:r>
              <w:t>11 Feb 2011 p. 502</w:t>
            </w:r>
            <w:r>
              <w:noBreakHyphen/>
              <w:t>7</w:t>
            </w:r>
          </w:p>
        </w:tc>
        <w:tc>
          <w:tcPr>
            <w:tcW w:w="2693" w:type="dxa"/>
            <w:tcBorders>
              <w:top w:val="nil"/>
              <w:bottom w:val="nil"/>
            </w:tcBorders>
          </w:tcPr>
          <w:p>
            <w:pPr>
              <w:pStyle w:val="nTable"/>
              <w:spacing w:after="40"/>
              <w:rPr>
                <w:snapToGrid w:val="0"/>
                <w:spacing w:val="-2"/>
              </w:rPr>
            </w:pPr>
            <w:r>
              <w:rPr>
                <w:snapToGrid w:val="0"/>
                <w:spacing w:val="-2"/>
              </w:rPr>
              <w:t>12 Feb 2011 (see r. 2(d))</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2011</w:t>
            </w:r>
          </w:p>
        </w:tc>
        <w:tc>
          <w:tcPr>
            <w:tcW w:w="1276" w:type="dxa"/>
            <w:tcBorders>
              <w:top w:val="nil"/>
              <w:bottom w:val="nil"/>
            </w:tcBorders>
          </w:tcPr>
          <w:p>
            <w:pPr>
              <w:pStyle w:val="nTable"/>
              <w:spacing w:after="40"/>
            </w:pPr>
            <w:r>
              <w:t>22 Jun 2011 p. 2329</w:t>
            </w:r>
            <w:r>
              <w:noBreakHyphen/>
              <w:t>31</w:t>
            </w:r>
          </w:p>
        </w:tc>
        <w:tc>
          <w:tcPr>
            <w:tcW w:w="2693" w:type="dxa"/>
            <w:tcBorders>
              <w:top w:val="nil"/>
              <w:bottom w:val="nil"/>
            </w:tcBorders>
          </w:tcPr>
          <w:p>
            <w:pPr>
              <w:pStyle w:val="nTable"/>
              <w:spacing w:after="40"/>
              <w:rPr>
                <w:snapToGrid w:val="0"/>
                <w:spacing w:val="-2"/>
              </w:rPr>
            </w:pPr>
            <w:r>
              <w:t>r. 1 and 2: 22 Jun 2011 (see r. 2(a));</w:t>
            </w:r>
            <w:r>
              <w:br/>
              <w:t>Regulations other than r. 1 and 2: 1 Jul 2011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2011</w:t>
            </w:r>
          </w:p>
        </w:tc>
        <w:tc>
          <w:tcPr>
            <w:tcW w:w="1276" w:type="dxa"/>
            <w:tcBorders>
              <w:top w:val="nil"/>
              <w:bottom w:val="nil"/>
            </w:tcBorders>
          </w:tcPr>
          <w:p>
            <w:pPr>
              <w:pStyle w:val="nTable"/>
              <w:spacing w:after="40"/>
            </w:pPr>
            <w:r>
              <w:t>30 Jun 2011 p. 2655</w:t>
            </w:r>
            <w:r>
              <w:noBreakHyphen/>
              <w:t>6</w:t>
            </w:r>
          </w:p>
        </w:tc>
        <w:tc>
          <w:tcPr>
            <w:tcW w:w="2693" w:type="dxa"/>
            <w:tcBorders>
              <w:top w:val="nil"/>
              <w:bottom w:val="nil"/>
            </w:tcBorders>
          </w:tcPr>
          <w:p>
            <w:pPr>
              <w:pStyle w:val="nTable"/>
              <w:spacing w:after="40"/>
            </w:pPr>
            <w:r>
              <w:t>r. 1 and 2: 30 Jun 2011 (see r. 2(a));</w:t>
            </w:r>
            <w:r>
              <w:br/>
              <w:t>Regulations other than r. 1 and 2: 1 Jul 2011 (see r. 2(b))</w:t>
            </w:r>
          </w:p>
        </w:tc>
      </w:tr>
      <w:tr>
        <w:tc>
          <w:tcPr>
            <w:tcW w:w="7088" w:type="dxa"/>
            <w:gridSpan w:val="3"/>
            <w:tcBorders>
              <w:top w:val="nil"/>
              <w:bottom w:val="nil"/>
            </w:tcBorders>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2012</w:t>
            </w:r>
          </w:p>
        </w:tc>
        <w:tc>
          <w:tcPr>
            <w:tcW w:w="1276" w:type="dxa"/>
            <w:tcBorders>
              <w:top w:val="nil"/>
              <w:bottom w:val="nil"/>
            </w:tcBorders>
          </w:tcPr>
          <w:p>
            <w:pPr>
              <w:pStyle w:val="nTable"/>
              <w:spacing w:after="40"/>
            </w:pPr>
            <w:r>
              <w:t>15 Jun 2012 p. 2621-3</w:t>
            </w:r>
          </w:p>
        </w:tc>
        <w:tc>
          <w:tcPr>
            <w:tcW w:w="2693" w:type="dxa"/>
            <w:tcBorders>
              <w:top w:val="nil"/>
              <w:bottom w:val="nil"/>
            </w:tcBorders>
          </w:tcPr>
          <w:p>
            <w:pPr>
              <w:pStyle w:val="nTable"/>
              <w:spacing w:after="40"/>
            </w:pPr>
            <w:r>
              <w:t>r. 1 and 2: 15 Jun 2012 (see r. 2(a));</w:t>
            </w:r>
            <w:r>
              <w:br/>
              <w:t>Regulations other than r. 1 and 2: 1 Jul 2012 (see r. 2(b))</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(No. 2) 2013</w:t>
            </w:r>
          </w:p>
        </w:tc>
        <w:tc>
          <w:tcPr>
            <w:tcW w:w="1276" w:type="dxa"/>
            <w:tcBorders>
              <w:top w:val="nil"/>
              <w:bottom w:val="nil"/>
            </w:tcBorders>
          </w:tcPr>
          <w:p>
            <w:pPr>
              <w:pStyle w:val="nTable"/>
              <w:keepNext/>
              <w:spacing w:after="40"/>
            </w:pPr>
            <w:r>
              <w:t>27 Jun 2013 p. 2713-15</w:t>
            </w:r>
          </w:p>
        </w:tc>
        <w:tc>
          <w:tcPr>
            <w:tcW w:w="2693" w:type="dxa"/>
            <w:tcBorders>
              <w:top w:val="nil"/>
              <w:bottom w:val="nil"/>
            </w:tcBorders>
          </w:tcPr>
          <w:p>
            <w:pPr>
              <w:pStyle w:val="nTable"/>
              <w:keepNext/>
              <w:spacing w:after="40"/>
              <w:rPr>
                <w:i/>
              </w:rPr>
            </w:pPr>
            <w:r>
              <w:t>r. 1 and 2: 27 Jun 2013 (see r. 2(a));</w:t>
            </w:r>
            <w:r>
              <w:br/>
              <w:t>Regulations other than r. 1 and 2: 1 Jul 2013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2013</w:t>
            </w:r>
          </w:p>
        </w:tc>
        <w:tc>
          <w:tcPr>
            <w:tcW w:w="1276" w:type="dxa"/>
            <w:tcBorders>
              <w:top w:val="nil"/>
              <w:bottom w:val="nil"/>
            </w:tcBorders>
          </w:tcPr>
          <w:p>
            <w:pPr>
              <w:pStyle w:val="nTable"/>
              <w:spacing w:after="40"/>
            </w:pPr>
            <w:r>
              <w:t>14 Nov 2013 p. 5231</w:t>
            </w:r>
            <w:r>
              <w:noBreakHyphen/>
              <w:t>4</w:t>
            </w:r>
          </w:p>
        </w:tc>
        <w:tc>
          <w:tcPr>
            <w:tcW w:w="2693" w:type="dxa"/>
            <w:tcBorders>
              <w:top w:val="nil"/>
              <w:bottom w:val="nil"/>
            </w:tcBorders>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tcBorders>
              <w:top w:val="nil"/>
              <w:bottom w:val="nil"/>
            </w:tcBorders>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Borders>
              <w:top w:val="nil"/>
              <w:bottom w:val="nil"/>
            </w:tcBorders>
          </w:tcPr>
          <w:p>
            <w:pPr>
              <w:pStyle w:val="nTable"/>
              <w:spacing w:after="40"/>
              <w:rPr>
                <w:i/>
              </w:rPr>
            </w:pPr>
            <w:r>
              <w:rPr>
                <w:i/>
              </w:rPr>
              <w:t>Plumbers Licensing and Plumbing Standards Amendment Regulations 2014</w:t>
            </w:r>
          </w:p>
        </w:tc>
        <w:tc>
          <w:tcPr>
            <w:tcW w:w="1276" w:type="dxa"/>
            <w:tcBorders>
              <w:top w:val="nil"/>
              <w:bottom w:val="nil"/>
            </w:tcBorders>
          </w:tcPr>
          <w:p>
            <w:pPr>
              <w:pStyle w:val="nTable"/>
              <w:spacing w:after="40"/>
            </w:pPr>
            <w:r>
              <w:t>17 Jun 2014 p. 1975</w:t>
            </w:r>
            <w:r>
              <w:noBreakHyphen/>
              <w:t>7</w:t>
            </w:r>
          </w:p>
        </w:tc>
        <w:tc>
          <w:tcPr>
            <w:tcW w:w="2693" w:type="dxa"/>
            <w:tcBorders>
              <w:top w:val="nil"/>
              <w:bottom w:val="nil"/>
            </w:tcBorders>
          </w:tcPr>
          <w:p>
            <w:pPr>
              <w:pStyle w:val="nTable"/>
              <w:spacing w:after="40"/>
            </w:pPr>
            <w:r>
              <w:rPr>
                <w:bCs/>
                <w:snapToGrid w:val="0"/>
                <w:spacing w:val="-2"/>
              </w:rPr>
              <w:t>r. 1 and 2: 17 Jun 2014 (see r. 2(a));</w:t>
            </w:r>
            <w:r>
              <w:rPr>
                <w:bCs/>
                <w:snapToGrid w:val="0"/>
                <w:spacing w:val="-2"/>
              </w:rPr>
              <w:br/>
              <w:t>Regulations other than r. 1 and 2: 1 Jul 2014 (see r. 2(b))</w:t>
            </w:r>
          </w:p>
        </w:tc>
      </w:tr>
      <w:tr>
        <w:tc>
          <w:tcPr>
            <w:tcW w:w="3119" w:type="dxa"/>
            <w:tcBorders>
              <w:top w:val="nil"/>
              <w:bottom w:val="nil"/>
            </w:tcBorders>
          </w:tcPr>
          <w:p>
            <w:pPr>
              <w:pStyle w:val="nTable"/>
              <w:spacing w:after="40"/>
              <w:rPr>
                <w:i/>
              </w:rPr>
            </w:pPr>
            <w:r>
              <w:rPr>
                <w:i/>
              </w:rPr>
              <w:t>Plumbers Licensing and Plumbing Standards Amendment Regulations (No. 2) 2014</w:t>
            </w:r>
          </w:p>
        </w:tc>
        <w:tc>
          <w:tcPr>
            <w:tcW w:w="1276" w:type="dxa"/>
            <w:tcBorders>
              <w:top w:val="nil"/>
              <w:bottom w:val="nil"/>
            </w:tcBorders>
          </w:tcPr>
          <w:p>
            <w:pPr>
              <w:pStyle w:val="nTable"/>
              <w:spacing w:after="40"/>
            </w:pPr>
            <w:r>
              <w:t>19 Dec 2014 p. 4831</w:t>
            </w:r>
            <w:r>
              <w:noBreakHyphen/>
              <w:t>41</w:t>
            </w:r>
          </w:p>
        </w:tc>
        <w:tc>
          <w:tcPr>
            <w:tcW w:w="2693" w:type="dxa"/>
            <w:tcBorders>
              <w:top w:val="nil"/>
              <w:bottom w:val="nil"/>
            </w:tcBorders>
          </w:tcPr>
          <w:p>
            <w:pPr>
              <w:pStyle w:val="nTable"/>
              <w:spacing w:after="40"/>
              <w:rPr>
                <w:bCs/>
                <w:snapToGrid w:val="0"/>
                <w:spacing w:val="-2"/>
              </w:rPr>
            </w:pPr>
            <w:r>
              <w:rPr>
                <w:bCs/>
                <w:snapToGrid w:val="0"/>
                <w:spacing w:val="-2"/>
              </w:rPr>
              <w:t>r. 1 and 2: 19 Dec 2014 (see r. 2(a));</w:t>
            </w:r>
            <w:r>
              <w:rPr>
                <w:bCs/>
                <w:snapToGrid w:val="0"/>
                <w:spacing w:val="-2"/>
              </w:rPr>
              <w:br/>
              <w:t>Regulations other than r. 1 and 2: 1 Jan 2015 (see r. 2(b))</w:t>
            </w:r>
          </w:p>
        </w:tc>
      </w:tr>
      <w:tr>
        <w:tc>
          <w:tcPr>
            <w:tcW w:w="3119" w:type="dxa"/>
            <w:tcBorders>
              <w:top w:val="nil"/>
              <w:bottom w:val="nil"/>
            </w:tcBorders>
          </w:tcPr>
          <w:p>
            <w:pPr>
              <w:pStyle w:val="nTable"/>
              <w:spacing w:after="40"/>
              <w:rPr>
                <w:i/>
              </w:rPr>
            </w:pPr>
            <w:r>
              <w:rPr>
                <w:i/>
              </w:rPr>
              <w:t>Plumbers Licensing and Plumbing Standards Amendment Regulations 2015</w:t>
            </w:r>
          </w:p>
        </w:tc>
        <w:tc>
          <w:tcPr>
            <w:tcW w:w="1276" w:type="dxa"/>
            <w:tcBorders>
              <w:top w:val="nil"/>
              <w:bottom w:val="nil"/>
            </w:tcBorders>
          </w:tcPr>
          <w:p>
            <w:pPr>
              <w:pStyle w:val="nTable"/>
              <w:spacing w:after="40"/>
            </w:pPr>
            <w:r>
              <w:t>24 Apr 2015 p. 1495</w:t>
            </w:r>
            <w:r>
              <w:noBreakHyphen/>
              <w:t>518</w:t>
            </w:r>
          </w:p>
        </w:tc>
        <w:tc>
          <w:tcPr>
            <w:tcW w:w="2693" w:type="dxa"/>
            <w:tcBorders>
              <w:top w:val="nil"/>
              <w:bottom w:val="nil"/>
            </w:tcBorders>
          </w:tcPr>
          <w:p>
            <w:pPr>
              <w:pStyle w:val="nTable"/>
              <w:spacing w:after="40"/>
              <w:rPr>
                <w:bCs/>
                <w:snapToGrid w:val="0"/>
                <w:spacing w:val="-2"/>
              </w:rPr>
            </w:pPr>
            <w:r>
              <w:rPr>
                <w:bCs/>
                <w:snapToGrid w:val="0"/>
                <w:spacing w:val="-2"/>
              </w:rPr>
              <w:t>r. 1 and 2: 24 Apr 2015 (see r. 2(a));</w:t>
            </w:r>
            <w:r>
              <w:rPr>
                <w:bCs/>
                <w:snapToGrid w:val="0"/>
                <w:spacing w:val="-2"/>
              </w:rPr>
              <w:br/>
              <w:t>Regulations other than r. 1 and 2: 1 May 2015 (see r. 2(b))</w:t>
            </w:r>
          </w:p>
        </w:tc>
      </w:tr>
      <w:tr>
        <w:tc>
          <w:tcPr>
            <w:tcW w:w="3119" w:type="dxa"/>
            <w:tcBorders>
              <w:top w:val="nil"/>
              <w:bottom w:val="nil"/>
            </w:tcBorders>
          </w:tcPr>
          <w:p>
            <w:pPr>
              <w:pStyle w:val="nTable"/>
              <w:spacing w:after="40"/>
              <w:rPr>
                <w:i/>
              </w:rPr>
            </w:pPr>
            <w:r>
              <w:rPr>
                <w:i/>
              </w:rPr>
              <w:t>Plumbers Licensing and Plumbing Standards Amendment Regulations (No. 2) 2015</w:t>
            </w:r>
          </w:p>
        </w:tc>
        <w:tc>
          <w:tcPr>
            <w:tcW w:w="1276" w:type="dxa"/>
            <w:tcBorders>
              <w:top w:val="nil"/>
              <w:bottom w:val="nil"/>
            </w:tcBorders>
          </w:tcPr>
          <w:p>
            <w:pPr>
              <w:pStyle w:val="nTable"/>
              <w:spacing w:after="40"/>
            </w:pPr>
            <w:r>
              <w:t>23 Jun 2015 p. 2183</w:t>
            </w:r>
            <w:r>
              <w:noBreakHyphen/>
              <w:t>4</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c>
          <w:tcPr>
            <w:tcW w:w="3119" w:type="dxa"/>
            <w:tcBorders>
              <w:top w:val="nil"/>
              <w:bottom w:val="nil"/>
            </w:tcBorders>
          </w:tcPr>
          <w:p>
            <w:pPr>
              <w:pStyle w:val="nTable"/>
              <w:spacing w:after="40"/>
              <w:rPr>
                <w:vertAlign w:val="superscript"/>
              </w:rPr>
            </w:pPr>
            <w:r>
              <w:rPr>
                <w:i/>
              </w:rPr>
              <w:t>Plumbers Licensing and Plumbing Standards Amendment Regulations 2016</w:t>
            </w:r>
          </w:p>
        </w:tc>
        <w:tc>
          <w:tcPr>
            <w:tcW w:w="1276" w:type="dxa"/>
            <w:tcBorders>
              <w:top w:val="nil"/>
              <w:bottom w:val="nil"/>
            </w:tcBorders>
          </w:tcPr>
          <w:p>
            <w:pPr>
              <w:pStyle w:val="nTable"/>
              <w:spacing w:after="40"/>
            </w:pPr>
            <w:r>
              <w:t>29 Apr 2016 p. 1329-52</w:t>
            </w:r>
          </w:p>
        </w:tc>
        <w:tc>
          <w:tcPr>
            <w:tcW w:w="2693" w:type="dxa"/>
            <w:tcBorders>
              <w:top w:val="nil"/>
              <w:bottom w:val="nil"/>
            </w:tcBorders>
          </w:tcPr>
          <w:p>
            <w:pPr>
              <w:pStyle w:val="nTable"/>
              <w:spacing w:after="40"/>
              <w:rPr>
                <w:bCs/>
                <w:snapToGrid w:val="0"/>
                <w:spacing w:val="-2"/>
              </w:rPr>
            </w:pPr>
            <w:r>
              <w:rPr>
                <w:bCs/>
                <w:snapToGrid w:val="0"/>
                <w:spacing w:val="-2"/>
              </w:rPr>
              <w:t>r. 1 and 2: 29 Apr 2016 (see r. 2(a));</w:t>
            </w:r>
            <w:r>
              <w:rPr>
                <w:bCs/>
                <w:snapToGrid w:val="0"/>
                <w:spacing w:val="-2"/>
              </w:rPr>
              <w:br/>
              <w:t>Regulations other than r. 1, 2 and 33: 30 Apr 2016 (see r. 2(c));</w:t>
            </w:r>
            <w:r>
              <w:rPr>
                <w:bCs/>
                <w:snapToGrid w:val="0"/>
                <w:spacing w:val="-2"/>
              </w:rPr>
              <w:br/>
              <w:t>r. 33: 1 May 2016 (see r. 2(b))</w:t>
            </w:r>
          </w:p>
        </w:tc>
      </w:tr>
      <w:tr>
        <w:tc>
          <w:tcPr>
            <w:tcW w:w="3119" w:type="dxa"/>
            <w:tcBorders>
              <w:top w:val="nil"/>
              <w:bottom w:val="nil"/>
            </w:tcBorders>
          </w:tcPr>
          <w:p>
            <w:pPr>
              <w:pStyle w:val="nTable"/>
              <w:spacing w:after="40"/>
              <w:rPr>
                <w:i/>
              </w:rPr>
            </w:pPr>
            <w:r>
              <w:rPr>
                <w:i/>
              </w:rPr>
              <w:t xml:space="preserve">Commerce Regulations Amendment (Fees and Charges) Regulations 2016 </w:t>
            </w:r>
            <w:r>
              <w:t>Pt. 15</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i/>
              </w:rPr>
            </w:pPr>
            <w:r>
              <w:rPr>
                <w:i/>
              </w:rPr>
              <w:t>Plumbers Licensing and Plumbing Standards Amendment Regulations (No. 2) 2016</w:t>
            </w:r>
          </w:p>
        </w:tc>
        <w:tc>
          <w:tcPr>
            <w:tcW w:w="1276" w:type="dxa"/>
            <w:tcBorders>
              <w:top w:val="nil"/>
              <w:bottom w:val="nil"/>
            </w:tcBorders>
          </w:tcPr>
          <w:p>
            <w:pPr>
              <w:pStyle w:val="nTable"/>
              <w:spacing w:after="40"/>
            </w:pPr>
            <w:r>
              <w:t>13 Dec 2016 p. 5619</w:t>
            </w:r>
            <w:r>
              <w:noBreakHyphen/>
              <w:t>27</w:t>
            </w:r>
          </w:p>
        </w:tc>
        <w:tc>
          <w:tcPr>
            <w:tcW w:w="2693" w:type="dxa"/>
            <w:tcBorders>
              <w:top w:val="nil"/>
              <w:bottom w:val="nil"/>
            </w:tcBorders>
          </w:tcPr>
          <w:p>
            <w:pPr>
              <w:pStyle w:val="nTable"/>
              <w:spacing w:after="40"/>
              <w:rPr>
                <w:bCs/>
                <w:snapToGrid w:val="0"/>
                <w:spacing w:val="-2"/>
              </w:rPr>
            </w:pPr>
            <w:r>
              <w:rPr>
                <w:bCs/>
                <w:snapToGrid w:val="0"/>
                <w:spacing w:val="-2"/>
              </w:rPr>
              <w:t>r. 1 and 2: 13 Dec 2016 (see r. 2(a));</w:t>
            </w:r>
            <w:r>
              <w:rPr>
                <w:bCs/>
                <w:snapToGrid w:val="0"/>
                <w:spacing w:val="-2"/>
              </w:rPr>
              <w:br/>
              <w:t>Regulations other than r. 1 and 2: 14 Dec 2016 (see r. 2(b))</w:t>
            </w:r>
          </w:p>
        </w:tc>
      </w:tr>
      <w:tr>
        <w:trPr>
          <w:cantSplit/>
        </w:trPr>
        <w:tc>
          <w:tcPr>
            <w:tcW w:w="3119" w:type="dxa"/>
            <w:tcBorders>
              <w:top w:val="nil"/>
              <w:bottom w:val="nil"/>
            </w:tcBorders>
          </w:tcPr>
          <w:p>
            <w:pPr>
              <w:pStyle w:val="nTable"/>
              <w:spacing w:after="40"/>
              <w:rPr>
                <w:i/>
              </w:rPr>
            </w:pPr>
            <w:r>
              <w:rPr>
                <w:i/>
              </w:rPr>
              <w:t>Plumbers Licensing and Plumbing Standards Amendment Regulations (No. 3) 2016</w:t>
            </w:r>
          </w:p>
        </w:tc>
        <w:tc>
          <w:tcPr>
            <w:tcW w:w="1276" w:type="dxa"/>
            <w:tcBorders>
              <w:top w:val="nil"/>
              <w:bottom w:val="nil"/>
            </w:tcBorders>
          </w:tcPr>
          <w:p>
            <w:pPr>
              <w:pStyle w:val="nTable"/>
              <w:keepNext/>
              <w:spacing w:after="40"/>
            </w:pPr>
            <w:r>
              <w:t>13 Dec 2016 p. 5627</w:t>
            </w:r>
            <w:r>
              <w:noBreakHyphen/>
              <w:t>30</w:t>
            </w:r>
          </w:p>
        </w:tc>
        <w:tc>
          <w:tcPr>
            <w:tcW w:w="2693" w:type="dxa"/>
            <w:tcBorders>
              <w:top w:val="nil"/>
              <w:bottom w:val="nil"/>
            </w:tcBorders>
          </w:tcPr>
          <w:p>
            <w:pPr>
              <w:pStyle w:val="nTable"/>
              <w:keepNext/>
              <w:spacing w:after="40"/>
              <w:rPr>
                <w:bCs/>
                <w:snapToGrid w:val="0"/>
                <w:spacing w:val="-2"/>
              </w:rPr>
            </w:pPr>
            <w:r>
              <w:rPr>
                <w:bCs/>
                <w:snapToGrid w:val="0"/>
                <w:spacing w:val="-2"/>
              </w:rPr>
              <w:t>r. 1 and 2: 13 Dec 2016 (see r. 2(a));</w:t>
            </w:r>
            <w:r>
              <w:rPr>
                <w:bCs/>
                <w:snapToGrid w:val="0"/>
                <w:spacing w:val="-2"/>
              </w:rPr>
              <w:br/>
              <w:t xml:space="preserve">Regulations other than r. 1 and 2: 14 Dec 2016 (see r. 2(b) and </w:t>
            </w:r>
            <w:r>
              <w:rPr>
                <w:bCs/>
                <w:i/>
                <w:snapToGrid w:val="0"/>
                <w:spacing w:val="-2"/>
              </w:rPr>
              <w:t>Gazette</w:t>
            </w:r>
            <w:r>
              <w:rPr>
                <w:bCs/>
                <w:snapToGrid w:val="0"/>
                <w:spacing w:val="-2"/>
              </w:rPr>
              <w:t xml:space="preserve"> 13 Dec 2016 p. 5659)</w:t>
            </w:r>
          </w:p>
        </w:tc>
      </w:tr>
      <w:tr>
        <w:trPr>
          <w:cantSplit/>
        </w:trPr>
        <w:tc>
          <w:tcPr>
            <w:tcW w:w="3119" w:type="dxa"/>
            <w:tcBorders>
              <w:top w:val="nil"/>
              <w:bottom w:val="nil"/>
            </w:tcBorders>
          </w:tcPr>
          <w:p>
            <w:pPr>
              <w:pStyle w:val="nTable"/>
              <w:spacing w:after="40"/>
              <w:rPr>
                <w:i/>
              </w:rPr>
            </w:pPr>
            <w:r>
              <w:rPr>
                <w:i/>
              </w:rPr>
              <w:t xml:space="preserve">Commerce Regulations Amendment (Public Health) Regulations 2016 </w:t>
            </w:r>
            <w:r>
              <w:t>Pt. 4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rPr>
                <w:bCs/>
                <w:snapToGrid w:val="0"/>
                <w:spacing w:val="-2"/>
              </w:rPr>
            </w:pPr>
            <w:r>
              <w:t xml:space="preserve">24 Jan 2017 (see r. 2(b) and </w:t>
            </w:r>
            <w:r>
              <w:rPr>
                <w:i/>
              </w:rPr>
              <w:t>Gazette</w:t>
            </w:r>
            <w:r>
              <w:t xml:space="preserve"> 10 Jan 2017 p. 165)</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17</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Plumbers Licensing and Plumbing Standards Amendment Regulations 2017</w:t>
            </w:r>
          </w:p>
        </w:tc>
        <w:tc>
          <w:tcPr>
            <w:tcW w:w="1276" w:type="dxa"/>
            <w:tcBorders>
              <w:top w:val="nil"/>
              <w:bottom w:val="nil"/>
            </w:tcBorders>
          </w:tcPr>
          <w:p>
            <w:pPr>
              <w:pStyle w:val="nTable"/>
              <w:spacing w:after="40"/>
            </w:pPr>
            <w:r>
              <w:t>29 Aug 2017 p. 4593</w:t>
            </w:r>
            <w:r>
              <w:noBreakHyphen/>
              <w:t>4</w:t>
            </w:r>
          </w:p>
        </w:tc>
        <w:tc>
          <w:tcPr>
            <w:tcW w:w="2693" w:type="dxa"/>
            <w:tcBorders>
              <w:top w:val="nil"/>
              <w:bottom w:val="nil"/>
            </w:tcBorders>
          </w:tcPr>
          <w:p>
            <w:pPr>
              <w:pStyle w:val="nTable"/>
              <w:spacing w:after="40"/>
            </w:pPr>
            <w:r>
              <w:rPr>
                <w:bCs/>
                <w:snapToGrid w:val="0"/>
                <w:spacing w:val="-2"/>
              </w:rPr>
              <w:t>r. 1 and 2: 29 Aug 2017 (see r. 2(a));</w:t>
            </w:r>
            <w:r>
              <w:rPr>
                <w:bCs/>
                <w:snapToGrid w:val="0"/>
                <w:spacing w:val="-2"/>
              </w:rPr>
              <w:br/>
              <w:t>Regulations other than r. 1 and 2: 30 Aug 2017 (see r. 2(b))</w:t>
            </w:r>
          </w:p>
        </w:tc>
      </w:tr>
      <w:tr>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Plumbers Licensing and Plumbing Standards Regulations 2000</w:t>
            </w:r>
            <w:r>
              <w:rPr>
                <w:b/>
                <w:bCs/>
                <w:snapToGrid w:val="0"/>
                <w:spacing w:val="-2"/>
              </w:rPr>
              <w:t xml:space="preserve"> as at</w:t>
            </w:r>
            <w:r>
              <w:rPr>
                <w:b/>
                <w:bCs/>
                <w:snapToGrid w:val="0"/>
                <w:spacing w:val="-2"/>
              </w:rPr>
              <w:br/>
              <w:t>24 Nov 2017</w:t>
            </w:r>
            <w:r>
              <w:rPr>
                <w:bCs/>
                <w:snapToGrid w:val="0"/>
                <w:spacing w:val="-2"/>
              </w:rPr>
              <w:t xml:space="preserve"> (includes amendments listed above)</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noProof/>
              </w:rPr>
              <w:t>Plumbers Licensing and Plumbing Standards Amendment Regulations 2019</w:t>
            </w:r>
          </w:p>
        </w:tc>
        <w:tc>
          <w:tcPr>
            <w:tcW w:w="1276" w:type="dxa"/>
            <w:tcBorders>
              <w:top w:val="nil"/>
              <w:bottom w:val="nil"/>
            </w:tcBorders>
          </w:tcPr>
          <w:p>
            <w:pPr>
              <w:pStyle w:val="nTable"/>
              <w:spacing w:after="40"/>
            </w:pPr>
            <w:r>
              <w:t>9 Apr 2019 p. 1055</w:t>
            </w:r>
            <w:r>
              <w:noBreakHyphen/>
              <w:t>60</w:t>
            </w:r>
          </w:p>
        </w:tc>
        <w:tc>
          <w:tcPr>
            <w:tcW w:w="2693" w:type="dxa"/>
            <w:tcBorders>
              <w:top w:val="nil"/>
              <w:bottom w:val="nil"/>
            </w:tcBorders>
          </w:tcPr>
          <w:p>
            <w:pPr>
              <w:pStyle w:val="nTable"/>
              <w:spacing w:after="40"/>
              <w:rPr>
                <w:bCs/>
                <w:snapToGrid w:val="0"/>
                <w:spacing w:val="-2"/>
              </w:rPr>
            </w:pPr>
            <w:r>
              <w:t>r. 1 and 2: 9 Apr 2019 (see r. 2(a));</w:t>
            </w:r>
            <w:r>
              <w:br/>
              <w:t>Regulations other than r. 1 and 2: 1 May 2019 (see r. 2(b))</w:t>
            </w:r>
          </w:p>
        </w:tc>
      </w:tr>
      <w:tr>
        <w:tc>
          <w:tcPr>
            <w:tcW w:w="3119" w:type="dxa"/>
            <w:tcBorders>
              <w:top w:val="nil"/>
              <w:bottom w:val="nil"/>
            </w:tcBorders>
          </w:tcPr>
          <w:p>
            <w:pPr>
              <w:pStyle w:val="nTable"/>
              <w:spacing w:after="40"/>
              <w:rPr>
                <w:i/>
                <w:noProof/>
              </w:rPr>
            </w:pPr>
            <w:r>
              <w:rPr>
                <w:i/>
              </w:rPr>
              <w:t xml:space="preserve">Commerce Regulations Amendment (Fees and Charges) Regulations 2019 </w:t>
            </w:r>
            <w:r>
              <w:t>Pt. 15</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c>
          <w:tcPr>
            <w:tcW w:w="3119" w:type="dxa"/>
            <w:tcBorders>
              <w:top w:val="nil"/>
              <w:bottom w:val="nil"/>
            </w:tcBorders>
          </w:tcPr>
          <w:p>
            <w:pPr>
              <w:pStyle w:val="nTable"/>
              <w:spacing w:after="40"/>
              <w:rPr>
                <w:i/>
              </w:rPr>
            </w:pPr>
            <w:r>
              <w:rPr>
                <w:i/>
              </w:rPr>
              <w:t>Plumbers Licensing and Plumbing Standards Amendment Regulations (No. 3) 2019</w:t>
            </w:r>
          </w:p>
        </w:tc>
        <w:tc>
          <w:tcPr>
            <w:tcW w:w="1276" w:type="dxa"/>
            <w:tcBorders>
              <w:top w:val="nil"/>
              <w:bottom w:val="nil"/>
            </w:tcBorders>
          </w:tcPr>
          <w:p>
            <w:pPr>
              <w:pStyle w:val="nTable"/>
              <w:spacing w:after="40"/>
            </w:pPr>
            <w:r>
              <w:t>18 Oct 2019 p. 3674-8</w:t>
            </w:r>
          </w:p>
        </w:tc>
        <w:tc>
          <w:tcPr>
            <w:tcW w:w="2693" w:type="dxa"/>
            <w:tcBorders>
              <w:top w:val="nil"/>
              <w:bottom w:val="nil"/>
            </w:tcBorders>
          </w:tcPr>
          <w:p>
            <w:pPr>
              <w:pStyle w:val="nTable"/>
              <w:spacing w:after="40"/>
            </w:pPr>
            <w:r>
              <w:t>r. 1 and 2: 18 Oct 2019 (see r. 2(a));</w:t>
            </w:r>
            <w:r>
              <w:br/>
              <w:t>Regulations other than r. 1 and 2: 1 Jan 2020 (see r. 2(b))</w:t>
            </w:r>
          </w:p>
        </w:tc>
      </w:tr>
      <w:tr>
        <w:tc>
          <w:tcPr>
            <w:tcW w:w="3119" w:type="dxa"/>
            <w:tcBorders>
              <w:top w:val="nil"/>
              <w:bottom w:val="nil"/>
            </w:tcBorders>
          </w:tcPr>
          <w:p>
            <w:pPr>
              <w:pStyle w:val="nTable"/>
              <w:spacing w:after="40"/>
              <w:rPr>
                <w:i/>
              </w:rPr>
            </w:pPr>
            <w:r>
              <w:rPr>
                <w:i/>
              </w:rPr>
              <w:t>Plumbers Licensing and Plumbing Standards Amendment Regulations 2020</w:t>
            </w:r>
          </w:p>
        </w:tc>
        <w:tc>
          <w:tcPr>
            <w:tcW w:w="1276" w:type="dxa"/>
            <w:tcBorders>
              <w:top w:val="nil"/>
              <w:bottom w:val="nil"/>
            </w:tcBorders>
          </w:tcPr>
          <w:p>
            <w:pPr>
              <w:pStyle w:val="nTable"/>
              <w:spacing w:after="40"/>
            </w:pPr>
            <w:r>
              <w:t>SL 2020/132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9" w:type="dxa"/>
            <w:tcBorders>
              <w:top w:val="nil"/>
              <w:bottom w:val="nil"/>
            </w:tcBorders>
          </w:tcPr>
          <w:p>
            <w:pPr>
              <w:pStyle w:val="nTable"/>
              <w:spacing w:after="40"/>
              <w:rPr>
                <w:i/>
              </w:rPr>
            </w:pPr>
            <w:r>
              <w:rPr>
                <w:i/>
              </w:rPr>
              <w:t>Commerce Regulations Amendment (COVID</w:t>
            </w:r>
            <w:r>
              <w:rPr>
                <w:i/>
              </w:rPr>
              <w:noBreakHyphen/>
              <w:t xml:space="preserve">19 Response) Regulations (No. 2) 2020 </w:t>
            </w:r>
            <w:r>
              <w:t>Pt. 15</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9" w:type="dxa"/>
            <w:tcBorders>
              <w:top w:val="nil"/>
              <w:bottom w:val="nil"/>
            </w:tcBorders>
          </w:tcPr>
          <w:p>
            <w:pPr>
              <w:pStyle w:val="nTable"/>
              <w:spacing w:after="40"/>
              <w:rPr>
                <w:i/>
              </w:rPr>
            </w:pPr>
            <w:r>
              <w:rPr>
                <w:i/>
              </w:rPr>
              <w:t>Plumbers Licensing and Plumbing Standards Amendment Regulations (No. 3) 2021</w:t>
            </w:r>
          </w:p>
        </w:tc>
        <w:tc>
          <w:tcPr>
            <w:tcW w:w="1276" w:type="dxa"/>
            <w:tcBorders>
              <w:top w:val="nil"/>
              <w:bottom w:val="nil"/>
            </w:tcBorders>
          </w:tcPr>
          <w:p>
            <w:pPr>
              <w:pStyle w:val="nTable"/>
              <w:spacing w:after="40"/>
            </w:pPr>
            <w:r>
              <w:t>SL 2021/89</w:t>
            </w:r>
            <w:r>
              <w:br/>
              <w:t>18 Jun 2021</w:t>
            </w:r>
          </w:p>
        </w:tc>
        <w:tc>
          <w:tcPr>
            <w:tcW w:w="2693" w:type="dxa"/>
            <w:tcBorders>
              <w:top w:val="nil"/>
              <w:bottom w:val="nil"/>
            </w:tcBorders>
          </w:tcPr>
          <w:p>
            <w:pPr>
              <w:pStyle w:val="nTable"/>
              <w:spacing w:after="40"/>
            </w:pPr>
            <w:r>
              <w:t>r. 1 and 2: 18 Jun 2021 (see r. 2(a));</w:t>
            </w:r>
            <w:r>
              <w:br/>
              <w:t>Regulations other than r. 1 and 2: 19 Jun 2021 (see r. 2(b))</w:t>
            </w:r>
          </w:p>
        </w:tc>
      </w:tr>
      <w:tr>
        <w:tc>
          <w:tcPr>
            <w:tcW w:w="3119" w:type="dxa"/>
            <w:tcBorders>
              <w:top w:val="nil"/>
              <w:bottom w:val="nil"/>
            </w:tcBorders>
          </w:tcPr>
          <w:p>
            <w:pPr>
              <w:pStyle w:val="nTable"/>
              <w:spacing w:after="40"/>
              <w:rPr>
                <w:i/>
              </w:rPr>
            </w:pPr>
            <w:r>
              <w:rPr>
                <w:i/>
              </w:rPr>
              <w:t xml:space="preserve">Commerce Regulations Amendment (Community Titles) Regulations 2021 </w:t>
            </w:r>
            <w:r>
              <w:t>Pt. 4</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r>
        <w:tc>
          <w:tcPr>
            <w:tcW w:w="3119" w:type="dxa"/>
            <w:tcBorders>
              <w:top w:val="nil"/>
              <w:bottom w:val="single" w:sz="4" w:space="0" w:color="auto"/>
            </w:tcBorders>
          </w:tcPr>
          <w:p>
            <w:pPr>
              <w:pStyle w:val="nTable"/>
              <w:spacing w:after="40"/>
              <w:rPr>
                <w:i/>
              </w:rPr>
            </w:pPr>
            <w:r>
              <w:rPr>
                <w:i/>
              </w:rPr>
              <w:t>Commerce Regulations Amendment (Fees and Charges) Regulations 2021</w:t>
            </w:r>
            <w:r>
              <w:t xml:space="preserve"> Pt. 17</w:t>
            </w:r>
          </w:p>
        </w:tc>
        <w:tc>
          <w:tcPr>
            <w:tcW w:w="1276" w:type="dxa"/>
            <w:tcBorders>
              <w:top w:val="nil"/>
              <w:bottom w:val="single" w:sz="4" w:space="0" w:color="auto"/>
            </w:tcBorders>
          </w:tcPr>
          <w:p>
            <w:pPr>
              <w:pStyle w:val="nTable"/>
              <w:spacing w:after="40"/>
            </w:pPr>
            <w:r>
              <w:t>SL 2021/86 21 Jun 2021</w:t>
            </w:r>
          </w:p>
        </w:tc>
        <w:tc>
          <w:tcPr>
            <w:tcW w:w="2693" w:type="dxa"/>
            <w:tcBorders>
              <w:top w:val="nil"/>
              <w:bottom w:val="single" w:sz="4" w:space="0" w:color="auto"/>
            </w:tcBorders>
          </w:tcPr>
          <w:p>
            <w:pPr>
              <w:pStyle w:val="nTable"/>
              <w:spacing w:after="40"/>
            </w:pPr>
            <w:r>
              <w:t>1 Jul 2021 (see r. 2(b))</w:t>
            </w:r>
          </w:p>
        </w:tc>
      </w:tr>
    </w:tbl>
    <w:p>
      <w:pPr>
        <w:pStyle w:val="nHeading3"/>
        <w:rPr>
          <w:ins w:id="390" w:author="Master Repository Process" w:date="2022-03-11T12:55:00Z"/>
        </w:rPr>
      </w:pPr>
      <w:bookmarkStart w:id="391" w:name="_Toc97633284"/>
      <w:ins w:id="392" w:author="Master Repository Process" w:date="2022-03-11T12:55:00Z">
        <w:r>
          <w:t>Uncommenced provisions table</w:t>
        </w:r>
        <w:bookmarkEnd w:id="391"/>
      </w:ins>
    </w:p>
    <w:p>
      <w:pPr>
        <w:pStyle w:val="nStatement"/>
        <w:keepNext/>
        <w:spacing w:after="240"/>
        <w:rPr>
          <w:ins w:id="393" w:author="Master Repository Process" w:date="2022-03-11T12:55:00Z"/>
        </w:rPr>
      </w:pPr>
      <w:ins w:id="394" w:author="Master Repository Process" w:date="2022-03-11T12:55: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95" w:author="Master Repository Process" w:date="2022-03-11T12:55:00Z"/>
        </w:trPr>
        <w:tc>
          <w:tcPr>
            <w:tcW w:w="3118" w:type="dxa"/>
          </w:tcPr>
          <w:p>
            <w:pPr>
              <w:pStyle w:val="nTable"/>
              <w:spacing w:after="40"/>
              <w:rPr>
                <w:ins w:id="396" w:author="Master Repository Process" w:date="2022-03-11T12:55:00Z"/>
                <w:b/>
              </w:rPr>
            </w:pPr>
            <w:ins w:id="397" w:author="Master Repository Process" w:date="2022-03-11T12:55:00Z">
              <w:r>
                <w:rPr>
                  <w:b/>
                </w:rPr>
                <w:t>Citation</w:t>
              </w:r>
            </w:ins>
          </w:p>
        </w:tc>
        <w:tc>
          <w:tcPr>
            <w:tcW w:w="1276" w:type="dxa"/>
          </w:tcPr>
          <w:p>
            <w:pPr>
              <w:pStyle w:val="nTable"/>
              <w:spacing w:after="40"/>
              <w:rPr>
                <w:ins w:id="398" w:author="Master Repository Process" w:date="2022-03-11T12:55:00Z"/>
                <w:b/>
              </w:rPr>
            </w:pPr>
            <w:ins w:id="399" w:author="Master Repository Process" w:date="2022-03-11T12:55:00Z">
              <w:r>
                <w:rPr>
                  <w:b/>
                </w:rPr>
                <w:t>Published</w:t>
              </w:r>
            </w:ins>
          </w:p>
        </w:tc>
        <w:tc>
          <w:tcPr>
            <w:tcW w:w="2693" w:type="dxa"/>
          </w:tcPr>
          <w:p>
            <w:pPr>
              <w:pStyle w:val="nTable"/>
              <w:spacing w:after="40"/>
              <w:rPr>
                <w:ins w:id="400" w:author="Master Repository Process" w:date="2022-03-11T12:55:00Z"/>
                <w:b/>
              </w:rPr>
            </w:pPr>
            <w:ins w:id="401" w:author="Master Repository Process" w:date="2022-03-11T12:55:00Z">
              <w:r>
                <w:rPr>
                  <w:b/>
                </w:rPr>
                <w:t>Commencement</w:t>
              </w:r>
            </w:ins>
          </w:p>
        </w:tc>
      </w:tr>
      <w:tr>
        <w:trPr>
          <w:ins w:id="402" w:author="Master Repository Process" w:date="2022-03-11T12:55:00Z"/>
        </w:trPr>
        <w:tc>
          <w:tcPr>
            <w:tcW w:w="3118" w:type="dxa"/>
          </w:tcPr>
          <w:p>
            <w:pPr>
              <w:pStyle w:val="nTable"/>
              <w:spacing w:after="40"/>
              <w:rPr>
                <w:ins w:id="403" w:author="Master Repository Process" w:date="2022-03-11T12:55:00Z"/>
              </w:rPr>
            </w:pPr>
            <w:ins w:id="404" w:author="Master Repository Process" w:date="2022-03-11T12:55:00Z">
              <w:r>
                <w:rPr>
                  <w:i/>
                </w:rPr>
                <w:t>Commerce Regulations Amendment (Work Health and Safety) Regulations 2022</w:t>
              </w:r>
              <w:r>
                <w:t xml:space="preserve"> Pt. 4</w:t>
              </w:r>
            </w:ins>
          </w:p>
        </w:tc>
        <w:tc>
          <w:tcPr>
            <w:tcW w:w="1276" w:type="dxa"/>
          </w:tcPr>
          <w:p>
            <w:pPr>
              <w:pStyle w:val="nTable"/>
              <w:spacing w:after="40"/>
              <w:rPr>
                <w:ins w:id="405" w:author="Master Repository Process" w:date="2022-03-11T12:55:00Z"/>
              </w:rPr>
            </w:pPr>
            <w:ins w:id="406" w:author="Master Repository Process" w:date="2022-03-11T12:55:00Z">
              <w:r>
                <w:t>SL 2022/26 11 Mar 2022</w:t>
              </w:r>
            </w:ins>
          </w:p>
        </w:tc>
        <w:tc>
          <w:tcPr>
            <w:tcW w:w="2693" w:type="dxa"/>
          </w:tcPr>
          <w:p>
            <w:pPr>
              <w:pStyle w:val="nTable"/>
              <w:spacing w:after="40"/>
              <w:rPr>
                <w:ins w:id="407" w:author="Master Repository Process" w:date="2022-03-11T12:55:00Z"/>
              </w:rPr>
            </w:pPr>
            <w:ins w:id="408" w:author="Master Repository Process" w:date="2022-03-11T12:55:00Z">
              <w:r>
                <w:t>31 Mar 2022 (see r. 2(b) and SL 2022/18 cl. 2)</w:t>
              </w:r>
            </w:ins>
          </w:p>
        </w:tc>
      </w:tr>
    </w:tbl>
    <w:p>
      <w:pPr>
        <w:pStyle w:val="nHeading3"/>
      </w:pPr>
      <w:bookmarkStart w:id="409" w:name="_Toc97633285"/>
      <w:bookmarkStart w:id="410" w:name="_Toc97016516"/>
      <w:r>
        <w:t>Other notes</w:t>
      </w:r>
      <w:bookmarkEnd w:id="409"/>
      <w:bookmarkEnd w:id="410"/>
    </w:p>
    <w:p>
      <w:pPr>
        <w:pStyle w:val="nNote"/>
        <w:spacing w:before="160"/>
      </w:pPr>
      <w:r>
        <w:rPr>
          <w:vertAlign w:val="superscript"/>
        </w:rPr>
        <w:t>1</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Note"/>
        <w:rPr>
          <w:iCs/>
          <w:snapToGrid w:val="0"/>
        </w:rPr>
      </w:pPr>
      <w:r>
        <w:rPr>
          <w:vertAlign w:val="superscript"/>
        </w:rPr>
        <w:t>2</w:t>
      </w:r>
      <w:r>
        <w:tab/>
        <w:t xml:space="preserve">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r>
        <w:t xml:space="preserve"> (see </w:t>
      </w:r>
      <w:r>
        <w:rPr>
          <w:i/>
        </w:rPr>
        <w:t>Gazette</w:t>
      </w:r>
      <w:r>
        <w:t xml:space="preserve"> 28 June 2004 p. 2397-463). Now known as the </w:t>
      </w:r>
      <w:r>
        <w:rPr>
          <w:i/>
        </w:rPr>
        <w:t>Plumbers Licensing and Plumbing Standards Regulations 2000</w:t>
      </w:r>
      <w:r>
        <w:t xml:space="preserve"> (see note under r. 1)</w:t>
      </w:r>
      <w:r>
        <w:rPr>
          <w:i/>
        </w:rPr>
        <w:t>.</w:t>
      </w:r>
    </w:p>
    <w:p>
      <w:pPr>
        <w:pStyle w:val="nNote"/>
      </w:pPr>
      <w:r>
        <w:rPr>
          <w:vertAlign w:val="superscript"/>
        </w:rPr>
        <w:t>3</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keepNext/>
        <w:keepLines/>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Compliance fees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Licence or permit requirements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rPr>
        <w:jc w:val="center"/>
      </w:trPr>
      <w:tc>
        <w:tcPr>
          <w:tcW w:w="7258" w:type="dxa"/>
          <w:gridSpan w:val="2"/>
        </w:tcPr>
        <w:p>
          <w:pPr>
            <w:pStyle w:val="Header"/>
            <w:spacing w:before="40"/>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Licence or permit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11" w:name="Compilation"/>
    <w:bookmarkEnd w:id="41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2" w:name="Coversheet"/>
    <w:bookmarkEnd w:id="4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324" w:name="Schedule"/>
    <w:bookmarkEnd w:id="32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Compliance fees</w: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8114811"/>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 w:name="WAFER_20170921134114" w:val="RemoveTocBookmarks,RemoveUnusedBookmarks,RemoveLanguageTags,UsedStyles,ResetPageSize,RemoveCustomizations"/>
    <w:docVar w:name="WAFER_20170921134114_GUID" w:val="c0c0c88f-c420-4118-8160-e5d1b17c33f6"/>
    <w:docVar w:name="WAFER_20190408102619" w:val="RemoveTocBookmarks,RemoveUnusedBookmarks,RemoveLanguageTags,ResetPageSize,RunningHeaders,UpdateStyles,UsedStyles"/>
    <w:docVar w:name="WAFER_20190408102619_GUID" w:val="66d446a6-3b49-42ff-884b-d095f38a598b"/>
    <w:docVar w:name="WAFER_20190618102704" w:val="RemoveTocBookmarks,RemoveUnusedBookmarks,RemoveLanguageTags,ResetPageSize,RunningHeaders,UpdateStyles,UsedStyles"/>
    <w:docVar w:name="WAFER_20190618102704_GUID" w:val="7c62afca-04ee-418d-8593-7b521f9f761a"/>
    <w:docVar w:name="WAFER_20190619150720" w:val="RemoveTocBookmarks,RemoveUnusedBookmarks,RemoveLanguageTags,ResetPageSize,RunningHeaders,UpdateStyles,UsedStyles"/>
    <w:docVar w:name="WAFER_20190619150720_GUID" w:val="522d4b40-6093-4b23-8c96-f01adcce162d"/>
    <w:docVar w:name="WAFER_20190619152013" w:val="RemoveTocBookmarks,RemoveUnusedBookmarks,RemoveLanguageTags,ResetPageSize,RunningHeaders,UpdateStyles,UsedStyles"/>
    <w:docVar w:name="WAFER_20190619152013_GUID" w:val="25a36bb1-f379-4c76-8c0a-930984c2fc99"/>
    <w:docVar w:name="WAFER_20191017114035" w:val="RemoveTocBookmarks,RemoveUnusedBookmarks,RemoveLanguageTags,ResetPageSize,RunningHeaders,UpdateStyles,UsedStyles"/>
    <w:docVar w:name="WAFER_20191017114035_GUID" w:val="e2c8e025-d51a-4b6c-99f3-020374a73ad8"/>
    <w:docVar w:name="WAFER_20191202165054" w:val="RemoveTocBookmarks,RemoveUnusedBookmarks,RemoveLanguageTags,ResetPageSize,RunningHeaders,UpdateStyles,UsedStyles"/>
    <w:docVar w:name="WAFER_20191202165054_GUID" w:val="5d0bc3b8-fe3b-4c4b-992f-ab6a20297ce1"/>
    <w:docVar w:name="WAFER_202002110942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57_GUID" w:val="010d0234-9204-44da-8978-1d0a2529447c"/>
    <w:docVar w:name="WAFER_202008131417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1710_GUID" w:val="14f5d1d6-0fe4-4af1-974c-75aeef245554"/>
    <w:docVar w:name="WAFER_20201022084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084027_GUID" w:val="07c5363e-e2fb-40cb-abb7-ddefc0f1d028"/>
    <w:docVar w:name="WAFER_20210615105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5315_GUID" w:val="6648d5b4-888f-49e2-a76e-18cfd943d18d"/>
    <w:docVar w:name="WAFER_20210621152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52307_GUID" w:val="36714cc9-e30c-46d0-9ca1-0b05d7a21021"/>
    <w:docVar w:name="WAFER_20210624093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858_GUID" w:val="fe68c331-1798-4632-b52c-3f3f40a24ffe"/>
    <w:docVar w:name="WAFER_20220301083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1083520_GUID" w:val="1ed3d10a-851d-4a3b-9d4b-d59f7760b658"/>
    <w:docVar w:name="WAFER_202203081148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4811_GUID" w:val="bb8c382d-435e-4cef-850b-fcb5ede27b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268130B-06E6-4AB3-8F21-9CD2BDC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36743">
      <w:bodyDiv w:val="1"/>
      <w:marLeft w:val="0"/>
      <w:marRight w:val="0"/>
      <w:marTop w:val="0"/>
      <w:marBottom w:val="0"/>
      <w:divBdr>
        <w:top w:val="none" w:sz="0" w:space="0" w:color="auto"/>
        <w:left w:val="none" w:sz="0" w:space="0" w:color="auto"/>
        <w:bottom w:val="none" w:sz="0" w:space="0" w:color="auto"/>
        <w:right w:val="none" w:sz="0" w:space="0" w:color="auto"/>
      </w:divBdr>
    </w:div>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E1536-528C-4330-8FEF-71970102C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25729</Words>
  <Characters>125816</Characters>
  <Application>Microsoft Office Word</Application>
  <DocSecurity>0</DocSecurity>
  <Lines>3700</Lines>
  <Paragraphs>2104</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149441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05-n0-01 - 05-o0-00</dc:title>
  <dc:subject/>
  <dc:creator/>
  <cp:keywords/>
  <dc:description/>
  <cp:lastModifiedBy>Master Repository Process</cp:lastModifiedBy>
  <cp:revision>2</cp:revision>
  <cp:lastPrinted>2019-12-03T07:40:00Z</cp:lastPrinted>
  <dcterms:created xsi:type="dcterms:W3CDTF">2022-03-11T04:54:00Z</dcterms:created>
  <dcterms:modified xsi:type="dcterms:W3CDTF">2022-03-11T04:55:00Z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edAsAt">
    <vt:filetime>2017-11-23T16:00:00Z</vt:filetime>
  </property>
  <property fmtid="{D5CDD505-2E9C-101B-9397-08002B2CF9AE}" pid="6" name="ReprintNo">
    <vt:lpwstr>5</vt:lpwstr>
  </property>
  <property fmtid="{D5CDD505-2E9C-101B-9397-08002B2CF9AE}" pid="7" name="CommencementDate">
    <vt:lpwstr>20220311</vt:lpwstr>
  </property>
  <property fmtid="{D5CDD505-2E9C-101B-9397-08002B2CF9AE}" pid="8" name="FromSuffix">
    <vt:lpwstr>05-n0-01</vt:lpwstr>
  </property>
  <property fmtid="{D5CDD505-2E9C-101B-9397-08002B2CF9AE}" pid="9" name="FromAsAtDate">
    <vt:lpwstr>01 Jul 2021</vt:lpwstr>
  </property>
  <property fmtid="{D5CDD505-2E9C-101B-9397-08002B2CF9AE}" pid="10" name="ToSuffix">
    <vt:lpwstr>05-o0-00</vt:lpwstr>
  </property>
  <property fmtid="{D5CDD505-2E9C-101B-9397-08002B2CF9AE}" pid="11" name="ToAsAtDate">
    <vt:lpwstr>11 Mar 2022</vt:lpwstr>
  </property>
</Properties>
</file>