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Mar 2022</w:t>
      </w:r>
      <w:r>
        <w:fldChar w:fldCharType="end"/>
      </w:r>
      <w:r>
        <w:t xml:space="preserve">, </w:t>
      </w:r>
      <w:r>
        <w:fldChar w:fldCharType="begin"/>
      </w:r>
      <w:r>
        <w:instrText xml:space="preserve"> DocProperty FromSuffix </w:instrText>
      </w:r>
      <w:r>
        <w:fldChar w:fldCharType="separate"/>
      </w:r>
      <w:r>
        <w:t>04-o0-01</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04-p0-02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1" w:name="_Toc98427222"/>
      <w:bookmarkStart w:id="2" w:name="_Toc98489276"/>
      <w:bookmarkStart w:id="3" w:name="_Toc98494065"/>
      <w:bookmarkStart w:id="4" w:name="_Toc97636266"/>
      <w:bookmarkStart w:id="5" w:name="_Toc97636954"/>
      <w:bookmarkStart w:id="6" w:name="_Toc9763851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98494066"/>
      <w:bookmarkStart w:id="9" w:name="_Toc97638520"/>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10" w:name="_Toc98494067"/>
      <w:bookmarkStart w:id="11" w:name="_Toc97638521"/>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12" w:name="_Toc98494068"/>
      <w:bookmarkStart w:id="13" w:name="_Toc97638522"/>
      <w:r>
        <w:rPr>
          <w:rStyle w:val="CharSectno"/>
        </w:rPr>
        <w:t>3</w:t>
      </w:r>
      <w:r>
        <w:t>.</w:t>
      </w:r>
      <w:r>
        <w:tab/>
        <w:t>Terms used</w:t>
      </w:r>
      <w:bookmarkEnd w:id="12"/>
      <w:bookmarkEnd w:id="13"/>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or a Class 10a building or deck associated with a Class 2 or Class 3 building — the Building Code Volume One performance requirement GP5.1; and</w:t>
      </w:r>
    </w:p>
    <w:p>
      <w:pPr>
        <w:pStyle w:val="Defpara"/>
      </w:pPr>
      <w:r>
        <w:tab/>
        <w:t>(b)</w:t>
      </w:r>
      <w:r>
        <w:tab/>
        <w:t>in relation to a Class 1 building or a Class 10a building or deck associated with a Class 1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 SL 2021/42 r. 4.]</w:t>
      </w:r>
    </w:p>
    <w:p>
      <w:pPr>
        <w:pStyle w:val="Heading5"/>
      </w:pPr>
      <w:bookmarkStart w:id="14" w:name="_Toc98494069"/>
      <w:bookmarkStart w:id="15" w:name="_Toc97638523"/>
      <w:r>
        <w:rPr>
          <w:rStyle w:val="CharSectno"/>
        </w:rPr>
        <w:t>3A</w:t>
      </w:r>
      <w:r>
        <w:t>.</w:t>
      </w:r>
      <w:r>
        <w:tab/>
        <w:t xml:space="preserve">Transitional provision relating to </w:t>
      </w:r>
      <w:r>
        <w:rPr>
          <w:i/>
        </w:rPr>
        <w:t>Building Amendment Regulations 2019</w:t>
      </w:r>
      <w:r>
        <w:t xml:space="preserve"> Part 3</w:t>
      </w:r>
      <w:bookmarkEnd w:id="14"/>
      <w:bookmarkEnd w:id="15"/>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16" w:name="_Toc98427227"/>
      <w:bookmarkStart w:id="17" w:name="_Toc98489281"/>
      <w:bookmarkStart w:id="18" w:name="_Toc98494070"/>
      <w:bookmarkStart w:id="19" w:name="_Toc97636271"/>
      <w:bookmarkStart w:id="20" w:name="_Toc97636959"/>
      <w:bookmarkStart w:id="21" w:name="_Toc97638524"/>
      <w:r>
        <w:rPr>
          <w:rStyle w:val="CharPartNo"/>
        </w:rPr>
        <w:t>Part 2</w:t>
      </w:r>
      <w:r>
        <w:rPr>
          <w:rStyle w:val="CharDivNo"/>
        </w:rPr>
        <w:t> </w:t>
      </w:r>
      <w:r>
        <w:t>—</w:t>
      </w:r>
      <w:r>
        <w:rPr>
          <w:rStyle w:val="CharDivText"/>
        </w:rPr>
        <w:t> </w:t>
      </w:r>
      <w:r>
        <w:rPr>
          <w:rStyle w:val="CharPartText"/>
        </w:rPr>
        <w:t>General matters</w:t>
      </w:r>
      <w:bookmarkEnd w:id="16"/>
      <w:bookmarkEnd w:id="17"/>
      <w:bookmarkEnd w:id="18"/>
      <w:bookmarkEnd w:id="19"/>
      <w:bookmarkEnd w:id="20"/>
      <w:bookmarkEnd w:id="21"/>
    </w:p>
    <w:p>
      <w:pPr>
        <w:pStyle w:val="Heading5"/>
      </w:pPr>
      <w:bookmarkStart w:id="22" w:name="_Toc98494071"/>
      <w:bookmarkStart w:id="23" w:name="_Toc97638525"/>
      <w:r>
        <w:rPr>
          <w:rStyle w:val="CharSectno"/>
        </w:rPr>
        <w:t>4</w:t>
      </w:r>
      <w:r>
        <w:t>.</w:t>
      </w:r>
      <w:r>
        <w:tab/>
        <w:t>Approval of manner or form of things (s. 3)</w:t>
      </w:r>
      <w:bookmarkEnd w:id="22"/>
      <w:bookmarkEnd w:id="23"/>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24" w:name="_Toc98494072"/>
      <w:bookmarkStart w:id="25" w:name="_Toc97638526"/>
      <w:r>
        <w:rPr>
          <w:rStyle w:val="CharSectno"/>
        </w:rPr>
        <w:t>5A</w:t>
      </w:r>
      <w:r>
        <w:t>.</w:t>
      </w:r>
      <w:r>
        <w:tab/>
        <w:t>Authorised persons (s. 3)</w:t>
      </w:r>
      <w:bookmarkEnd w:id="24"/>
      <w:bookmarkEnd w:id="25"/>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26" w:name="_Toc98494073"/>
      <w:bookmarkStart w:id="27" w:name="_Toc97638527"/>
      <w:r>
        <w:rPr>
          <w:rStyle w:val="CharSectno"/>
        </w:rPr>
        <w:t>5</w:t>
      </w:r>
      <w:r>
        <w:t>.</w:t>
      </w:r>
      <w:r>
        <w:tab/>
        <w:t>Building surveyors (s. 3)</w:t>
      </w:r>
      <w:bookmarkEnd w:id="26"/>
      <w:bookmarkEnd w:id="27"/>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pageBreakBefore/>
        <w:spacing w:before="0"/>
      </w:pPr>
      <w:bookmarkStart w:id="28" w:name="_Toc98494074"/>
      <w:bookmarkStart w:id="29" w:name="_Toc97638528"/>
      <w:r>
        <w:rPr>
          <w:rStyle w:val="CharSectno"/>
        </w:rPr>
        <w:t>6A</w:t>
      </w:r>
      <w:r>
        <w:t>.</w:t>
      </w:r>
      <w:r>
        <w:tab/>
        <w:t>Building work (s. 3)</w:t>
      </w:r>
      <w:bookmarkEnd w:id="28"/>
      <w:bookmarkEnd w:id="29"/>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30" w:name="_Toc98494075"/>
      <w:bookmarkStart w:id="31" w:name="_Toc97638529"/>
      <w:r>
        <w:rPr>
          <w:rStyle w:val="CharSectno"/>
        </w:rPr>
        <w:t>6</w:t>
      </w:r>
      <w:r>
        <w:t>.</w:t>
      </w:r>
      <w:r>
        <w:tab/>
        <w:t>Classification of buildings and incidental structures (s. 3)</w:t>
      </w:r>
      <w:bookmarkEnd w:id="30"/>
      <w:bookmarkEnd w:id="31"/>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32" w:name="_Toc98494076"/>
      <w:bookmarkStart w:id="33" w:name="_Toc97638530"/>
      <w:r>
        <w:rPr>
          <w:rStyle w:val="CharSectno"/>
        </w:rPr>
        <w:t>10</w:t>
      </w:r>
      <w:r>
        <w:t>.</w:t>
      </w:r>
      <w:r>
        <w:tab/>
        <w:t>Owners of land (s. 5(1))</w:t>
      </w:r>
      <w:bookmarkEnd w:id="32"/>
      <w:bookmarkEnd w:id="33"/>
    </w:p>
    <w:p>
      <w:pPr>
        <w:pStyle w:val="Subsection"/>
      </w:pPr>
      <w:r>
        <w:tab/>
        <w:t>(1A)</w:t>
      </w:r>
      <w:r>
        <w:tab/>
        <w:t xml:space="preserve">In this regulation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management body</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tab/>
      </w:r>
      <w:r>
        <w:rPr>
          <w:rStyle w:val="CharDefText"/>
        </w:rPr>
        <w:t>strata leasehold estate</w:t>
      </w:r>
      <w:r>
        <w:t xml:space="preserve"> has the meaning given in the </w:t>
      </w:r>
      <w:r>
        <w:rPr>
          <w:i/>
        </w:rPr>
        <w:t>Strata Titles Act 1985</w:t>
      </w:r>
      <w:r>
        <w:t xml:space="preserve"> section 3(1).</w:t>
      </w:r>
    </w:p>
    <w:p>
      <w:pPr>
        <w:pStyle w:val="Subsection"/>
      </w:pPr>
      <w:r>
        <w:tab/>
        <w:t>(1)</w:t>
      </w:r>
      <w:r>
        <w:tab/>
        <w:t xml:space="preserve">For the purposes of paragraph (c) of the definition of </w:t>
      </w:r>
      <w:r>
        <w:rPr>
          <w:b/>
          <w:i/>
        </w:rPr>
        <w:t>owner</w:t>
      </w:r>
      <w:r>
        <w:t xml:space="preserve">, in relation to land held in freehold </w:t>
      </w:r>
      <w:r>
        <w:rPr>
          <w:rFonts w:hint="eastAsia"/>
        </w:rPr>
        <w:t>or held in leasehold under a strata lease</w:t>
      </w:r>
      <w:r>
        <w:t xml:space="preserve"> in section 5(1) the following interests are prescribed — </w:t>
      </w:r>
    </w:p>
    <w:p>
      <w:pPr>
        <w:pStyle w:val="Indenta"/>
      </w:pPr>
      <w:r>
        <w:tab/>
        <w:t>(a)</w:t>
      </w:r>
      <w:r>
        <w:tab/>
        <w:t>a leasehold interest in the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 or a strata leasehold estate in the land under a strata lease;</w:t>
      </w:r>
    </w:p>
    <w:p>
      <w:pPr>
        <w:pStyle w:val="Indenta"/>
      </w:pPr>
      <w:r>
        <w:tab/>
        <w:t>(c)</w:t>
      </w:r>
      <w:r>
        <w:tab/>
        <w:t xml:space="preserve">a freehold interest in the land or a strata leasehold estate in the land under a strata lease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w:t>
      </w:r>
      <w:r>
        <w:rPr>
          <w:rFonts w:hint="eastAsia"/>
        </w:rPr>
        <w:t>freehold</w:t>
      </w:r>
      <w:r>
        <w:t xml:space="preserve"> </w:t>
      </w:r>
      <w:r>
        <w:rPr>
          <w:rFonts w:hint="eastAsia"/>
        </w:rPr>
        <w:t>or held in leasehold under a strata lease</w:t>
      </w:r>
      <w:r>
        <w:t xml:space="preserve">,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 or a strata leasehold estate in the land under a strata lease.</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 31 Dec 2019 p. 4638</w:t>
      </w:r>
      <w:r>
        <w:noBreakHyphen/>
        <w:t>9.]</w:t>
      </w:r>
    </w:p>
    <w:p>
      <w:pPr>
        <w:pStyle w:val="Heading5"/>
      </w:pPr>
      <w:bookmarkStart w:id="34" w:name="_Toc98494077"/>
      <w:bookmarkStart w:id="35" w:name="_Toc97638531"/>
      <w:r>
        <w:rPr>
          <w:rStyle w:val="CharSectno"/>
        </w:rPr>
        <w:t>11A</w:t>
      </w:r>
      <w:r>
        <w:t>.</w:t>
      </w:r>
      <w:r>
        <w:tab/>
        <w:t>Restriction on circumstances where person treated as owner (s. 5(2))</w:t>
      </w:r>
      <w:bookmarkEnd w:id="34"/>
      <w:bookmarkEnd w:id="35"/>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36" w:name="_Toc98494078"/>
      <w:bookmarkStart w:id="37" w:name="_Toc97638532"/>
      <w:r>
        <w:rPr>
          <w:rStyle w:val="CharSectno"/>
        </w:rPr>
        <w:t>11</w:t>
      </w:r>
      <w:r>
        <w:t>.</w:t>
      </w:r>
      <w:r>
        <w:tab/>
        <w:t>Fees</w:t>
      </w:r>
      <w:bookmarkEnd w:id="36"/>
      <w:bookmarkEnd w:id="37"/>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38" w:name="_Toc98494079"/>
      <w:bookmarkStart w:id="39" w:name="_Toc97638533"/>
      <w:r>
        <w:rPr>
          <w:rStyle w:val="CharSectno"/>
        </w:rPr>
        <w:t>12</w:t>
      </w:r>
      <w:r>
        <w:t>.</w:t>
      </w:r>
      <w:r>
        <w:tab/>
        <w:t>Building records to be kept (s. 130)</w:t>
      </w:r>
      <w:bookmarkEnd w:id="38"/>
      <w:bookmarkEnd w:id="39"/>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40" w:name="_Toc98494080"/>
      <w:bookmarkStart w:id="41" w:name="_Toc97638534"/>
      <w:r>
        <w:rPr>
          <w:rStyle w:val="CharSectno"/>
        </w:rPr>
        <w:t>13</w:t>
      </w:r>
      <w:r>
        <w:t>.</w:t>
      </w:r>
      <w:r>
        <w:tab/>
        <w:t>Inspection, copies of building records (s. 131)</w:t>
      </w:r>
      <w:bookmarkEnd w:id="40"/>
      <w:bookmarkEnd w:id="41"/>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42" w:name="_Toc98494081"/>
      <w:bookmarkStart w:id="43" w:name="_Toc97638535"/>
      <w:r>
        <w:rPr>
          <w:rStyle w:val="CharSectno"/>
        </w:rPr>
        <w:t>14</w:t>
      </w:r>
      <w:r>
        <w:t>.</w:t>
      </w:r>
      <w:r>
        <w:tab/>
        <w:t>Provision of information to Building Commissioner (s. 132)</w:t>
      </w:r>
      <w:bookmarkEnd w:id="42"/>
      <w:bookmarkEnd w:id="43"/>
    </w:p>
    <w:p>
      <w:pPr>
        <w:pStyle w:val="Subsection"/>
        <w:keepNext/>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44" w:name="_Toc98494082"/>
      <w:bookmarkStart w:id="45" w:name="_Toc97638536"/>
      <w:r>
        <w:rPr>
          <w:rStyle w:val="CharSectno"/>
        </w:rPr>
        <w:t>14A</w:t>
      </w:r>
      <w:r>
        <w:t>.</w:t>
      </w:r>
      <w:r>
        <w:tab/>
        <w:t>Confidentiality exceptions (s. 146)</w:t>
      </w:r>
      <w:bookmarkEnd w:id="44"/>
      <w:bookmarkEnd w:id="45"/>
    </w:p>
    <w:p>
      <w:pPr>
        <w:pStyle w:val="Subsection"/>
      </w:pPr>
      <w:r>
        <w:tab/>
        <w:t>(1)</w:t>
      </w:r>
      <w:r>
        <w:tab/>
        <w:t xml:space="preserve">In this regulation — </w:t>
      </w:r>
    </w:p>
    <w:p>
      <w:pPr>
        <w:pStyle w:val="Defstart"/>
        <w:rPr>
          <w:del w:id="46" w:author="Master Repository Process" w:date="2022-06-27T14:39:00Z"/>
        </w:rPr>
      </w:pPr>
      <w:del w:id="47" w:author="Master Repository Process" w:date="2022-06-27T14:39:00Z">
        <w:r>
          <w:tab/>
        </w:r>
        <w:r>
          <w:rPr>
            <w:rStyle w:val="CharDefText"/>
          </w:rPr>
          <w:delText>Commissioner</w:delText>
        </w:r>
        <w:r>
          <w:delText xml:space="preserve"> has the meaning given in the </w:delText>
        </w:r>
        <w:r>
          <w:rPr>
            <w:i/>
          </w:rPr>
          <w:delText>Occupational Safety and Health Act 1984</w:delText>
        </w:r>
        <w:r>
          <w:delText xml:space="preserve"> section 3(1);</w:delText>
        </w:r>
      </w:del>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w:t>
      </w:r>
      <w:del w:id="48" w:author="Master Repository Process" w:date="2022-06-27T14:39:00Z">
        <w:r>
          <w:delText> </w:delText>
        </w:r>
      </w:del>
      <w:ins w:id="49" w:author="Master Repository Process" w:date="2022-06-27T14:39:00Z">
        <w:r>
          <w:t xml:space="preserve"> </w:t>
        </w:r>
      </w:ins>
      <w:r>
        <w:t>3</w:t>
      </w:r>
      <w:del w:id="50" w:author="Master Repository Process" w:date="2022-06-27T14:39:00Z">
        <w:r>
          <w:delText>.</w:delText>
        </w:r>
      </w:del>
      <w:ins w:id="51" w:author="Master Repository Process" w:date="2022-06-27T14:39:00Z">
        <w:r>
          <w:t>;</w:t>
        </w:r>
      </w:ins>
    </w:p>
    <w:p>
      <w:pPr>
        <w:pStyle w:val="Defstart"/>
        <w:rPr>
          <w:ins w:id="52" w:author="Master Repository Process" w:date="2022-06-27T14:39:00Z"/>
        </w:rPr>
      </w:pPr>
      <w:ins w:id="53" w:author="Master Repository Process" w:date="2022-06-27T14:39:00Z">
        <w:r>
          <w:tab/>
        </w:r>
        <w:r>
          <w:rPr>
            <w:rStyle w:val="CharDefText"/>
          </w:rPr>
          <w:t>WorkSafe Commissioner</w:t>
        </w:r>
        <w:r>
          <w:t xml:space="preserve"> means the person appointed under the </w:t>
        </w:r>
        <w:r>
          <w:rPr>
            <w:i/>
          </w:rPr>
          <w:t>Work Health and Safety Act 2020</w:t>
        </w:r>
        <w:r>
          <w:t xml:space="preserve"> Schedule 1 Division 1.</w:t>
        </w:r>
      </w:ins>
    </w:p>
    <w:p>
      <w:pPr>
        <w:pStyle w:val="Subsection"/>
      </w:pPr>
      <w:r>
        <w:tab/>
        <w:t>(2)</w:t>
      </w:r>
      <w:r>
        <w:tab/>
        <w:t>This regulation applies for the purposes of section 146(e).</w:t>
      </w:r>
    </w:p>
    <w:p>
      <w:pPr>
        <w:pStyle w:val="Subsection"/>
      </w:pPr>
      <w:r>
        <w:tab/>
        <w:t>(3)</w:t>
      </w:r>
      <w:r>
        <w:tab/>
        <w:t xml:space="preserve">Information obtained from a local government in relation to permits referred to in the </w:t>
      </w:r>
      <w:del w:id="54" w:author="Master Repository Process" w:date="2022-06-27T14:39:00Z">
        <w:r>
          <w:rPr>
            <w:i/>
          </w:rPr>
          <w:delText xml:space="preserve">Occupational </w:delText>
        </w:r>
      </w:del>
      <w:ins w:id="55" w:author="Master Repository Process" w:date="2022-06-27T14:39:00Z">
        <w:r>
          <w:rPr>
            <w:i/>
          </w:rPr>
          <w:t xml:space="preserve">Work Health and </w:t>
        </w:r>
      </w:ins>
      <w:r>
        <w:rPr>
          <w:i/>
        </w:rPr>
        <w:t xml:space="preserve">Safety </w:t>
      </w:r>
      <w:del w:id="56" w:author="Master Repository Process" w:date="2022-06-27T14:39:00Z">
        <w:r>
          <w:rPr>
            <w:i/>
          </w:rPr>
          <w:delText>and Health</w:delText>
        </w:r>
      </w:del>
      <w:ins w:id="57" w:author="Master Repository Process" w:date="2022-06-27T14:39:00Z">
        <w:r>
          <w:rPr>
            <w:i/>
          </w:rPr>
          <w:t>(General)</w:t>
        </w:r>
      </w:ins>
      <w:r>
        <w:rPr>
          <w:i/>
        </w:rPr>
        <w:t xml:space="preserve"> Regulations</w:t>
      </w:r>
      <w:del w:id="58" w:author="Master Repository Process" w:date="2022-06-27T14:39:00Z">
        <w:r>
          <w:rPr>
            <w:i/>
          </w:rPr>
          <w:delText xml:space="preserve"> 1996</w:delText>
        </w:r>
      </w:del>
      <w:ins w:id="59" w:author="Master Repository Process" w:date="2022-06-27T14:39:00Z">
        <w:r>
          <w:rPr>
            <w:i/>
          </w:rPr>
          <w:t> 2022</w:t>
        </w:r>
      </w:ins>
      <w:r>
        <w:t xml:space="preserve"> regulation </w:t>
      </w:r>
      <w:del w:id="60" w:author="Master Repository Process" w:date="2022-06-27T14:39:00Z">
        <w:r>
          <w:delText>2.10</w:delText>
        </w:r>
      </w:del>
      <w:ins w:id="61" w:author="Master Repository Process" w:date="2022-06-27T14:39:00Z">
        <w:r>
          <w:t>315A</w:t>
        </w:r>
      </w:ins>
      <w:r>
        <w:t xml:space="preserve"> may be disclosed to the </w:t>
      </w:r>
      <w:del w:id="62" w:author="Master Repository Process" w:date="2022-06-27T14:39:00Z">
        <w:r>
          <w:delText>Commissioner</w:delText>
        </w:r>
      </w:del>
      <w:ins w:id="63" w:author="Master Repository Process" w:date="2022-06-27T14:39:00Z">
        <w:r>
          <w:t>regulator</w:t>
        </w:r>
      </w:ins>
      <w:r>
        <w:t>.</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w:t>
      </w:r>
      <w:ins w:id="64" w:author="Master Repository Process" w:date="2022-06-27T14:39:00Z">
        <w:r>
          <w:t>; amended: SL 2022/26 r. 4</w:t>
        </w:r>
      </w:ins>
      <w:r>
        <w:t>.]</w:t>
      </w:r>
    </w:p>
    <w:p>
      <w:pPr>
        <w:pStyle w:val="Heading5"/>
      </w:pPr>
      <w:bookmarkStart w:id="65" w:name="_Toc98494083"/>
      <w:bookmarkStart w:id="66" w:name="_Toc97638537"/>
      <w:r>
        <w:rPr>
          <w:rStyle w:val="CharSectno"/>
        </w:rPr>
        <w:t>15A</w:t>
      </w:r>
      <w:r>
        <w:t>.</w:t>
      </w:r>
      <w:r>
        <w:tab/>
        <w:t>Provision of information to FES Commissioner (s. 149)</w:t>
      </w:r>
      <w:bookmarkEnd w:id="65"/>
      <w:bookmarkEnd w:id="66"/>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67" w:name="_Toc98494084"/>
      <w:bookmarkStart w:id="68" w:name="_Toc97638538"/>
      <w:r>
        <w:rPr>
          <w:rStyle w:val="CharSectno"/>
        </w:rPr>
        <w:t>15B</w:t>
      </w:r>
      <w:r>
        <w:t>.</w:t>
      </w:r>
      <w:r>
        <w:tab/>
        <w:t>Modifications to AS 1926.1</w:t>
      </w:r>
      <w:r>
        <w:noBreakHyphen/>
        <w:t>2012 (s. 150)</w:t>
      </w:r>
      <w:bookmarkEnd w:id="67"/>
      <w:bookmarkEnd w:id="68"/>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5"/>
      </w:pPr>
      <w:bookmarkStart w:id="69" w:name="_Toc98494085"/>
      <w:bookmarkStart w:id="70" w:name="_Toc97638539"/>
      <w:r>
        <w:rPr>
          <w:rStyle w:val="CharSectno"/>
        </w:rPr>
        <w:t>15C</w:t>
      </w:r>
      <w:r>
        <w:t>.</w:t>
      </w:r>
      <w:r>
        <w:tab/>
        <w:t>Modifications to Building Code (s. 150)</w:t>
      </w:r>
      <w:bookmarkEnd w:id="69"/>
      <w:bookmarkEnd w:id="70"/>
    </w:p>
    <w:p>
      <w:pPr>
        <w:pStyle w:val="Subsection"/>
      </w:pPr>
      <w:r>
        <w:tab/>
        <w:t>(1)</w:t>
      </w:r>
      <w:r>
        <w:tab/>
        <w:t xml:space="preserve">This regulation modifies the text of the Building Code. </w:t>
      </w:r>
    </w:p>
    <w:p>
      <w:pPr>
        <w:pStyle w:val="Subsection"/>
      </w:pPr>
      <w:r>
        <w:tab/>
        <w:t>(2)</w:t>
      </w:r>
      <w:r>
        <w:tab/>
        <w:t xml:space="preserve">The Building Code Volume One Part J0.2 is modified to delete paragraph (a) and insert: </w:t>
      </w:r>
    </w:p>
    <w:p>
      <w:pPr>
        <w:pStyle w:val="BlankOpen"/>
      </w:pPr>
    </w:p>
    <w:p>
      <w:pPr>
        <w:pStyle w:val="Indenta"/>
      </w:pPr>
      <w:r>
        <w:tab/>
        <w:t>(a)</w:t>
      </w:r>
      <w:r>
        <w:tab/>
        <w:t>for reducing the heating or cooling loads—</w:t>
      </w:r>
    </w:p>
    <w:p>
      <w:pPr>
        <w:pStyle w:val="Indenti"/>
      </w:pPr>
      <w:r>
        <w:tab/>
        <w:t>(i)</w:t>
      </w:r>
      <w:r>
        <w:tab/>
        <w:t>collectively achieve an average energy rating of not less than 6 stars; and</w:t>
      </w:r>
    </w:p>
    <w:p>
      <w:pPr>
        <w:pStyle w:val="Indenti"/>
      </w:pPr>
      <w:r>
        <w:tab/>
        <w:t>(ii)</w:t>
      </w:r>
      <w:r>
        <w:tab/>
        <w:t>individually achieve an energy rating of not less than 5 stars,</w:t>
      </w:r>
    </w:p>
    <w:p>
      <w:pPr>
        <w:pStyle w:val="Indenta"/>
      </w:pPr>
      <w:r>
        <w:tab/>
      </w:r>
      <w:r>
        <w:tab/>
        <w:t xml:space="preserve">using </w:t>
      </w:r>
      <w:r>
        <w:rPr>
          <w:i/>
        </w:rPr>
        <w:t>house energy rating software</w:t>
      </w:r>
      <w:r>
        <w:t>; and</w:t>
      </w:r>
    </w:p>
    <w:p>
      <w:pPr>
        <w:pStyle w:val="BlankClose"/>
      </w:pPr>
    </w:p>
    <w:p>
      <w:pPr>
        <w:pStyle w:val="Subsection"/>
      </w:pPr>
      <w:r>
        <w:tab/>
        <w:t>(3)</w:t>
      </w:r>
      <w:r>
        <w:tab/>
        <w:t>The Building Code Volume Two Part 3.12.0.1 is modified as follows —</w:t>
      </w:r>
    </w:p>
    <w:p>
      <w:pPr>
        <w:pStyle w:val="Indenta"/>
      </w:pPr>
      <w:r>
        <w:tab/>
        <w:t>(a)</w:t>
      </w:r>
      <w:r>
        <w:tab/>
        <w:t xml:space="preserve">in paragraph (a) delete “A building must achieve an energy rating, including the separate heating and cooling 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Footnotesection"/>
      </w:pPr>
      <w:r>
        <w:tab/>
        <w:t>[Regulation 15C inserted: SL 2020/28 r. 4.]</w:t>
      </w:r>
    </w:p>
    <w:p>
      <w:pPr>
        <w:pStyle w:val="Heading2"/>
      </w:pPr>
      <w:bookmarkStart w:id="71" w:name="_Toc98427243"/>
      <w:bookmarkStart w:id="72" w:name="_Toc98489297"/>
      <w:bookmarkStart w:id="73" w:name="_Toc98494086"/>
      <w:bookmarkStart w:id="74" w:name="_Toc97636287"/>
      <w:bookmarkStart w:id="75" w:name="_Toc97636975"/>
      <w:bookmarkStart w:id="76" w:name="_Toc97638540"/>
      <w:r>
        <w:rPr>
          <w:rStyle w:val="CharPartNo"/>
        </w:rPr>
        <w:t>Part 3</w:t>
      </w:r>
      <w:r>
        <w:rPr>
          <w:rStyle w:val="CharDivNo"/>
        </w:rPr>
        <w:t> </w:t>
      </w:r>
      <w:r>
        <w:t>—</w:t>
      </w:r>
      <w:r>
        <w:rPr>
          <w:rStyle w:val="CharDivText"/>
        </w:rPr>
        <w:t> </w:t>
      </w:r>
      <w:r>
        <w:rPr>
          <w:rStyle w:val="CharPartText"/>
        </w:rPr>
        <w:t>Building and demolition permits</w:t>
      </w:r>
      <w:bookmarkEnd w:id="71"/>
      <w:bookmarkEnd w:id="72"/>
      <w:bookmarkEnd w:id="73"/>
      <w:bookmarkEnd w:id="74"/>
      <w:bookmarkEnd w:id="75"/>
      <w:bookmarkEnd w:id="76"/>
    </w:p>
    <w:p>
      <w:pPr>
        <w:pStyle w:val="Heading5"/>
        <w:spacing w:before="240"/>
      </w:pPr>
      <w:bookmarkStart w:id="77" w:name="_Toc98494087"/>
      <w:bookmarkStart w:id="78" w:name="_Toc97638541"/>
      <w:r>
        <w:rPr>
          <w:rStyle w:val="CharSectno"/>
        </w:rPr>
        <w:t>15</w:t>
      </w:r>
      <w:r>
        <w:t>.</w:t>
      </w:r>
      <w:r>
        <w:tab/>
        <w:t>Uncertified applications (s. 14(2))</w:t>
      </w:r>
      <w:bookmarkEnd w:id="77"/>
      <w:bookmarkEnd w:id="78"/>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79" w:name="_Toc98494088"/>
      <w:bookmarkStart w:id="80" w:name="_Toc97638542"/>
      <w:r>
        <w:rPr>
          <w:rStyle w:val="CharSectno"/>
        </w:rPr>
        <w:t>16</w:t>
      </w:r>
      <w:r>
        <w:t>.</w:t>
      </w:r>
      <w:r>
        <w:tab/>
        <w:t>Application for building and demolition permits (s. 16)</w:t>
      </w:r>
      <w:bookmarkEnd w:id="79"/>
      <w:bookmarkEnd w:id="80"/>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81" w:name="_Toc98494089"/>
      <w:bookmarkStart w:id="82" w:name="_Toc97638543"/>
      <w:r>
        <w:rPr>
          <w:rStyle w:val="CharSectno"/>
        </w:rPr>
        <w:t>17</w:t>
      </w:r>
      <w:r>
        <w:t>.</w:t>
      </w:r>
      <w:r>
        <w:tab/>
        <w:t>Further information (s. 18(3) and (4))</w:t>
      </w:r>
      <w:bookmarkEnd w:id="81"/>
      <w:bookmarkEnd w:id="82"/>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83" w:name="_Toc98494090"/>
      <w:bookmarkStart w:id="84" w:name="_Toc97638544"/>
      <w:r>
        <w:rPr>
          <w:rStyle w:val="CharSectno"/>
        </w:rPr>
        <w:t>18A</w:t>
      </w:r>
      <w:r>
        <w:t>.</w:t>
      </w:r>
      <w:r>
        <w:tab/>
        <w:t>Certificate of design compliance — contents (s. 19(5))</w:t>
      </w:r>
      <w:bookmarkEnd w:id="83"/>
      <w:bookmarkEnd w:id="84"/>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31BA(1) or 31D,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 SL 2020/46 r. 4; SL 2021/42 r. 5.]</w:t>
      </w:r>
    </w:p>
    <w:p>
      <w:pPr>
        <w:pStyle w:val="Heading5"/>
      </w:pPr>
      <w:bookmarkStart w:id="85" w:name="_Toc98494091"/>
      <w:bookmarkStart w:id="86" w:name="_Toc97638545"/>
      <w:r>
        <w:rPr>
          <w:rStyle w:val="CharSectno"/>
        </w:rPr>
        <w:t>18B</w:t>
      </w:r>
      <w:r>
        <w:t>.</w:t>
      </w:r>
      <w:r>
        <w:tab/>
        <w:t>Certificate of design compliance — preliminary action (s. 19(6))</w:t>
      </w:r>
      <w:bookmarkEnd w:id="85"/>
      <w:bookmarkEnd w:id="86"/>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87" w:name="_Toc98494092"/>
      <w:bookmarkStart w:id="88" w:name="_Toc97638546"/>
      <w:r>
        <w:rPr>
          <w:rStyle w:val="CharSectno"/>
        </w:rPr>
        <w:t>18C</w:t>
      </w:r>
      <w:r>
        <w:t>.</w:t>
      </w:r>
      <w:r>
        <w:tab/>
        <w:t>Certificate of design compliance — things to accompany (s. 149)</w:t>
      </w:r>
      <w:bookmarkEnd w:id="87"/>
      <w:bookmarkEnd w:id="88"/>
    </w:p>
    <w:p>
      <w:pPr>
        <w:pStyle w:val="Subsection"/>
      </w:pPr>
      <w:r>
        <w:tab/>
        <w:t>(1)</w:t>
      </w:r>
      <w:r>
        <w:tab/>
        <w:t>It is sufficient compliance with regulation 18A(d)(i) to attach to the certificate of design compliance a copy of the advice given by the FES Commissioner.</w:t>
      </w:r>
    </w:p>
    <w:p>
      <w:pPr>
        <w:pStyle w:val="Subsection"/>
        <w:keepNext/>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89" w:name="_Toc98494093"/>
      <w:bookmarkStart w:id="90" w:name="_Toc97638547"/>
      <w:r>
        <w:rPr>
          <w:rStyle w:val="CharSectno"/>
        </w:rPr>
        <w:t>18</w:t>
      </w:r>
      <w:r>
        <w:t>.</w:t>
      </w:r>
      <w:r>
        <w:tab/>
        <w:t>Grant of building permit (s. 20)</w:t>
      </w:r>
      <w:bookmarkEnd w:id="89"/>
      <w:bookmarkEnd w:id="90"/>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91" w:name="_Toc98494094"/>
      <w:bookmarkStart w:id="92" w:name="_Toc97638548"/>
      <w:r>
        <w:rPr>
          <w:rStyle w:val="CharSectno"/>
        </w:rPr>
        <w:t>19</w:t>
      </w:r>
      <w:r>
        <w:t>.</w:t>
      </w:r>
      <w:r>
        <w:tab/>
        <w:t>Grant of demolition permit (s. 21)</w:t>
      </w:r>
      <w:bookmarkEnd w:id="91"/>
      <w:bookmarkEnd w:id="92"/>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del w:id="93" w:author="Master Repository Process" w:date="2022-06-27T14:39:00Z">
        <w:r>
          <w:rPr>
            <w:i/>
          </w:rPr>
          <w:delText xml:space="preserve">Occupational </w:delText>
        </w:r>
      </w:del>
      <w:ins w:id="94" w:author="Master Repository Process" w:date="2022-06-27T14:39:00Z">
        <w:r>
          <w:rPr>
            <w:i/>
          </w:rPr>
          <w:t xml:space="preserve">Work Health and </w:t>
        </w:r>
      </w:ins>
      <w:r>
        <w:rPr>
          <w:i/>
        </w:rPr>
        <w:t xml:space="preserve">Safety </w:t>
      </w:r>
      <w:del w:id="95" w:author="Master Repository Process" w:date="2022-06-27T14:39:00Z">
        <w:r>
          <w:rPr>
            <w:i/>
          </w:rPr>
          <w:delText>and Health</w:delText>
        </w:r>
      </w:del>
      <w:ins w:id="96" w:author="Master Repository Process" w:date="2022-06-27T14:39:00Z">
        <w:r>
          <w:rPr>
            <w:i/>
          </w:rPr>
          <w:t>(General)</w:t>
        </w:r>
      </w:ins>
      <w:r>
        <w:rPr>
          <w:i/>
        </w:rPr>
        <w:t xml:space="preserve"> Regulations</w:t>
      </w:r>
      <w:del w:id="97" w:author="Master Repository Process" w:date="2022-06-27T14:39:00Z">
        <w:r>
          <w:rPr>
            <w:i/>
          </w:rPr>
          <w:delText xml:space="preserve"> 1996</w:delText>
        </w:r>
      </w:del>
      <w:ins w:id="98" w:author="Master Repository Process" w:date="2022-06-27T14:39:00Z">
        <w:r>
          <w:rPr>
            <w:i/>
          </w:rPr>
          <w:t> 2022</w:t>
        </w:r>
      </w:ins>
      <w:r>
        <w:t xml:space="preserve"> regulation </w:t>
      </w:r>
      <w:del w:id="99" w:author="Master Repository Process" w:date="2022-06-27T14:39:00Z">
        <w:r>
          <w:delText>3.119</w:delText>
        </w:r>
      </w:del>
      <w:ins w:id="100" w:author="Master Repository Process" w:date="2022-06-27T14:39:00Z">
        <w:r>
          <w:t>142F</w:t>
        </w:r>
      </w:ins>
      <w:r>
        <w:t>;</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ins w:id="101" w:author="Master Repository Process" w:date="2022-06-27T14:39:00Z">
        <w:r>
          <w:t>; SL 2022/26 r. 5</w:t>
        </w:r>
      </w:ins>
      <w:r>
        <w:t>.]</w:t>
      </w:r>
    </w:p>
    <w:p>
      <w:pPr>
        <w:pStyle w:val="Heading5"/>
      </w:pPr>
      <w:bookmarkStart w:id="102" w:name="_Toc98494095"/>
      <w:bookmarkStart w:id="103" w:name="_Toc97638549"/>
      <w:r>
        <w:rPr>
          <w:rStyle w:val="CharSectno"/>
        </w:rPr>
        <w:t>20</w:t>
      </w:r>
      <w:r>
        <w:t>.</w:t>
      </w:r>
      <w:r>
        <w:tab/>
        <w:t>Time for deciding application for building or demolition permit (s. 23)</w:t>
      </w:r>
      <w:bookmarkEnd w:id="102"/>
      <w:bookmarkEnd w:id="103"/>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104" w:name="_Toc98494096"/>
      <w:bookmarkStart w:id="105" w:name="_Toc97638550"/>
      <w:r>
        <w:rPr>
          <w:rStyle w:val="CharSectno"/>
        </w:rPr>
        <w:t>21</w:t>
      </w:r>
      <w:r>
        <w:t>.</w:t>
      </w:r>
      <w:r>
        <w:tab/>
        <w:t>Form and content of building permit (s. 25)</w:t>
      </w:r>
      <w:bookmarkEnd w:id="104"/>
      <w:bookmarkEnd w:id="105"/>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106" w:name="_Toc98494097"/>
      <w:bookmarkStart w:id="107" w:name="_Toc97638551"/>
      <w:r>
        <w:rPr>
          <w:rStyle w:val="CharSectno"/>
        </w:rPr>
        <w:t>22</w:t>
      </w:r>
      <w:r>
        <w:t>.</w:t>
      </w:r>
      <w:r>
        <w:tab/>
        <w:t>Form and content of demolition permit (s. 25)</w:t>
      </w:r>
      <w:bookmarkEnd w:id="106"/>
      <w:bookmarkEnd w:id="107"/>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del w:id="108" w:author="Master Repository Process" w:date="2022-06-27T14:39:00Z">
        <w:r>
          <w:rPr>
            <w:i/>
          </w:rPr>
          <w:delText xml:space="preserve">Occupational </w:delText>
        </w:r>
      </w:del>
      <w:ins w:id="109" w:author="Master Repository Process" w:date="2022-06-27T14:39:00Z">
        <w:r>
          <w:rPr>
            <w:i/>
          </w:rPr>
          <w:t xml:space="preserve">Work Health and </w:t>
        </w:r>
      </w:ins>
      <w:r>
        <w:rPr>
          <w:i/>
        </w:rPr>
        <w:t xml:space="preserve">Safety </w:t>
      </w:r>
      <w:del w:id="110" w:author="Master Repository Process" w:date="2022-06-27T14:39:00Z">
        <w:r>
          <w:rPr>
            <w:i/>
          </w:rPr>
          <w:delText>and Health</w:delText>
        </w:r>
      </w:del>
      <w:ins w:id="111" w:author="Master Repository Process" w:date="2022-06-27T14:39:00Z">
        <w:r>
          <w:rPr>
            <w:i/>
          </w:rPr>
          <w:t>(General)</w:t>
        </w:r>
      </w:ins>
      <w:r>
        <w:rPr>
          <w:i/>
        </w:rPr>
        <w:t xml:space="preserve"> Regulations</w:t>
      </w:r>
      <w:del w:id="112" w:author="Master Repository Process" w:date="2022-06-27T14:39:00Z">
        <w:r>
          <w:rPr>
            <w:i/>
          </w:rPr>
          <w:delText xml:space="preserve"> 1996</w:delText>
        </w:r>
      </w:del>
      <w:ins w:id="113" w:author="Master Repository Process" w:date="2022-06-27T14:39:00Z">
        <w:r>
          <w:rPr>
            <w:i/>
          </w:rPr>
          <w:t> 2022</w:t>
        </w:r>
      </w:ins>
      <w:r>
        <w:t xml:space="preserve"> regulation </w:t>
      </w:r>
      <w:ins w:id="114" w:author="Master Repository Process" w:date="2022-06-27T14:39:00Z">
        <w:r>
          <w:t>142R(</w:t>
        </w:r>
      </w:ins>
      <w:r>
        <w:t>3</w:t>
      </w:r>
      <w:del w:id="115" w:author="Master Repository Process" w:date="2022-06-27T14:39:00Z">
        <w:r>
          <w:delText>.116(2),</w:delText>
        </w:r>
      </w:del>
      <w:ins w:id="116" w:author="Master Repository Process" w:date="2022-06-27T14:39:00Z">
        <w:r>
          <w:t>) —</w:t>
        </w:r>
      </w:ins>
      <w:r>
        <w:t xml:space="preserve"> the number of that licence.</w:t>
      </w:r>
    </w:p>
    <w:p>
      <w:pPr>
        <w:pStyle w:val="Footnotesection"/>
        <w:spacing w:before="100"/>
        <w:rPr>
          <w:ins w:id="117" w:author="Master Repository Process" w:date="2022-06-27T14:39:00Z"/>
        </w:rPr>
      </w:pPr>
      <w:ins w:id="118" w:author="Master Repository Process" w:date="2022-06-27T14:39:00Z">
        <w:r>
          <w:tab/>
          <w:t>[Regulation 22 amended: SL 2022/26 r. 6.]</w:t>
        </w:r>
      </w:ins>
    </w:p>
    <w:p>
      <w:pPr>
        <w:pStyle w:val="Ednotesection"/>
        <w:spacing w:before="240"/>
      </w:pPr>
      <w:r>
        <w:t>[</w:t>
      </w:r>
      <w:r>
        <w:rPr>
          <w:b/>
        </w:rPr>
        <w:t>23A.</w:t>
      </w:r>
      <w:r>
        <w:tab/>
        <w:t>Deleted: Gazette 21 Jun 2013 p. 2446.]</w:t>
      </w:r>
    </w:p>
    <w:p>
      <w:pPr>
        <w:pStyle w:val="Heading5"/>
        <w:pageBreakBefore/>
        <w:spacing w:before="0"/>
      </w:pPr>
      <w:bookmarkStart w:id="119" w:name="_Toc98494098"/>
      <w:bookmarkStart w:id="120" w:name="_Toc97638552"/>
      <w:r>
        <w:rPr>
          <w:rStyle w:val="CharSectno"/>
        </w:rPr>
        <w:t>23</w:t>
      </w:r>
      <w:r>
        <w:t>.</w:t>
      </w:r>
      <w:r>
        <w:tab/>
        <w:t>Application to extend time during which permit has effect (s. 32)</w:t>
      </w:r>
      <w:bookmarkEnd w:id="119"/>
      <w:bookmarkEnd w:id="120"/>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121" w:name="_Toc98494099"/>
      <w:bookmarkStart w:id="122" w:name="_Toc97638553"/>
      <w:r>
        <w:rPr>
          <w:rStyle w:val="CharSectno"/>
        </w:rPr>
        <w:t>24</w:t>
      </w:r>
      <w:r>
        <w:t>.</w:t>
      </w:r>
      <w:r>
        <w:tab/>
        <w:t>Extension of time during which permit has effect (s. 32(3))</w:t>
      </w:r>
      <w:bookmarkEnd w:id="121"/>
      <w:bookmarkEnd w:id="122"/>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123" w:name="_Toc98494100"/>
      <w:bookmarkStart w:id="124" w:name="_Toc97638554"/>
      <w:r>
        <w:rPr>
          <w:rStyle w:val="CharSectno"/>
        </w:rPr>
        <w:t>25</w:t>
      </w:r>
      <w:r>
        <w:t>.</w:t>
      </w:r>
      <w:r>
        <w:tab/>
        <w:t>Review of decision to refuse to extend time during which permit has effect (s. 32(3))</w:t>
      </w:r>
      <w:bookmarkEnd w:id="123"/>
      <w:bookmarkEnd w:id="124"/>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125" w:name="_Toc98494101"/>
      <w:bookmarkStart w:id="126" w:name="_Toc97638555"/>
      <w:r>
        <w:rPr>
          <w:rStyle w:val="CharSectno"/>
        </w:rPr>
        <w:t>26</w:t>
      </w:r>
      <w:r>
        <w:t>.</w:t>
      </w:r>
      <w:r>
        <w:tab/>
        <w:t>Approval of new responsible person (s. 35(c))</w:t>
      </w:r>
      <w:bookmarkEnd w:id="125"/>
      <w:bookmarkEnd w:id="126"/>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ageBreakBefore/>
        <w:spacing w:before="0"/>
      </w:pPr>
      <w:bookmarkStart w:id="127" w:name="_Toc98494102"/>
      <w:bookmarkStart w:id="128" w:name="_Toc97638556"/>
      <w:r>
        <w:rPr>
          <w:rStyle w:val="CharSectno"/>
        </w:rPr>
        <w:t>27</w:t>
      </w:r>
      <w:r>
        <w:t>.</w:t>
      </w:r>
      <w:r>
        <w:tab/>
        <w:t>Required inspection and tests: Class 2 to Class 9 buildings (s. 36(2)(a))</w:t>
      </w:r>
      <w:bookmarkEnd w:id="127"/>
      <w:bookmarkEnd w:id="128"/>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29" w:name="_Toc98494103"/>
      <w:bookmarkStart w:id="130" w:name="_Toc97638557"/>
      <w:r>
        <w:rPr>
          <w:rStyle w:val="CharSectno"/>
        </w:rPr>
        <w:t>28</w:t>
      </w:r>
      <w:r>
        <w:t>.</w:t>
      </w:r>
      <w:r>
        <w:tab/>
        <w:t>Required inspection: barrier to private swimming pool (s. 36(2)(a))</w:t>
      </w:r>
      <w:bookmarkEnd w:id="129"/>
      <w:bookmarkEnd w:id="130"/>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131" w:name="_Toc98494104"/>
      <w:bookmarkStart w:id="132" w:name="_Toc97638558"/>
      <w:r>
        <w:rPr>
          <w:rStyle w:val="CharSectno"/>
        </w:rPr>
        <w:t>29</w:t>
      </w:r>
      <w:r>
        <w:t>.</w:t>
      </w:r>
      <w:r>
        <w:tab/>
        <w:t>Inspection certificates (s. 36(2)(h) and (j))</w:t>
      </w:r>
      <w:bookmarkEnd w:id="131"/>
      <w:bookmarkEnd w:id="132"/>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33" w:name="_Toc98494105"/>
      <w:bookmarkStart w:id="134" w:name="_Toc97638559"/>
      <w:r>
        <w:rPr>
          <w:rStyle w:val="CharSectno"/>
        </w:rPr>
        <w:t>30</w:t>
      </w:r>
      <w:r>
        <w:t>.</w:t>
      </w:r>
      <w:r>
        <w:tab/>
        <w:t>Transitional provisions (s. 203)</w:t>
      </w:r>
      <w:bookmarkEnd w:id="133"/>
      <w:bookmarkEnd w:id="134"/>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35" w:name="_Toc98427263"/>
      <w:bookmarkStart w:id="136" w:name="_Toc98489317"/>
      <w:bookmarkStart w:id="137" w:name="_Toc98494106"/>
      <w:bookmarkStart w:id="138" w:name="_Toc97636307"/>
      <w:bookmarkStart w:id="139" w:name="_Toc97636995"/>
      <w:bookmarkStart w:id="140" w:name="_Toc97638560"/>
      <w:r>
        <w:rPr>
          <w:rStyle w:val="CharPartNo"/>
        </w:rPr>
        <w:t>Part 4</w:t>
      </w:r>
      <w:r>
        <w:t> — </w:t>
      </w:r>
      <w:r>
        <w:rPr>
          <w:rStyle w:val="CharPartText"/>
        </w:rPr>
        <w:t>Building standards</w:t>
      </w:r>
      <w:bookmarkEnd w:id="135"/>
      <w:bookmarkEnd w:id="136"/>
      <w:bookmarkEnd w:id="137"/>
      <w:bookmarkEnd w:id="138"/>
      <w:bookmarkEnd w:id="139"/>
      <w:bookmarkEnd w:id="140"/>
    </w:p>
    <w:p>
      <w:pPr>
        <w:pStyle w:val="Heading3"/>
        <w:spacing w:before="220"/>
      </w:pPr>
      <w:bookmarkStart w:id="141" w:name="_Toc98427264"/>
      <w:bookmarkStart w:id="142" w:name="_Toc98489318"/>
      <w:bookmarkStart w:id="143" w:name="_Toc98494107"/>
      <w:bookmarkStart w:id="144" w:name="_Toc97636308"/>
      <w:bookmarkStart w:id="145" w:name="_Toc97636996"/>
      <w:bookmarkStart w:id="146" w:name="_Toc97638561"/>
      <w:r>
        <w:rPr>
          <w:rStyle w:val="CharDivNo"/>
        </w:rPr>
        <w:t>Division 1</w:t>
      </w:r>
      <w:r>
        <w:t> — </w:t>
      </w:r>
      <w:r>
        <w:rPr>
          <w:rStyle w:val="CharDivText"/>
        </w:rPr>
        <w:t>Applicable building standards</w:t>
      </w:r>
      <w:bookmarkEnd w:id="141"/>
      <w:bookmarkEnd w:id="142"/>
      <w:bookmarkEnd w:id="143"/>
      <w:bookmarkEnd w:id="144"/>
      <w:bookmarkEnd w:id="145"/>
      <w:bookmarkEnd w:id="146"/>
    </w:p>
    <w:p>
      <w:pPr>
        <w:pStyle w:val="Footnoteheading"/>
        <w:spacing w:before="100"/>
      </w:pPr>
      <w:r>
        <w:tab/>
        <w:t>[Heading inserted: Gazette 18 Dec 2012 p. 6562.]</w:t>
      </w:r>
    </w:p>
    <w:p>
      <w:pPr>
        <w:pStyle w:val="Heading4"/>
        <w:spacing w:before="220"/>
      </w:pPr>
      <w:bookmarkStart w:id="147" w:name="_Toc98427265"/>
      <w:bookmarkStart w:id="148" w:name="_Toc98489319"/>
      <w:bookmarkStart w:id="149" w:name="_Toc98494108"/>
      <w:bookmarkStart w:id="150" w:name="_Toc97636309"/>
      <w:bookmarkStart w:id="151" w:name="_Toc97636997"/>
      <w:bookmarkStart w:id="152" w:name="_Toc97638562"/>
      <w:r>
        <w:t>Subdivision 1 — Building standards in relation to construction</w:t>
      </w:r>
      <w:bookmarkEnd w:id="147"/>
      <w:bookmarkEnd w:id="148"/>
      <w:bookmarkEnd w:id="149"/>
      <w:bookmarkEnd w:id="150"/>
      <w:bookmarkEnd w:id="151"/>
      <w:bookmarkEnd w:id="152"/>
    </w:p>
    <w:p>
      <w:pPr>
        <w:pStyle w:val="Footnoteheading"/>
        <w:spacing w:before="100"/>
      </w:pPr>
      <w:r>
        <w:tab/>
        <w:t>[Heading inserted: Gazette 18 Dec 2012 p. 6562.]</w:t>
      </w:r>
    </w:p>
    <w:p>
      <w:pPr>
        <w:pStyle w:val="Heading5"/>
        <w:spacing w:before="200"/>
      </w:pPr>
      <w:bookmarkStart w:id="153" w:name="_Toc98494109"/>
      <w:bookmarkStart w:id="154" w:name="_Toc97638563"/>
      <w:r>
        <w:rPr>
          <w:rStyle w:val="CharSectno"/>
        </w:rPr>
        <w:t>31A</w:t>
      </w:r>
      <w:r>
        <w:t>.</w:t>
      </w:r>
      <w:r>
        <w:tab/>
        <w:t>Applicable building standards generally (s. 3, 19(3) and 37(1))</w:t>
      </w:r>
      <w:bookmarkEnd w:id="153"/>
      <w:bookmarkEnd w:id="154"/>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t>subject to subregulation (2A), set out in the edition of the Building Code that was in effect 12 months before the time the application for the building permit is made; or</w:t>
      </w:r>
    </w:p>
    <w:p>
      <w:pPr>
        <w:pStyle w:val="Indenta"/>
      </w:pPr>
      <w:r>
        <w:tab/>
        <w:t>(c)</w:t>
      </w:r>
      <w:r>
        <w:tab/>
        <w:t>subject to subregulation (3), set out in the edition of the Building Code that was in effect on 12 March 2018.</w:t>
      </w:r>
    </w:p>
    <w:p>
      <w:pPr>
        <w:pStyle w:val="Subsection"/>
      </w:pPr>
      <w:r>
        <w:tab/>
        <w:t>(2A)</w:t>
      </w:r>
      <w:r>
        <w:tab/>
        <w:t xml:space="preserve">Subregulation (2)(b) applies only if the application for the building permit is made — </w:t>
      </w:r>
    </w:p>
    <w:p>
      <w:pPr>
        <w:pStyle w:val="Indenta"/>
      </w:pPr>
      <w:r>
        <w:tab/>
        <w:t>(a)</w:t>
      </w:r>
      <w:r>
        <w:tab/>
        <w:t>on or before 30 April 2021; or</w:t>
      </w:r>
    </w:p>
    <w:p>
      <w:pPr>
        <w:pStyle w:val="Indenta"/>
      </w:pPr>
      <w:r>
        <w:tab/>
        <w:t>(b)</w:t>
      </w:r>
      <w:r>
        <w:tab/>
        <w:t>on or after 1 July 2021.</w:t>
      </w:r>
    </w:p>
    <w:p>
      <w:pPr>
        <w:pStyle w:val="Subsection"/>
      </w:pPr>
      <w:r>
        <w:tab/>
        <w:t>(3)</w:t>
      </w:r>
      <w:r>
        <w:tab/>
        <w:t>Subregulation (2)(c) applies only if the application for the building permit is made on or before 30 April 2021.</w:t>
      </w:r>
    </w:p>
    <w:p>
      <w:pPr>
        <w:pStyle w:val="Footnotesection"/>
        <w:spacing w:before="100"/>
      </w:pPr>
      <w:r>
        <w:tab/>
        <w:t>[Regulation 31A inserted: Gazette 18 Dec 2012 p. 6562-3; amended: Gazette 7 Dec 2015 p. 4898; 9 Mar 2018 p. 800; 5 Oct 2018 p. 4013; 26 Mar 2019 p. 946; SL 2020/46 r. 5; SL 2020/192 r. 4.]</w:t>
      </w:r>
    </w:p>
    <w:p>
      <w:pPr>
        <w:pStyle w:val="Heading5"/>
      </w:pPr>
      <w:bookmarkStart w:id="155" w:name="_Toc98494110"/>
      <w:bookmarkStart w:id="156" w:name="_Toc97638564"/>
      <w:r>
        <w:rPr>
          <w:rStyle w:val="CharSectno"/>
        </w:rPr>
        <w:t>31BA</w:t>
      </w:r>
      <w:r>
        <w:t>.</w:t>
      </w:r>
      <w:r>
        <w:tab/>
        <w:t>Applicable building standards for buildings and incidental structures in bush fire prone areas (s. 3, 19(3), 37(1) and (2), 57(3), 49(b), 51(2) and (3))</w:t>
      </w:r>
      <w:bookmarkEnd w:id="155"/>
      <w:bookmarkEnd w:id="156"/>
    </w:p>
    <w:p>
      <w:pPr>
        <w:pStyle w:val="Subsection"/>
        <w:keepNext/>
        <w:spacing w:before="100"/>
      </w:pPr>
      <w:r>
        <w:tab/>
        <w:t>(1A)</w:t>
      </w:r>
      <w:r>
        <w:tab/>
        <w:t xml:space="preserve">In this regulation — </w:t>
      </w:r>
    </w:p>
    <w:p>
      <w:pPr>
        <w:pStyle w:val="Defstart"/>
      </w:pPr>
      <w:r>
        <w:tab/>
      </w:r>
      <w:r>
        <w:rPr>
          <w:rStyle w:val="CharDefText"/>
        </w:rPr>
        <w:t>bush fire standard</w:t>
      </w:r>
      <w:r>
        <w:t xml:space="preserve"> means — </w:t>
      </w:r>
    </w:p>
    <w:p>
      <w:pPr>
        <w:pStyle w:val="Defpara"/>
      </w:pPr>
      <w:r>
        <w:tab/>
        <w:t>(a)</w:t>
      </w:r>
      <w:r>
        <w:tab/>
        <w:t>a bush fire performance requirement; or</w:t>
      </w:r>
    </w:p>
    <w:p>
      <w:pPr>
        <w:pStyle w:val="Defpara"/>
      </w:pPr>
      <w:r>
        <w:tab/>
        <w:t>(b)</w:t>
      </w:r>
      <w:r>
        <w:tab/>
        <w:t>to the extent not covered by paragraph (a), a requirement imposed under any written law that is a requirement relating to —</w:t>
      </w:r>
    </w:p>
    <w:p>
      <w:pPr>
        <w:pStyle w:val="Defsubpara"/>
      </w:pPr>
      <w:r>
        <w:tab/>
        <w:t>(i)</w:t>
      </w:r>
      <w:r>
        <w:tab/>
        <w:t>a technical aspect of the construction of a building or incidental structure; and</w:t>
      </w:r>
    </w:p>
    <w:p>
      <w:pPr>
        <w:pStyle w:val="Defsubpara"/>
      </w:pPr>
      <w:r>
        <w:tab/>
        <w:t>(ii)</w:t>
      </w:r>
      <w:r>
        <w:tab/>
        <w:t>bush fires;</w:t>
      </w:r>
    </w:p>
    <w:p>
      <w:pPr>
        <w:pStyle w:val="PermNoteHeading"/>
      </w:pPr>
      <w:r>
        <w:tab/>
        <w:t>Note for this definition:</w:t>
      </w:r>
    </w:p>
    <w:p>
      <w:pPr>
        <w:pStyle w:val="PermNoteText"/>
      </w:pPr>
      <w:r>
        <w:tab/>
      </w:r>
      <w:r>
        <w:tab/>
        <w:t xml:space="preserve">Paragraph (b) includes, for example, requirements imposed under the </w:t>
      </w:r>
      <w:r>
        <w:rPr>
          <w:i/>
        </w:rPr>
        <w:t>Building Regulations 1989</w:t>
      </w:r>
      <w:r>
        <w:t>.</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relevant building</w:t>
      </w:r>
      <w:r>
        <w:t xml:space="preserve"> means a Class 1, Class 2 or Class 3 building that was not required to comply or substantially comply with a bush fire standard at the latest of the following times — </w:t>
      </w:r>
    </w:p>
    <w:p>
      <w:pPr>
        <w:pStyle w:val="Defpara"/>
      </w:pPr>
      <w:r>
        <w:tab/>
        <w:t>(a)</w:t>
      </w:r>
      <w:r>
        <w:tab/>
        <w:t>when the building was constructed;</w:t>
      </w:r>
    </w:p>
    <w:p>
      <w:pPr>
        <w:pStyle w:val="Defpara"/>
      </w:pPr>
      <w:r>
        <w:tab/>
        <w:t>(b)</w:t>
      </w:r>
      <w:r>
        <w:tab/>
        <w:t>if 1 or more applications or notices under section 49(b) or 51(2) or (3) or regulation 47(1) have been made or given in respect of the building — when the application or notice, or the last application or notice, was made or given;</w:t>
      </w:r>
    </w:p>
    <w:p>
      <w:pPr>
        <w:pStyle w:val="Defpara"/>
      </w:pPr>
      <w:r>
        <w:tab/>
        <w:t>(c)</w:t>
      </w:r>
      <w:r>
        <w:tab/>
        <w:t>if the building has been relocated — when the building was last relocated</w:t>
      </w:r>
      <w:del w:id="157" w:author="Master Repository Process" w:date="2022-06-27T14:39:00Z">
        <w:r>
          <w:delText>.</w:delText>
        </w:r>
      </w:del>
      <w:ins w:id="158" w:author="Master Repository Process" w:date="2022-06-27T14:39:00Z">
        <w:r>
          <w:t>;</w:t>
        </w:r>
      </w:ins>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del w:id="159" w:author="Master Repository Process" w:date="2022-06-27T14:39:00Z">
        <w:r>
          <w:delText>;</w:delText>
        </w:r>
      </w:del>
      <w:ins w:id="160" w:author="Master Repository Process" w:date="2022-06-27T14:39:00Z">
        <w:r>
          <w:t>.</w:t>
        </w:r>
      </w:ins>
    </w:p>
    <w:p>
      <w:pPr>
        <w:pStyle w:val="Subsection"/>
      </w:pPr>
      <w:r>
        <w:tab/>
        <w:t>(1)</w:t>
      </w:r>
      <w:r>
        <w:tab/>
        <w:t xml:space="preserve">For the purposes of the definition of </w:t>
      </w:r>
      <w:r>
        <w:rPr>
          <w:b/>
          <w:i/>
        </w:rPr>
        <w:t>applicable building standard</w:t>
      </w:r>
      <w:r>
        <w:t xml:space="preserve"> in section 3, the building standards set out in Column 2 of the Table are prescribed as applicable building standards for the purposes set out in Column 1 of the Table opposite the standards.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843"/>
        <w:gridCol w:w="3402"/>
      </w:tblGrid>
      <w:tr>
        <w:trPr>
          <w:tblHeader/>
        </w:trPr>
        <w:tc>
          <w:tcPr>
            <w:tcW w:w="822" w:type="dxa"/>
            <w:noWrap/>
          </w:tcPr>
          <w:p>
            <w:pPr>
              <w:pStyle w:val="TableNAm"/>
              <w:jc w:val="center"/>
              <w:rPr>
                <w:b/>
                <w:bCs/>
              </w:rPr>
            </w:pPr>
            <w:r>
              <w:rPr>
                <w:b/>
                <w:bCs/>
              </w:rPr>
              <w:t>Item</w:t>
            </w:r>
          </w:p>
        </w:tc>
        <w:tc>
          <w:tcPr>
            <w:tcW w:w="1843" w:type="dxa"/>
            <w:noWrap/>
          </w:tcPr>
          <w:p>
            <w:pPr>
              <w:pStyle w:val="TableNAm"/>
              <w:jc w:val="center"/>
              <w:rPr>
                <w:b/>
                <w:bCs/>
              </w:rPr>
            </w:pPr>
            <w:r>
              <w:rPr>
                <w:b/>
                <w:bCs/>
              </w:rPr>
              <w:t>Column 1</w:t>
            </w:r>
          </w:p>
          <w:p>
            <w:pPr>
              <w:pStyle w:val="TableNAm"/>
              <w:jc w:val="center"/>
              <w:rPr>
                <w:b/>
                <w:bCs/>
              </w:rPr>
            </w:pPr>
            <w:r>
              <w:rPr>
                <w:b/>
                <w:bCs/>
              </w:rPr>
              <w:t>Purposes</w:t>
            </w:r>
          </w:p>
        </w:tc>
        <w:tc>
          <w:tcPr>
            <w:tcW w:w="3402" w:type="dxa"/>
            <w:noWrap/>
          </w:tcPr>
          <w:p>
            <w:pPr>
              <w:pStyle w:val="TableNAm"/>
              <w:jc w:val="center"/>
              <w:rPr>
                <w:b/>
                <w:bCs/>
              </w:rPr>
            </w:pPr>
            <w:r>
              <w:rPr>
                <w:b/>
                <w:bCs/>
              </w:rPr>
              <w:t>Column 2</w:t>
            </w:r>
          </w:p>
          <w:p>
            <w:pPr>
              <w:pStyle w:val="TableNAm"/>
              <w:jc w:val="center"/>
              <w:rPr>
                <w:b/>
                <w:bCs/>
              </w:rPr>
            </w:pPr>
            <w:r>
              <w:rPr>
                <w:b/>
                <w:bCs/>
              </w:rPr>
              <w:t>Applicable building standards</w:t>
            </w:r>
          </w:p>
        </w:tc>
      </w:tr>
      <w:tr>
        <w:tc>
          <w:tcPr>
            <w:tcW w:w="822" w:type="dxa"/>
            <w:noWrap/>
          </w:tcPr>
          <w:p>
            <w:pPr>
              <w:pStyle w:val="TableNAm"/>
            </w:pPr>
            <w:r>
              <w:t>1.</w:t>
            </w:r>
          </w:p>
        </w:tc>
        <w:tc>
          <w:tcPr>
            <w:tcW w:w="1843" w:type="dxa"/>
            <w:noWrap/>
          </w:tcPr>
          <w:p>
            <w:pPr>
              <w:pStyle w:val="TableNAm"/>
            </w:pPr>
            <w:r>
              <w:t>Section 19(3) in respect of all kinds of buildings and incidental structures located in a bush fire prone area</w:t>
            </w:r>
          </w:p>
        </w:tc>
        <w:tc>
          <w:tcPr>
            <w:tcW w:w="3402" w:type="dxa"/>
            <w:noWrap/>
          </w:tcPr>
          <w:p>
            <w:pPr>
              <w:pStyle w:val="TableNAm"/>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or will be located in an area that, at any time during the 4</w:t>
            </w:r>
            <w:r>
              <w:noBreakHyphen/>
              <w:t>month period ending on the day on which the application is made, was not a bush fire prone area; or</w:t>
            </w:r>
          </w:p>
          <w:p>
            <w:pPr>
              <w:pStyle w:val="TableNAm"/>
              <w:ind w:left="459" w:hanging="459"/>
            </w:pPr>
            <w:r>
              <w:t>(b)</w:t>
            </w:r>
            <w:r>
              <w:tab/>
              <w:t xml:space="preserve">the building work that is proposed to be done in respect of the building or incidental structure is excluded building work only; or </w:t>
            </w:r>
          </w:p>
          <w:p>
            <w:pPr>
              <w:pStyle w:val="TableNAm"/>
              <w:ind w:left="459" w:hanging="459"/>
            </w:pPr>
            <w:r>
              <w:t>(c)</w:t>
            </w:r>
            <w:r>
              <w:tab/>
              <w:t xml:space="preserve">the building or incidental structure is or will be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tc>
      </w:tr>
      <w:tr>
        <w:tc>
          <w:tcPr>
            <w:tcW w:w="822" w:type="dxa"/>
            <w:noWrap/>
          </w:tcPr>
          <w:p>
            <w:pPr>
              <w:pStyle w:val="TableNAm"/>
            </w:pPr>
            <w:r>
              <w:t>2.</w:t>
            </w:r>
          </w:p>
        </w:tc>
        <w:tc>
          <w:tcPr>
            <w:tcW w:w="1843" w:type="dxa"/>
            <w:noWrap/>
          </w:tcPr>
          <w:p>
            <w:pPr>
              <w:pStyle w:val="TableNAm"/>
            </w:pPr>
            <w:r>
              <w:t>Section 37(1) in respect of all kinds of buildings and incidental structures located in a bush fire prone area</w:t>
            </w:r>
          </w:p>
        </w:tc>
        <w:tc>
          <w:tcPr>
            <w:tcW w:w="3402" w:type="dxa"/>
            <w:noWrap/>
          </w:tcPr>
          <w:p>
            <w:pPr>
              <w:pStyle w:val="TableNAm"/>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for the building permit was made, was not a bush fire prone area; or</w:t>
            </w:r>
          </w:p>
          <w:p>
            <w:pPr>
              <w:pStyle w:val="TableNAm"/>
              <w:keepNext/>
              <w:keepLines/>
              <w:ind w:left="459" w:hanging="459"/>
            </w:pPr>
            <w:r>
              <w:t>(b)</w:t>
            </w:r>
            <w:r>
              <w:tab/>
              <w:t>the building work done in respect of the building or incidental structure under the building permit is excluded building work only; or</w:t>
            </w:r>
          </w:p>
          <w:p>
            <w:pPr>
              <w:pStyle w:val="TableNAm"/>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c>
          <w:tcPr>
            <w:tcW w:w="822" w:type="dxa"/>
            <w:noWrap/>
          </w:tcPr>
          <w:p>
            <w:pPr>
              <w:pStyle w:val="TableNAm"/>
            </w:pPr>
            <w:r>
              <w:t>3.</w:t>
            </w:r>
          </w:p>
        </w:tc>
        <w:tc>
          <w:tcPr>
            <w:tcW w:w="1843" w:type="dxa"/>
            <w:noWrap/>
          </w:tcPr>
          <w:p>
            <w:pPr>
              <w:pStyle w:val="TableNAm"/>
            </w:pPr>
            <w:r>
              <w:t>Section 37(2) in respect of all kinds of buildings and incidental structures located in a bush fire prone area</w:t>
            </w:r>
          </w:p>
        </w:tc>
        <w:tc>
          <w:tcPr>
            <w:tcW w:w="3402" w:type="dxa"/>
            <w:noWrap/>
          </w:tcPr>
          <w:p>
            <w:pPr>
              <w:pStyle w:val="TableNAm"/>
            </w:pPr>
            <w:r>
              <w:t xml:space="preserve">The requirements mentioned in regulation 31E(2)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building work in respect of the building or incidental structure commenced, was not a bush fire prone area; or</w:t>
            </w:r>
          </w:p>
          <w:p>
            <w:pPr>
              <w:pStyle w:val="TableNAm"/>
              <w:ind w:left="459" w:hanging="459"/>
            </w:pPr>
            <w:r>
              <w:t>(b)</w:t>
            </w:r>
            <w:r>
              <w:tab/>
              <w:t>the building work done in respect of the building or incidental structure is excluded building work only; or</w:t>
            </w:r>
          </w:p>
          <w:p>
            <w:pPr>
              <w:pStyle w:val="TableNAm"/>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r>
        <w:tc>
          <w:tcPr>
            <w:tcW w:w="822" w:type="dxa"/>
            <w:noWrap/>
          </w:tcPr>
          <w:p>
            <w:pPr>
              <w:pStyle w:val="TableNAm"/>
            </w:pPr>
            <w:r>
              <w:t>4.</w:t>
            </w:r>
          </w:p>
        </w:tc>
        <w:tc>
          <w:tcPr>
            <w:tcW w:w="1843" w:type="dxa"/>
            <w:noWrap/>
          </w:tcPr>
          <w:p>
            <w:pPr>
              <w:pStyle w:val="TableNAm"/>
            </w:pPr>
            <w:r>
              <w:t>Section 57(3) for an application mentioned in section 49(b) in respect of all kinds of buildings located in a bush fire prone area</w:t>
            </w:r>
          </w:p>
        </w:tc>
        <w:tc>
          <w:tcPr>
            <w:tcW w:w="3402" w:type="dxa"/>
            <w:noWrap/>
          </w:tcPr>
          <w:p>
            <w:pPr>
              <w:pStyle w:val="TableNAm"/>
            </w:pPr>
            <w:r>
              <w:t>The requirements mentioned in regulation 31G(2) except that the bush fire performance requirements are not applicable building standards if the building is located in an area that, at any time during the 4</w:t>
            </w:r>
            <w:r>
              <w:noBreakHyphen/>
              <w:t>month period ending on the day on which the application is made, was not a bush fire prone area.</w:t>
            </w:r>
          </w:p>
        </w:tc>
      </w:tr>
      <w:tr>
        <w:trPr>
          <w:cantSplit/>
        </w:trPr>
        <w:tc>
          <w:tcPr>
            <w:tcW w:w="822" w:type="dxa"/>
            <w:noWrap/>
          </w:tcPr>
          <w:p>
            <w:pPr>
              <w:pStyle w:val="TableNAm"/>
            </w:pPr>
            <w:r>
              <w:t>5.</w:t>
            </w:r>
          </w:p>
        </w:tc>
        <w:tc>
          <w:tcPr>
            <w:tcW w:w="1843" w:type="dxa"/>
            <w:noWrap/>
          </w:tcPr>
          <w:p>
            <w:pPr>
              <w:pStyle w:val="TableNAm"/>
            </w:pPr>
            <w:r>
              <w:t>Section 57(3) for an application mentioned in section 51(2) in respect of all kinds of buildings located in a bush fire prone area</w:t>
            </w:r>
          </w:p>
        </w:tc>
        <w:tc>
          <w:tcPr>
            <w:tcW w:w="3402" w:type="dxa"/>
            <w:noWrap/>
          </w:tcPr>
          <w:p>
            <w:pPr>
              <w:pStyle w:val="TableNAm"/>
            </w:pPr>
            <w:r>
              <w:t xml:space="preserve">The requirements mentioned in regulation 31G(2) except that the bush fire performance requirements are not applicable building standards if — </w:t>
            </w:r>
          </w:p>
          <w:p>
            <w:pPr>
              <w:pStyle w:val="TableNAm"/>
              <w:ind w:left="459" w:hanging="459"/>
            </w:pPr>
            <w:r>
              <w:t>(a)</w:t>
            </w:r>
            <w:r>
              <w:tab/>
              <w:t>the building is located in an area that, at any time during the 4</w:t>
            </w:r>
            <w:r>
              <w:noBreakHyphen/>
              <w:t>month period ending on the day on which the application is made, was not a bush fire prone area; or</w:t>
            </w:r>
          </w:p>
          <w:p>
            <w:pPr>
              <w:pStyle w:val="TableNAm"/>
              <w:ind w:left="459" w:hanging="459"/>
            </w:pPr>
            <w:r>
              <w:t>(b)</w:t>
            </w:r>
            <w:r>
              <w:tab/>
              <w:t>the unauthorised work done in respect of the building is excluded building work only.</w:t>
            </w:r>
          </w:p>
        </w:tc>
      </w:tr>
      <w:tr>
        <w:tc>
          <w:tcPr>
            <w:tcW w:w="822" w:type="dxa"/>
            <w:noWrap/>
          </w:tcPr>
          <w:p>
            <w:pPr>
              <w:pStyle w:val="TableNAm"/>
            </w:pPr>
            <w:r>
              <w:t>6.</w:t>
            </w:r>
          </w:p>
        </w:tc>
        <w:tc>
          <w:tcPr>
            <w:tcW w:w="1843" w:type="dxa"/>
            <w:noWrap/>
          </w:tcPr>
          <w:p>
            <w:pPr>
              <w:pStyle w:val="TableNAm"/>
            </w:pPr>
            <w:r>
              <w:t>Section 57(3) for an application mentioned in section 51(3) in respect of all kinds of buildings and incidental structures located in a bush fire prone area</w:t>
            </w:r>
          </w:p>
        </w:tc>
        <w:tc>
          <w:tcPr>
            <w:tcW w:w="3402" w:type="dxa"/>
            <w:noWrap/>
          </w:tcPr>
          <w:p>
            <w:pPr>
              <w:pStyle w:val="TableNAm"/>
            </w:pPr>
            <w:r>
              <w:t xml:space="preserve">The requirements mentioned in regulation 31G(2)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is made, was not a bush fire prone area; or</w:t>
            </w:r>
          </w:p>
          <w:p>
            <w:pPr>
              <w:pStyle w:val="TableNAm"/>
              <w:keepNext/>
              <w:keepLines/>
              <w:ind w:left="459" w:hanging="459"/>
            </w:pPr>
            <w:r>
              <w:t>(b)</w:t>
            </w:r>
            <w:r>
              <w:tab/>
              <w:t>the unauthorised work done in respect of the building or incidental structure is excluded building work only; or</w:t>
            </w:r>
          </w:p>
          <w:p>
            <w:pPr>
              <w:pStyle w:val="TableNAm"/>
              <w:keepNext/>
              <w:keepLines/>
              <w:ind w:left="459" w:hanging="459"/>
            </w:pPr>
            <w:r>
              <w:t>(c)</w:t>
            </w:r>
            <w:r>
              <w:tab/>
              <w:t xml:space="preserve">the building or incidental structure is — </w:t>
            </w:r>
          </w:p>
          <w:p>
            <w:pPr>
              <w:pStyle w:val="TableNAm"/>
              <w:keepLines/>
              <w:spacing w:before="60"/>
              <w:ind w:left="918" w:hanging="459"/>
            </w:pPr>
            <w:r>
              <w:t>(i)</w:t>
            </w:r>
            <w:r>
              <w:tab/>
              <w:t>a Class 10a building or deck; and</w:t>
            </w:r>
          </w:p>
          <w:p>
            <w:pPr>
              <w:pStyle w:val="TableNAm"/>
              <w:spacing w:before="60"/>
              <w:ind w:left="918" w:hanging="459"/>
            </w:pPr>
            <w:r>
              <w:t>(ii)</w:t>
            </w:r>
            <w:r>
              <w:tab/>
              <w:t>associated with a relevant building.</w:t>
            </w:r>
          </w:p>
        </w:tc>
      </w:tr>
    </w:tbl>
    <w:p>
      <w:pPr>
        <w:pStyle w:val="Subsection"/>
      </w:pPr>
      <w:r>
        <w:tab/>
        <w:t>(2)</w:t>
      </w:r>
      <w:r>
        <w:tab/>
        <w:t>Item 1, 2 or 3 (as the case may be) of the Table to subregulation (1) does not apply if the building work is the assembly, reassembly or securing of a relocated building or a relocated incidental structure.</w:t>
      </w:r>
    </w:p>
    <w:p>
      <w:pPr>
        <w:pStyle w:val="PermNoteHeading"/>
      </w:pPr>
      <w:r>
        <w:tab/>
        <w:t>Note for this subregulation:</w:t>
      </w:r>
    </w:p>
    <w:p>
      <w:pPr>
        <w:pStyle w:val="PermNoteText"/>
      </w:pPr>
      <w:r>
        <w:tab/>
      </w:r>
      <w:r>
        <w:tab/>
        <w:t>See also regulation 31D.</w:t>
      </w:r>
    </w:p>
    <w:p>
      <w:pPr>
        <w:pStyle w:val="Subsection"/>
      </w:pPr>
      <w:r>
        <w:tab/>
        <w:t>(3)</w:t>
      </w:r>
      <w:r>
        <w:tab/>
        <w:t>Column 2 paragraph (b) of item 1, 2, 3, 5 or 6 (as the case may be) of the Table to subregulation (1) does not apply if the excluded building work is part of a larger project of building work that has been divided up for the sole or dominant purpose of taking advantage of that paragraph.</w:t>
      </w:r>
    </w:p>
    <w:p>
      <w:pPr>
        <w:pStyle w:val="Subsection"/>
        <w:keepNext/>
      </w:pPr>
      <w:r>
        <w:tab/>
        <w:t>(4)</w:t>
      </w:r>
      <w:r>
        <w:tab/>
        <w:t xml:space="preserve">In determining whether building work is excluded building work for the purposes of Column 2 paragraph (b) of item 2 or 3 (as the case may be) of the Table to subregulation (1), the definition of that term in subregulation (1A) applies as if the definition of </w:t>
      </w:r>
      <w:r>
        <w:rPr>
          <w:b/>
          <w:i/>
        </w:rPr>
        <w:t>relevant building</w:t>
      </w:r>
      <w:r>
        <w:t xml:space="preserve"> had not been replaced by the </w:t>
      </w:r>
      <w:r>
        <w:rPr>
          <w:i/>
        </w:rPr>
        <w:t>Building Amendment Regulations 2021</w:t>
      </w:r>
      <w:r>
        <w:t xml:space="preserve"> regulation 6(1) and (2) if — </w:t>
      </w:r>
    </w:p>
    <w:p>
      <w:pPr>
        <w:pStyle w:val="Indenta"/>
      </w:pPr>
      <w:r>
        <w:tab/>
        <w:t>(a)</w:t>
      </w:r>
      <w:r>
        <w:tab/>
        <w:t>in the case of item 2 — the building permit for the building work was obtained before 1 May 2021; or</w:t>
      </w:r>
    </w:p>
    <w:p>
      <w:pPr>
        <w:pStyle w:val="Indenta"/>
      </w:pPr>
      <w:r>
        <w:tab/>
        <w:t>(b)</w:t>
      </w:r>
      <w:r>
        <w:tab/>
        <w:t>in the case of item 3 — the building work commenced before 1 May 2021.</w:t>
      </w:r>
    </w:p>
    <w:p>
      <w:pPr>
        <w:pStyle w:val="Ednotesubsection"/>
      </w:pPr>
      <w:r>
        <w:tab/>
        <w:t>[(5)-(8)</w:t>
      </w:r>
      <w:r>
        <w:tab/>
        <w:t>deleted]</w:t>
      </w:r>
    </w:p>
    <w:p>
      <w:pPr>
        <w:pStyle w:val="Footnotesection"/>
        <w:spacing w:before="100"/>
      </w:pPr>
      <w:r>
        <w:tab/>
        <w:t>[Regulation 31BA inserted: Gazette 7 Dec 2015 p. 4898</w:t>
      </w:r>
      <w:r>
        <w:noBreakHyphen/>
        <w:t>900; amended: Gazette 5 Apr 2016 p. 1017</w:t>
      </w:r>
      <w:r>
        <w:noBreakHyphen/>
        <w:t>19; 9 Mar 2018 p. 800; 26 Mar 2019 p. 943; SL 2021/42 r. </w:t>
      </w:r>
      <w:del w:id="161" w:author="Master Repository Process" w:date="2022-06-27T14:39:00Z">
        <w:r>
          <w:delText>6</w:delText>
        </w:r>
      </w:del>
      <w:ins w:id="162" w:author="Master Repository Process" w:date="2022-06-27T14:39:00Z">
        <w:r>
          <w:t>6; SL 2022/26 r. 7</w:t>
        </w:r>
      </w:ins>
      <w:r>
        <w:t>.]</w:t>
      </w:r>
    </w:p>
    <w:p>
      <w:pPr>
        <w:pStyle w:val="Ednotesection"/>
      </w:pPr>
      <w:r>
        <w:t>[</w:t>
      </w:r>
      <w:r>
        <w:rPr>
          <w:b/>
        </w:rPr>
        <w:t>31B.</w:t>
      </w:r>
      <w:r>
        <w:tab/>
        <w:t>Deleted: Gazette 5 Oct 2018 p. 4014.]</w:t>
      </w:r>
    </w:p>
    <w:p>
      <w:pPr>
        <w:pStyle w:val="Heading5"/>
        <w:spacing w:before="240"/>
      </w:pPr>
      <w:bookmarkStart w:id="163" w:name="_Toc98494111"/>
      <w:bookmarkStart w:id="164" w:name="_Toc97638565"/>
      <w:r>
        <w:rPr>
          <w:rStyle w:val="CharSectno"/>
        </w:rPr>
        <w:t>31C</w:t>
      </w:r>
      <w:r>
        <w:t>.</w:t>
      </w:r>
      <w:r>
        <w:tab/>
        <w:t>Applicable building standards for swimming pools (s. 3, 19(3) and 37(1) and (2))</w:t>
      </w:r>
      <w:bookmarkEnd w:id="163"/>
      <w:bookmarkEnd w:id="164"/>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keepLines/>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165" w:name="_Toc98494112"/>
      <w:bookmarkStart w:id="166" w:name="_Toc97638566"/>
      <w:r>
        <w:rPr>
          <w:rStyle w:val="CharSectno"/>
        </w:rPr>
        <w:t>31D</w:t>
      </w:r>
      <w:r>
        <w:t>.</w:t>
      </w:r>
      <w:r>
        <w:tab/>
        <w:t>Applicable building standards for relocated buildings and incidental structures (other than swimming pools) (s. 3, 19(3) and 37(1) and (2))</w:t>
      </w:r>
      <w:bookmarkEnd w:id="165"/>
      <w:bookmarkEnd w:id="166"/>
    </w:p>
    <w:p>
      <w:pPr>
        <w:pStyle w:val="Subsection"/>
      </w:pPr>
      <w:r>
        <w:t>(1AA)</w:t>
      </w:r>
      <w:r>
        <w:tab/>
        <w:t xml:space="preserve">In this regulation — </w:t>
      </w:r>
    </w:p>
    <w:p>
      <w:pPr>
        <w:pStyle w:val="Defstart"/>
      </w:pPr>
      <w:r>
        <w:tab/>
      </w:r>
      <w:r>
        <w:rPr>
          <w:rStyle w:val="CharDefText"/>
        </w:rPr>
        <w:t>relevant building</w:t>
      </w:r>
      <w:r>
        <w:t xml:space="preserve"> has the meaning given in regulation 31BA(1A).</w:t>
      </w:r>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in relation to the technical aspects of the construction of the relocated building or incidental structure that were imposed under the written law applicable at the time the relocated building or incidental structure was first assembled, except to the extent that subregulations (3), (4) and (5) of this regulation otherwise provide.</w:t>
      </w:r>
    </w:p>
    <w:p>
      <w:pPr>
        <w:pStyle w:val="Subsection"/>
      </w:pPr>
      <w:r>
        <w:tab/>
        <w:t>(3)</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applicable to buildings or incidental structures of the classification of the relocated building or incidental structure; and</w:t>
      </w:r>
    </w:p>
    <w:p>
      <w:pPr>
        <w:pStyle w:val="Indenta"/>
      </w:pPr>
      <w:r>
        <w:tab/>
        <w:t>(c)</w:t>
      </w:r>
      <w:r>
        <w:tab/>
        <w:t>set out in the edition of the Building Code —</w:t>
      </w:r>
    </w:p>
    <w:p>
      <w:pPr>
        <w:pStyle w:val="Indenti"/>
      </w:pPr>
      <w:r>
        <w:tab/>
        <w:t>(i)</w:t>
      </w:r>
      <w:r>
        <w:tab/>
        <w:t>for sections 19(3) or 37(1) — mentioned in regulation 31A(2)(a), (b) or (c), subject to regulation 31A(2A) and (3); or</w:t>
      </w:r>
    </w:p>
    <w:p>
      <w:pPr>
        <w:pStyle w:val="Indenti"/>
      </w:pPr>
      <w:r>
        <w:tab/>
        <w:t>(ii)</w:t>
      </w:r>
      <w:r>
        <w:tab/>
        <w:t>for section 37(2) — in effect at the time the assembly, reassembly or securing of the relocated building or incidental structure commenced.</w:t>
      </w:r>
    </w:p>
    <w:p>
      <w:pPr>
        <w:pStyle w:val="THeadingNAm"/>
      </w:pPr>
      <w:r>
        <w:tab/>
      </w:r>
      <w:r>
        <w:tab/>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rPr>
          <w:cantSplit/>
        </w:trP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keepNext/>
            </w:pPr>
            <w:r>
              <w:t>Volume Two, Part 2.7 — Ancillary provisions and additional construction requirements</w:t>
            </w:r>
          </w:p>
        </w:tc>
        <w:tc>
          <w:tcPr>
            <w:tcW w:w="3021" w:type="dxa"/>
          </w:tcPr>
          <w:p>
            <w:pPr>
              <w:pStyle w:val="TableNAm"/>
              <w:keepNext/>
            </w:pPr>
            <w:r>
              <w:t>P2.7.3, P2.7.5, P2.7.6</w:t>
            </w:r>
          </w:p>
        </w:tc>
      </w:tr>
    </w:tbl>
    <w:p>
      <w:pPr>
        <w:pStyle w:val="Ednotesubsection"/>
      </w:pPr>
      <w:r>
        <w:tab/>
        <w:t>[(3A)</w:t>
      </w:r>
      <w:r>
        <w:tab/>
        <w:t>deleted]</w:t>
      </w:r>
    </w:p>
    <w:p>
      <w:pPr>
        <w:pStyle w:val="Subsection"/>
      </w:pPr>
      <w:r>
        <w:tab/>
        <w:t>(4)</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 xml:space="preserve">applicable to buildings or incidental structures — </w:t>
      </w:r>
    </w:p>
    <w:p>
      <w:pPr>
        <w:pStyle w:val="Indenti"/>
      </w:pPr>
      <w:r>
        <w:tab/>
        <w:t>(i)</w:t>
      </w:r>
      <w:r>
        <w:tab/>
        <w:t>of the classification of the relocated building or incidental structure; and</w:t>
      </w:r>
    </w:p>
    <w:p>
      <w:pPr>
        <w:pStyle w:val="Indenti"/>
      </w:pPr>
      <w:r>
        <w:tab/>
        <w:t>(ii)</w:t>
      </w:r>
      <w:r>
        <w:tab/>
        <w:t>in the geographical area where the relocated building or incidental structure was first assembled;</w:t>
      </w:r>
    </w:p>
    <w:p>
      <w:pPr>
        <w:pStyle w:val="Indenta"/>
      </w:pPr>
      <w:r>
        <w:tab/>
      </w:r>
      <w:r>
        <w:tab/>
        <w:t>and</w:t>
      </w:r>
    </w:p>
    <w:p>
      <w:pPr>
        <w:pStyle w:val="Indenta"/>
      </w:pPr>
      <w:r>
        <w:tab/>
        <w:t>(c)</w:t>
      </w:r>
      <w:r>
        <w:tab/>
        <w:t xml:space="preserve">set out in the edition of the Building Code in effect — </w:t>
      </w:r>
    </w:p>
    <w:p>
      <w:pPr>
        <w:pStyle w:val="Indenti"/>
      </w:pPr>
      <w:r>
        <w:tab/>
        <w:t>(i)</w:t>
      </w:r>
      <w:r>
        <w:tab/>
        <w:t>if subparagraph (ii) does not apply — at the time of, or 12 months before, the first application for a building permit to assemble the relocated building or incidental structure (whichever was applied by the building surveyor in respect of the building or incidental structure); or</w:t>
      </w:r>
    </w:p>
    <w:p>
      <w:pPr>
        <w:pStyle w:val="Indenti"/>
      </w:pPr>
      <w:r>
        <w:tab/>
        <w:t>(ii)</w:t>
      </w:r>
      <w:r>
        <w:tab/>
        <w:t>if no building permit to assemble the relocated building or incidental structure has ever been required — at the time of the first assembly of the relocated building or incidental structure.</w:t>
      </w:r>
    </w:p>
    <w:p>
      <w:pPr>
        <w:pStyle w:val="THeadingNAm"/>
        <w:spacing w:before="100"/>
      </w:pPr>
      <w:r>
        <w:t>Table</w:t>
      </w:r>
    </w:p>
    <w:tbl>
      <w:tblPr>
        <w:tblW w:w="6213"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PermNoteHeading"/>
      </w:pPr>
      <w:r>
        <w:tab/>
        <w:t>Note for this subregulation:</w:t>
      </w:r>
    </w:p>
    <w:p>
      <w:pPr>
        <w:pStyle w:val="PermNoteText"/>
      </w:pPr>
      <w:r>
        <w:tab/>
      </w:r>
      <w:r>
        <w:tab/>
        <w:t xml:space="preserve">This subregulation does not apply if the conditions in paragraph (c) cannot be met because — </w:t>
      </w:r>
    </w:p>
    <w:p>
      <w:pPr>
        <w:pStyle w:val="PermNotePara"/>
      </w:pPr>
      <w:r>
        <w:tab/>
        <w:t>(a)</w:t>
      </w:r>
      <w:r>
        <w:tab/>
        <w:t>a building permit to assemble the relocated building or incidental structure has been required but none has ever been applied for; or</w:t>
      </w:r>
    </w:p>
    <w:p>
      <w:pPr>
        <w:pStyle w:val="PermNotePara"/>
      </w:pPr>
      <w:r>
        <w:tab/>
        <w:t>(b)</w:t>
      </w:r>
      <w:r>
        <w:tab/>
        <w:t>no edition of the Building Code was in effect at the relevant time mentioned in paragraph (c).</w:t>
      </w:r>
    </w:p>
    <w:p>
      <w:pPr>
        <w:pStyle w:val="Subsection"/>
        <w:keepLines/>
      </w:pPr>
      <w:r>
        <w:tab/>
        <w:t>(5)</w:t>
      </w:r>
      <w:r>
        <w:tab/>
        <w:t>The bush fire performance requirements are not applicable building standards for the purposes of the section set out in Column 1 of the Table in the circumstances set out in Column 2 of the Table opposite the section.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41"/>
        <w:gridCol w:w="4426"/>
      </w:tblGrid>
      <w:tr>
        <w:trPr>
          <w:tblHeader/>
        </w:trPr>
        <w:tc>
          <w:tcPr>
            <w:tcW w:w="1641" w:type="dxa"/>
            <w:noWrap/>
          </w:tcPr>
          <w:p>
            <w:pPr>
              <w:pStyle w:val="TableNAm"/>
              <w:keepNext/>
              <w:jc w:val="center"/>
              <w:rPr>
                <w:b/>
                <w:bCs/>
              </w:rPr>
            </w:pPr>
            <w:r>
              <w:rPr>
                <w:b/>
                <w:bCs/>
              </w:rPr>
              <w:t>Column 1</w:t>
            </w:r>
          </w:p>
          <w:p>
            <w:pPr>
              <w:pStyle w:val="TableNAm"/>
              <w:keepNext/>
              <w:jc w:val="center"/>
              <w:rPr>
                <w:b/>
                <w:bCs/>
              </w:rPr>
            </w:pPr>
            <w:r>
              <w:rPr>
                <w:b/>
                <w:bCs/>
              </w:rPr>
              <w:t>Section</w:t>
            </w:r>
          </w:p>
        </w:tc>
        <w:tc>
          <w:tcPr>
            <w:tcW w:w="4426" w:type="dxa"/>
            <w:noWrap/>
          </w:tcPr>
          <w:p>
            <w:pPr>
              <w:pStyle w:val="TableNAm"/>
              <w:keepNext/>
              <w:jc w:val="center"/>
              <w:rPr>
                <w:b/>
                <w:bCs/>
              </w:rPr>
            </w:pPr>
            <w:r>
              <w:rPr>
                <w:b/>
                <w:bCs/>
              </w:rPr>
              <w:t>Column 2</w:t>
            </w:r>
          </w:p>
          <w:p>
            <w:pPr>
              <w:pStyle w:val="TableNAm"/>
              <w:keepNext/>
              <w:jc w:val="center"/>
              <w:rPr>
                <w:b/>
                <w:bCs/>
              </w:rPr>
            </w:pPr>
            <w:r>
              <w:rPr>
                <w:b/>
                <w:bCs/>
              </w:rPr>
              <w:t>Circumstances</w:t>
            </w:r>
          </w:p>
        </w:tc>
      </w:tr>
      <w:tr>
        <w:tc>
          <w:tcPr>
            <w:tcW w:w="1641" w:type="dxa"/>
            <w:noWrap/>
          </w:tcPr>
          <w:p>
            <w:pPr>
              <w:pStyle w:val="TableNAm"/>
              <w:keepNext/>
            </w:pPr>
            <w:r>
              <w:t>s. 19(3)</w:t>
            </w:r>
          </w:p>
        </w:tc>
        <w:tc>
          <w:tcPr>
            <w:tcW w:w="4426" w:type="dxa"/>
            <w:noWrap/>
          </w:tcPr>
          <w:p>
            <w:pPr>
              <w:pStyle w:val="TableNAm"/>
              <w:keepNext/>
            </w:pPr>
            <w:r>
              <w:t xml:space="preserve">If — </w:t>
            </w:r>
          </w:p>
          <w:p>
            <w:pPr>
              <w:pStyle w:val="TableNAm"/>
              <w:keepNext/>
              <w:ind w:left="459" w:hanging="459"/>
            </w:pPr>
            <w:r>
              <w:t>(a)</w:t>
            </w:r>
            <w:r>
              <w:tab/>
              <w:t>the relocated building or incidental structure will be relocated to an area that, at any time during the 4</w:t>
            </w:r>
            <w:r>
              <w:noBreakHyphen/>
              <w:t>month period ending on the day on which the application is made, was not a bush fire prone area; or</w:t>
            </w:r>
          </w:p>
          <w:p>
            <w:pPr>
              <w:pStyle w:val="TableNAm"/>
              <w:keepNext/>
              <w:ind w:left="459" w:hanging="459"/>
            </w:pPr>
            <w:r>
              <w:t>(b)</w:t>
            </w:r>
            <w:r>
              <w:tab/>
              <w:t xml:space="preserve">the relocated building or incidental structure — </w:t>
            </w:r>
          </w:p>
          <w:p>
            <w:pPr>
              <w:pStyle w:val="TableNAm"/>
              <w:keepNext/>
              <w:spacing w:before="60"/>
              <w:ind w:left="918" w:hanging="459"/>
            </w:pPr>
            <w:r>
              <w:t>(i)</w:t>
            </w:r>
            <w:r>
              <w:tab/>
              <w:t>is a Class 10a building or deck; and</w:t>
            </w:r>
          </w:p>
          <w:p>
            <w:pPr>
              <w:pStyle w:val="TableNAm"/>
              <w:keepNext/>
              <w:spacing w:before="60"/>
              <w:ind w:left="918" w:hanging="459"/>
            </w:pPr>
            <w:r>
              <w:t>(ii)</w:t>
            </w:r>
            <w:r>
              <w:tab/>
              <w:t>will be associated with a relevant building once relocated.</w:t>
            </w:r>
          </w:p>
        </w:tc>
      </w:tr>
      <w:tr>
        <w:tc>
          <w:tcPr>
            <w:tcW w:w="1641" w:type="dxa"/>
            <w:noWrap/>
          </w:tcPr>
          <w:p>
            <w:pPr>
              <w:pStyle w:val="TableNAm"/>
            </w:pPr>
            <w:r>
              <w:t>s. 37(1)</w:t>
            </w:r>
          </w:p>
        </w:tc>
        <w:tc>
          <w:tcPr>
            <w:tcW w:w="4426" w:type="dxa"/>
            <w:noWrap/>
          </w:tcPr>
          <w:p>
            <w:pPr>
              <w:pStyle w:val="TableNAm"/>
              <w:ind w:left="459" w:hanging="459"/>
            </w:pPr>
            <w:r>
              <w:t>If —</w:t>
            </w:r>
          </w:p>
          <w:p>
            <w:pPr>
              <w:pStyle w:val="TableNAm"/>
              <w:ind w:left="459" w:hanging="459"/>
            </w:pPr>
            <w:r>
              <w:t>(a)</w:t>
            </w:r>
            <w:r>
              <w:tab/>
              <w:t>the relocated building or incidental structure is relocated to an area that, at any time during the 4</w:t>
            </w:r>
            <w:r>
              <w:noBreakHyphen/>
              <w:t>month period ending on the day on which the application for the building permit was made, was not a bush fire prone area; or</w:t>
            </w:r>
          </w:p>
          <w:p>
            <w:pPr>
              <w:pStyle w:val="TableNAm"/>
              <w:keepNext/>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keepNext/>
              <w:spacing w:before="60"/>
              <w:ind w:left="918" w:hanging="459"/>
            </w:pPr>
            <w:r>
              <w:t>(ii)</w:t>
            </w:r>
            <w:r>
              <w:tab/>
              <w:t>is associated with a relevant building once relocated.</w:t>
            </w:r>
          </w:p>
          <w:p>
            <w:pPr>
              <w:pStyle w:val="TableNAm"/>
              <w:keepNext/>
              <w:keepLines/>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rPr>
          <w:cantSplit/>
        </w:trPr>
        <w:tc>
          <w:tcPr>
            <w:tcW w:w="1641" w:type="dxa"/>
            <w:noWrap/>
          </w:tcPr>
          <w:p>
            <w:pPr>
              <w:pStyle w:val="TableNAm"/>
            </w:pPr>
            <w:r>
              <w:t>s. 37(2)</w:t>
            </w:r>
          </w:p>
        </w:tc>
        <w:tc>
          <w:tcPr>
            <w:tcW w:w="4426" w:type="dxa"/>
            <w:noWrap/>
          </w:tcPr>
          <w:p>
            <w:pPr>
              <w:pStyle w:val="TableNAm"/>
              <w:ind w:left="459" w:hanging="459"/>
            </w:pPr>
            <w:r>
              <w:t xml:space="preserve">If — </w:t>
            </w:r>
          </w:p>
          <w:p>
            <w:pPr>
              <w:pStyle w:val="TableNAm"/>
              <w:ind w:left="459" w:hanging="459"/>
            </w:pPr>
            <w:r>
              <w:t>(a)</w:t>
            </w:r>
            <w:r>
              <w:tab/>
              <w:t>the relocated building or incidental structure is relocated to an area that, at any time during the 4</w:t>
            </w:r>
            <w:r>
              <w:noBreakHyphen/>
              <w:t>month period ending on the day on which the assembly, reassembly or securing of the relocated building or incidental structure commenced, was not a bush fire prone area; or</w:t>
            </w:r>
          </w:p>
          <w:p>
            <w:pPr>
              <w:pStyle w:val="TableNAm"/>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spacing w:before="60"/>
              <w:ind w:left="918" w:hanging="459"/>
            </w:pPr>
            <w:r>
              <w:t>(ii)</w:t>
            </w:r>
            <w:r>
              <w:tab/>
              <w:t>is associated with a relevant building once relocated.</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bl>
    <w:p>
      <w:pPr>
        <w:pStyle w:val="Footnotesection"/>
      </w:pPr>
      <w:r>
        <w:tab/>
        <w:t>[Regulation 31D inserted: Gazette 18 Dec 2012 p. 6564-7; amended: Gazette 24 Apr 2014 p. 1136; 15 Apr 2016 p. 1169; 9 Mar 2018 p. 800; 26 Mar 2019 p. 945 and 946; SL 2020/46 r. 6; SL 2021/42 r. 7.]</w:t>
      </w:r>
    </w:p>
    <w:p>
      <w:pPr>
        <w:pStyle w:val="Heading5"/>
      </w:pPr>
      <w:bookmarkStart w:id="167" w:name="_Toc98494113"/>
      <w:bookmarkStart w:id="168" w:name="_Toc97638567"/>
      <w:r>
        <w:rPr>
          <w:rStyle w:val="CharSectno"/>
        </w:rPr>
        <w:t>31E</w:t>
      </w:r>
      <w:r>
        <w:t>.</w:t>
      </w:r>
      <w:r>
        <w:tab/>
        <w:t>Applicable building standards for building work done without permit (s. 3 and 37(2))</w:t>
      </w:r>
      <w:bookmarkEnd w:id="167"/>
      <w:bookmarkEnd w:id="168"/>
    </w:p>
    <w:p>
      <w:pPr>
        <w:pStyle w:val="Subsection"/>
        <w:keepLines/>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the building work mentioned in section 37(2) commenced.</w:t>
      </w:r>
    </w:p>
    <w:p>
      <w:pPr>
        <w:pStyle w:val="Footnotesection"/>
      </w:pPr>
      <w:r>
        <w:tab/>
        <w:t>[Regulation 31E inserted: Gazette 18 Dec 2012 p. 6567; amended: Gazette 7 Dec 2015 p. 4900; 15 Apr 2016 p. 1169; 5 Oct 2018 p. 4014; SL 2021/42 r. 8.]</w:t>
      </w:r>
    </w:p>
    <w:p>
      <w:pPr>
        <w:pStyle w:val="Heading5"/>
        <w:keepNext w:val="0"/>
        <w:keepLines w:val="0"/>
        <w:spacing w:line="240" w:lineRule="auto"/>
      </w:pPr>
      <w:bookmarkStart w:id="169" w:name="_Toc98494114"/>
      <w:bookmarkStart w:id="170" w:name="_Toc97638568"/>
      <w:r>
        <w:rPr>
          <w:rStyle w:val="CharSectno"/>
        </w:rPr>
        <w:t>31F</w:t>
      </w:r>
      <w:r>
        <w:t>.</w:t>
      </w:r>
      <w:r>
        <w:tab/>
        <w:t>Applicable building standards for replacement occupancy permit for permanent change of building’s use (s. 3, 57(3) and 49(a))</w:t>
      </w:r>
      <w:bookmarkEnd w:id="169"/>
      <w:bookmarkEnd w:id="17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in respect of all kinds of buildings.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keepNext/>
      </w:pPr>
      <w:r>
        <w:tab/>
        <w:t>(b)</w:t>
      </w:r>
      <w:r>
        <w:tab/>
        <w:t>each requirement in relation to the technical aspects of the construction of the building applicable to the building at the time of its construction.</w:t>
      </w:r>
    </w:p>
    <w:p>
      <w:pPr>
        <w:pStyle w:val="Footnotesection"/>
        <w:keepLines w:val="0"/>
      </w:pPr>
      <w:r>
        <w:tab/>
        <w:t>[Regulation 31F inserted: Gazette 18 Dec 2012 p. 6568; amended: Gazette 21 Jun 2013 p. 2446; 24 Apr 2014 p. 1136; SL 2020/46 r. 7; 31 Dec 2019 p. 4639.]</w:t>
      </w:r>
    </w:p>
    <w:p>
      <w:pPr>
        <w:pStyle w:val="Heading5"/>
        <w:spacing w:before="240"/>
      </w:pPr>
      <w:bookmarkStart w:id="171" w:name="_Toc98494115"/>
      <w:bookmarkStart w:id="172" w:name="_Toc97638569"/>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171"/>
      <w:bookmarkEnd w:id="172"/>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keepNext/>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173" w:name="_Toc98494116"/>
      <w:bookmarkStart w:id="174" w:name="_Toc97638570"/>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73"/>
      <w:bookmarkEnd w:id="17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keepNext/>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 SL 2020/46 r. 8.]</w:t>
      </w:r>
    </w:p>
    <w:p>
      <w:pPr>
        <w:pStyle w:val="Heading5"/>
      </w:pPr>
      <w:bookmarkStart w:id="175" w:name="_Toc98494117"/>
      <w:bookmarkStart w:id="176" w:name="_Toc97638571"/>
      <w:r>
        <w:rPr>
          <w:rStyle w:val="CharSectno"/>
        </w:rPr>
        <w:t>31HA</w:t>
      </w:r>
      <w:r>
        <w:t>.</w:t>
      </w:r>
      <w:r>
        <w:tab/>
        <w:t>Applicable building standards for non</w:t>
      </w:r>
      <w:r>
        <w:noBreakHyphen/>
        <w:t>combustible external walls (s. 3, 19(3), 37(1) and (2) and 57(3))</w:t>
      </w:r>
      <w:bookmarkEnd w:id="175"/>
      <w:bookmarkEnd w:id="176"/>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keepNext/>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5"/>
      </w:pPr>
      <w:bookmarkStart w:id="177" w:name="_Toc98494118"/>
      <w:bookmarkStart w:id="178" w:name="_Toc97638572"/>
      <w:r>
        <w:rPr>
          <w:rStyle w:val="CharSectno"/>
        </w:rPr>
        <w:t>31HB</w:t>
      </w:r>
      <w:r>
        <w:t>.</w:t>
      </w:r>
      <w:r>
        <w:tab/>
        <w:t xml:space="preserve">Transitional provisions for </w:t>
      </w:r>
      <w:r>
        <w:rPr>
          <w:i/>
        </w:rPr>
        <w:t>Building Amendment Regulations (No. 3) 2015</w:t>
      </w:r>
      <w:bookmarkEnd w:id="177"/>
      <w:bookmarkEnd w:id="178"/>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Building Amendment Regulations (No. 3) 2015</w:t>
      </w:r>
      <w:r>
        <w:t xml:space="preserve"> 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Subsection"/>
      </w:pPr>
      <w:r>
        <w:tab/>
        <w:t>(2)</w:t>
      </w:r>
      <w:r>
        <w:tab/>
        <w:t>For the purposes of item 2 Column 2 paragraph (a) of the Table to regulation 31BA(1), and the item relating to section 37(1)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tab/>
        <w:t>(b)</w:t>
      </w:r>
      <w:r>
        <w:tab/>
        <w:t>the application for the building permit was made in the 4</w:t>
      </w:r>
      <w:r>
        <w:noBreakHyphen/>
        <w:t>month period beginning on commencement day.</w:t>
      </w:r>
    </w:p>
    <w:p>
      <w:pPr>
        <w:pStyle w:val="Subsection"/>
      </w:pPr>
      <w:r>
        <w:tab/>
        <w:t>(3)</w:t>
      </w:r>
      <w:r>
        <w:tab/>
        <w:t>For the purposes of item 3 Column 2 paragraph (a) of the Table to regulation 31BA(1), and the item relating to section 37(2)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tab/>
        <w:t>(b)</w:t>
      </w:r>
      <w:r>
        <w:tab/>
        <w:t>the building work commenced in the 4</w:t>
      </w:r>
      <w:r>
        <w:noBreakHyphen/>
        <w:t>month period beginning on commencement day.</w:t>
      </w:r>
    </w:p>
    <w:p>
      <w:pPr>
        <w:pStyle w:val="Footnotesection"/>
      </w:pPr>
      <w:r>
        <w:rPr>
          <w:szCs w:val="24"/>
        </w:rPr>
        <w:tab/>
        <w:t xml:space="preserve">[Regulation 31HB inserted: </w:t>
      </w:r>
      <w:r>
        <w:t>SL 2021/42 r. 9</w:t>
      </w:r>
      <w:r>
        <w:rPr>
          <w:szCs w:val="24"/>
        </w:rPr>
        <w:t>.]</w:t>
      </w:r>
    </w:p>
    <w:p>
      <w:pPr>
        <w:pStyle w:val="Heading4"/>
      </w:pPr>
      <w:bookmarkStart w:id="179" w:name="_Toc98427276"/>
      <w:bookmarkStart w:id="180" w:name="_Toc98489330"/>
      <w:bookmarkStart w:id="181" w:name="_Toc98494119"/>
      <w:bookmarkStart w:id="182" w:name="_Toc97636320"/>
      <w:bookmarkStart w:id="183" w:name="_Toc97637008"/>
      <w:bookmarkStart w:id="184" w:name="_Toc97638573"/>
      <w:r>
        <w:t>Subdivision 2 — Building standards in relation to demolition</w:t>
      </w:r>
      <w:bookmarkEnd w:id="179"/>
      <w:bookmarkEnd w:id="180"/>
      <w:bookmarkEnd w:id="181"/>
      <w:bookmarkEnd w:id="182"/>
      <w:bookmarkEnd w:id="183"/>
      <w:bookmarkEnd w:id="184"/>
    </w:p>
    <w:p>
      <w:pPr>
        <w:pStyle w:val="Footnoteheading"/>
        <w:keepNext/>
      </w:pPr>
      <w:r>
        <w:tab/>
        <w:t>[Heading inserted: Gazette 18 Dec 2012 p. 6570.]</w:t>
      </w:r>
    </w:p>
    <w:p>
      <w:pPr>
        <w:pStyle w:val="Heading5"/>
        <w:spacing w:before="240"/>
      </w:pPr>
      <w:bookmarkStart w:id="185" w:name="_Toc98494120"/>
      <w:bookmarkStart w:id="186" w:name="_Toc97638574"/>
      <w:r>
        <w:rPr>
          <w:rStyle w:val="CharSectno"/>
        </w:rPr>
        <w:t>31I</w:t>
      </w:r>
      <w:r>
        <w:t>.</w:t>
      </w:r>
      <w:r>
        <w:tab/>
        <w:t>Applicable building standards in relation to demolition work (s. 3 and 38)</w:t>
      </w:r>
      <w:bookmarkEnd w:id="185"/>
      <w:bookmarkEnd w:id="18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keepLines/>
      </w:pPr>
      <w:bookmarkStart w:id="187" w:name="_Toc98427278"/>
      <w:bookmarkStart w:id="188" w:name="_Toc98489332"/>
      <w:bookmarkStart w:id="189" w:name="_Toc98494121"/>
      <w:bookmarkStart w:id="190" w:name="_Toc97636322"/>
      <w:bookmarkStart w:id="191" w:name="_Toc97637010"/>
      <w:bookmarkStart w:id="192" w:name="_Toc97638575"/>
      <w:r>
        <w:rPr>
          <w:rStyle w:val="CharDivNo"/>
        </w:rPr>
        <w:t>Division 2</w:t>
      </w:r>
      <w:r>
        <w:t> — </w:t>
      </w:r>
      <w:r>
        <w:rPr>
          <w:rStyle w:val="CharDivText"/>
        </w:rPr>
        <w:t>Demonstrating compliance with building standards</w:t>
      </w:r>
      <w:bookmarkEnd w:id="187"/>
      <w:bookmarkEnd w:id="188"/>
      <w:bookmarkEnd w:id="189"/>
      <w:bookmarkEnd w:id="190"/>
      <w:bookmarkEnd w:id="191"/>
      <w:bookmarkEnd w:id="192"/>
    </w:p>
    <w:p>
      <w:pPr>
        <w:pStyle w:val="Footnoteheading"/>
        <w:keepNext/>
        <w:keepLines/>
      </w:pPr>
      <w:r>
        <w:tab/>
        <w:t>[Heading inserted: Gazette 18 Dec 2012 p. 6571.]</w:t>
      </w:r>
    </w:p>
    <w:p>
      <w:pPr>
        <w:pStyle w:val="Heading5"/>
      </w:pPr>
      <w:bookmarkStart w:id="193" w:name="_Toc98494122"/>
      <w:bookmarkStart w:id="194" w:name="_Toc97638576"/>
      <w:r>
        <w:rPr>
          <w:rStyle w:val="CharSectno"/>
        </w:rPr>
        <w:t>31J</w:t>
      </w:r>
      <w:r>
        <w:t>.</w:t>
      </w:r>
      <w:r>
        <w:tab/>
        <w:t>Compliance with building standards — CodeMark certificates</w:t>
      </w:r>
      <w:bookmarkEnd w:id="193"/>
      <w:bookmarkEnd w:id="194"/>
    </w:p>
    <w:p>
      <w:pPr>
        <w:pStyle w:val="Subsection"/>
        <w:keepNext/>
        <w:keepLines/>
      </w:pPr>
      <w:r>
        <w:tab/>
        <w:t>(1)</w:t>
      </w:r>
      <w:r>
        <w:tab/>
        <w:t xml:space="preserve">In this regulation — </w:t>
      </w:r>
    </w:p>
    <w:p>
      <w:pPr>
        <w:pStyle w:val="Defstart"/>
        <w:keepNext/>
        <w:keepLines/>
      </w:pPr>
      <w:r>
        <w:tab/>
      </w:r>
      <w:r>
        <w:rPr>
          <w:rStyle w:val="CharDefText"/>
        </w:rPr>
        <w:t>building product</w:t>
      </w:r>
      <w:r>
        <w:t xml:space="preserve"> includes a building product, method, design, component and system;</w:t>
      </w:r>
    </w:p>
    <w:p>
      <w:pPr>
        <w:pStyle w:val="Defstart"/>
        <w:keepNext/>
        <w:keepLines/>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195" w:name="_Toc98427280"/>
      <w:bookmarkStart w:id="196" w:name="_Toc98489334"/>
      <w:bookmarkStart w:id="197" w:name="_Toc98494123"/>
      <w:bookmarkStart w:id="198" w:name="_Toc97636324"/>
      <w:bookmarkStart w:id="199" w:name="_Toc97637012"/>
      <w:bookmarkStart w:id="200" w:name="_Toc97638577"/>
      <w:r>
        <w:rPr>
          <w:rStyle w:val="CharDivNo"/>
        </w:rPr>
        <w:t>Division 3</w:t>
      </w:r>
      <w:r>
        <w:t> — </w:t>
      </w:r>
      <w:r>
        <w:rPr>
          <w:rStyle w:val="CharDivText"/>
        </w:rPr>
        <w:t>Non</w:t>
      </w:r>
      <w:r>
        <w:rPr>
          <w:rStyle w:val="CharDivText"/>
        </w:rPr>
        <w:noBreakHyphen/>
        <w:t>application, modification, of building standards</w:t>
      </w:r>
      <w:bookmarkEnd w:id="195"/>
      <w:bookmarkEnd w:id="196"/>
      <w:bookmarkEnd w:id="197"/>
      <w:bookmarkEnd w:id="198"/>
      <w:bookmarkEnd w:id="199"/>
      <w:bookmarkEnd w:id="200"/>
    </w:p>
    <w:p>
      <w:pPr>
        <w:pStyle w:val="Footnoteheading"/>
        <w:keepNext/>
      </w:pPr>
      <w:r>
        <w:tab/>
        <w:t>[Heading inserted: Gazette 18 Dec 2012 p. 6571.]</w:t>
      </w:r>
    </w:p>
    <w:p>
      <w:pPr>
        <w:pStyle w:val="Heading5"/>
      </w:pPr>
      <w:bookmarkStart w:id="201" w:name="_Toc98494124"/>
      <w:bookmarkStart w:id="202" w:name="_Toc97638578"/>
      <w:r>
        <w:rPr>
          <w:rStyle w:val="CharSectno"/>
        </w:rPr>
        <w:t>31</w:t>
      </w:r>
      <w:r>
        <w:t>.</w:t>
      </w:r>
      <w:r>
        <w:tab/>
        <w:t>Terms used</w:t>
      </w:r>
      <w:bookmarkEnd w:id="201"/>
      <w:bookmarkEnd w:id="202"/>
    </w:p>
    <w:p>
      <w:pPr>
        <w:pStyle w:val="Subsection"/>
        <w:keepNext/>
      </w:pPr>
      <w:r>
        <w:tab/>
      </w:r>
      <w:r>
        <w:tab/>
        <w:t>In this Division —</w:t>
      </w:r>
    </w:p>
    <w:p>
      <w:pPr>
        <w:pStyle w:val="Defstart"/>
        <w:keepNex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September 2023;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 SL 2021/42 r. 10.]</w:t>
      </w:r>
    </w:p>
    <w:p>
      <w:pPr>
        <w:pStyle w:val="Heading5"/>
        <w:keepNext w:val="0"/>
      </w:pPr>
      <w:bookmarkStart w:id="203" w:name="_Toc98494125"/>
      <w:bookmarkStart w:id="204" w:name="_Toc97638579"/>
      <w:r>
        <w:rPr>
          <w:rStyle w:val="CharSectno"/>
        </w:rPr>
        <w:t>32</w:t>
      </w:r>
      <w:r>
        <w:t>.</w:t>
      </w:r>
      <w:r>
        <w:tab/>
        <w:t>Statements to accompany application (s. 39(8)(b))</w:t>
      </w:r>
      <w:bookmarkEnd w:id="203"/>
      <w:bookmarkEnd w:id="204"/>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205" w:name="_Toc98494126"/>
      <w:bookmarkStart w:id="206" w:name="_Toc97638580"/>
      <w:r>
        <w:rPr>
          <w:rStyle w:val="CharSectno"/>
        </w:rPr>
        <w:t>32A</w:t>
      </w:r>
      <w:r>
        <w:t>.</w:t>
      </w:r>
      <w:r>
        <w:tab/>
        <w:t>Statement to accompany transitional bush fire application (s. 39(8)(b))</w:t>
      </w:r>
      <w:bookmarkEnd w:id="205"/>
      <w:bookmarkEnd w:id="206"/>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207" w:name="_Toc98494127"/>
      <w:bookmarkStart w:id="208" w:name="_Toc97638581"/>
      <w:r>
        <w:rPr>
          <w:rStyle w:val="CharSectno"/>
        </w:rPr>
        <w:t>33</w:t>
      </w:r>
      <w:r>
        <w:t>.</w:t>
      </w:r>
      <w:r>
        <w:tab/>
        <w:t>Decisions on applications (s. 39(9)(a))</w:t>
      </w:r>
      <w:bookmarkEnd w:id="207"/>
      <w:bookmarkEnd w:id="208"/>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keepNext w:val="0"/>
        <w:keepLines w:val="0"/>
      </w:pPr>
      <w:bookmarkStart w:id="209" w:name="_Toc98494128"/>
      <w:bookmarkStart w:id="210" w:name="_Toc97638582"/>
      <w:r>
        <w:rPr>
          <w:rStyle w:val="CharSectno"/>
        </w:rPr>
        <w:t>34</w:t>
      </w:r>
      <w:r>
        <w:t>.</w:t>
      </w:r>
      <w:r>
        <w:tab/>
        <w:t>Revoking or amending declarations (s. 39(9)(b))</w:t>
      </w:r>
      <w:bookmarkEnd w:id="209"/>
      <w:bookmarkEnd w:id="210"/>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211" w:name="_Toc98427286"/>
      <w:bookmarkStart w:id="212" w:name="_Toc98489340"/>
      <w:bookmarkStart w:id="213" w:name="_Toc98494129"/>
      <w:bookmarkStart w:id="214" w:name="_Toc97636330"/>
      <w:bookmarkStart w:id="215" w:name="_Toc97637018"/>
      <w:bookmarkStart w:id="216" w:name="_Toc97638583"/>
      <w:r>
        <w:rPr>
          <w:rStyle w:val="CharPartNo"/>
        </w:rPr>
        <w:t>Part 5</w:t>
      </w:r>
      <w:r>
        <w:rPr>
          <w:rStyle w:val="CharDivNo"/>
        </w:rPr>
        <w:t> </w:t>
      </w:r>
      <w:r>
        <w:t>—</w:t>
      </w:r>
      <w:r>
        <w:rPr>
          <w:rStyle w:val="CharDivText"/>
        </w:rPr>
        <w:t> </w:t>
      </w:r>
      <w:r>
        <w:rPr>
          <w:rStyle w:val="CharPartText"/>
        </w:rPr>
        <w:t>Occupancy permits and building approval certificates</w:t>
      </w:r>
      <w:bookmarkEnd w:id="211"/>
      <w:bookmarkEnd w:id="212"/>
      <w:bookmarkEnd w:id="213"/>
      <w:bookmarkEnd w:id="214"/>
      <w:bookmarkEnd w:id="215"/>
      <w:bookmarkEnd w:id="216"/>
    </w:p>
    <w:p>
      <w:pPr>
        <w:pStyle w:val="Heading5"/>
      </w:pPr>
      <w:bookmarkStart w:id="217" w:name="_Toc98494130"/>
      <w:bookmarkStart w:id="218" w:name="_Toc97638584"/>
      <w:r>
        <w:rPr>
          <w:rStyle w:val="CharSectno"/>
        </w:rPr>
        <w:t>35</w:t>
      </w:r>
      <w:r>
        <w:t>.</w:t>
      </w:r>
      <w:r>
        <w:tab/>
        <w:t>Display of occupancy permit details (s. 42(a))</w:t>
      </w:r>
      <w:bookmarkEnd w:id="217"/>
      <w:bookmarkEnd w:id="218"/>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219" w:name="_Toc98494131"/>
      <w:bookmarkStart w:id="220" w:name="_Toc97638585"/>
      <w:r>
        <w:rPr>
          <w:rStyle w:val="CharSectno"/>
        </w:rPr>
        <w:t>36A</w:t>
      </w:r>
      <w:r>
        <w:t>.</w:t>
      </w:r>
      <w:r>
        <w:tab/>
        <w:t>Further information (s. 55(3) and (4))</w:t>
      </w:r>
      <w:bookmarkEnd w:id="219"/>
      <w:bookmarkEnd w:id="220"/>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221" w:name="_Toc98494132"/>
      <w:bookmarkStart w:id="222" w:name="_Toc97638586"/>
      <w:r>
        <w:rPr>
          <w:rStyle w:val="CharSectno"/>
        </w:rPr>
        <w:t>36</w:t>
      </w:r>
      <w:r>
        <w:t>.</w:t>
      </w:r>
      <w:r>
        <w:tab/>
        <w:t>Certificate of building compliance (s. 57)</w:t>
      </w:r>
      <w:bookmarkEnd w:id="221"/>
      <w:bookmarkEnd w:id="222"/>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Indenta"/>
      </w:pPr>
      <w:r>
        <w:tab/>
        <w:t>(e)</w:t>
      </w:r>
      <w:r>
        <w:tab/>
        <w:t xml:space="preserve">an approval required under the Swan Valley Planning Scheme in force under the </w:t>
      </w:r>
      <w:r>
        <w:rPr>
          <w:i/>
        </w:rPr>
        <w:t>Swan Valley Planning Act 2020</w:t>
      </w:r>
      <w:r>
        <w:t>.</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if the building is located in a bush fire prone area and, in accordance with item 4 of the Table to regulation 31BA(1), a bush fire performance requirement applies to the building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if the building or deck is located in a bush fire prone area and, in accordance with item 5 or 6 (as the case may be) of the Table to regulation 31BA(1), a bush fire performance requirement applies to the building or deck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 SL 2021/42 r. 11; SL 2021/130 r. 4.]</w:t>
      </w:r>
    </w:p>
    <w:p>
      <w:pPr>
        <w:pStyle w:val="Heading5"/>
      </w:pPr>
      <w:bookmarkStart w:id="223" w:name="_Toc98494133"/>
      <w:bookmarkStart w:id="224" w:name="_Toc97638587"/>
      <w:r>
        <w:rPr>
          <w:rStyle w:val="CharSectno"/>
        </w:rPr>
        <w:t>37</w:t>
      </w:r>
      <w:r>
        <w:t>.</w:t>
      </w:r>
      <w:r>
        <w:tab/>
        <w:t>Grant of occupancy permit or building approval certificate (s. 58)</w:t>
      </w:r>
      <w:bookmarkEnd w:id="223"/>
      <w:bookmarkEnd w:id="224"/>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Indenta"/>
      </w:pPr>
      <w:r>
        <w:tab/>
        <w:t>(e)</w:t>
      </w:r>
      <w:r>
        <w:tab/>
        <w:t xml:space="preserve">an approval required under the Swan Valley Planning Scheme in force under the </w:t>
      </w:r>
      <w:r>
        <w:rPr>
          <w:i/>
        </w:rPr>
        <w:t>Swan Valley Planning Act 2020</w:t>
      </w:r>
      <w:r>
        <w:t>.</w:t>
      </w:r>
    </w:p>
    <w:p>
      <w:pPr>
        <w:pStyle w:val="Footnotesection"/>
      </w:pPr>
      <w:r>
        <w:tab/>
        <w:t>[Regulation 37 amended: Gazette 10 Jan 2017 p. 182; SL 2021/130 r. 5.]</w:t>
      </w:r>
    </w:p>
    <w:p>
      <w:pPr>
        <w:pStyle w:val="Heading5"/>
      </w:pPr>
      <w:bookmarkStart w:id="225" w:name="_Toc98494134"/>
      <w:bookmarkStart w:id="226" w:name="_Toc97638588"/>
      <w:r>
        <w:rPr>
          <w:rStyle w:val="CharSectno"/>
        </w:rPr>
        <w:t>38</w:t>
      </w:r>
      <w:r>
        <w:t>.</w:t>
      </w:r>
      <w:r>
        <w:tab/>
        <w:t>Time for granting occupancy permit or building approval certificate (s. 59)</w:t>
      </w:r>
      <w:bookmarkEnd w:id="225"/>
      <w:bookmarkEnd w:id="226"/>
    </w:p>
    <w:p>
      <w:pPr>
        <w:pStyle w:val="Subsection"/>
      </w:pPr>
      <w:r>
        <w:tab/>
      </w:r>
      <w:r>
        <w:tab/>
        <w:t>For the purposes of section 59(1)(a)(i) the period for deciding whether or not to grant or modify an occupancy permit or grant a building approval certificate is 10 business days.</w:t>
      </w:r>
    </w:p>
    <w:p>
      <w:pPr>
        <w:pStyle w:val="Ednotesection"/>
        <w:spacing w:before="240"/>
      </w:pPr>
      <w:r>
        <w:t>[</w:t>
      </w:r>
      <w:r>
        <w:rPr>
          <w:b/>
        </w:rPr>
        <w:t>39.</w:t>
      </w:r>
      <w:r>
        <w:tab/>
        <w:t>Deleted: Gazette 31 Dec 2019 p. 4639.]</w:t>
      </w:r>
    </w:p>
    <w:p>
      <w:pPr>
        <w:pStyle w:val="Heading5"/>
      </w:pPr>
      <w:bookmarkStart w:id="227" w:name="_Toc98494135"/>
      <w:bookmarkStart w:id="228" w:name="_Toc97638589"/>
      <w:r>
        <w:rPr>
          <w:rStyle w:val="CharSectno"/>
        </w:rPr>
        <w:t>40</w:t>
      </w:r>
      <w:r>
        <w:t>.</w:t>
      </w:r>
      <w:r>
        <w:tab/>
        <w:t>Extension of period of duration of time limited occupancy permit or building approval certificate (s. 65)</w:t>
      </w:r>
      <w:bookmarkEnd w:id="227"/>
      <w:bookmarkEnd w:id="228"/>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229" w:name="_Toc98427293"/>
      <w:bookmarkStart w:id="230" w:name="_Toc98489347"/>
      <w:bookmarkStart w:id="231" w:name="_Toc98494136"/>
      <w:bookmarkStart w:id="232" w:name="_Toc97636337"/>
      <w:bookmarkStart w:id="233" w:name="_Toc97637025"/>
      <w:bookmarkStart w:id="234" w:name="_Toc97638590"/>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229"/>
      <w:bookmarkEnd w:id="230"/>
      <w:bookmarkEnd w:id="231"/>
      <w:bookmarkEnd w:id="232"/>
      <w:bookmarkEnd w:id="233"/>
      <w:bookmarkEnd w:id="234"/>
    </w:p>
    <w:p>
      <w:pPr>
        <w:pStyle w:val="Heading5"/>
      </w:pPr>
      <w:bookmarkStart w:id="235" w:name="_Toc98494137"/>
      <w:bookmarkStart w:id="236" w:name="_Toc97638591"/>
      <w:r>
        <w:rPr>
          <w:rStyle w:val="CharSectno"/>
        </w:rPr>
        <w:t>41</w:t>
      </w:r>
      <w:r>
        <w:t>.</w:t>
      </w:r>
      <w:r>
        <w:tab/>
        <w:t>Building work for which building permit not required (s. 9(b))</w:t>
      </w:r>
      <w:bookmarkEnd w:id="235"/>
      <w:bookmarkEnd w:id="236"/>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237" w:name="_Toc98494138"/>
      <w:bookmarkStart w:id="238" w:name="_Toc97638592"/>
      <w:r>
        <w:rPr>
          <w:rStyle w:val="CharSectno"/>
        </w:rPr>
        <w:t>42</w:t>
      </w:r>
      <w:r>
        <w:t>.</w:t>
      </w:r>
      <w:r>
        <w:tab/>
        <w:t>Demolition work for which demolition permit not required (s. 10(c))</w:t>
      </w:r>
      <w:bookmarkEnd w:id="237"/>
      <w:bookmarkEnd w:id="238"/>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239" w:name="_Toc98494139"/>
      <w:bookmarkStart w:id="240" w:name="_Toc97638593"/>
      <w:r>
        <w:rPr>
          <w:rStyle w:val="CharSectno"/>
        </w:rPr>
        <w:t>43</w:t>
      </w:r>
      <w:r>
        <w:t>.</w:t>
      </w:r>
      <w:r>
        <w:tab/>
        <w:t>Buildings for which occupancy permit not required (s. 41(2))</w:t>
      </w:r>
      <w:bookmarkEnd w:id="239"/>
      <w:bookmarkEnd w:id="240"/>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241" w:name="_Toc98427297"/>
      <w:bookmarkStart w:id="242" w:name="_Toc98489351"/>
      <w:bookmarkStart w:id="243" w:name="_Toc98494140"/>
      <w:bookmarkStart w:id="244" w:name="_Toc97636341"/>
      <w:bookmarkStart w:id="245" w:name="_Toc97637029"/>
      <w:bookmarkStart w:id="246" w:name="_Toc97638594"/>
      <w:r>
        <w:rPr>
          <w:rStyle w:val="CharPartNo"/>
        </w:rPr>
        <w:t>Part 7</w:t>
      </w:r>
      <w:r>
        <w:rPr>
          <w:rStyle w:val="CharDivNo"/>
        </w:rPr>
        <w:t> </w:t>
      </w:r>
      <w:r>
        <w:t>—</w:t>
      </w:r>
      <w:r>
        <w:rPr>
          <w:rStyle w:val="CharDivText"/>
        </w:rPr>
        <w:t> </w:t>
      </w:r>
      <w:r>
        <w:rPr>
          <w:rStyle w:val="CharPartText"/>
        </w:rPr>
        <w:t>Work affecting other land</w:t>
      </w:r>
      <w:bookmarkEnd w:id="241"/>
      <w:bookmarkEnd w:id="242"/>
      <w:bookmarkEnd w:id="243"/>
      <w:bookmarkEnd w:id="244"/>
      <w:bookmarkEnd w:id="245"/>
      <w:bookmarkEnd w:id="246"/>
    </w:p>
    <w:p>
      <w:pPr>
        <w:pStyle w:val="Heading5"/>
      </w:pPr>
      <w:bookmarkStart w:id="247" w:name="_Toc98494141"/>
      <w:bookmarkStart w:id="248" w:name="_Toc97638595"/>
      <w:r>
        <w:rPr>
          <w:rStyle w:val="CharSectno"/>
        </w:rPr>
        <w:t>44A</w:t>
      </w:r>
      <w:r>
        <w:t>.</w:t>
      </w:r>
      <w:r>
        <w:tab/>
        <w:t>Terms used</w:t>
      </w:r>
      <w:bookmarkEnd w:id="247"/>
      <w:bookmarkEnd w:id="248"/>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249" w:name="_Toc98494142"/>
      <w:bookmarkStart w:id="250" w:name="_Toc97638596"/>
      <w:r>
        <w:rPr>
          <w:rStyle w:val="CharSectno"/>
        </w:rPr>
        <w:t>44</w:t>
      </w:r>
      <w:r>
        <w:t>.</w:t>
      </w:r>
      <w:r>
        <w:tab/>
        <w:t>Owner of land for purposes of Part 6 of Act</w:t>
      </w:r>
      <w:bookmarkEnd w:id="249"/>
      <w:bookmarkEnd w:id="250"/>
    </w:p>
    <w:p>
      <w:pPr>
        <w:pStyle w:val="Subsection"/>
      </w:pPr>
      <w:r>
        <w:tab/>
      </w:r>
      <w:r>
        <w:tab/>
        <w:t xml:space="preserve">For the purposes of Part 6 of the Act, owner, in relation to land held in </w:t>
      </w:r>
      <w:r>
        <w:rPr>
          <w:rFonts w:hint="eastAsia"/>
        </w:rPr>
        <w:t>freehold</w:t>
      </w:r>
      <w:r>
        <w:t xml:space="preserve"> </w:t>
      </w:r>
      <w:r>
        <w:rPr>
          <w:rFonts w:hint="eastAsia"/>
        </w:rPr>
        <w:t>or held in leasehold under a strata lease</w:t>
      </w:r>
      <w:r>
        <w:t xml:space="preserve">, means a person referred to in paragraph (a) or (b) of the definition of </w:t>
      </w:r>
      <w:r>
        <w:rPr>
          <w:b/>
          <w:i/>
        </w:rPr>
        <w:t>owner</w:t>
      </w:r>
      <w:r>
        <w:t xml:space="preserve">, in relation to land held in freehold </w:t>
      </w:r>
      <w:r>
        <w:rPr>
          <w:rFonts w:hint="eastAsia"/>
        </w:rPr>
        <w:t>or held in leasehold under a strata lease</w:t>
      </w:r>
      <w:r>
        <w:t xml:space="preserve"> in section 5(1).</w:t>
      </w:r>
    </w:p>
    <w:p>
      <w:pPr>
        <w:pStyle w:val="Footnotesection"/>
      </w:pPr>
      <w:r>
        <w:tab/>
        <w:t>[Regulation 44 amended: Gazette 31 Dec 2019 p. 4640.]</w:t>
      </w:r>
    </w:p>
    <w:p>
      <w:pPr>
        <w:pStyle w:val="Heading5"/>
      </w:pPr>
      <w:bookmarkStart w:id="251" w:name="_Toc98494143"/>
      <w:bookmarkStart w:id="252" w:name="_Toc97638597"/>
      <w:r>
        <w:rPr>
          <w:rStyle w:val="CharSectno"/>
        </w:rPr>
        <w:t>45A</w:t>
      </w:r>
      <w:r>
        <w:t>.</w:t>
      </w:r>
      <w:r>
        <w:tab/>
        <w:t>Minor encroachments (s. 76(1)(c))</w:t>
      </w:r>
      <w:bookmarkEnd w:id="251"/>
      <w:bookmarkEnd w:id="252"/>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253" w:name="_Toc98494144"/>
      <w:bookmarkStart w:id="254" w:name="_Toc97638598"/>
      <w:r>
        <w:rPr>
          <w:rStyle w:val="CharSectno"/>
        </w:rPr>
        <w:t>45B</w:t>
      </w:r>
      <w:r>
        <w:t>.</w:t>
      </w:r>
      <w:r>
        <w:tab/>
        <w:t>Circumstances prescribed for purposes of section 76(1)(e)</w:t>
      </w:r>
      <w:bookmarkEnd w:id="253"/>
      <w:bookmarkEnd w:id="254"/>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255" w:name="_Toc98494145"/>
      <w:bookmarkStart w:id="256" w:name="_Toc97638599"/>
      <w:r>
        <w:rPr>
          <w:rStyle w:val="CharSectno"/>
        </w:rPr>
        <w:t>45</w:t>
      </w:r>
      <w:r>
        <w:t>.</w:t>
      </w:r>
      <w:r>
        <w:tab/>
        <w:t>Content of notice about effect on other land (s. 85)</w:t>
      </w:r>
      <w:bookmarkEnd w:id="255"/>
      <w:bookmarkEnd w:id="256"/>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57" w:name="_Toc98427303"/>
      <w:bookmarkStart w:id="258" w:name="_Toc98489357"/>
      <w:bookmarkStart w:id="259" w:name="_Toc98494146"/>
      <w:bookmarkStart w:id="260" w:name="_Toc97636347"/>
      <w:bookmarkStart w:id="261" w:name="_Toc97637035"/>
      <w:bookmarkStart w:id="262" w:name="_Toc97638600"/>
      <w:r>
        <w:rPr>
          <w:rStyle w:val="CharPartNo"/>
        </w:rPr>
        <w:t>Part 8</w:t>
      </w:r>
      <w:r>
        <w:t> — </w:t>
      </w:r>
      <w:r>
        <w:rPr>
          <w:rStyle w:val="CharPartText"/>
        </w:rPr>
        <w:t>Existing buildings</w:t>
      </w:r>
      <w:bookmarkEnd w:id="257"/>
      <w:bookmarkEnd w:id="258"/>
      <w:bookmarkEnd w:id="259"/>
      <w:bookmarkEnd w:id="260"/>
      <w:bookmarkEnd w:id="261"/>
      <w:bookmarkEnd w:id="262"/>
    </w:p>
    <w:p>
      <w:pPr>
        <w:pStyle w:val="Heading3"/>
      </w:pPr>
      <w:bookmarkStart w:id="263" w:name="_Toc98427304"/>
      <w:bookmarkStart w:id="264" w:name="_Toc98489358"/>
      <w:bookmarkStart w:id="265" w:name="_Toc98494147"/>
      <w:bookmarkStart w:id="266" w:name="_Toc97636348"/>
      <w:bookmarkStart w:id="267" w:name="_Toc97637036"/>
      <w:bookmarkStart w:id="268" w:name="_Toc97638601"/>
      <w:r>
        <w:rPr>
          <w:rStyle w:val="CharDivNo"/>
        </w:rPr>
        <w:t>Division 1</w:t>
      </w:r>
      <w:r>
        <w:t> — </w:t>
      </w:r>
      <w:r>
        <w:rPr>
          <w:rStyle w:val="CharDivText"/>
        </w:rPr>
        <w:t>General</w:t>
      </w:r>
      <w:bookmarkEnd w:id="263"/>
      <w:bookmarkEnd w:id="264"/>
      <w:bookmarkEnd w:id="265"/>
      <w:bookmarkEnd w:id="266"/>
      <w:bookmarkEnd w:id="267"/>
      <w:bookmarkEnd w:id="268"/>
    </w:p>
    <w:p>
      <w:pPr>
        <w:pStyle w:val="Ednotesection"/>
        <w:spacing w:before="240"/>
      </w:pPr>
      <w:r>
        <w:t>[</w:t>
      </w:r>
      <w:r>
        <w:rPr>
          <w:b/>
        </w:rPr>
        <w:t>46.</w:t>
      </w:r>
      <w:r>
        <w:tab/>
        <w:t>Deleted: Gazette 18 Dec 2012 p. 6574.]</w:t>
      </w:r>
    </w:p>
    <w:p>
      <w:pPr>
        <w:pStyle w:val="Heading5"/>
        <w:spacing w:before="240"/>
      </w:pPr>
      <w:bookmarkStart w:id="269" w:name="_Toc98494148"/>
      <w:bookmarkStart w:id="270" w:name="_Toc97638602"/>
      <w:r>
        <w:rPr>
          <w:rStyle w:val="CharSectno"/>
        </w:rPr>
        <w:t>47</w:t>
      </w:r>
      <w:r>
        <w:t>.</w:t>
      </w:r>
      <w:r>
        <w:tab/>
        <w:t>Notification of change of classification of certain buildings and incidental structures</w:t>
      </w:r>
      <w:bookmarkEnd w:id="269"/>
      <w:bookmarkEnd w:id="270"/>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at any time during the 4</w:t>
      </w:r>
      <w:r>
        <w:noBreakHyphen/>
        <w:t>month period ending on the day on which the notice is given, the area was not a bush fire prone area.</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if the building or incidental structure was located in a bush fire prone area during the whole of the 4</w:t>
      </w:r>
      <w:r>
        <w:noBreakHyphen/>
        <w:t xml:space="preserve">month period ending on the day on which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 SL 2021/42 r. 12.]</w:t>
      </w:r>
    </w:p>
    <w:p>
      <w:pPr>
        <w:pStyle w:val="Heading3"/>
        <w:keepLines/>
        <w:pageBreakBefore/>
        <w:spacing w:before="0"/>
      </w:pPr>
      <w:bookmarkStart w:id="271" w:name="_Toc98427306"/>
      <w:bookmarkStart w:id="272" w:name="_Toc98489360"/>
      <w:bookmarkStart w:id="273" w:name="_Toc98494149"/>
      <w:bookmarkStart w:id="274" w:name="_Toc97636350"/>
      <w:bookmarkStart w:id="275" w:name="_Toc97637038"/>
      <w:bookmarkStart w:id="276" w:name="_Toc97638603"/>
      <w:r>
        <w:rPr>
          <w:rStyle w:val="CharDivNo"/>
        </w:rPr>
        <w:t>Division 2A</w:t>
      </w:r>
      <w:r>
        <w:t> — </w:t>
      </w:r>
      <w:r>
        <w:rPr>
          <w:rStyle w:val="CharDivText"/>
        </w:rPr>
        <w:t>Maintenance</w:t>
      </w:r>
      <w:bookmarkEnd w:id="271"/>
      <w:bookmarkEnd w:id="272"/>
      <w:bookmarkEnd w:id="273"/>
      <w:bookmarkEnd w:id="274"/>
      <w:bookmarkEnd w:id="275"/>
      <w:bookmarkEnd w:id="276"/>
    </w:p>
    <w:p>
      <w:pPr>
        <w:pStyle w:val="Footnoteheading"/>
        <w:keepNext/>
      </w:pPr>
      <w:r>
        <w:tab/>
        <w:t>[Heading inserted: Gazette 24 Apr 2014 p. 1138.]</w:t>
      </w:r>
    </w:p>
    <w:p>
      <w:pPr>
        <w:pStyle w:val="Heading5"/>
      </w:pPr>
      <w:bookmarkStart w:id="277" w:name="_Toc98494150"/>
      <w:bookmarkStart w:id="278" w:name="_Toc97638604"/>
      <w:r>
        <w:rPr>
          <w:rStyle w:val="CharSectno"/>
        </w:rPr>
        <w:t>48A</w:t>
      </w:r>
      <w:r>
        <w:t>.</w:t>
      </w:r>
      <w:r>
        <w:tab/>
        <w:t>Maintenance of buildings</w:t>
      </w:r>
      <w:bookmarkEnd w:id="277"/>
      <w:bookmarkEnd w:id="278"/>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279" w:name="_Toc98427308"/>
      <w:bookmarkStart w:id="280" w:name="_Toc98489362"/>
      <w:bookmarkStart w:id="281" w:name="_Toc98494151"/>
      <w:bookmarkStart w:id="282" w:name="_Toc97636352"/>
      <w:bookmarkStart w:id="283" w:name="_Toc97637040"/>
      <w:bookmarkStart w:id="284" w:name="_Toc97638605"/>
      <w:r>
        <w:rPr>
          <w:rStyle w:val="CharDivNo"/>
        </w:rPr>
        <w:t>Division 2</w:t>
      </w:r>
      <w:r>
        <w:t> — </w:t>
      </w:r>
      <w:r>
        <w:rPr>
          <w:rStyle w:val="CharDivText"/>
        </w:rPr>
        <w:t>Private swimming pools</w:t>
      </w:r>
      <w:bookmarkEnd w:id="279"/>
      <w:bookmarkEnd w:id="280"/>
      <w:bookmarkEnd w:id="281"/>
      <w:bookmarkEnd w:id="282"/>
      <w:bookmarkEnd w:id="283"/>
      <w:bookmarkEnd w:id="284"/>
    </w:p>
    <w:p>
      <w:pPr>
        <w:pStyle w:val="Heading5"/>
        <w:spacing w:before="180"/>
      </w:pPr>
      <w:bookmarkStart w:id="285" w:name="_Toc98494152"/>
      <w:bookmarkStart w:id="286" w:name="_Toc97638606"/>
      <w:r>
        <w:rPr>
          <w:rStyle w:val="CharSectno"/>
        </w:rPr>
        <w:t>48</w:t>
      </w:r>
      <w:r>
        <w:t>.</w:t>
      </w:r>
      <w:r>
        <w:tab/>
        <w:t>Terms used</w:t>
      </w:r>
      <w:bookmarkEnd w:id="285"/>
      <w:bookmarkEnd w:id="286"/>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287" w:name="_Toc98494153"/>
      <w:bookmarkStart w:id="288" w:name="_Toc97638607"/>
      <w:r>
        <w:rPr>
          <w:rStyle w:val="CharSectno"/>
        </w:rPr>
        <w:t>49</w:t>
      </w:r>
      <w:r>
        <w:t>.</w:t>
      </w:r>
      <w:r>
        <w:tab/>
        <w:t>Application of this Division</w:t>
      </w:r>
      <w:bookmarkEnd w:id="287"/>
      <w:bookmarkEnd w:id="288"/>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289" w:name="_Toc98494154"/>
      <w:bookmarkStart w:id="290" w:name="_Toc97638608"/>
      <w:r>
        <w:rPr>
          <w:rStyle w:val="CharSectno"/>
        </w:rPr>
        <w:t>50</w:t>
      </w:r>
      <w:r>
        <w:t>.</w:t>
      </w:r>
      <w:r>
        <w:tab/>
        <w:t>Barrier to private swimming pool</w:t>
      </w:r>
      <w:bookmarkEnd w:id="289"/>
      <w:bookmarkEnd w:id="290"/>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291" w:name="_Toc98494155"/>
      <w:bookmarkStart w:id="292" w:name="_Toc97638609"/>
      <w:r>
        <w:rPr>
          <w:rStyle w:val="CharSectno"/>
        </w:rPr>
        <w:t>51</w:t>
      </w:r>
      <w:r>
        <w:t>.</w:t>
      </w:r>
      <w:r>
        <w:tab/>
        <w:t>Approvals by permit authority</w:t>
      </w:r>
      <w:bookmarkEnd w:id="291"/>
      <w:bookmarkEnd w:id="292"/>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293" w:name="_Toc98494156"/>
      <w:bookmarkStart w:id="294" w:name="_Toc97638610"/>
      <w:r>
        <w:rPr>
          <w:rStyle w:val="CharSectno"/>
        </w:rPr>
        <w:t>52</w:t>
      </w:r>
      <w:r>
        <w:t>.</w:t>
      </w:r>
      <w:r>
        <w:tab/>
        <w:t>Concessions for pre</w:t>
      </w:r>
      <w:r>
        <w:noBreakHyphen/>
        <w:t>November 2001 private swimming pools</w:t>
      </w:r>
      <w:bookmarkEnd w:id="293"/>
      <w:bookmarkEnd w:id="294"/>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295" w:name="_Toc98494157"/>
      <w:bookmarkStart w:id="296" w:name="_Toc97638611"/>
      <w:r>
        <w:rPr>
          <w:rStyle w:val="CharSectno"/>
        </w:rPr>
        <w:t>53</w:t>
      </w:r>
      <w:r>
        <w:t>.</w:t>
      </w:r>
      <w:r>
        <w:tab/>
        <w:t>Inspection of barrier to private swimming pool</w:t>
      </w:r>
      <w:bookmarkEnd w:id="295"/>
      <w:bookmarkEnd w:id="296"/>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297" w:name="_Toc98494158"/>
      <w:bookmarkStart w:id="298" w:name="_Toc97638612"/>
      <w:r>
        <w:rPr>
          <w:rStyle w:val="CharSectno"/>
        </w:rPr>
        <w:t>54A</w:t>
      </w:r>
      <w:r>
        <w:t>.</w:t>
      </w:r>
      <w:r>
        <w:tab/>
        <w:t>Temporary pool barriers</w:t>
      </w:r>
      <w:bookmarkEnd w:id="297"/>
      <w:bookmarkEnd w:id="298"/>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299" w:name="_Toc98494159"/>
      <w:bookmarkStart w:id="300" w:name="_Toc97638613"/>
      <w:r>
        <w:rPr>
          <w:rStyle w:val="CharSectno"/>
        </w:rPr>
        <w:t>54</w:t>
      </w:r>
      <w:r>
        <w:t>.</w:t>
      </w:r>
      <w:r>
        <w:tab/>
        <w:t>Transitional provisions — persons authorised to carry out inspections of private swimming pools</w:t>
      </w:r>
      <w:bookmarkEnd w:id="299"/>
      <w:bookmarkEnd w:id="300"/>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301" w:name="_Toc98427317"/>
      <w:bookmarkStart w:id="302" w:name="_Toc98489371"/>
      <w:bookmarkStart w:id="303" w:name="_Toc98494160"/>
      <w:bookmarkStart w:id="304" w:name="_Toc97636361"/>
      <w:bookmarkStart w:id="305" w:name="_Toc97637049"/>
      <w:bookmarkStart w:id="306" w:name="_Toc97638614"/>
      <w:r>
        <w:rPr>
          <w:rStyle w:val="CharDivNo"/>
        </w:rPr>
        <w:t>Division 3</w:t>
      </w:r>
      <w:r>
        <w:t> — </w:t>
      </w:r>
      <w:r>
        <w:rPr>
          <w:rStyle w:val="CharDivText"/>
        </w:rPr>
        <w:t>Smoke alarms</w:t>
      </w:r>
      <w:bookmarkEnd w:id="301"/>
      <w:bookmarkEnd w:id="302"/>
      <w:bookmarkEnd w:id="303"/>
      <w:bookmarkEnd w:id="304"/>
      <w:bookmarkEnd w:id="305"/>
      <w:bookmarkEnd w:id="306"/>
    </w:p>
    <w:p>
      <w:pPr>
        <w:pStyle w:val="Heading5"/>
      </w:pPr>
      <w:bookmarkStart w:id="307" w:name="_Toc98494161"/>
      <w:bookmarkStart w:id="308" w:name="_Toc97638615"/>
      <w:r>
        <w:rPr>
          <w:rStyle w:val="CharSectno"/>
        </w:rPr>
        <w:t>55</w:t>
      </w:r>
      <w:r>
        <w:t>.</w:t>
      </w:r>
      <w:r>
        <w:tab/>
        <w:t>Terms used</w:t>
      </w:r>
      <w:bookmarkEnd w:id="307"/>
      <w:bookmarkEnd w:id="308"/>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309" w:name="_Toc98494162"/>
      <w:bookmarkStart w:id="310" w:name="_Toc97638616"/>
      <w:r>
        <w:rPr>
          <w:rStyle w:val="CharSectno"/>
        </w:rPr>
        <w:t>56</w:t>
      </w:r>
      <w:r>
        <w:t>.</w:t>
      </w:r>
      <w:r>
        <w:tab/>
        <w:t>Requirement to have smoke alarms or similar prior to transfer of dwelling</w:t>
      </w:r>
      <w:bookmarkEnd w:id="309"/>
      <w:bookmarkEnd w:id="310"/>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keepLines w:val="0"/>
      </w:pPr>
      <w:bookmarkStart w:id="311" w:name="_Toc98494163"/>
      <w:bookmarkStart w:id="312" w:name="_Toc97638617"/>
      <w:r>
        <w:rPr>
          <w:rStyle w:val="CharSectno"/>
        </w:rPr>
        <w:t>57</w:t>
      </w:r>
      <w:r>
        <w:t>.</w:t>
      </w:r>
      <w:r>
        <w:tab/>
        <w:t>New owner must install smoke alarms or similar, and right to recover costs</w:t>
      </w:r>
      <w:bookmarkEnd w:id="311"/>
      <w:bookmarkEnd w:id="312"/>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313" w:name="_Toc98494164"/>
      <w:bookmarkStart w:id="314" w:name="_Toc97638618"/>
      <w:r>
        <w:rPr>
          <w:rStyle w:val="CharSectno"/>
        </w:rPr>
        <w:t>58</w:t>
      </w:r>
      <w:r>
        <w:t>.</w:t>
      </w:r>
      <w:r>
        <w:tab/>
        <w:t>Requirement to have smoke alarms or similar prior to tenancy</w:t>
      </w:r>
      <w:bookmarkEnd w:id="313"/>
      <w:bookmarkEnd w:id="314"/>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315" w:name="_Toc98494165"/>
      <w:bookmarkStart w:id="316" w:name="_Toc97638619"/>
      <w:r>
        <w:rPr>
          <w:rStyle w:val="CharSectno"/>
        </w:rPr>
        <w:t>59</w:t>
      </w:r>
      <w:r>
        <w:t>.</w:t>
      </w:r>
      <w:r>
        <w:tab/>
        <w:t>Requirement to have smoke alarms or similar prior to hire of dwelling</w:t>
      </w:r>
      <w:bookmarkEnd w:id="315"/>
      <w:bookmarkEnd w:id="316"/>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17" w:name="_Toc98494166"/>
      <w:bookmarkStart w:id="318" w:name="_Toc97638620"/>
      <w:r>
        <w:rPr>
          <w:rStyle w:val="CharSectno"/>
        </w:rPr>
        <w:t>60</w:t>
      </w:r>
      <w:r>
        <w:t>.</w:t>
      </w:r>
      <w:r>
        <w:tab/>
        <w:t>Requirements for smoke alarms</w:t>
      </w:r>
      <w:bookmarkEnd w:id="317"/>
      <w:bookmarkEnd w:id="318"/>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319" w:name="_Toc98494167"/>
      <w:bookmarkStart w:id="320" w:name="_Toc97638621"/>
      <w:r>
        <w:rPr>
          <w:rStyle w:val="CharSectno"/>
        </w:rPr>
        <w:t>61</w:t>
      </w:r>
      <w:r>
        <w:t>.</w:t>
      </w:r>
      <w:r>
        <w:tab/>
        <w:t>Local government approval of battery powered smoke alarms</w:t>
      </w:r>
      <w:bookmarkEnd w:id="319"/>
      <w:bookmarkEnd w:id="320"/>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321" w:name="_Toc98494168"/>
      <w:bookmarkStart w:id="322" w:name="_Toc97638622"/>
      <w:r>
        <w:rPr>
          <w:rStyle w:val="CharSectno"/>
        </w:rPr>
        <w:t>62</w:t>
      </w:r>
      <w:r>
        <w:t>.</w:t>
      </w:r>
      <w:r>
        <w:tab/>
        <w:t>Requirement to maintain certain smoke alarms</w:t>
      </w:r>
      <w:bookmarkEnd w:id="321"/>
      <w:bookmarkEnd w:id="322"/>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323" w:name="_Toc98427326"/>
      <w:bookmarkStart w:id="324" w:name="_Toc98489380"/>
      <w:bookmarkStart w:id="325" w:name="_Toc98494169"/>
      <w:bookmarkStart w:id="326" w:name="_Toc97636370"/>
      <w:bookmarkStart w:id="327" w:name="_Toc97637058"/>
      <w:bookmarkStart w:id="328" w:name="_Toc97638623"/>
      <w:r>
        <w:rPr>
          <w:rStyle w:val="CharPartNo"/>
        </w:rPr>
        <w:t>Part 10</w:t>
      </w:r>
      <w:r>
        <w:rPr>
          <w:rStyle w:val="CharDivNo"/>
        </w:rPr>
        <w:t> </w:t>
      </w:r>
      <w:r>
        <w:t>—</w:t>
      </w:r>
      <w:r>
        <w:rPr>
          <w:rStyle w:val="CharDivText"/>
        </w:rPr>
        <w:t> </w:t>
      </w:r>
      <w:r>
        <w:rPr>
          <w:rStyle w:val="CharPartText"/>
        </w:rPr>
        <w:t>Infringement notices</w:t>
      </w:r>
      <w:bookmarkEnd w:id="323"/>
      <w:bookmarkEnd w:id="324"/>
      <w:bookmarkEnd w:id="325"/>
      <w:bookmarkEnd w:id="326"/>
      <w:bookmarkEnd w:id="327"/>
      <w:bookmarkEnd w:id="328"/>
    </w:p>
    <w:p>
      <w:pPr>
        <w:pStyle w:val="Footnoteheading"/>
      </w:pPr>
      <w:r>
        <w:tab/>
        <w:t>[Heading inserted: Gazette 18 Dec 2012 p. 6575.]</w:t>
      </w:r>
    </w:p>
    <w:p>
      <w:pPr>
        <w:pStyle w:val="Heading5"/>
      </w:pPr>
      <w:bookmarkStart w:id="329" w:name="_Toc98494170"/>
      <w:bookmarkStart w:id="330" w:name="_Toc97638624"/>
      <w:r>
        <w:rPr>
          <w:rStyle w:val="CharSectno"/>
        </w:rPr>
        <w:t>69</w:t>
      </w:r>
      <w:r>
        <w:t>.</w:t>
      </w:r>
      <w:r>
        <w:tab/>
        <w:t>Prescribed offences and modified penalties</w:t>
      </w:r>
      <w:bookmarkEnd w:id="329"/>
      <w:bookmarkEnd w:id="330"/>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331" w:name="_Toc98494171"/>
      <w:bookmarkStart w:id="332" w:name="_Toc97638625"/>
      <w:r>
        <w:rPr>
          <w:rStyle w:val="CharSectno"/>
        </w:rPr>
        <w:t>70</w:t>
      </w:r>
      <w:r>
        <w:t>.</w:t>
      </w:r>
      <w:r>
        <w:tab/>
        <w:t>Approved officers and authorised officers</w:t>
      </w:r>
      <w:bookmarkEnd w:id="331"/>
      <w:bookmarkEnd w:id="332"/>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333" w:name="_Toc98494172"/>
      <w:bookmarkStart w:id="334" w:name="_Toc97638626"/>
      <w:r>
        <w:rPr>
          <w:rStyle w:val="CharSectno"/>
        </w:rPr>
        <w:t>71</w:t>
      </w:r>
      <w:r>
        <w:t>.</w:t>
      </w:r>
      <w:r>
        <w:tab/>
        <w:t>Forms</w:t>
      </w:r>
      <w:bookmarkEnd w:id="333"/>
      <w:bookmarkEnd w:id="334"/>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35" w:name="_Toc98427330"/>
      <w:bookmarkStart w:id="336" w:name="_Toc98489384"/>
      <w:bookmarkStart w:id="337" w:name="_Toc98494173"/>
      <w:bookmarkStart w:id="338" w:name="_Toc97636374"/>
      <w:bookmarkStart w:id="339" w:name="_Toc97637062"/>
      <w:bookmarkStart w:id="340" w:name="_Toc97638627"/>
      <w:r>
        <w:rPr>
          <w:rStyle w:val="CharSchNo"/>
        </w:rPr>
        <w:t>Schedule 1</w:t>
      </w:r>
      <w:r>
        <w:rPr>
          <w:rStyle w:val="CharSDivNo"/>
        </w:rPr>
        <w:t> </w:t>
      </w:r>
      <w:r>
        <w:t>—</w:t>
      </w:r>
      <w:r>
        <w:rPr>
          <w:rStyle w:val="CharSDivText"/>
        </w:rPr>
        <w:t> </w:t>
      </w:r>
      <w:r>
        <w:rPr>
          <w:rStyle w:val="CharSchText"/>
        </w:rPr>
        <w:t>Estimated value of building work</w:t>
      </w:r>
      <w:bookmarkEnd w:id="335"/>
      <w:bookmarkEnd w:id="336"/>
      <w:bookmarkEnd w:id="337"/>
      <w:bookmarkEnd w:id="338"/>
      <w:bookmarkEnd w:id="339"/>
      <w:bookmarkEnd w:id="340"/>
    </w:p>
    <w:p>
      <w:pPr>
        <w:pStyle w:val="yShoulderClause"/>
      </w:pPr>
      <w:r>
        <w:t>[r. 3]</w:t>
      </w:r>
    </w:p>
    <w:p>
      <w:pPr>
        <w:pStyle w:val="yHeading5"/>
        <w:spacing w:before="180"/>
      </w:pPr>
      <w:bookmarkStart w:id="341" w:name="_Toc98494174"/>
      <w:bookmarkStart w:id="342" w:name="_Toc97638628"/>
      <w:r>
        <w:rPr>
          <w:rStyle w:val="CharSClsNo"/>
        </w:rPr>
        <w:t>1</w:t>
      </w:r>
      <w:r>
        <w:t>.</w:t>
      </w:r>
      <w:r>
        <w:tab/>
        <w:t>Terms used</w:t>
      </w:r>
      <w:bookmarkEnd w:id="341"/>
      <w:bookmarkEnd w:id="342"/>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343" w:name="_Toc98494175"/>
      <w:bookmarkStart w:id="344" w:name="_Toc97638629"/>
      <w:r>
        <w:rPr>
          <w:rStyle w:val="CharSClsNo"/>
        </w:rPr>
        <w:t>2</w:t>
      </w:r>
      <w:r>
        <w:t>.</w:t>
      </w:r>
      <w:r>
        <w:tab/>
        <w:t>Estimated value of building work</w:t>
      </w:r>
      <w:bookmarkEnd w:id="343"/>
      <w:bookmarkEnd w:id="344"/>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345" w:name="_Toc98494176"/>
      <w:bookmarkStart w:id="346" w:name="_Toc97638630"/>
      <w:r>
        <w:rPr>
          <w:rStyle w:val="CharSClsNo"/>
        </w:rPr>
        <w:t>3</w:t>
      </w:r>
      <w:r>
        <w:t>.</w:t>
      </w:r>
      <w:r>
        <w:tab/>
        <w:t>Estimated value of unauthorised building work</w:t>
      </w:r>
      <w:bookmarkEnd w:id="345"/>
      <w:bookmarkEnd w:id="346"/>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348" w:name="_Toc98427334"/>
      <w:bookmarkStart w:id="349" w:name="_Toc98489388"/>
      <w:bookmarkStart w:id="350" w:name="_Toc98494177"/>
      <w:bookmarkStart w:id="351" w:name="_Toc97636378"/>
      <w:bookmarkStart w:id="352" w:name="_Toc97637066"/>
      <w:bookmarkStart w:id="353" w:name="_Toc97638631"/>
      <w:r>
        <w:rPr>
          <w:rStyle w:val="CharSchNo"/>
        </w:rPr>
        <w:t>Schedule 2</w:t>
      </w:r>
      <w:r>
        <w:t> — </w:t>
      </w:r>
      <w:r>
        <w:rPr>
          <w:rStyle w:val="CharSchText"/>
        </w:rPr>
        <w:t>Fees</w:t>
      </w:r>
      <w:bookmarkEnd w:id="348"/>
      <w:bookmarkEnd w:id="349"/>
      <w:bookmarkEnd w:id="350"/>
      <w:bookmarkEnd w:id="351"/>
      <w:bookmarkEnd w:id="352"/>
      <w:bookmarkEnd w:id="353"/>
    </w:p>
    <w:p>
      <w:pPr>
        <w:pStyle w:val="yShoulderClause"/>
      </w:pPr>
      <w:r>
        <w:t>[r. 11]</w:t>
      </w:r>
    </w:p>
    <w:p>
      <w:pPr>
        <w:pStyle w:val="yFootnoteheading"/>
      </w:pPr>
      <w:r>
        <w:tab/>
        <w:t>[Heading inserted: Gazette 23 Jun 2017 p. 3222.]</w:t>
      </w:r>
    </w:p>
    <w:p>
      <w:pPr>
        <w:pStyle w:val="yHeading3"/>
      </w:pPr>
      <w:bookmarkStart w:id="354" w:name="_Toc98427335"/>
      <w:bookmarkStart w:id="355" w:name="_Toc98489389"/>
      <w:bookmarkStart w:id="356" w:name="_Toc98494178"/>
      <w:bookmarkStart w:id="357" w:name="_Toc97636379"/>
      <w:bookmarkStart w:id="358" w:name="_Toc97637067"/>
      <w:bookmarkStart w:id="359" w:name="_Toc97638632"/>
      <w:r>
        <w:rPr>
          <w:rStyle w:val="CharSDivNo"/>
        </w:rPr>
        <w:t>Division 1</w:t>
      </w:r>
      <w:r>
        <w:t> — </w:t>
      </w:r>
      <w:r>
        <w:rPr>
          <w:rStyle w:val="CharSDivText"/>
        </w:rPr>
        <w:t>Applications for building permits, demolition permits</w:t>
      </w:r>
      <w:bookmarkEnd w:id="354"/>
      <w:bookmarkEnd w:id="355"/>
      <w:bookmarkEnd w:id="356"/>
      <w:bookmarkEnd w:id="357"/>
      <w:bookmarkEnd w:id="358"/>
      <w:bookmarkEnd w:id="359"/>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$110.00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$110.00</w:t>
            </w:r>
          </w:p>
        </w:tc>
      </w:tr>
      <w:tr>
        <w:trPr>
          <w:cantSplit/>
        </w:trPr>
        <w:tc>
          <w:tcPr>
            <w:tcW w:w="855" w:type="dxa"/>
          </w:tcPr>
          <w:p>
            <w:pPr>
              <w:pStyle w:val="yTableNAm"/>
              <w:keepNext/>
              <w:keepLines/>
            </w:pPr>
            <w:r>
              <w:t>3.</w:t>
            </w:r>
          </w:p>
        </w:tc>
        <w:tc>
          <w:tcPr>
            <w:tcW w:w="3823" w:type="dxa"/>
          </w:tcPr>
          <w:p>
            <w:pPr>
              <w:pStyle w:val="yTableNAm"/>
              <w:keepNext/>
              <w:keepLines/>
              <w:rPr>
                <w:rStyle w:val="DraftersNotes"/>
                <w:b w:val="0"/>
                <w:i w:val="0"/>
                <w:sz w:val="22"/>
                <w:szCs w:val="22"/>
              </w:rPr>
            </w:pPr>
            <w:r>
              <w:t xml:space="preserve">Application for a demolition permit (s. 16(l)) — </w:t>
            </w:r>
          </w:p>
        </w:tc>
        <w:tc>
          <w:tcPr>
            <w:tcW w:w="2447" w:type="dxa"/>
          </w:tcPr>
          <w:p>
            <w:pPr>
              <w:pStyle w:val="yTableNAm"/>
              <w:keepNext/>
              <w:keepLines/>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$110.00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$110.00</w:t>
            </w:r>
          </w:p>
        </w:tc>
      </w:tr>
    </w:tbl>
    <w:p>
      <w:pPr>
        <w:pStyle w:val="yFootnotesection"/>
      </w:pPr>
      <w:r>
        <w:tab/>
        <w:t>[Division 1 inserted: SL 2021/86 r. 13.]</w:t>
      </w:r>
    </w:p>
    <w:p>
      <w:pPr>
        <w:pStyle w:val="yHeading3"/>
      </w:pPr>
      <w:bookmarkStart w:id="360" w:name="_Toc98427336"/>
      <w:bookmarkStart w:id="361" w:name="_Toc98489390"/>
      <w:bookmarkStart w:id="362" w:name="_Toc98494179"/>
      <w:bookmarkStart w:id="363" w:name="_Toc97636380"/>
      <w:bookmarkStart w:id="364" w:name="_Toc97637068"/>
      <w:bookmarkStart w:id="365" w:name="_Toc97638633"/>
      <w:r>
        <w:rPr>
          <w:rStyle w:val="CharSDivNo"/>
        </w:rPr>
        <w:t>Division 2</w:t>
      </w:r>
      <w:r>
        <w:t> — </w:t>
      </w:r>
      <w:r>
        <w:rPr>
          <w:rStyle w:val="CharSDivText"/>
        </w:rPr>
        <w:t>Application for occupancy permits, building approval certificates</w:t>
      </w:r>
      <w:bookmarkEnd w:id="360"/>
      <w:bookmarkEnd w:id="361"/>
      <w:bookmarkEnd w:id="362"/>
      <w:bookmarkEnd w:id="363"/>
      <w:bookmarkEnd w:id="364"/>
      <w:bookmarkEnd w:id="365"/>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$110.00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$110.00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$110.00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$110.00</w:t>
            </w:r>
          </w:p>
        </w:tc>
      </w:tr>
      <w:tr>
        <w:trPr>
          <w:cantSplit/>
        </w:trPr>
        <w:tc>
          <w:tcPr>
            <w:tcW w:w="855" w:type="dxa"/>
          </w:tcPr>
          <w:p>
            <w:pPr>
              <w:pStyle w:val="yTableNAm"/>
            </w:pPr>
            <w:r>
              <w:t>5.</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$110.00</w:t>
            </w:r>
          </w:p>
        </w:tc>
      </w:tr>
      <w:tr>
        <w:trPr>
          <w:cantSplit/>
        </w:trPr>
        <w:tc>
          <w:tcPr>
            <w:tcW w:w="855" w:type="dxa"/>
          </w:tcPr>
          <w:p>
            <w:pPr>
              <w:pStyle w:val="yTableNAm"/>
            </w:pPr>
            <w:r>
              <w:t>6.</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$110.00</w:t>
            </w:r>
          </w:p>
        </w:tc>
      </w:tr>
      <w:tr>
        <w:trPr>
          <w:cantSplit/>
        </w:trPr>
        <w:tc>
          <w:tcPr>
            <w:tcW w:w="855" w:type="dxa"/>
          </w:tcPr>
          <w:p>
            <w:pPr>
              <w:pStyle w:val="yTableNAm"/>
            </w:pPr>
            <w:r>
              <w:t>7.</w:t>
            </w:r>
          </w:p>
        </w:tc>
        <w:tc>
          <w:tcPr>
            <w:tcW w:w="3821" w:type="dxa"/>
          </w:tcPr>
          <w:p>
            <w:pPr>
              <w:pStyle w:val="yTableNAm"/>
            </w:pPr>
            <w:r>
              <w:t>Application to replace an occupancy permit for an existing building (s. 52(1))</w:t>
            </w:r>
          </w:p>
        </w:tc>
        <w:tc>
          <w:tcPr>
            <w:tcW w:w="2449" w:type="dxa"/>
          </w:tcPr>
          <w:p>
            <w:pPr>
              <w:pStyle w:val="yTableNAm"/>
            </w:pPr>
            <w:r>
              <w:rPr>
                <w:szCs w:val="22"/>
              </w:rPr>
              <w:t>$110.00</w:t>
            </w:r>
          </w:p>
        </w:tc>
      </w:tr>
      <w:tr>
        <w:trPr>
          <w:cantSplit/>
        </w:trPr>
        <w:tc>
          <w:tcPr>
            <w:tcW w:w="855" w:type="dxa"/>
          </w:tcPr>
          <w:p>
            <w:pPr>
              <w:pStyle w:val="yTableNAm"/>
            </w:pPr>
            <w:r>
              <w:t>8.</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$110.00</w:t>
            </w:r>
          </w:p>
        </w:tc>
      </w:tr>
      <w:tr>
        <w:trPr>
          <w:cantSplit/>
        </w:trPr>
        <w:tc>
          <w:tcPr>
            <w:tcW w:w="855" w:type="dxa"/>
            <w:tcBorders>
              <w:bottom w:val="single" w:sz="4" w:space="0" w:color="auto"/>
            </w:tcBorders>
          </w:tcPr>
          <w:p>
            <w:pPr>
              <w:pStyle w:val="yTableNAm"/>
            </w:pPr>
            <w:r>
              <w:t>9.</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$110.00</w:t>
            </w:r>
          </w:p>
        </w:tc>
      </w:tr>
    </w:tbl>
    <w:p>
      <w:pPr>
        <w:pStyle w:val="yFootnotesection"/>
      </w:pPr>
      <w:r>
        <w:tab/>
        <w:t>[Division 2 inserted: SL 2021/86 r. 13.]</w:t>
      </w:r>
    </w:p>
    <w:p>
      <w:pPr>
        <w:pStyle w:val="yHeading3"/>
      </w:pPr>
      <w:bookmarkStart w:id="366" w:name="_Toc98427337"/>
      <w:bookmarkStart w:id="367" w:name="_Toc98489391"/>
      <w:bookmarkStart w:id="368" w:name="_Toc98494180"/>
      <w:bookmarkStart w:id="369" w:name="_Toc97636381"/>
      <w:bookmarkStart w:id="370" w:name="_Toc97637069"/>
      <w:bookmarkStart w:id="371" w:name="_Toc97638634"/>
      <w:r>
        <w:rPr>
          <w:rStyle w:val="CharSDivNo"/>
        </w:rPr>
        <w:t>Division 3</w:t>
      </w:r>
      <w:r>
        <w:t> — </w:t>
      </w:r>
      <w:r>
        <w:rPr>
          <w:rStyle w:val="CharSDivText"/>
        </w:rPr>
        <w:t>Other applications</w:t>
      </w:r>
      <w:bookmarkEnd w:id="366"/>
      <w:bookmarkEnd w:id="367"/>
      <w:bookmarkEnd w:id="368"/>
      <w:bookmarkEnd w:id="369"/>
      <w:bookmarkEnd w:id="370"/>
      <w:bookmarkEnd w:id="371"/>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Footnotesection"/>
      </w:pPr>
      <w:r>
        <w:tab/>
        <w:t>[Division 3 inserted: Gazette 23 Jun 2017 p. 3225.]</w:t>
      </w:r>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372" w:name="_Toc98427338"/>
      <w:bookmarkStart w:id="373" w:name="_Toc98489392"/>
      <w:bookmarkStart w:id="374" w:name="_Toc98494181"/>
      <w:bookmarkStart w:id="375" w:name="_Toc97636382"/>
      <w:bookmarkStart w:id="376" w:name="_Toc97637070"/>
      <w:bookmarkStart w:id="377" w:name="_Toc97638635"/>
      <w:r>
        <w:rPr>
          <w:rStyle w:val="CharSchNo"/>
        </w:rPr>
        <w:t>Schedule 3</w:t>
      </w:r>
      <w:r>
        <w:t> — </w:t>
      </w:r>
      <w:r>
        <w:rPr>
          <w:rStyle w:val="CharSchText"/>
        </w:rPr>
        <w:t>Inspections or tests of systems</w:t>
      </w:r>
      <w:bookmarkEnd w:id="372"/>
      <w:bookmarkEnd w:id="373"/>
      <w:bookmarkEnd w:id="374"/>
      <w:bookmarkEnd w:id="375"/>
      <w:bookmarkEnd w:id="376"/>
      <w:bookmarkEnd w:id="377"/>
    </w:p>
    <w:p>
      <w:pPr>
        <w:pStyle w:val="yShoulderClause"/>
      </w:pPr>
      <w:r>
        <w:t>[r. 27]</w:t>
      </w:r>
    </w:p>
    <w:p>
      <w:pPr>
        <w:pStyle w:val="yHeading5"/>
      </w:pPr>
      <w:bookmarkStart w:id="378" w:name="_Toc98494182"/>
      <w:bookmarkStart w:id="379" w:name="_Toc97638636"/>
      <w:r>
        <w:rPr>
          <w:rStyle w:val="CharSClsNo"/>
        </w:rPr>
        <w:t>1</w:t>
      </w:r>
      <w:r>
        <w:t>.</w:t>
      </w:r>
      <w:r>
        <w:tab/>
        <w:t>Term used: EP</w:t>
      </w:r>
      <w:bookmarkEnd w:id="378"/>
      <w:bookmarkEnd w:id="379"/>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Pr>
        <w:pStyle w:val="yScheduleHeading"/>
      </w:pPr>
      <w:bookmarkStart w:id="380" w:name="_Toc98427340"/>
      <w:bookmarkStart w:id="381" w:name="_Toc98489394"/>
      <w:bookmarkStart w:id="382" w:name="_Toc98494183"/>
      <w:bookmarkStart w:id="383" w:name="_Toc97636384"/>
      <w:bookmarkStart w:id="384" w:name="_Toc97637072"/>
      <w:bookmarkStart w:id="385" w:name="_Toc97638637"/>
      <w:r>
        <w:rPr>
          <w:rStyle w:val="CharSchNo"/>
        </w:rPr>
        <w:t>Schedule 4</w:t>
      </w:r>
      <w:r>
        <w:t> — </w:t>
      </w:r>
      <w:r>
        <w:rPr>
          <w:rStyle w:val="CharSchText"/>
        </w:rPr>
        <w:t>Building work that does not require building permit</w:t>
      </w:r>
      <w:bookmarkEnd w:id="380"/>
      <w:bookmarkEnd w:id="381"/>
      <w:bookmarkEnd w:id="382"/>
      <w:bookmarkEnd w:id="383"/>
      <w:bookmarkEnd w:id="384"/>
      <w:bookmarkEnd w:id="385"/>
    </w:p>
    <w:p>
      <w:pPr>
        <w:pStyle w:val="yShoulderClause"/>
      </w:pPr>
      <w:r>
        <w:t>[r. 41]</w:t>
      </w:r>
    </w:p>
    <w:p>
      <w:pPr>
        <w:pStyle w:val="yHeading5"/>
        <w:rPr>
          <w:rStyle w:val="CharSDivText"/>
        </w:rPr>
      </w:pPr>
      <w:bookmarkStart w:id="386" w:name="_Toc98494184"/>
      <w:bookmarkStart w:id="387" w:name="_Toc97638638"/>
      <w:r>
        <w:rPr>
          <w:rStyle w:val="CharSClsNo"/>
        </w:rPr>
        <w:t>1</w:t>
      </w:r>
      <w:r>
        <w:t>.</w:t>
      </w:r>
      <w:r>
        <w:tab/>
      </w:r>
      <w:r>
        <w:rPr>
          <w:rStyle w:val="CharSDivText"/>
        </w:rPr>
        <w:t>Areas where building permit not required for certain work</w:t>
      </w:r>
      <w:bookmarkEnd w:id="386"/>
      <w:bookmarkEnd w:id="387"/>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388" w:name="_Toc98494185"/>
      <w:bookmarkStart w:id="389" w:name="_Toc97638639"/>
      <w:r>
        <w:rPr>
          <w:rStyle w:val="CharSClsNo"/>
        </w:rPr>
        <w:t>2</w:t>
      </w:r>
      <w:r>
        <w:t>.</w:t>
      </w:r>
      <w:r>
        <w:tab/>
      </w:r>
      <w:r>
        <w:rPr>
          <w:rStyle w:val="CharSDivText"/>
        </w:rPr>
        <w:t>Kinds of building work for which a building permit is not required</w:t>
      </w:r>
      <w:bookmarkEnd w:id="388"/>
      <w:bookmarkEnd w:id="389"/>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Height w:val="5442"/>
        </w:trPr>
        <w:tc>
          <w:tcPr>
            <w:tcW w:w="851" w:type="dxa"/>
          </w:tcPr>
          <w:p>
            <w:pPr>
              <w:pStyle w:val="yTableNAm"/>
              <w:spacing w:before="100"/>
              <w:rPr>
                <w:szCs w:val="22"/>
              </w:rPr>
            </w:pPr>
            <w:r>
              <w:rPr>
                <w:szCs w:val="22"/>
              </w:rPr>
              <w:t>4.</w:t>
            </w:r>
          </w:p>
        </w:tc>
        <w:tc>
          <w:tcPr>
            <w:tcW w:w="6274" w:type="dxa"/>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ins w:id="390" w:author="Master Repository Process" w:date="2022-06-27T14:39:00Z"/>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p>
            <w:pPr>
              <w:pStyle w:val="yTableNAm"/>
              <w:tabs>
                <w:tab w:val="clear" w:pos="567"/>
              </w:tabs>
              <w:ind w:left="743" w:hanging="567"/>
              <w:rPr>
                <w:ins w:id="391" w:author="Master Repository Process" w:date="2022-06-27T14:39:00Z"/>
                <w:szCs w:val="22"/>
              </w:rPr>
            </w:pPr>
            <w:ins w:id="392" w:author="Master Repository Process" w:date="2022-06-27T14:39:00Z">
              <w:r>
                <w:rPr>
                  <w:szCs w:val="22"/>
                </w:rPr>
                <w:t>(b)</w:t>
              </w:r>
              <w:r>
                <w:rPr>
                  <w:szCs w:val="22"/>
                </w:rPr>
                <w:tab/>
                <w:t xml:space="preserve">the fence, screen or similar structure is, or is to be, located in a district in which there is no local law of a type referred to in paragraph (a) and the fence, screen or similar structure — </w:t>
              </w:r>
            </w:ins>
          </w:p>
          <w:p>
            <w:pPr>
              <w:pStyle w:val="yTableNAm"/>
              <w:tabs>
                <w:tab w:val="clear" w:pos="567"/>
                <w:tab w:val="left" w:pos="1131"/>
                <w:tab w:val="left" w:pos="1581"/>
              </w:tabs>
              <w:spacing w:before="100"/>
              <w:ind w:left="1593" w:hanging="1593"/>
              <w:rPr>
                <w:ins w:id="393" w:author="Master Repository Process" w:date="2022-06-27T14:39:00Z"/>
                <w:szCs w:val="22"/>
              </w:rPr>
            </w:pPr>
            <w:ins w:id="394" w:author="Master Repository Process" w:date="2022-06-27T14:39:00Z">
              <w:r>
                <w:rPr>
                  <w:szCs w:val="22"/>
                </w:rPr>
                <w:tab/>
                <w:t>(i)</w:t>
              </w:r>
              <w:r>
                <w:rPr>
                  <w:szCs w:val="22"/>
                </w:rPr>
                <w:tab/>
                <w:t>if constructed of masonry, is no more than 0.75 m in height; and</w:t>
              </w:r>
            </w:ins>
          </w:p>
          <w:p>
            <w:pPr>
              <w:pStyle w:val="yTableNAm"/>
              <w:tabs>
                <w:tab w:val="clear" w:pos="567"/>
                <w:tab w:val="left" w:pos="1131"/>
                <w:tab w:val="left" w:pos="1581"/>
              </w:tabs>
              <w:spacing w:before="100"/>
              <w:ind w:left="1593" w:hanging="1593"/>
              <w:rPr>
                <w:ins w:id="395" w:author="Master Repository Process" w:date="2022-06-27T14:39:00Z"/>
                <w:szCs w:val="22"/>
              </w:rPr>
            </w:pPr>
            <w:ins w:id="396" w:author="Master Repository Process" w:date="2022-06-27T14:39:00Z">
              <w:r>
                <w:rPr>
                  <w:szCs w:val="22"/>
                </w:rPr>
                <w:tab/>
                <w:t>(ii)</w:t>
              </w:r>
              <w:r>
                <w:rPr>
                  <w:szCs w:val="22"/>
                </w:rPr>
                <w:tab/>
                <w:t>if constructed of a material other than masonry, is no more than 1.8 m in height; and</w:t>
              </w:r>
            </w:ins>
          </w:p>
          <w:p>
            <w:pPr>
              <w:pStyle w:val="yTableNAm"/>
              <w:tabs>
                <w:tab w:val="clear" w:pos="567"/>
                <w:tab w:val="left" w:pos="1131"/>
                <w:tab w:val="left" w:pos="1581"/>
              </w:tabs>
              <w:spacing w:before="100"/>
              <w:ind w:left="1593" w:hanging="1593"/>
              <w:rPr>
                <w:szCs w:val="22"/>
              </w:rPr>
            </w:pPr>
            <w:ins w:id="397" w:author="Master Repository Process" w:date="2022-06-27T14:39:00Z">
              <w:r>
                <w:rPr>
                  <w:szCs w:val="22"/>
                </w:rPr>
                <w:tab/>
                <w:t>(iii)</w:t>
              </w:r>
              <w:r>
                <w:rPr>
                  <w:szCs w:val="22"/>
                </w:rPr>
                <w:tab/>
                <w:t>is not located in wind region C or D as defined in AS 1170.2.</w:t>
              </w:r>
            </w:ins>
          </w:p>
        </w:tc>
      </w:tr>
      <w:tr>
        <w:trPr>
          <w:cantSplit/>
          <w:del w:id="398" w:author="Master Repository Process" w:date="2022-06-27T14:39:00Z"/>
        </w:trPr>
        <w:tc>
          <w:tcPr>
            <w:tcW w:w="851" w:type="dxa"/>
            <w:tcBorders>
              <w:top w:val="single" w:sz="4" w:space="0" w:color="auto"/>
            </w:tcBorders>
          </w:tcPr>
          <w:p>
            <w:pPr>
              <w:pStyle w:val="yTableNAm"/>
              <w:rPr>
                <w:del w:id="399" w:author="Master Repository Process" w:date="2022-06-27T14:39:00Z"/>
                <w:szCs w:val="22"/>
              </w:rPr>
            </w:pPr>
          </w:p>
        </w:tc>
        <w:tc>
          <w:tcPr>
            <w:tcW w:w="6274" w:type="dxa"/>
            <w:tcBorders>
              <w:top w:val="single" w:sz="4" w:space="0" w:color="auto"/>
            </w:tcBorders>
          </w:tcPr>
          <w:p>
            <w:pPr>
              <w:pStyle w:val="yTableNAm"/>
              <w:tabs>
                <w:tab w:val="clear" w:pos="567"/>
              </w:tabs>
              <w:spacing w:before="40"/>
              <w:ind w:left="742" w:hanging="567"/>
              <w:rPr>
                <w:del w:id="400" w:author="Master Repository Process" w:date="2022-06-27T14:39:00Z"/>
                <w:szCs w:val="22"/>
              </w:rPr>
            </w:pPr>
            <w:del w:id="401" w:author="Master Repository Process" w:date="2022-06-27T14:39:00Z">
              <w:r>
                <w:rPr>
                  <w:szCs w:val="22"/>
                </w:rPr>
                <w:delText>(b)</w:delText>
              </w:r>
              <w:r>
                <w:rPr>
                  <w:szCs w:val="22"/>
                </w:rPr>
                <w:tab/>
                <w:delText xml:space="preserve">the fence, screen or similar structure is, or is to be, located in a district in which there is no local law of a type referred to in paragraph (a) and the fence, screen or similar structure — </w:delText>
              </w:r>
            </w:del>
          </w:p>
          <w:p>
            <w:pPr>
              <w:pStyle w:val="yTableNAm"/>
              <w:tabs>
                <w:tab w:val="clear" w:pos="567"/>
                <w:tab w:val="left" w:pos="1131"/>
                <w:tab w:val="left" w:pos="1581"/>
              </w:tabs>
              <w:spacing w:before="100"/>
              <w:ind w:left="1593" w:hanging="1593"/>
              <w:rPr>
                <w:del w:id="402" w:author="Master Repository Process" w:date="2022-06-27T14:39:00Z"/>
                <w:szCs w:val="22"/>
              </w:rPr>
            </w:pPr>
            <w:del w:id="403" w:author="Master Repository Process" w:date="2022-06-27T14:39:00Z">
              <w:r>
                <w:rPr>
                  <w:szCs w:val="22"/>
                </w:rPr>
                <w:tab/>
                <w:delText>(i)</w:delText>
              </w:r>
              <w:r>
                <w:rPr>
                  <w:szCs w:val="22"/>
                </w:rPr>
                <w:tab/>
                <w:delText>if constructed of masonry, is no more than 0.75 m in height; and</w:delText>
              </w:r>
            </w:del>
          </w:p>
          <w:p>
            <w:pPr>
              <w:pStyle w:val="yTableNAm"/>
              <w:tabs>
                <w:tab w:val="clear" w:pos="567"/>
                <w:tab w:val="left" w:pos="1131"/>
                <w:tab w:val="left" w:pos="1581"/>
              </w:tabs>
              <w:spacing w:before="100"/>
              <w:ind w:left="1593" w:hanging="1593"/>
              <w:rPr>
                <w:del w:id="404" w:author="Master Repository Process" w:date="2022-06-27T14:39:00Z"/>
                <w:szCs w:val="22"/>
              </w:rPr>
            </w:pPr>
            <w:del w:id="405" w:author="Master Repository Process" w:date="2022-06-27T14:39:00Z">
              <w:r>
                <w:rPr>
                  <w:szCs w:val="22"/>
                </w:rPr>
                <w:tab/>
                <w:delText>(ii)</w:delText>
              </w:r>
              <w:r>
                <w:rPr>
                  <w:szCs w:val="22"/>
                </w:rPr>
                <w:tab/>
                <w:delText>if constructed of a material other than masonry, is no more than 1.8 m in height; and</w:delText>
              </w:r>
            </w:del>
          </w:p>
          <w:p>
            <w:pPr>
              <w:pStyle w:val="yTableNAm"/>
              <w:tabs>
                <w:tab w:val="clear" w:pos="567"/>
                <w:tab w:val="left" w:pos="1131"/>
                <w:tab w:val="left" w:pos="1581"/>
              </w:tabs>
              <w:spacing w:before="100"/>
              <w:ind w:left="1593" w:hanging="1593"/>
              <w:rPr>
                <w:del w:id="406" w:author="Master Repository Process" w:date="2022-06-27T14:39:00Z"/>
                <w:szCs w:val="22"/>
              </w:rPr>
            </w:pPr>
            <w:del w:id="407" w:author="Master Repository Process" w:date="2022-06-27T14:39:00Z">
              <w:r>
                <w:rPr>
                  <w:szCs w:val="22"/>
                </w:rPr>
                <w:tab/>
                <w:delText>(iii)</w:delText>
              </w:r>
              <w:r>
                <w:rPr>
                  <w:szCs w:val="22"/>
                </w:rPr>
                <w:tab/>
                <w:delText>is not located in wind region C or D as defined in AS 1170.2.</w:delText>
              </w:r>
            </w:del>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bottom w:val="single" w:sz="4" w:space="0" w:color="auto"/>
            </w:tcBorders>
          </w:tcPr>
          <w:p>
            <w:pPr>
              <w:pStyle w:val="yTableNAm"/>
            </w:pPr>
          </w:p>
        </w:tc>
        <w:tc>
          <w:tcPr>
            <w:tcW w:w="6274" w:type="dxa"/>
            <w:tcBorders>
              <w:top w:val="nil"/>
              <w:bottom w:val="single" w:sz="4" w:space="0" w:color="auto"/>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408" w:name="_Toc98427343"/>
      <w:bookmarkStart w:id="409" w:name="_Toc98489397"/>
      <w:bookmarkStart w:id="410" w:name="_Toc98494186"/>
      <w:bookmarkStart w:id="411" w:name="_Toc97636387"/>
      <w:bookmarkStart w:id="412" w:name="_Toc97637075"/>
      <w:bookmarkStart w:id="413" w:name="_Toc97638640"/>
      <w:r>
        <w:rPr>
          <w:rStyle w:val="CharSchNo"/>
        </w:rPr>
        <w:t>Schedule 5</w:t>
      </w:r>
      <w:r>
        <w:rPr>
          <w:rStyle w:val="CharSDivNo"/>
        </w:rPr>
        <w:t> </w:t>
      </w:r>
      <w:r>
        <w:t>—</w:t>
      </w:r>
      <w:r>
        <w:rPr>
          <w:rStyle w:val="CharSDivText"/>
        </w:rPr>
        <w:t> </w:t>
      </w:r>
      <w:r>
        <w:rPr>
          <w:rStyle w:val="CharSchText"/>
        </w:rPr>
        <w:t>Areas of State where Part 8 Division 2 applies</w:t>
      </w:r>
      <w:bookmarkEnd w:id="408"/>
      <w:bookmarkEnd w:id="409"/>
      <w:bookmarkEnd w:id="410"/>
      <w:bookmarkEnd w:id="411"/>
      <w:bookmarkEnd w:id="412"/>
      <w:bookmarkEnd w:id="413"/>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414" w:name="_Toc98427344"/>
      <w:bookmarkStart w:id="415" w:name="_Toc98489398"/>
      <w:bookmarkStart w:id="416" w:name="_Toc98494187"/>
      <w:bookmarkStart w:id="417" w:name="_Toc97636388"/>
      <w:bookmarkStart w:id="418" w:name="_Toc97637076"/>
      <w:bookmarkStart w:id="419" w:name="_Toc97638641"/>
      <w:r>
        <w:rPr>
          <w:rStyle w:val="CharSchNo"/>
        </w:rPr>
        <w:t>Schedule 6</w:t>
      </w:r>
      <w:r>
        <w:t> — </w:t>
      </w:r>
      <w:r>
        <w:rPr>
          <w:rStyle w:val="CharSchText"/>
        </w:rPr>
        <w:t>Prescribed offences and modified penalties</w:t>
      </w:r>
      <w:bookmarkEnd w:id="414"/>
      <w:bookmarkEnd w:id="415"/>
      <w:bookmarkEnd w:id="416"/>
      <w:bookmarkEnd w:id="417"/>
      <w:bookmarkEnd w:id="418"/>
      <w:bookmarkEnd w:id="419"/>
    </w:p>
    <w:p>
      <w:pPr>
        <w:pStyle w:val="yShoulderClause"/>
      </w:pPr>
      <w:r>
        <w:t>[r. 69]</w:t>
      </w:r>
    </w:p>
    <w:p>
      <w:pPr>
        <w:pStyle w:val="yFootnoteheading"/>
      </w:pPr>
      <w:r>
        <w:tab/>
        <w:t>[Heading inserted: Gazette 26 Apr 2019 p. 1210.]</w:t>
      </w:r>
    </w:p>
    <w:p>
      <w:pPr>
        <w:pStyle w:val="yHeading3"/>
      </w:pPr>
      <w:bookmarkStart w:id="420" w:name="_Toc98427345"/>
      <w:bookmarkStart w:id="421" w:name="_Toc98489399"/>
      <w:bookmarkStart w:id="422" w:name="_Toc98494188"/>
      <w:bookmarkStart w:id="423" w:name="_Toc97636389"/>
      <w:bookmarkStart w:id="424" w:name="_Toc97637077"/>
      <w:bookmarkStart w:id="425" w:name="_Toc97638642"/>
      <w:r>
        <w:rPr>
          <w:rStyle w:val="CharSDivNo"/>
        </w:rPr>
        <w:t>Division 1</w:t>
      </w:r>
      <w:r>
        <w:t> — </w:t>
      </w:r>
      <w:r>
        <w:rPr>
          <w:rStyle w:val="CharSDivText"/>
        </w:rPr>
        <w:t>Offences under the Act</w:t>
      </w:r>
      <w:bookmarkEnd w:id="420"/>
      <w:bookmarkEnd w:id="421"/>
      <w:bookmarkEnd w:id="422"/>
      <w:bookmarkEnd w:id="423"/>
      <w:bookmarkEnd w:id="424"/>
      <w:bookmarkEnd w:id="425"/>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426" w:name="_Toc98427346"/>
      <w:bookmarkStart w:id="427" w:name="_Toc98489400"/>
      <w:bookmarkStart w:id="428" w:name="_Toc98494189"/>
      <w:bookmarkStart w:id="429" w:name="_Toc97636390"/>
      <w:bookmarkStart w:id="430" w:name="_Toc97637078"/>
      <w:bookmarkStart w:id="431" w:name="_Toc97638643"/>
      <w:r>
        <w:rPr>
          <w:rStyle w:val="CharSDivNo"/>
        </w:rPr>
        <w:t>Division 2</w:t>
      </w:r>
      <w:r>
        <w:t> — </w:t>
      </w:r>
      <w:r>
        <w:rPr>
          <w:rStyle w:val="CharSDivText"/>
        </w:rPr>
        <w:t>Offences under these regulations</w:t>
      </w:r>
      <w:bookmarkEnd w:id="426"/>
      <w:bookmarkEnd w:id="427"/>
      <w:bookmarkEnd w:id="428"/>
      <w:bookmarkEnd w:id="429"/>
      <w:bookmarkEnd w:id="430"/>
      <w:bookmarkEnd w:id="431"/>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432" w:name="_Toc98427347"/>
      <w:bookmarkStart w:id="433" w:name="_Toc98489401"/>
      <w:bookmarkStart w:id="434" w:name="_Toc98494190"/>
      <w:bookmarkStart w:id="435" w:name="_Toc97636391"/>
      <w:bookmarkStart w:id="436" w:name="_Toc97637079"/>
      <w:bookmarkStart w:id="437" w:name="_Toc97638644"/>
      <w:r>
        <w:rPr>
          <w:rStyle w:val="CharSchNo"/>
        </w:rPr>
        <w:t>Schedule 7</w:t>
      </w:r>
      <w:r>
        <w:rPr>
          <w:rStyle w:val="CharSDivNo"/>
        </w:rPr>
        <w:t> </w:t>
      </w:r>
      <w:r>
        <w:t>—</w:t>
      </w:r>
      <w:r>
        <w:rPr>
          <w:rStyle w:val="CharSDivText"/>
        </w:rPr>
        <w:t> </w:t>
      </w:r>
      <w:r>
        <w:rPr>
          <w:rStyle w:val="CharSchText"/>
        </w:rPr>
        <w:t>Forms</w:t>
      </w:r>
      <w:bookmarkEnd w:id="432"/>
      <w:bookmarkEnd w:id="433"/>
      <w:bookmarkEnd w:id="434"/>
      <w:bookmarkEnd w:id="435"/>
      <w:bookmarkEnd w:id="436"/>
      <w:bookmarkEnd w:id="437"/>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 SL 2020/163 r. 6.]</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nHeading2"/>
      </w:pPr>
      <w:bookmarkStart w:id="438" w:name="_Toc98427348"/>
      <w:bookmarkStart w:id="439" w:name="_Toc98489402"/>
      <w:bookmarkStart w:id="440" w:name="_Toc98494191"/>
      <w:bookmarkStart w:id="441" w:name="_Toc97636392"/>
      <w:bookmarkStart w:id="442" w:name="_Toc97637080"/>
      <w:bookmarkStart w:id="443" w:name="_Toc97638645"/>
      <w:r>
        <w:t>Notes</w:t>
      </w:r>
      <w:bookmarkEnd w:id="438"/>
      <w:bookmarkEnd w:id="439"/>
      <w:bookmarkEnd w:id="440"/>
      <w:bookmarkEnd w:id="441"/>
      <w:bookmarkEnd w:id="442"/>
      <w:bookmarkEnd w:id="443"/>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w:t>
      </w:r>
      <w:del w:id="444" w:author="Master Repository Process" w:date="2022-06-27T14:39:00Z">
        <w:r>
          <w:delText xml:space="preserve"> For provisions that have not yet come into operation see the uncommenced provisions table.</w:delText>
        </w:r>
      </w:del>
    </w:p>
    <w:p>
      <w:pPr>
        <w:pStyle w:val="nHeading3"/>
      </w:pPr>
      <w:bookmarkStart w:id="445" w:name="_Toc98494192"/>
      <w:bookmarkStart w:id="446" w:name="_Toc97638646"/>
      <w:r>
        <w:t>Compilation table</w:t>
      </w:r>
      <w:bookmarkEnd w:id="445"/>
      <w:bookmarkEnd w:id="44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Commerce Regulations Amendment (Strata Titles) Regulations 2019</w:t>
            </w:r>
            <w:r>
              <w:t xml:space="preserve"> Pt. 2</w:t>
            </w:r>
          </w:p>
        </w:tc>
        <w:tc>
          <w:tcPr>
            <w:tcW w:w="1276" w:type="dxa"/>
            <w:tcBorders>
              <w:top w:val="nil"/>
              <w:left w:val="nil"/>
              <w:bottom w:val="nil"/>
              <w:right w:val="nil"/>
            </w:tcBorders>
          </w:tcPr>
          <w:p>
            <w:pPr>
              <w:pStyle w:val="nTable"/>
              <w:keepLines/>
              <w:spacing w:after="40"/>
            </w:pPr>
            <w:r>
              <w:t>31 Dec 2019 p. 4637-46</w:t>
            </w:r>
          </w:p>
        </w:tc>
        <w:tc>
          <w:tcPr>
            <w:tcW w:w="2693" w:type="dxa"/>
            <w:tcBorders>
              <w:top w:val="nil"/>
              <w:left w:val="nil"/>
              <w:bottom w:val="nil"/>
            </w:tcBorders>
          </w:tcPr>
          <w:p>
            <w:pPr>
              <w:pStyle w:val="nTable"/>
              <w:keepLines/>
              <w:spacing w:after="40"/>
              <w:rPr>
                <w:bCs/>
                <w:snapToGrid w:val="0"/>
                <w:spacing w:val="-2"/>
              </w:rPr>
            </w:pPr>
            <w:r>
              <w:t>1 May 2020 (see r. 2(b) and SL 2020/39 cl. 2)</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trPr>
        <w:tc>
          <w:tcPr>
            <w:tcW w:w="3118" w:type="dxa"/>
            <w:tcBorders>
              <w:top w:val="nil"/>
              <w:bottom w:val="nil"/>
              <w:right w:val="nil"/>
            </w:tcBorders>
          </w:tcPr>
          <w:p>
            <w:pPr>
              <w:pStyle w:val="nTable"/>
              <w:spacing w:after="40"/>
              <w:rPr>
                <w:i/>
              </w:rPr>
            </w:pPr>
            <w:r>
              <w:rPr>
                <w:i/>
              </w:rPr>
              <w:t>Building Amendment Regulations (No. 3) 2020</w:t>
            </w:r>
          </w:p>
        </w:tc>
        <w:tc>
          <w:tcPr>
            <w:tcW w:w="1276" w:type="dxa"/>
            <w:tcBorders>
              <w:top w:val="nil"/>
              <w:left w:val="nil"/>
              <w:bottom w:val="nil"/>
              <w:right w:val="nil"/>
            </w:tcBorders>
          </w:tcPr>
          <w:p>
            <w:pPr>
              <w:pStyle w:val="nTable"/>
              <w:keepLines/>
              <w:spacing w:after="40"/>
            </w:pPr>
            <w:r>
              <w:t>SL 2020/46</w:t>
            </w:r>
            <w:r>
              <w:br/>
              <w:t>24 Apr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Commerce Regulations Amendment (Infringement Notices) Regulations 2020</w:t>
            </w:r>
            <w:r>
              <w:t xml:space="preserve"> Pt. 3</w:t>
            </w:r>
          </w:p>
        </w:tc>
        <w:tc>
          <w:tcPr>
            <w:tcW w:w="1276" w:type="dxa"/>
            <w:tcBorders>
              <w:top w:val="nil"/>
              <w:left w:val="nil"/>
              <w:bottom w:val="nil"/>
              <w:right w:val="nil"/>
            </w:tcBorders>
          </w:tcPr>
          <w:p>
            <w:pPr>
              <w:pStyle w:val="nTable"/>
              <w:keepLines/>
              <w:spacing w:after="40"/>
            </w:pPr>
            <w:r>
              <w:t>SL 2020/163 25 Sep 2020</w:t>
            </w:r>
          </w:p>
        </w:tc>
        <w:tc>
          <w:tcPr>
            <w:tcW w:w="2693" w:type="dxa"/>
            <w:tcBorders>
              <w:top w:val="nil"/>
              <w:left w:val="nil"/>
              <w:bottom w:val="nil"/>
            </w:tcBorders>
          </w:tcPr>
          <w:p>
            <w:pPr>
              <w:pStyle w:val="nTable"/>
              <w:keepLines/>
              <w:spacing w:after="40"/>
              <w:rPr>
                <w:bCs/>
                <w:snapToGrid w:val="0"/>
                <w:spacing w:val="-2"/>
              </w:rPr>
            </w:pPr>
            <w:r>
              <w:t>29 Sep 2020 (see r. 2(b) and SL 2020/159 cl. 2(a))</w:t>
            </w:r>
          </w:p>
        </w:tc>
      </w:tr>
      <w:tr>
        <w:trPr>
          <w:cantSplit/>
        </w:trPr>
        <w:tc>
          <w:tcPr>
            <w:tcW w:w="3118" w:type="dxa"/>
            <w:tcBorders>
              <w:top w:val="nil"/>
              <w:bottom w:val="nil"/>
              <w:right w:val="nil"/>
            </w:tcBorders>
          </w:tcPr>
          <w:p>
            <w:pPr>
              <w:pStyle w:val="nTable"/>
              <w:spacing w:after="40"/>
              <w:rPr>
                <w:i/>
              </w:rPr>
            </w:pPr>
            <w:r>
              <w:rPr>
                <w:i/>
              </w:rPr>
              <w:t>Building Amendment Regulations (No. 5) 2020</w:t>
            </w:r>
          </w:p>
        </w:tc>
        <w:tc>
          <w:tcPr>
            <w:tcW w:w="1276" w:type="dxa"/>
            <w:tcBorders>
              <w:top w:val="nil"/>
              <w:left w:val="nil"/>
              <w:bottom w:val="nil"/>
              <w:right w:val="nil"/>
            </w:tcBorders>
          </w:tcPr>
          <w:p>
            <w:pPr>
              <w:pStyle w:val="nTable"/>
              <w:keepLines/>
              <w:spacing w:after="40"/>
            </w:pPr>
            <w:r>
              <w:t>SL 2020/192 9 Oct 2020</w:t>
            </w:r>
          </w:p>
        </w:tc>
        <w:tc>
          <w:tcPr>
            <w:tcW w:w="2693" w:type="dxa"/>
            <w:tcBorders>
              <w:top w:val="nil"/>
              <w:left w:val="nil"/>
              <w:bottom w:val="nil"/>
            </w:tcBorders>
          </w:tcPr>
          <w:p>
            <w:pPr>
              <w:pStyle w:val="nTable"/>
              <w:keepLines/>
              <w:spacing w:after="40"/>
            </w:pPr>
            <w:r>
              <w:t>r. 1 and 2: 9 Oct 2020 (see r. 2(a));</w:t>
            </w:r>
            <w:r>
              <w:br/>
              <w:t>Regulations other than r. 1 and 2: 10 Oct 2020 (see r. 2(b))</w:t>
            </w:r>
          </w:p>
        </w:tc>
      </w:tr>
      <w:tr>
        <w:trPr>
          <w:cantSplit/>
        </w:trPr>
        <w:tc>
          <w:tcPr>
            <w:tcW w:w="3118" w:type="dxa"/>
            <w:tcBorders>
              <w:top w:val="nil"/>
              <w:bottom w:val="nil"/>
              <w:right w:val="nil"/>
            </w:tcBorders>
          </w:tcPr>
          <w:p>
            <w:pPr>
              <w:pStyle w:val="nTable"/>
              <w:spacing w:after="40"/>
              <w:rPr>
                <w:i/>
              </w:rPr>
            </w:pPr>
            <w:r>
              <w:rPr>
                <w:i/>
              </w:rPr>
              <w:t>Building Amendment Regulations 2021</w:t>
            </w:r>
          </w:p>
        </w:tc>
        <w:tc>
          <w:tcPr>
            <w:tcW w:w="1276" w:type="dxa"/>
            <w:tcBorders>
              <w:top w:val="nil"/>
              <w:left w:val="nil"/>
              <w:bottom w:val="nil"/>
              <w:right w:val="nil"/>
            </w:tcBorders>
          </w:tcPr>
          <w:p>
            <w:pPr>
              <w:pStyle w:val="nTable"/>
              <w:keepLines/>
              <w:spacing w:after="40"/>
            </w:pPr>
            <w:r>
              <w:t>SL 2021/42 13 Apr 2021</w:t>
            </w:r>
          </w:p>
        </w:tc>
        <w:tc>
          <w:tcPr>
            <w:tcW w:w="2693" w:type="dxa"/>
            <w:tcBorders>
              <w:top w:val="nil"/>
              <w:left w:val="nil"/>
              <w:bottom w:val="nil"/>
            </w:tcBorders>
          </w:tcPr>
          <w:p>
            <w:pPr>
              <w:pStyle w:val="nTable"/>
              <w:keepLines/>
              <w:spacing w:after="40"/>
            </w:pPr>
            <w:r>
              <w:t>r. 1 and 2: 13 Apr 2021 (see r. 2(a));</w:t>
            </w:r>
            <w:r>
              <w:br/>
              <w:t>Regulations other than r. 1 and 2: 1 May 2021 (see r. 2(b))</w:t>
            </w:r>
          </w:p>
        </w:tc>
      </w:tr>
      <w:tr>
        <w:trPr>
          <w:cantSplit/>
        </w:trPr>
        <w:tc>
          <w:tcPr>
            <w:tcW w:w="3118" w:type="dxa"/>
            <w:tcBorders>
              <w:top w:val="nil"/>
              <w:bottom w:val="nil"/>
              <w:right w:val="nil"/>
            </w:tcBorders>
          </w:tcPr>
          <w:p>
            <w:pPr>
              <w:pStyle w:val="nTable"/>
              <w:spacing w:after="40"/>
              <w:rPr>
                <w:i/>
              </w:rPr>
            </w:pPr>
            <w:r>
              <w:rPr>
                <w:i/>
              </w:rPr>
              <w:t>Commerce Regulations Amendment (Fees and Charges) Regulations 2021</w:t>
            </w:r>
            <w:r>
              <w:t xml:space="preserve"> Pt. 5</w:t>
            </w:r>
          </w:p>
        </w:tc>
        <w:tc>
          <w:tcPr>
            <w:tcW w:w="1276" w:type="dxa"/>
            <w:tcBorders>
              <w:top w:val="nil"/>
              <w:left w:val="nil"/>
              <w:bottom w:val="nil"/>
              <w:right w:val="nil"/>
            </w:tcBorders>
          </w:tcPr>
          <w:p>
            <w:pPr>
              <w:pStyle w:val="nTable"/>
              <w:keepLines/>
              <w:spacing w:after="40"/>
            </w:pPr>
            <w:r>
              <w:t>SL 2021/86 21 Jun 2021</w:t>
            </w:r>
          </w:p>
        </w:tc>
        <w:tc>
          <w:tcPr>
            <w:tcW w:w="2693" w:type="dxa"/>
            <w:tcBorders>
              <w:top w:val="nil"/>
              <w:left w:val="nil"/>
              <w:bottom w:val="nil"/>
            </w:tcBorders>
          </w:tcPr>
          <w:p>
            <w:pPr>
              <w:pStyle w:val="nTable"/>
              <w:keepLines/>
              <w:spacing w:after="40"/>
            </w:pPr>
            <w:r>
              <w:t>1 Jul 2021 (see r. 2(b))</w:t>
            </w:r>
          </w:p>
        </w:tc>
      </w:tr>
      <w:tr>
        <w:trPr>
          <w:cantSplit/>
        </w:trPr>
        <w:tc>
          <w:tcPr>
            <w:tcW w:w="3118" w:type="dxa"/>
            <w:tcBorders>
              <w:top w:val="nil"/>
              <w:bottom w:val="nil"/>
              <w:right w:val="nil"/>
            </w:tcBorders>
          </w:tcPr>
          <w:p>
            <w:pPr>
              <w:pStyle w:val="nTable"/>
              <w:spacing w:after="40"/>
              <w:rPr>
                <w:i/>
              </w:rPr>
            </w:pPr>
            <w:r>
              <w:rPr>
                <w:i/>
              </w:rPr>
              <w:t>Commerce Regulations Amendment (Swan Valley Planning Scheme) Regulations 2021</w:t>
            </w:r>
            <w:r>
              <w:t xml:space="preserve"> Pt. 2</w:t>
            </w:r>
          </w:p>
        </w:tc>
        <w:tc>
          <w:tcPr>
            <w:tcW w:w="1276" w:type="dxa"/>
            <w:tcBorders>
              <w:top w:val="nil"/>
              <w:left w:val="nil"/>
              <w:bottom w:val="nil"/>
              <w:right w:val="nil"/>
            </w:tcBorders>
          </w:tcPr>
          <w:p>
            <w:pPr>
              <w:pStyle w:val="nTable"/>
              <w:keepLines/>
              <w:spacing w:after="40"/>
            </w:pPr>
            <w:r>
              <w:t>SL 2021/130 16 Jul 2021</w:t>
            </w:r>
          </w:p>
        </w:tc>
        <w:tc>
          <w:tcPr>
            <w:tcW w:w="2693" w:type="dxa"/>
            <w:tcBorders>
              <w:top w:val="nil"/>
              <w:left w:val="nil"/>
              <w:bottom w:val="nil"/>
            </w:tcBorders>
          </w:tcPr>
          <w:p>
            <w:pPr>
              <w:pStyle w:val="nTable"/>
              <w:keepLines/>
              <w:spacing w:after="40"/>
            </w:pPr>
            <w:r>
              <w:t>1 Aug 2021 (see r. 2(b) and SL 2021/124 cl. 2)</w:t>
            </w:r>
          </w:p>
        </w:tc>
      </w:tr>
    </w:tbl>
    <w:p>
      <w:pPr>
        <w:pStyle w:val="nHeading3"/>
        <w:rPr>
          <w:del w:id="447" w:author="Master Repository Process" w:date="2022-06-27T14:39:00Z"/>
        </w:rPr>
      </w:pPr>
      <w:bookmarkStart w:id="448" w:name="_Toc97638647"/>
      <w:del w:id="449" w:author="Master Repository Process" w:date="2022-06-27T14:39:00Z">
        <w:r>
          <w:delText>Uncommenced provisions table</w:delText>
        </w:r>
        <w:bookmarkEnd w:id="448"/>
      </w:del>
    </w:p>
    <w:p>
      <w:pPr>
        <w:pStyle w:val="nStatement"/>
        <w:keepNext/>
        <w:spacing w:after="240"/>
        <w:rPr>
          <w:del w:id="450" w:author="Master Repository Process" w:date="2022-06-27T14:39:00Z"/>
        </w:rPr>
      </w:pPr>
      <w:del w:id="451" w:author="Master Repository Process" w:date="2022-06-27T14:39: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52" w:author="Master Repository Process" w:date="2022-06-27T14:39:00Z"/>
        </w:trPr>
        <w:tc>
          <w:tcPr>
            <w:tcW w:w="3118" w:type="dxa"/>
          </w:tcPr>
          <w:p>
            <w:pPr>
              <w:pStyle w:val="nTable"/>
              <w:spacing w:after="40"/>
              <w:rPr>
                <w:del w:id="453" w:author="Master Repository Process" w:date="2022-06-27T14:39:00Z"/>
                <w:b/>
              </w:rPr>
            </w:pPr>
            <w:del w:id="454" w:author="Master Repository Process" w:date="2022-06-27T14:39:00Z">
              <w:r>
                <w:rPr>
                  <w:b/>
                </w:rPr>
                <w:delText>Citation</w:delText>
              </w:r>
            </w:del>
          </w:p>
        </w:tc>
        <w:tc>
          <w:tcPr>
            <w:tcW w:w="1276" w:type="dxa"/>
          </w:tcPr>
          <w:p>
            <w:pPr>
              <w:pStyle w:val="nTable"/>
              <w:spacing w:after="40"/>
              <w:rPr>
                <w:del w:id="455" w:author="Master Repository Process" w:date="2022-06-27T14:39:00Z"/>
                <w:b/>
              </w:rPr>
            </w:pPr>
            <w:del w:id="456" w:author="Master Repository Process" w:date="2022-06-27T14:39:00Z">
              <w:r>
                <w:rPr>
                  <w:b/>
                </w:rPr>
                <w:delText>Published</w:delText>
              </w:r>
            </w:del>
          </w:p>
        </w:tc>
        <w:tc>
          <w:tcPr>
            <w:tcW w:w="2693" w:type="dxa"/>
          </w:tcPr>
          <w:p>
            <w:pPr>
              <w:pStyle w:val="nTable"/>
              <w:spacing w:after="40"/>
              <w:rPr>
                <w:del w:id="457" w:author="Master Repository Process" w:date="2022-06-27T14:39:00Z"/>
                <w:b/>
              </w:rPr>
            </w:pPr>
            <w:del w:id="458" w:author="Master Repository Process" w:date="2022-06-27T14:39:00Z">
              <w:r>
                <w:rPr>
                  <w:b/>
                </w:rPr>
                <w:delText>Commencement</w:delText>
              </w:r>
            </w:del>
          </w:p>
        </w:tc>
      </w:tr>
      <w:tr>
        <w:trPr>
          <w:cantSplit/>
        </w:trPr>
        <w:tc>
          <w:tcPr>
            <w:tcW w:w="3118" w:type="dxa"/>
            <w:tcBorders>
              <w:top w:val="nil"/>
              <w:bottom w:val="single" w:sz="8" w:space="0" w:color="auto"/>
              <w:right w:val="nil"/>
            </w:tcBorders>
          </w:tcPr>
          <w:p>
            <w:pPr>
              <w:pStyle w:val="nTable"/>
              <w:spacing w:after="40"/>
              <w:rPr>
                <w:i/>
              </w:rPr>
            </w:pPr>
            <w:r>
              <w:rPr>
                <w:i/>
              </w:rPr>
              <w:t xml:space="preserve">Commerce Regulations Amendment (Work Health and Safety) Regulations 2022 </w:t>
            </w:r>
            <w:r>
              <w:t>Pt. 2</w:t>
            </w:r>
          </w:p>
        </w:tc>
        <w:tc>
          <w:tcPr>
            <w:tcW w:w="1276" w:type="dxa"/>
            <w:tcBorders>
              <w:top w:val="nil"/>
              <w:left w:val="nil"/>
              <w:bottom w:val="single" w:sz="8" w:space="0" w:color="auto"/>
              <w:right w:val="nil"/>
            </w:tcBorders>
          </w:tcPr>
          <w:p>
            <w:pPr>
              <w:pStyle w:val="nTable"/>
              <w:keepLines/>
              <w:spacing w:after="40"/>
            </w:pPr>
            <w:r>
              <w:t>SL 2022/26</w:t>
            </w:r>
            <w:del w:id="459" w:author="Master Repository Process" w:date="2022-06-27T14:39:00Z">
              <w:r>
                <w:br/>
              </w:r>
            </w:del>
            <w:ins w:id="460" w:author="Master Repository Process" w:date="2022-06-27T14:39:00Z">
              <w:r>
                <w:t xml:space="preserve"> </w:t>
              </w:r>
            </w:ins>
            <w:r>
              <w:t>11 Mar 2022</w:t>
            </w:r>
          </w:p>
        </w:tc>
        <w:tc>
          <w:tcPr>
            <w:tcW w:w="2693" w:type="dxa"/>
            <w:tcBorders>
              <w:top w:val="nil"/>
              <w:left w:val="nil"/>
              <w:bottom w:val="single" w:sz="8" w:space="0" w:color="auto"/>
            </w:tcBorders>
          </w:tcPr>
          <w:p>
            <w:pPr>
              <w:pStyle w:val="nTable"/>
              <w:keepLines/>
              <w:spacing w:after="40"/>
            </w:pPr>
            <w:r>
              <w:rPr>
                <w:snapToGrid w:val="0"/>
              </w:rPr>
              <w:t>31 Mar 2022 (see r. 2(b) and SL 2022/18 cl. 2)</w:t>
            </w:r>
          </w:p>
        </w:tc>
      </w:tr>
    </w:tbl>
    <w:p>
      <w:pPr>
        <w:pStyle w:val="nHeading3"/>
      </w:pPr>
      <w:bookmarkStart w:id="461" w:name="_Toc98494193"/>
      <w:bookmarkStart w:id="462" w:name="_Toc97638648"/>
      <w:r>
        <w:t>Other notes</w:t>
      </w:r>
      <w:bookmarkEnd w:id="461"/>
      <w:bookmarkEnd w:id="462"/>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63" w:name="Compilation"/>
    <w:bookmarkEnd w:id="463"/>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4" w:name="Coversheet"/>
    <w:bookmarkEnd w:id="46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47" w:name="Schedule"/>
    <w:bookmarkEnd w:id="3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7163057"/>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 w:name="WAFER_2020043015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30150223_GUID" w:val="834a795d-f3c9-41a8-b6e0-e9519c5bdf74"/>
    <w:docVar w:name="WAFER_202009241418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141811_GUID" w:val="770146f5-cc02-49a6-89da-5c6a7f48e1f0"/>
    <w:docVar w:name="WAFER_202010071116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11623_GUID" w:val="ab35112e-3919-46e8-8919-0a6593dd9ee7"/>
    <w:docVar w:name="WAFER_202104071337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3749_GUID" w:val="a4726158-1b3b-4f23-abee-c19c5eca9e65"/>
    <w:docVar w:name="WAFER_20210428120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20854_GUID" w:val="5ab1875e-7ccb-4c33-ad11-8cba4ed32ec1"/>
    <w:docVar w:name="WAFER_20210615155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5847_GUID" w:val="20b48b21-49d0-45f5-973b-30982d0c245c"/>
    <w:docVar w:name="WAFER_20210623142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38_GUID" w:val="4c989d56-d454-4803-856c-8b1ed53f2b25"/>
    <w:docVar w:name="WAFER_20210714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5856_GUID" w:val="d36fc486-1f6f-4ed5-b63c-9bd8b79f2308"/>
    <w:docVar w:name="WAFER_20210726152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2458_GUID" w:val="aa5a6f4c-920e-4c4f-a74e-8bd16dcc2be3"/>
    <w:docVar w:name="WAFER_20220308124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24532_GUID" w:val="ddb42766-8abe-4064-aefe-70b5a9740ee1"/>
    <w:docVar w:name="WAFER_202203171630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3057_GUID" w:val="db4672ea-99d8-4029-a5ef-0449f7849d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545625-D491-47B7-9AE8-879AA6D4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47927-EB53-4E92-B831-0E37D412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25315</Words>
  <Characters>124807</Characters>
  <Application>Microsoft Office Word</Application>
  <DocSecurity>0</DocSecurity>
  <Lines>4303</Lines>
  <Paragraphs>2309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04-o0-01 - 04-p0-02</dc:title>
  <dc:subject/>
  <dc:creator/>
  <cp:keywords/>
  <dc:description/>
  <cp:lastModifiedBy>Master Repository Process</cp:lastModifiedBy>
  <cp:revision>2</cp:revision>
  <cp:lastPrinted>2019-11-01T04:18:00Z</cp:lastPrinted>
  <dcterms:created xsi:type="dcterms:W3CDTF">2022-06-27T06:38:00Z</dcterms:created>
  <dcterms:modified xsi:type="dcterms:W3CDTF">2022-06-27T06:39:00Z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CommencementDate">
    <vt:lpwstr>20220331</vt:lpwstr>
  </property>
  <property fmtid="{D5CDD505-2E9C-101B-9397-08002B2CF9AE}" pid="7" name="FromSuffix">
    <vt:lpwstr>04-o0-01</vt:lpwstr>
  </property>
  <property fmtid="{D5CDD505-2E9C-101B-9397-08002B2CF9AE}" pid="8" name="FromAsAtDate">
    <vt:lpwstr>11 Mar 2022</vt:lpwstr>
  </property>
  <property fmtid="{D5CDD505-2E9C-101B-9397-08002B2CF9AE}" pid="9" name="ToSuffix">
    <vt:lpwstr>04-p0-02</vt:lpwstr>
  </property>
  <property fmtid="{D5CDD505-2E9C-101B-9397-08002B2CF9AE}" pid="10" name="ToAsAtDate">
    <vt:lpwstr>31 Mar 2022</vt:lpwstr>
  </property>
</Properties>
</file>