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2022</w:t>
      </w:r>
      <w:r>
        <w:fldChar w:fldCharType="end"/>
      </w:r>
      <w:r>
        <w:t xml:space="preserve">, </w:t>
      </w:r>
      <w:r>
        <w:fldChar w:fldCharType="begin"/>
      </w:r>
      <w:r>
        <w:instrText xml:space="preserve"> DocProperty FromSuffix </w:instrText>
      </w:r>
      <w:r>
        <w:fldChar w:fldCharType="separate"/>
      </w:r>
      <w:r>
        <w:t>05-i0-00</w:t>
      </w:r>
      <w:r>
        <w:fldChar w:fldCharType="end"/>
      </w:r>
      <w:r>
        <w:t>] and [</w:t>
      </w:r>
      <w:r>
        <w:fldChar w:fldCharType="begin"/>
      </w:r>
      <w:r>
        <w:instrText xml:space="preserve"> DocProperty ToAsAtDate</w:instrText>
      </w:r>
      <w:r>
        <w:fldChar w:fldCharType="separate"/>
      </w:r>
      <w:r>
        <w:t>19 Nov 2022</w:t>
      </w:r>
      <w:r>
        <w:fldChar w:fldCharType="end"/>
      </w:r>
      <w:r>
        <w:t xml:space="preserve">, </w:t>
      </w:r>
      <w:r>
        <w:fldChar w:fldCharType="begin"/>
      </w:r>
      <w:r>
        <w:instrText xml:space="preserve"> DocProperty ToSuffix</w:instrText>
      </w:r>
      <w:r>
        <w:fldChar w:fldCharType="separate"/>
      </w:r>
      <w:r>
        <w:t>05-j0-01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1" w:name="_GoBack"/>
      <w:bookmarkEnd w:id="1"/>
      <w:r>
        <w:rPr>
          <w:snapToGrid w:val="0"/>
        </w:rPr>
        <w:t>n Act —</w:t>
      </w:r>
    </w:p>
    <w:p>
      <w:pPr>
        <w:pStyle w:val="LongTitle"/>
        <w:numPr>
          <w:ilvl w:val="0"/>
          <w:numId w:val="1"/>
        </w:numPr>
        <w:suppressLineNumbers/>
        <w:tabs>
          <w:tab w:val="clear" w:pos="720"/>
        </w:tabs>
        <w:ind w:left="426" w:hanging="426"/>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tabs>
          <w:tab w:val="clear" w:pos="720"/>
        </w:tabs>
        <w:ind w:left="426" w:hanging="426"/>
        <w:rPr>
          <w:snapToGrid w:val="0"/>
        </w:rPr>
      </w:pPr>
      <w:r>
        <w:rPr>
          <w:snapToGrid w:val="0"/>
        </w:rPr>
        <w:t>to make provisions about the protection and care of children and the employment of children;</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tabs>
          <w:tab w:val="clear" w:pos="720"/>
        </w:tabs>
        <w:ind w:left="426" w:hanging="426"/>
        <w:rPr>
          <w:snapToGrid w:val="0"/>
        </w:rPr>
      </w:pPr>
      <w:r>
        <w:rPr>
          <w:snapToGrid w:val="0"/>
        </w:rPr>
        <w:t>to amend certain Acts</w:t>
      </w:r>
      <w:r>
        <w:rPr>
          <w:b w:val="0"/>
          <w:snapToGrid w:val="0"/>
          <w:vertAlign w:val="superscript"/>
        </w:rPr>
        <w:t> 1</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No. 19 of 2007 s. 63.]</w:t>
      </w:r>
    </w:p>
    <w:p>
      <w:pPr>
        <w:pStyle w:val="Heading2"/>
      </w:pPr>
      <w:bookmarkStart w:id="2" w:name="_Toc148348465"/>
      <w:bookmarkStart w:id="3" w:name="_Toc148358249"/>
      <w:bookmarkStart w:id="4" w:name="_Toc148360893"/>
      <w:bookmarkStart w:id="5" w:name="_Toc117582509"/>
      <w:bookmarkStart w:id="6" w:name="_Toc117584322"/>
      <w:bookmarkStart w:id="7" w:name="_Toc117585492"/>
      <w:bookmarkStart w:id="8" w:name="_Toc117607846"/>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p>
    <w:p>
      <w:pPr>
        <w:pStyle w:val="Heading5"/>
        <w:spacing w:before="180"/>
        <w:rPr>
          <w:snapToGrid w:val="0"/>
        </w:rPr>
      </w:pPr>
      <w:bookmarkStart w:id="9" w:name="_Toc148360894"/>
      <w:bookmarkStart w:id="10" w:name="_Toc117607847"/>
      <w:r>
        <w:rPr>
          <w:rStyle w:val="CharSectno"/>
        </w:rPr>
        <w:t>1</w:t>
      </w:r>
      <w:r>
        <w:rPr>
          <w:snapToGrid w:val="0"/>
        </w:rPr>
        <w:t>.</w:t>
      </w:r>
      <w:r>
        <w:rPr>
          <w:snapToGrid w:val="0"/>
        </w:rPr>
        <w:tab/>
        <w:t>Short title</w:t>
      </w:r>
      <w:bookmarkEnd w:id="9"/>
      <w:bookmarkEnd w:id="10"/>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rPr>
        <w:t>.</w:t>
      </w:r>
    </w:p>
    <w:p>
      <w:pPr>
        <w:pStyle w:val="Heading5"/>
        <w:spacing w:before="180"/>
        <w:rPr>
          <w:snapToGrid w:val="0"/>
        </w:rPr>
      </w:pPr>
      <w:bookmarkStart w:id="11" w:name="_Toc148360895"/>
      <w:bookmarkStart w:id="12" w:name="_Toc117607848"/>
      <w:r>
        <w:rPr>
          <w:rStyle w:val="CharSectno"/>
        </w:rPr>
        <w:t>2</w:t>
      </w:r>
      <w:r>
        <w:rPr>
          <w:snapToGrid w:val="0"/>
        </w:rPr>
        <w:t>.</w:t>
      </w:r>
      <w:r>
        <w:rPr>
          <w:snapToGrid w:val="0"/>
        </w:rPr>
        <w:tab/>
        <w:t>Commencement</w:t>
      </w:r>
      <w:bookmarkEnd w:id="11"/>
      <w:bookmarkEnd w:id="12"/>
    </w:p>
    <w:p>
      <w:pPr>
        <w:pStyle w:val="Subsection"/>
        <w:spacing w:before="140"/>
      </w:pPr>
      <w:r>
        <w:tab/>
        <w:t>(1)</w:t>
      </w:r>
      <w:r>
        <w:tab/>
        <w:t>This Act comes into operation on a day fixed by proclamation.</w:t>
      </w:r>
    </w:p>
    <w:p>
      <w:pPr>
        <w:pStyle w:val="Subsection"/>
        <w:spacing w:before="140"/>
      </w:pPr>
      <w:r>
        <w:tab/>
        <w:t>(2)</w:t>
      </w:r>
      <w:r>
        <w:tab/>
        <w:t>Different days may be fixed under subsection (1) for different provisions.</w:t>
      </w:r>
    </w:p>
    <w:p>
      <w:pPr>
        <w:pStyle w:val="Heading5"/>
        <w:spacing w:before="180"/>
      </w:pPr>
      <w:bookmarkStart w:id="13" w:name="_Toc148360896"/>
      <w:bookmarkStart w:id="14" w:name="_Toc117607849"/>
      <w:r>
        <w:rPr>
          <w:rStyle w:val="CharSectno"/>
        </w:rPr>
        <w:t>3</w:t>
      </w:r>
      <w:r>
        <w:t>.</w:t>
      </w:r>
      <w:r>
        <w:tab/>
        <w:t>Terms used</w:t>
      </w:r>
      <w:bookmarkEnd w:id="13"/>
      <w:bookmarkEnd w:id="14"/>
    </w:p>
    <w:p>
      <w:pPr>
        <w:pStyle w:val="Subsection"/>
        <w:spacing w:before="140"/>
      </w:pPr>
      <w:r>
        <w:tab/>
      </w:r>
      <w:r>
        <w:tab/>
        <w:t>In this Act, unless the contrary intention appears —</w:t>
      </w:r>
    </w:p>
    <w:p>
      <w:pPr>
        <w:pStyle w:val="Defstart"/>
      </w:pPr>
      <w:r>
        <w:tab/>
      </w:r>
      <w:r>
        <w:rPr>
          <w:rStyle w:val="CharDefText"/>
        </w:rPr>
        <w:t>Aboriginal or Torres Strait Islander representative organisation</w:t>
      </w:r>
      <w:r>
        <w:t xml:space="preserve"> means an Aboriginal or Torres Strait Islander representative organisation approved under section 22A(1);</w:t>
      </w:r>
    </w:p>
    <w:p>
      <w:pPr>
        <w:pStyle w:val="Defstart"/>
        <w:spacing w:before="60"/>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pPr>
      <w:r>
        <w:tab/>
      </w:r>
      <w:r>
        <w:rPr>
          <w:rStyle w:val="CharDefText"/>
        </w:rPr>
        <w:t>care plan</w:t>
      </w:r>
      <w:r>
        <w:t xml:space="preserve"> has the meaning given in section 89(2);</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keepNex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community</w:t>
      </w:r>
      <w:r>
        <w:t xml:space="preserve"> means — </w:t>
      </w:r>
    </w:p>
    <w:p>
      <w:pPr>
        <w:pStyle w:val="Defpara"/>
      </w:pPr>
      <w:r>
        <w:tab/>
        <w:t>(a)</w:t>
      </w:r>
      <w:r>
        <w:tab/>
        <w:t>in relation to an Aboriginal child — the child’s Aboriginal community; or</w:t>
      </w:r>
    </w:p>
    <w:p>
      <w:pPr>
        <w:pStyle w:val="Defpara"/>
      </w:pPr>
      <w:r>
        <w:tab/>
        <w:t>(b)</w:t>
      </w:r>
      <w:r>
        <w:tab/>
        <w:t>in relation to a Torres Strait Islander child — the child’s Torres Strait Islander community;</w:t>
      </w:r>
    </w:p>
    <w:p>
      <w:pPr>
        <w:pStyle w:val="Defstart"/>
        <w:spacing w:before="60"/>
      </w:pPr>
      <w:r>
        <w:tab/>
      </w:r>
      <w:r>
        <w:rPr>
          <w:rStyle w:val="CharDefText"/>
        </w:rPr>
        <w:t>Court</w:t>
      </w:r>
      <w:r>
        <w:t xml:space="preserve"> means the Children’s Court;</w:t>
      </w:r>
    </w:p>
    <w:p>
      <w:pPr>
        <w:pStyle w:val="Defstart"/>
      </w:pPr>
      <w:r>
        <w:tab/>
      </w:r>
      <w:r>
        <w:rPr>
          <w:rStyle w:val="CharDefText"/>
        </w:rPr>
        <w:t>cultural support plan</w:t>
      </w:r>
      <w:r>
        <w:t xml:space="preserve"> has the meaning given in section 89A;</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keepLines w:val="0"/>
      </w:pPr>
      <w:r>
        <w:tab/>
        <w:t>(ii)</w:t>
      </w:r>
      <w:r>
        <w:tab/>
        <w:t>a need for continuing support services;</w:t>
      </w:r>
    </w:p>
    <w:p>
      <w:pPr>
        <w:pStyle w:val="Defstart"/>
      </w:pPr>
      <w:r>
        <w:tab/>
      </w:r>
      <w:r>
        <w:rPr>
          <w:rStyle w:val="CharDefText"/>
        </w:rPr>
        <w:t>exposed</w:t>
      </w:r>
      <w:r>
        <w:t xml:space="preserve">, in relation to family violence, has the meaning given in the </w:t>
      </w:r>
      <w:r>
        <w:rPr>
          <w:i/>
        </w:rPr>
        <w:t>Restraining Orders Act 1997</w:t>
      </w:r>
      <w:r>
        <w:t xml:space="preserve"> section 6A(1);</w:t>
      </w:r>
    </w:p>
    <w:p>
      <w:pPr>
        <w:pStyle w:val="Defstart"/>
        <w:keepNext/>
      </w:pPr>
      <w:r>
        <w:tab/>
      </w:r>
      <w:r>
        <w:rPr>
          <w:rStyle w:val="CharDefText"/>
        </w:rPr>
        <w:t>family</w:t>
      </w:r>
      <w:r>
        <w:t>, of a child, means —</w:t>
      </w:r>
    </w:p>
    <w:p>
      <w:pPr>
        <w:pStyle w:val="Defpara"/>
      </w:pPr>
      <w:r>
        <w:tab/>
        <w:t>(a)</w:t>
      </w:r>
      <w:r>
        <w:tab/>
        <w:t xml:space="preserve">for a child who is not an Aboriginal child or Torres Strait Islander child — each of the following relatives of the child (whether the relationship is established by, or traced through, consanguinity, marriage, a de facto relationship, a written law or a natural relationship)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or</w:t>
      </w:r>
    </w:p>
    <w:p>
      <w:pPr>
        <w:pStyle w:val="Defpara"/>
      </w:pPr>
      <w:r>
        <w:tab/>
        <w:t>(b)</w:t>
      </w:r>
      <w:r>
        <w:tab/>
        <w:t>for an Aboriginal child or Torres Strait Islander child — each person regarded under the customary law or tradition of the child’s community as the equivalent of a person mentioned in paragraph (a);</w:t>
      </w:r>
    </w:p>
    <w:p>
      <w:pPr>
        <w:pStyle w:val="Defstart"/>
      </w:pPr>
      <w:r>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leaving care plan</w:t>
      </w:r>
      <w:r>
        <w:t xml:space="preserve"> has the meaning given in section 89B;</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tab/>
      </w:r>
      <w:r>
        <w:rPr>
          <w:rStyle w:val="CharDefText"/>
        </w:rPr>
        <w:t>parent</w:t>
      </w:r>
      <w:r>
        <w:t xml:space="preserve">, of a child — </w:t>
      </w:r>
    </w:p>
    <w:p>
      <w:pPr>
        <w:pStyle w:val="Defpara"/>
      </w:pPr>
      <w:r>
        <w:tab/>
        <w:t>(a)</w:t>
      </w:r>
      <w:r>
        <w:tab/>
        <w:t>means a person, other than the CEO, who at law has responsibility for —</w:t>
      </w:r>
    </w:p>
    <w:p>
      <w:pPr>
        <w:pStyle w:val="Defsubpara"/>
      </w:pPr>
      <w:r>
        <w:tab/>
        <w:t>(i)</w:t>
      </w:r>
      <w:r>
        <w:tab/>
        <w:t>the long</w:t>
      </w:r>
      <w:r>
        <w:noBreakHyphen/>
        <w:t>term care, welfare and development of the child; or</w:t>
      </w:r>
    </w:p>
    <w:p>
      <w:pPr>
        <w:pStyle w:val="Defsubpara"/>
      </w:pPr>
      <w:r>
        <w:tab/>
        <w:t>(ii)</w:t>
      </w:r>
      <w:r>
        <w:tab/>
        <w:t>the day</w:t>
      </w:r>
      <w:r>
        <w:noBreakHyphen/>
        <w:t>to</w:t>
      </w:r>
      <w:r>
        <w:noBreakHyphen/>
        <w:t>day care, welfare and development of the child;</w:t>
      </w:r>
    </w:p>
    <w:p>
      <w:pPr>
        <w:pStyle w:val="Defpara"/>
      </w:pPr>
      <w:r>
        <w:tab/>
      </w:r>
      <w:r>
        <w:tab/>
        <w:t>and</w:t>
      </w:r>
    </w:p>
    <w:p>
      <w:pPr>
        <w:pStyle w:val="Defpara"/>
      </w:pPr>
      <w:r>
        <w:tab/>
        <w:t>(b)</w:t>
      </w:r>
      <w:r>
        <w:tab/>
        <w:t>if a protection order (other than a protection order (supervision)) has been made for the child — includes a person who would have been a parent of the child if the order had not been made;</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 (other than an application under section 69A);</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rPr>
          <w:b/>
        </w:rPr>
        <w:tab/>
      </w:r>
      <w:r>
        <w:rPr>
          <w:rStyle w:val="CharDefText"/>
        </w:rPr>
        <w:t>provisional care plan</w:t>
      </w:r>
      <w:r>
        <w:t xml:space="preserve"> has the meaning given in section 39(2);</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regional local government or regional subsidiary; or</w:t>
      </w:r>
      <w:r>
        <w:tab/>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remote communication</w:t>
      </w:r>
      <w:r>
        <w:t xml:space="preserve"> means any way of communicating at a distance including by telephone, fax, email and radio;</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keepLines w:val="0"/>
      </w:pPr>
      <w:r>
        <w:tab/>
        <w:t>(i)</w:t>
      </w:r>
      <w:r>
        <w:tab/>
        <w:t>the Department; or</w:t>
      </w:r>
    </w:p>
    <w:p>
      <w:pPr>
        <w:pStyle w:val="Defsubpara"/>
        <w:keepLines w:val="0"/>
      </w:pPr>
      <w:r>
        <w:tab/>
        <w:t>(ii)</w:t>
      </w:r>
      <w:r>
        <w:tab/>
        <w:t>another public authority; or</w:t>
      </w:r>
    </w:p>
    <w:p>
      <w:pPr>
        <w:pStyle w:val="Defsubpara"/>
        <w:keepLines w:val="0"/>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responsible parenting agreement</w:t>
      </w:r>
      <w:r>
        <w:t xml:space="preserve"> has the meaning given in section 131C;</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decision</w:t>
      </w:r>
      <w:r>
        <w:t xml:space="preserve"> has the meaning given in section 88G(1);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violence services;</w:t>
      </w:r>
    </w:p>
    <w:p>
      <w:pPr>
        <w:pStyle w:val="Defpara"/>
      </w:pPr>
      <w:r>
        <w:tab/>
        <w:t>(m)</w:t>
      </w:r>
      <w:r>
        <w:tab/>
        <w:t>support services;</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tab/>
      </w:r>
      <w:r>
        <w:rPr>
          <w:rStyle w:val="CharDefText"/>
        </w:rPr>
        <w:t>wellbeing</w:t>
      </w:r>
      <w:r>
        <w:t xml:space="preserve">, of a child, includes the following — </w:t>
      </w:r>
    </w:p>
    <w:p>
      <w:pPr>
        <w:pStyle w:val="Defpara"/>
      </w:pPr>
      <w:r>
        <w:tab/>
        <w:t>(a)</w:t>
      </w:r>
      <w:r>
        <w:tab/>
        <w:t>the care of the child;</w:t>
      </w:r>
    </w:p>
    <w:p>
      <w:pPr>
        <w:pStyle w:val="Defpara"/>
      </w:pPr>
      <w:r>
        <w:tab/>
        <w:t>(b)</w:t>
      </w:r>
      <w:r>
        <w:tab/>
        <w:t>the physical, emotional, psychological and educational development of the child;</w:t>
      </w:r>
    </w:p>
    <w:p>
      <w:pPr>
        <w:pStyle w:val="Defpara"/>
      </w:pPr>
      <w:r>
        <w:tab/>
        <w:t>(c)</w:t>
      </w:r>
      <w:r>
        <w:tab/>
        <w:t>the physical, emotional and psychological health of the child;</w:t>
      </w:r>
    </w:p>
    <w:p>
      <w:pPr>
        <w:pStyle w:val="Defpara"/>
      </w:pPr>
      <w:r>
        <w:tab/>
        <w:t>(d)</w:t>
      </w:r>
      <w:r>
        <w:tab/>
        <w:t>the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No. 8 of 2009 s. 32(2); No. 49 of 2010 s. 4, 24 and 37; No. 11 of 2012 s. 27; No. 23 of 2015 s. 4 and 25; No. 26 of 2016 s. 37; No. 49 of 2016 s. 91; No. 18 of 2021 s. 4.]</w:t>
      </w:r>
    </w:p>
    <w:p>
      <w:pPr>
        <w:pStyle w:val="Heading5"/>
      </w:pPr>
      <w:bookmarkStart w:id="15" w:name="_Toc148360897"/>
      <w:bookmarkStart w:id="16" w:name="_Toc117607850"/>
      <w:r>
        <w:rPr>
          <w:rStyle w:val="CharSectno"/>
        </w:rPr>
        <w:t>4</w:t>
      </w:r>
      <w:r>
        <w:t>.</w:t>
      </w:r>
      <w:r>
        <w:tab/>
        <w:t>Presumptions of parentage</w:t>
      </w:r>
      <w:bookmarkEnd w:id="15"/>
      <w:bookmarkEnd w:id="16"/>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17" w:name="_Toc148360898"/>
      <w:bookmarkStart w:id="18" w:name="_Toc117607851"/>
      <w:r>
        <w:rPr>
          <w:rStyle w:val="CharSectno"/>
        </w:rPr>
        <w:t>5</w:t>
      </w:r>
      <w:r>
        <w:t>.</w:t>
      </w:r>
      <w:r>
        <w:tab/>
        <w:t>Status of notes</w:t>
      </w:r>
      <w:bookmarkEnd w:id="17"/>
      <w:bookmarkEnd w:id="18"/>
    </w:p>
    <w:p>
      <w:pPr>
        <w:pStyle w:val="Subsection"/>
      </w:pPr>
      <w:r>
        <w:tab/>
      </w:r>
      <w:r>
        <w:tab/>
        <w:t>Notes in this Act are provided to assist understanding and do not form part of this Act.</w:t>
      </w:r>
    </w:p>
    <w:p>
      <w:pPr>
        <w:pStyle w:val="Heading2"/>
      </w:pPr>
      <w:bookmarkStart w:id="19" w:name="_Toc148348471"/>
      <w:bookmarkStart w:id="20" w:name="_Toc148358255"/>
      <w:bookmarkStart w:id="21" w:name="_Toc148360899"/>
      <w:bookmarkStart w:id="22" w:name="_Toc117582515"/>
      <w:bookmarkStart w:id="23" w:name="_Toc117584328"/>
      <w:bookmarkStart w:id="24" w:name="_Toc117585498"/>
      <w:bookmarkStart w:id="25" w:name="_Toc117607852"/>
      <w:r>
        <w:rPr>
          <w:rStyle w:val="CharPartNo"/>
        </w:rPr>
        <w:t>Part 2</w:t>
      </w:r>
      <w:r>
        <w:t> — </w:t>
      </w:r>
      <w:r>
        <w:rPr>
          <w:rStyle w:val="CharPartText"/>
        </w:rPr>
        <w:t>Objects and principles</w:t>
      </w:r>
      <w:bookmarkEnd w:id="19"/>
      <w:bookmarkEnd w:id="20"/>
      <w:bookmarkEnd w:id="21"/>
      <w:bookmarkEnd w:id="22"/>
      <w:bookmarkEnd w:id="23"/>
      <w:bookmarkEnd w:id="24"/>
      <w:bookmarkEnd w:id="25"/>
    </w:p>
    <w:p>
      <w:pPr>
        <w:pStyle w:val="Heading3"/>
      </w:pPr>
      <w:bookmarkStart w:id="26" w:name="_Toc148348472"/>
      <w:bookmarkStart w:id="27" w:name="_Toc148358256"/>
      <w:bookmarkStart w:id="28" w:name="_Toc148360900"/>
      <w:bookmarkStart w:id="29" w:name="_Toc117582516"/>
      <w:bookmarkStart w:id="30" w:name="_Toc117584329"/>
      <w:bookmarkStart w:id="31" w:name="_Toc117585499"/>
      <w:bookmarkStart w:id="32" w:name="_Toc117607853"/>
      <w:r>
        <w:rPr>
          <w:rStyle w:val="CharDivNo"/>
        </w:rPr>
        <w:t>Division 1A</w:t>
      </w:r>
      <w:r>
        <w:t> — </w:t>
      </w:r>
      <w:r>
        <w:rPr>
          <w:rStyle w:val="CharDivText"/>
        </w:rPr>
        <w:t>Preliminary</w:t>
      </w:r>
      <w:bookmarkEnd w:id="26"/>
      <w:bookmarkEnd w:id="27"/>
      <w:bookmarkEnd w:id="28"/>
      <w:bookmarkEnd w:id="29"/>
      <w:bookmarkEnd w:id="30"/>
      <w:bookmarkEnd w:id="31"/>
      <w:bookmarkEnd w:id="32"/>
    </w:p>
    <w:p>
      <w:pPr>
        <w:pStyle w:val="Footnoteheading"/>
      </w:pPr>
      <w:r>
        <w:tab/>
        <w:t>[Heading inserted: No. 18 of 2021 s. 5.]</w:t>
      </w:r>
    </w:p>
    <w:p>
      <w:pPr>
        <w:pStyle w:val="Heading5"/>
      </w:pPr>
      <w:bookmarkStart w:id="33" w:name="_Toc148360901"/>
      <w:bookmarkStart w:id="34" w:name="_Toc117607854"/>
      <w:r>
        <w:rPr>
          <w:rStyle w:val="CharSectno"/>
        </w:rPr>
        <w:t>5A</w:t>
      </w:r>
      <w:r>
        <w:t>.</w:t>
      </w:r>
      <w:r>
        <w:tab/>
        <w:t>Application of objects and principles</w:t>
      </w:r>
      <w:bookmarkEnd w:id="33"/>
      <w:bookmarkEnd w:id="34"/>
    </w:p>
    <w:p>
      <w:pPr>
        <w:pStyle w:val="Subsection"/>
      </w:pPr>
      <w:r>
        <w:tab/>
      </w:r>
      <w:r>
        <w:tab/>
        <w:t>A person, court or tribunal is, in performing a function under this Act, to be guided by the objects of this Act and to observe the principles set out in this Part.</w:t>
      </w:r>
    </w:p>
    <w:p>
      <w:pPr>
        <w:pStyle w:val="Footnotesection"/>
      </w:pPr>
      <w:r>
        <w:tab/>
        <w:t>[Section 5A inserted: No. 18 of 2021 s. 5.]</w:t>
      </w:r>
    </w:p>
    <w:p>
      <w:pPr>
        <w:pStyle w:val="Heading3"/>
      </w:pPr>
      <w:bookmarkStart w:id="35" w:name="_Toc148348474"/>
      <w:bookmarkStart w:id="36" w:name="_Toc148358258"/>
      <w:bookmarkStart w:id="37" w:name="_Toc148360902"/>
      <w:bookmarkStart w:id="38" w:name="_Toc117582518"/>
      <w:bookmarkStart w:id="39" w:name="_Toc117584331"/>
      <w:bookmarkStart w:id="40" w:name="_Toc117585501"/>
      <w:bookmarkStart w:id="41" w:name="_Toc117607855"/>
      <w:r>
        <w:rPr>
          <w:rStyle w:val="CharDivNo"/>
        </w:rPr>
        <w:t>Division 1</w:t>
      </w:r>
      <w:r>
        <w:t> — </w:t>
      </w:r>
      <w:r>
        <w:rPr>
          <w:rStyle w:val="CharDivText"/>
        </w:rPr>
        <w:t>Objects</w:t>
      </w:r>
      <w:bookmarkEnd w:id="35"/>
      <w:bookmarkEnd w:id="36"/>
      <w:bookmarkEnd w:id="37"/>
      <w:bookmarkEnd w:id="38"/>
      <w:bookmarkEnd w:id="39"/>
      <w:bookmarkEnd w:id="40"/>
      <w:bookmarkEnd w:id="41"/>
    </w:p>
    <w:p>
      <w:pPr>
        <w:pStyle w:val="Heading5"/>
      </w:pPr>
      <w:bookmarkStart w:id="42" w:name="_Toc148360903"/>
      <w:bookmarkStart w:id="43" w:name="_Toc117607856"/>
      <w:r>
        <w:rPr>
          <w:rStyle w:val="CharSectno"/>
        </w:rPr>
        <w:t>6</w:t>
      </w:r>
      <w:r>
        <w:t>.</w:t>
      </w:r>
      <w:r>
        <w:tab/>
        <w:t>Objects</w:t>
      </w:r>
      <w:bookmarkEnd w:id="42"/>
      <w:bookmarkEnd w:id="43"/>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(da)</w:t>
      </w:r>
      <w:r>
        <w:tab/>
        <w:t>to support and reinforce the role and responsibility of parents to appropriately and safely manage the behaviour of their children;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No. 19 of 2007 s. 64; No. 23 of 2015 s. 5; No. 18 of 2021 s. 6.]</w:t>
      </w:r>
    </w:p>
    <w:p>
      <w:pPr>
        <w:pStyle w:val="Heading3"/>
      </w:pPr>
      <w:bookmarkStart w:id="44" w:name="_Toc148348476"/>
      <w:bookmarkStart w:id="45" w:name="_Toc148358260"/>
      <w:bookmarkStart w:id="46" w:name="_Toc148360904"/>
      <w:bookmarkStart w:id="47" w:name="_Toc117582520"/>
      <w:bookmarkStart w:id="48" w:name="_Toc117584333"/>
      <w:bookmarkStart w:id="49" w:name="_Toc117585503"/>
      <w:bookmarkStart w:id="50" w:name="_Toc117607857"/>
      <w:r>
        <w:rPr>
          <w:rStyle w:val="CharDivNo"/>
        </w:rPr>
        <w:t>Division 2</w:t>
      </w:r>
      <w:r>
        <w:t> — </w:t>
      </w:r>
      <w:r>
        <w:rPr>
          <w:rStyle w:val="CharDivText"/>
        </w:rPr>
        <w:t>General principles relating to children</w:t>
      </w:r>
      <w:bookmarkEnd w:id="44"/>
      <w:bookmarkEnd w:id="45"/>
      <w:bookmarkEnd w:id="46"/>
      <w:bookmarkEnd w:id="47"/>
      <w:bookmarkEnd w:id="48"/>
      <w:bookmarkEnd w:id="49"/>
      <w:bookmarkEnd w:id="50"/>
    </w:p>
    <w:p>
      <w:pPr>
        <w:pStyle w:val="Heading5"/>
      </w:pPr>
      <w:bookmarkStart w:id="51" w:name="_Toc148360905"/>
      <w:bookmarkStart w:id="52" w:name="_Toc117607858"/>
      <w:r>
        <w:rPr>
          <w:rStyle w:val="CharSectno"/>
        </w:rPr>
        <w:t>7</w:t>
      </w:r>
      <w:r>
        <w:t>.</w:t>
      </w:r>
      <w:r>
        <w:tab/>
        <w:t>Paramount consideration is best interests of child</w:t>
      </w:r>
      <w:bookmarkEnd w:id="51"/>
      <w:bookmarkEnd w:id="52"/>
    </w:p>
    <w:p>
      <w:pPr>
        <w:pStyle w:val="Subsection"/>
      </w:pPr>
      <w:r>
        <w:tab/>
      </w:r>
      <w:r>
        <w:tab/>
        <w:t>In performing a function under this Act in relation to a child, the paramount consideration is the best interests of the child.</w:t>
      </w:r>
    </w:p>
    <w:p>
      <w:pPr>
        <w:pStyle w:val="Footnotesection"/>
      </w:pPr>
      <w:r>
        <w:tab/>
        <w:t>[Section 7 inserted: No. 18 of 2021 s. 7.]</w:t>
      </w:r>
    </w:p>
    <w:p>
      <w:pPr>
        <w:pStyle w:val="Heading5"/>
      </w:pPr>
      <w:bookmarkStart w:id="53" w:name="_Toc148360906"/>
      <w:bookmarkStart w:id="54" w:name="_Toc117607859"/>
      <w:r>
        <w:rPr>
          <w:rStyle w:val="CharSectno"/>
        </w:rPr>
        <w:t>8</w:t>
      </w:r>
      <w:r>
        <w:t>.</w:t>
      </w:r>
      <w:r>
        <w:tab/>
        <w:t>Determining best interests of child</w:t>
      </w:r>
      <w:bookmarkEnd w:id="53"/>
      <w:bookmarkEnd w:id="54"/>
    </w:p>
    <w:p>
      <w:pPr>
        <w:pStyle w:val="Subsection"/>
      </w:pPr>
      <w:r>
        <w:tab/>
        <w:t>(1)</w:t>
      </w:r>
      <w:r>
        <w:tab/>
        <w:t xml:space="preserve">In determining what is in the best interests of a child,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members of the child’s family and with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 xml:space="preserve">a sibling or other member of the child’s family; or </w:t>
      </w:r>
    </w:p>
    <w:p>
      <w:pPr>
        <w:pStyle w:val="Indenti"/>
      </w:pPr>
      <w:r>
        <w:tab/>
        <w:t>(iii)</w:t>
      </w:r>
      <w:r>
        <w:tab/>
        <w:t>a carer or other person (including a child) with whom the child is, or has recently been, living; or</w:t>
      </w:r>
    </w:p>
    <w:p>
      <w:pPr>
        <w:pStyle w:val="Indenti"/>
      </w:pPr>
      <w:r>
        <w:tab/>
        <w:t>(iv)</w:t>
      </w:r>
      <w:r>
        <w:tab/>
        <w:t>other people who are significant in the child’s life;</w:t>
      </w:r>
    </w:p>
    <w:p>
      <w:pPr>
        <w:pStyle w:val="Indenta"/>
      </w:pPr>
      <w:r>
        <w:tab/>
        <w:t>(h)</w:t>
      </w:r>
      <w:r>
        <w:tab/>
        <w:t>the need for the child to develop and maintain contact with the child’s parents, siblings and other members of the child’s family and with other people who are significant in the child’s life;</w:t>
      </w:r>
    </w:p>
    <w:p>
      <w:pPr>
        <w:pStyle w:val="Indenta"/>
      </w:pPr>
      <w:r>
        <w:tab/>
        <w:t>(i)</w:t>
      </w:r>
      <w:r>
        <w:tab/>
        <w:t>the child’s age, maturity, sex, sexuality, background and language;</w:t>
      </w:r>
    </w:p>
    <w:p>
      <w:pPr>
        <w:pStyle w:val="Indenta"/>
      </w:pPr>
      <w:r>
        <w:tab/>
        <w:t>(j)</w:t>
      </w:r>
      <w:r>
        <w:tab/>
        <w:t>the child’s cultural, ethnic and religious identity (including the need for cultural support to develop and maintain a connection with the culture and traditions of the child’s family or community);</w:t>
      </w:r>
    </w:p>
    <w:p>
      <w:pPr>
        <w:pStyle w:val="Indenta"/>
        <w:keepNext/>
      </w:pPr>
      <w:r>
        <w:tab/>
        <w:t>(k)</w:t>
      </w:r>
      <w:r>
        <w:tab/>
        <w:t>the child’s physical, emotional, intellectual, spiritual and developmental needs;</w:t>
      </w:r>
    </w:p>
    <w:p>
      <w:pPr>
        <w:pStyle w:val="Indenta"/>
      </w:pPr>
      <w:r>
        <w:tab/>
        <w:t>(la)</w:t>
      </w:r>
      <w:r>
        <w:tab/>
        <w:t>the child’s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Footnotesection"/>
      </w:pPr>
      <w:r>
        <w:tab/>
        <w:t>[Section 8 amended: No. 23 of 2015 s. 26; No. 18 of 2021 s. 8.]</w:t>
      </w:r>
    </w:p>
    <w:p>
      <w:pPr>
        <w:pStyle w:val="Heading5"/>
      </w:pPr>
      <w:bookmarkStart w:id="55" w:name="_Toc148360907"/>
      <w:bookmarkStart w:id="56" w:name="_Toc117607860"/>
      <w:r>
        <w:rPr>
          <w:rStyle w:val="CharSectno"/>
        </w:rPr>
        <w:t>9</w:t>
      </w:r>
      <w:r>
        <w:t>.</w:t>
      </w:r>
      <w:r>
        <w:tab/>
      </w:r>
      <w:r>
        <w:rPr>
          <w:szCs w:val="18"/>
        </w:rPr>
        <w:t>Other principles</w:t>
      </w:r>
      <w:bookmarkEnd w:id="55"/>
      <w:bookmarkEnd w:id="56"/>
    </w:p>
    <w:p>
      <w:pPr>
        <w:pStyle w:val="Subsection"/>
      </w:pPr>
      <w:r>
        <w:tab/>
      </w:r>
      <w:r>
        <w:tab/>
        <w:t xml:space="preserve">In performing a function under this Act, other principles to be observed are as follows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(ea)</w:t>
      </w:r>
      <w:r>
        <w:tab/>
        <w:t>the principle that every child should be treated as a valued member of society in a manner that respects the child’s dignity and privacy;</w:t>
      </w:r>
    </w:p>
    <w:p>
      <w:pPr>
        <w:pStyle w:val="Indenta"/>
        <w:keepNext/>
        <w:keepLines/>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planning for the care of a child who is in the CEO’s care should occur as soon as possible in order to promote long</w:t>
      </w:r>
      <w:r>
        <w:noBreakHyphen/>
        <w:t>term stability for the child and should, as soon as possible, include consideration of whether it is appropriate to work towards returning the child to the child’s parents;</w:t>
      </w:r>
    </w:p>
    <w:p>
      <w:pPr>
        <w:pStyle w:val="Indenta"/>
      </w:pPr>
      <w:r>
        <w:tab/>
        <w:t>(ga)</w:t>
      </w:r>
      <w:r>
        <w:tab/>
        <w:t>the principle that objectives of planning for the care of a child who is in the CEO’s care include the following —</w:t>
      </w:r>
    </w:p>
    <w:p>
      <w:pPr>
        <w:pStyle w:val="Indenti"/>
      </w:pPr>
      <w:r>
        <w:tab/>
        <w:t>(i)</w:t>
      </w:r>
      <w:r>
        <w:tab/>
        <w:t>to achieve continuity and stability in the child’s living arrangements;</w:t>
      </w:r>
    </w:p>
    <w:p>
      <w:pPr>
        <w:pStyle w:val="Indenti"/>
      </w:pPr>
      <w:r>
        <w:tab/>
        <w:t>(ii)</w:t>
      </w:r>
      <w:r>
        <w:tab/>
        <w:t>to preserve and enhance the child’s relationships with the child’s family and with other people who are significant in the child’s life (subject to protecting the child from harm and meeting the child’s needs);</w:t>
      </w:r>
    </w:p>
    <w:p>
      <w:pPr>
        <w:pStyle w:val="Indenti"/>
      </w:pPr>
      <w:r>
        <w:tab/>
        <w:t>(iii)</w:t>
      </w:r>
      <w:r>
        <w:tab/>
        <w:t>for an Aboriginal child, Torres Strait Islander child or child of a culturally or linguistically diverse background — to preserve and enhance the child’s connection with the culture and traditions of the child’s family or community;</w:t>
      </w:r>
    </w:p>
    <w:p>
      <w:pPr>
        <w:pStyle w:val="Indenta"/>
      </w:pPr>
      <w:r>
        <w:tab/>
        <w:t>(gb)</w:t>
      </w:r>
      <w:r>
        <w:tab/>
        <w:t>the principle that objectives of planning for a placement arrangement for a child include, subject to protecting the child from harm and meeting the child’s needs, the following —</w:t>
      </w:r>
    </w:p>
    <w:p>
      <w:pPr>
        <w:pStyle w:val="Indenti"/>
      </w:pPr>
      <w:r>
        <w:tab/>
        <w:t>(i)</w:t>
      </w:r>
      <w:r>
        <w:tab/>
        <w:t>to place the child with a member of the child’s family;</w:t>
      </w:r>
    </w:p>
    <w:p>
      <w:pPr>
        <w:pStyle w:val="Indenti"/>
      </w:pPr>
      <w:r>
        <w:tab/>
        <w:t>(ii)</w:t>
      </w:r>
      <w:r>
        <w:tab/>
        <w:t>to place the child with the child’s siblings (subject also to protecting the siblings from harm);</w:t>
      </w:r>
    </w:p>
    <w:p>
      <w:pPr>
        <w:pStyle w:val="Indenti"/>
      </w:pPr>
      <w:r>
        <w:tab/>
        <w:t>(iii)</w:t>
      </w:r>
      <w:r>
        <w:tab/>
        <w:t>to place the child with a person who is willing and able to encourage and support the child to develop and maintain contact with the child’s parents, siblings and other members of the child’s family and with other people who are significant in the child’s life, subject to decisions under this Act about that contact;</w:t>
      </w:r>
    </w:p>
    <w:p>
      <w:pPr>
        <w:pStyle w:val="Ednotepara"/>
      </w:pPr>
      <w:r>
        <w:tab/>
        <w:t>[(ha)</w:t>
      </w:r>
      <w:r>
        <w:tab/>
        <w:t>deleted]</w:t>
      </w:r>
    </w:p>
    <w:p>
      <w:pPr>
        <w:pStyle w:val="Indenta"/>
      </w:pPr>
      <w:r>
        <w:tab/>
        <w:t>(h)</w:t>
      </w:r>
      <w:r>
        <w:tab/>
        <w:t>the principle that decisions about a child should be made promptly having regard to the age, characteristics, circumstances and needs of the child and to minimising the risk of detrimental effects arising from delay in decision</w:t>
      </w:r>
      <w:r>
        <w:noBreakHyphen/>
        <w:t>making;</w:t>
      </w:r>
    </w:p>
    <w:p>
      <w:pPr>
        <w:pStyle w:val="Indenta"/>
      </w:pPr>
      <w:r>
        <w:tab/>
        <w:t>(ia)</w:t>
      </w:r>
      <w:r>
        <w:tab/>
        <w:t>the principle that decisions about a child with disability should be made giving special consideration to any difficulties or discrimination that may be encountered by the child because of the child’s disability and should support the child’s full and effective participation in society;</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decisions under this Act that are likely to have a significant impact on the child’s life (as described in section 10(3)), including an explanation of the reasons for the decisions; and</w:t>
      </w:r>
    </w:p>
    <w:p>
      <w:pPr>
        <w:pStyle w:val="Indenti"/>
      </w:pPr>
      <w:r>
        <w:tab/>
        <w:t>(iii)</w:t>
      </w:r>
      <w:r>
        <w:tab/>
        <w:t>any relevant complaint or review procedures;</w:t>
      </w:r>
    </w:p>
    <w:p>
      <w:pPr>
        <w:pStyle w:val="Indenta"/>
      </w:pPr>
      <w:r>
        <w:tab/>
        <w:t>(l)</w:t>
      </w:r>
      <w:r>
        <w:tab/>
        <w:t xml:space="preserve">the principle that, as far as practicable, services of an interpreter or other appropriate person are to be made available to assist — </w:t>
      </w:r>
    </w:p>
    <w:p>
      <w:pPr>
        <w:pStyle w:val="Indenti"/>
      </w:pPr>
      <w:r>
        <w:tab/>
        <w:t>(i)</w:t>
      </w:r>
      <w:r>
        <w:tab/>
        <w:t>a person who has difficulty understanding or communicating in English; or</w:t>
      </w:r>
    </w:p>
    <w:p>
      <w:pPr>
        <w:pStyle w:val="Indenti"/>
      </w:pPr>
      <w:r>
        <w:tab/>
        <w:t>(ii)</w:t>
      </w:r>
      <w:r>
        <w:tab/>
        <w:t>a person whose disability prevents or restricts the person’s understanding of, or participation in, a decision</w:t>
      </w:r>
      <w:r>
        <w:noBreakHyphen/>
        <w:t>making or other process or the person’s expression of wishes or views.</w:t>
      </w:r>
    </w:p>
    <w:p>
      <w:pPr>
        <w:pStyle w:val="Footnotesection"/>
      </w:pPr>
      <w:r>
        <w:tab/>
        <w:t>[Section 9 amended: No. 49 of 2010 s. 39; No. 23 of 2015 s. 27; No. 18 of 2021 s. 9.]</w:t>
      </w:r>
    </w:p>
    <w:p>
      <w:pPr>
        <w:pStyle w:val="Heading5"/>
      </w:pPr>
      <w:bookmarkStart w:id="57" w:name="_Toc148360908"/>
      <w:bookmarkStart w:id="58" w:name="_Toc117607861"/>
      <w:r>
        <w:rPr>
          <w:rStyle w:val="CharSectno"/>
        </w:rPr>
        <w:t>10</w:t>
      </w:r>
      <w:r>
        <w:t>.</w:t>
      </w:r>
      <w:r>
        <w:tab/>
        <w:t>Principle of child participation</w:t>
      </w:r>
      <w:bookmarkEnd w:id="57"/>
      <w:bookmarkEnd w:id="58"/>
    </w:p>
    <w:p>
      <w:pPr>
        <w:pStyle w:val="Subsection"/>
        <w:keepNext/>
      </w:pPr>
      <w:r>
        <w:tab/>
        <w:t>(1)</w:t>
      </w:r>
      <w:r>
        <w:tab/>
        <w:t>If a decision under this Act is likely to have a significant impact on a child’s life then, for the purpose of ensuring that the child is able to participate in the decision</w:t>
      </w:r>
      <w:r>
        <w:noBreakHyphen/>
        <w:t xml:space="preserve">making process, the child must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members of the child’s family and with other people who are significant in the child’s life.</w:t>
      </w:r>
    </w:p>
    <w:p>
      <w:pPr>
        <w:pStyle w:val="Ednotesubsection"/>
        <w:keepNext/>
      </w:pPr>
      <w:r>
        <w:tab/>
        <w:t>[(4)</w:t>
      </w:r>
      <w:r>
        <w:tab/>
        <w:t>deleted]</w:t>
      </w:r>
    </w:p>
    <w:p>
      <w:pPr>
        <w:pStyle w:val="Footnotesection"/>
      </w:pPr>
      <w:r>
        <w:tab/>
        <w:t>[Section 10 amended: No. 49 of 2010 s. 5; No. 18 of 2021 s. 10.]</w:t>
      </w:r>
    </w:p>
    <w:p>
      <w:pPr>
        <w:pStyle w:val="Heading3"/>
      </w:pPr>
      <w:bookmarkStart w:id="59" w:name="_Toc148348481"/>
      <w:bookmarkStart w:id="60" w:name="_Toc148358265"/>
      <w:bookmarkStart w:id="61" w:name="_Toc148360909"/>
      <w:bookmarkStart w:id="62" w:name="_Toc117582525"/>
      <w:bookmarkStart w:id="63" w:name="_Toc117584338"/>
      <w:bookmarkStart w:id="64" w:name="_Toc117585508"/>
      <w:bookmarkStart w:id="65" w:name="_Toc117607862"/>
      <w:r>
        <w:rPr>
          <w:rStyle w:val="CharDivNo"/>
        </w:rPr>
        <w:t>Division 3</w:t>
      </w:r>
      <w:r>
        <w:t> — </w:t>
      </w:r>
      <w:r>
        <w:rPr>
          <w:rStyle w:val="CharDivText"/>
        </w:rPr>
        <w:t>Principles relating to Aboriginal and Torres Strait Islander children</w:t>
      </w:r>
      <w:bookmarkEnd w:id="59"/>
      <w:bookmarkEnd w:id="60"/>
      <w:bookmarkEnd w:id="61"/>
      <w:bookmarkEnd w:id="62"/>
      <w:bookmarkEnd w:id="63"/>
      <w:bookmarkEnd w:id="64"/>
      <w:bookmarkEnd w:id="65"/>
    </w:p>
    <w:p>
      <w:pPr>
        <w:pStyle w:val="Heading5"/>
        <w:spacing w:before="240"/>
      </w:pPr>
      <w:bookmarkStart w:id="66" w:name="_Toc148360910"/>
      <w:bookmarkStart w:id="67" w:name="_Toc117607863"/>
      <w:r>
        <w:rPr>
          <w:rStyle w:val="CharSectno"/>
        </w:rPr>
        <w:t>11</w:t>
      </w:r>
      <w:r>
        <w:t>.</w:t>
      </w:r>
      <w:r>
        <w:tab/>
        <w:t>Relationship with principles in Division 2</w:t>
      </w:r>
      <w:bookmarkEnd w:id="66"/>
      <w:bookmarkEnd w:id="67"/>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68" w:name="_Toc148360911"/>
      <w:bookmarkStart w:id="69" w:name="_Toc117607864"/>
      <w:r>
        <w:rPr>
          <w:rStyle w:val="CharSectno"/>
        </w:rPr>
        <w:t>12</w:t>
      </w:r>
      <w:r>
        <w:t>.</w:t>
      </w:r>
      <w:r>
        <w:tab/>
        <w:t>Aboriginal and Torres Strait Islander child placement principle</w:t>
      </w:r>
      <w:bookmarkEnd w:id="68"/>
      <w:bookmarkEnd w:id="69"/>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 or interim orders made under section 133(2)(c).</w:t>
      </w:r>
    </w:p>
    <w:p>
      <w:pPr>
        <w:pStyle w:val="Subsection"/>
        <w:spacing w:before="180"/>
      </w:pPr>
      <w:r>
        <w:tab/>
        <w:t>(2)</w:t>
      </w:r>
      <w:r>
        <w:tab/>
        <w:t xml:space="preserve">In making a decision under this Act about the placement under a placement arrangement of an Aboriginal child or Torres Strait Islander child, or in making an interim order under section 133(2)(c) in relation to an Aboriginal child or Torres Strait Islander child or in varying such an order,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Torres Strait Islander in the child’s community in accordance with local customary practice;</w:t>
      </w:r>
    </w:p>
    <w:p>
      <w:pPr>
        <w:pStyle w:val="Indenta"/>
      </w:pPr>
      <w:r>
        <w:tab/>
        <w:t>(c)</w:t>
      </w:r>
      <w:r>
        <w:tab/>
        <w:t>placement with a person who is an Aboriginal person or Torres Strait Islander who lives in close proximity to the child’s community;</w:t>
      </w:r>
    </w:p>
    <w:p>
      <w:pPr>
        <w:pStyle w:val="Indenta"/>
      </w:pPr>
      <w:r>
        <w:tab/>
        <w:t>(d)</w:t>
      </w:r>
      <w:r>
        <w:tab/>
        <w:t>placement with either a person who is an Aboriginal person or Torres Strait Islander or a person who is not an Aboriginal person or Torres Strait Islander but who —</w:t>
      </w:r>
    </w:p>
    <w:p>
      <w:pPr>
        <w:pStyle w:val="Indenti"/>
      </w:pPr>
      <w:r>
        <w:tab/>
        <w:t>(i)</w:t>
      </w:r>
      <w:r>
        <w:tab/>
        <w:t>lives in close proximity to the child’s community; and</w:t>
      </w:r>
    </w:p>
    <w:p>
      <w:pPr>
        <w:pStyle w:val="Indenti"/>
      </w:pPr>
      <w:r>
        <w:tab/>
        <w:t>(ii)</w:t>
      </w:r>
      <w:r>
        <w:tab/>
        <w:t>is responsive to the cultural support needs of the child and is willing and able to encourage and support the child to develop and maintain a connection with the culture and traditions of the child’s family or community;</w:t>
      </w:r>
    </w:p>
    <w:p>
      <w:pPr>
        <w:pStyle w:val="Indenta"/>
      </w:pPr>
      <w:r>
        <w:tab/>
        <w:t>(e)</w:t>
      </w:r>
      <w:r>
        <w:tab/>
        <w:t>placement with a person who is not an Aboriginal person or Torres Strait Islander but who is responsive to the cultural support needs of the child and is willing and able to encourage and support the child to develop and maintain a connection with the culture and traditions of the child’s family or community.</w:t>
      </w:r>
    </w:p>
    <w:p>
      <w:pPr>
        <w:pStyle w:val="Footnotesection"/>
      </w:pPr>
      <w:r>
        <w:tab/>
        <w:t>[Section 12 amended: No. 49 of 2010 s. 40; No. 18 of 2021 s. 11.]</w:t>
      </w:r>
    </w:p>
    <w:p>
      <w:pPr>
        <w:pStyle w:val="Heading5"/>
        <w:spacing w:before="240"/>
      </w:pPr>
      <w:bookmarkStart w:id="70" w:name="_Toc148360912"/>
      <w:bookmarkStart w:id="71" w:name="_Toc117607865"/>
      <w:r>
        <w:rPr>
          <w:rStyle w:val="CharSectno"/>
        </w:rPr>
        <w:t>13</w:t>
      </w:r>
      <w:r>
        <w:t>.</w:t>
      </w:r>
      <w:r>
        <w:tab/>
        <w:t>Principle of self</w:t>
      </w:r>
      <w:r>
        <w:noBreakHyphen/>
        <w:t>determination</w:t>
      </w:r>
      <w:bookmarkEnd w:id="70"/>
      <w:bookmarkEnd w:id="71"/>
    </w:p>
    <w:p>
      <w:pPr>
        <w:pStyle w:val="Subsection"/>
      </w:pPr>
      <w:r>
        <w:tab/>
      </w:r>
      <w:r>
        <w:tab/>
        <w:t>Aboriginal people and Torres Strait Islanders have a right to participate in the protection and care of their children with as much self</w:t>
      </w:r>
      <w:r>
        <w:noBreakHyphen/>
        <w:t>determination as possible.</w:t>
      </w:r>
    </w:p>
    <w:p>
      <w:pPr>
        <w:pStyle w:val="Footnotesection"/>
      </w:pPr>
      <w:r>
        <w:tab/>
        <w:t>[Section 13 amended: No. 18 of 2021 s. 12.]</w:t>
      </w:r>
    </w:p>
    <w:p>
      <w:pPr>
        <w:pStyle w:val="Heading5"/>
      </w:pPr>
      <w:bookmarkStart w:id="72" w:name="_Toc148360913"/>
      <w:bookmarkStart w:id="73" w:name="_Toc117607866"/>
      <w:r>
        <w:rPr>
          <w:rStyle w:val="CharSectno"/>
        </w:rPr>
        <w:t>14</w:t>
      </w:r>
      <w:r>
        <w:t>.</w:t>
      </w:r>
      <w:r>
        <w:tab/>
        <w:t>Principle of community participation</w:t>
      </w:r>
      <w:bookmarkEnd w:id="72"/>
      <w:bookmarkEnd w:id="73"/>
    </w:p>
    <w:p>
      <w:pPr>
        <w:pStyle w:val="Subsection"/>
      </w:pPr>
      <w:r>
        <w:tab/>
        <w:t>(1)</w:t>
      </w:r>
      <w:r>
        <w:tab/>
        <w:t>A family, community or representative organisation of Aboriginal people or Torres Strait Islanders must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Subsection"/>
      </w:pPr>
      <w:r>
        <w:tab/>
        <w:t>(2)</w:t>
      </w:r>
      <w:r>
        <w:tab/>
        <w:t>Consideration must be given to the wishes and views of the child, taking into account the maturity and understanding of the child, and the child’s parents about the participation of a family, community or organisation under subsection (1).</w:t>
      </w:r>
    </w:p>
    <w:p>
      <w:pPr>
        <w:pStyle w:val="Footnotesection"/>
      </w:pPr>
      <w:r>
        <w:tab/>
        <w:t>[Section 14 amended: No. 18 of 2021 s. 13.]</w:t>
      </w:r>
    </w:p>
    <w:p>
      <w:pPr>
        <w:pStyle w:val="Heading2"/>
      </w:pPr>
      <w:bookmarkStart w:id="74" w:name="_Toc148348486"/>
      <w:bookmarkStart w:id="75" w:name="_Toc148358270"/>
      <w:bookmarkStart w:id="76" w:name="_Toc148360914"/>
      <w:bookmarkStart w:id="77" w:name="_Toc117582530"/>
      <w:bookmarkStart w:id="78" w:name="_Toc117584343"/>
      <w:bookmarkStart w:id="79" w:name="_Toc117585513"/>
      <w:bookmarkStart w:id="80" w:name="_Toc117607867"/>
      <w:r>
        <w:rPr>
          <w:rStyle w:val="CharPartNo"/>
        </w:rPr>
        <w:t>Part 3</w:t>
      </w:r>
      <w:r>
        <w:t xml:space="preserve"> — </w:t>
      </w:r>
      <w:r>
        <w:rPr>
          <w:rStyle w:val="CharPartText"/>
        </w:rPr>
        <w:t>Administrative matters</w:t>
      </w:r>
      <w:bookmarkEnd w:id="74"/>
      <w:bookmarkEnd w:id="75"/>
      <w:bookmarkEnd w:id="76"/>
      <w:bookmarkEnd w:id="77"/>
      <w:bookmarkEnd w:id="78"/>
      <w:bookmarkEnd w:id="79"/>
      <w:bookmarkEnd w:id="80"/>
    </w:p>
    <w:p>
      <w:pPr>
        <w:pStyle w:val="Heading3"/>
      </w:pPr>
      <w:bookmarkStart w:id="81" w:name="_Toc148348487"/>
      <w:bookmarkStart w:id="82" w:name="_Toc148358271"/>
      <w:bookmarkStart w:id="83" w:name="_Toc148360915"/>
      <w:bookmarkStart w:id="84" w:name="_Toc117582531"/>
      <w:bookmarkStart w:id="85" w:name="_Toc117584344"/>
      <w:bookmarkStart w:id="86" w:name="_Toc117585514"/>
      <w:bookmarkStart w:id="87" w:name="_Toc117607868"/>
      <w:r>
        <w:rPr>
          <w:rStyle w:val="CharDivNo"/>
        </w:rPr>
        <w:t>Division 1</w:t>
      </w:r>
      <w:r>
        <w:t> — </w:t>
      </w:r>
      <w:r>
        <w:rPr>
          <w:rStyle w:val="CharDivText"/>
        </w:rPr>
        <w:t>The Minister</w:t>
      </w:r>
      <w:bookmarkEnd w:id="81"/>
      <w:bookmarkEnd w:id="82"/>
      <w:bookmarkEnd w:id="83"/>
      <w:bookmarkEnd w:id="84"/>
      <w:bookmarkEnd w:id="85"/>
      <w:bookmarkEnd w:id="86"/>
      <w:bookmarkEnd w:id="87"/>
    </w:p>
    <w:p>
      <w:pPr>
        <w:pStyle w:val="Heading5"/>
        <w:spacing w:before="240"/>
      </w:pPr>
      <w:bookmarkStart w:id="88" w:name="_Toc148360916"/>
      <w:bookmarkStart w:id="89" w:name="_Toc117607869"/>
      <w:r>
        <w:rPr>
          <w:rStyle w:val="CharSectno"/>
        </w:rPr>
        <w:t>15</w:t>
      </w:r>
      <w:r>
        <w:t>.</w:t>
      </w:r>
      <w:r>
        <w:tab/>
        <w:t>Agreements in respect of social services</w:t>
      </w:r>
      <w:bookmarkEnd w:id="88"/>
      <w:bookmarkEnd w:id="89"/>
    </w:p>
    <w:p>
      <w:pPr>
        <w:pStyle w:val="Subsection"/>
        <w:spacing w:before="180"/>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spacing w:before="180"/>
      </w:pPr>
      <w:r>
        <w:tab/>
        <w:t>(2)</w:t>
      </w:r>
      <w:r>
        <w:tab/>
        <w:t>An agreement under subsection (1) may contain any provisions that the Minister considers appropriate.</w:t>
      </w:r>
    </w:p>
    <w:p>
      <w:pPr>
        <w:pStyle w:val="Subsection"/>
        <w:spacing w:before="180"/>
      </w:pPr>
      <w:r>
        <w:tab/>
        <w:t>(3)</w:t>
      </w:r>
      <w:r>
        <w:tab/>
        <w:t>Nothing in this section limits any power that the Minister has, apart from this section, to enter into an agreement or other arrangement.</w:t>
      </w:r>
    </w:p>
    <w:p>
      <w:pPr>
        <w:pStyle w:val="Footnotesection"/>
      </w:pPr>
      <w:r>
        <w:tab/>
        <w:t>[Section 15 amended: No. 49 of 2010 s. 41.]</w:t>
      </w:r>
    </w:p>
    <w:p>
      <w:pPr>
        <w:pStyle w:val="Heading5"/>
      </w:pPr>
      <w:bookmarkStart w:id="90" w:name="_Toc148360917"/>
      <w:bookmarkStart w:id="91" w:name="_Toc117607870"/>
      <w:r>
        <w:rPr>
          <w:rStyle w:val="CharSectno"/>
        </w:rPr>
        <w:t>16</w:t>
      </w:r>
      <w:r>
        <w:t>.</w:t>
      </w:r>
      <w:r>
        <w:tab/>
        <w:t>Delegation by Minister</w:t>
      </w:r>
      <w:bookmarkEnd w:id="90"/>
      <w:bookmarkEnd w:id="91"/>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No. 49 of 2010 s. 42.]</w:t>
      </w:r>
    </w:p>
    <w:p>
      <w:pPr>
        <w:pStyle w:val="Heading3"/>
      </w:pPr>
      <w:bookmarkStart w:id="92" w:name="_Toc148348490"/>
      <w:bookmarkStart w:id="93" w:name="_Toc148358274"/>
      <w:bookmarkStart w:id="94" w:name="_Toc148360918"/>
      <w:bookmarkStart w:id="95" w:name="_Toc117582534"/>
      <w:bookmarkStart w:id="96" w:name="_Toc117584347"/>
      <w:bookmarkStart w:id="97" w:name="_Toc117585517"/>
      <w:bookmarkStart w:id="98" w:name="_Toc117607871"/>
      <w:r>
        <w:rPr>
          <w:rStyle w:val="CharDivNo"/>
        </w:rPr>
        <w:t>Division 2</w:t>
      </w:r>
      <w:r>
        <w:t xml:space="preserve"> — </w:t>
      </w:r>
      <w:r>
        <w:rPr>
          <w:rStyle w:val="CharDivText"/>
        </w:rPr>
        <w:t>The Children and Community Services Ministerial Body</w:t>
      </w:r>
      <w:bookmarkEnd w:id="92"/>
      <w:bookmarkEnd w:id="93"/>
      <w:bookmarkEnd w:id="94"/>
      <w:bookmarkEnd w:id="95"/>
      <w:bookmarkEnd w:id="96"/>
      <w:bookmarkEnd w:id="97"/>
      <w:bookmarkEnd w:id="98"/>
      <w:r>
        <w:rPr>
          <w:rStyle w:val="CharDivText"/>
        </w:rPr>
        <w:t xml:space="preserve"> </w:t>
      </w:r>
    </w:p>
    <w:p>
      <w:pPr>
        <w:pStyle w:val="Footnoteheading"/>
      </w:pPr>
      <w:r>
        <w:tab/>
        <w:t>[Heading amended: No. 49 of 2010 s. 43.]</w:t>
      </w:r>
    </w:p>
    <w:p>
      <w:pPr>
        <w:pStyle w:val="Heading5"/>
      </w:pPr>
      <w:bookmarkStart w:id="99" w:name="_Toc148360919"/>
      <w:bookmarkStart w:id="100" w:name="_Toc117607872"/>
      <w:r>
        <w:rPr>
          <w:rStyle w:val="CharSectno"/>
        </w:rPr>
        <w:t>17</w:t>
      </w:r>
      <w:r>
        <w:t>.</w:t>
      </w:r>
      <w:r>
        <w:tab/>
        <w:t>Term used: Ministerial Body</w:t>
      </w:r>
      <w:bookmarkEnd w:id="99"/>
      <w:bookmarkEnd w:id="100"/>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No. 49 of 2010 s. 44.]</w:t>
      </w:r>
    </w:p>
    <w:p>
      <w:pPr>
        <w:pStyle w:val="Heading5"/>
      </w:pPr>
      <w:bookmarkStart w:id="101" w:name="_Toc148360920"/>
      <w:bookmarkStart w:id="102" w:name="_Toc117607873"/>
      <w:r>
        <w:rPr>
          <w:rStyle w:val="CharSectno"/>
        </w:rPr>
        <w:t>18</w:t>
      </w:r>
      <w:r>
        <w:t>.</w:t>
      </w:r>
      <w:r>
        <w:tab/>
        <w:t>Children and Community Services Ministerial Body</w:t>
      </w:r>
      <w:bookmarkEnd w:id="101"/>
      <w:bookmarkEnd w:id="102"/>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No. 49 of 2010 s. 45.]</w:t>
      </w:r>
    </w:p>
    <w:p>
      <w:pPr>
        <w:pStyle w:val="Heading5"/>
      </w:pPr>
      <w:bookmarkStart w:id="103" w:name="_Toc148360921"/>
      <w:bookmarkStart w:id="104" w:name="_Toc117607874"/>
      <w:r>
        <w:rPr>
          <w:rStyle w:val="CharSectno"/>
        </w:rPr>
        <w:t>19</w:t>
      </w:r>
      <w:r>
        <w:t>.</w:t>
      </w:r>
      <w:r>
        <w:tab/>
        <w:t>Purpose and nature of Ministerial Body</w:t>
      </w:r>
      <w:bookmarkEnd w:id="103"/>
      <w:bookmarkEnd w:id="104"/>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ind w:left="890" w:hanging="890"/>
      </w:pPr>
      <w:r>
        <w:tab/>
        <w:t>[Section 19 amended: No. 49 of 2010 s. 46.]</w:t>
      </w:r>
    </w:p>
    <w:p>
      <w:pPr>
        <w:pStyle w:val="Heading5"/>
      </w:pPr>
      <w:bookmarkStart w:id="105" w:name="_Toc148360922"/>
      <w:bookmarkStart w:id="106" w:name="_Toc117607875"/>
      <w:r>
        <w:rPr>
          <w:rStyle w:val="CharSectno"/>
        </w:rPr>
        <w:t>20</w:t>
      </w:r>
      <w:r>
        <w:t>.</w:t>
      </w:r>
      <w:r>
        <w:tab/>
        <w:t>Execution of documents by Ministerial Body</w:t>
      </w:r>
      <w:bookmarkEnd w:id="105"/>
      <w:bookmarkEnd w:id="106"/>
    </w:p>
    <w:p>
      <w:pPr>
        <w:pStyle w:val="Subsection"/>
        <w:spacing w:before="120"/>
      </w:pPr>
      <w:r>
        <w:tab/>
        <w:t>(1)</w:t>
      </w:r>
      <w:r>
        <w:tab/>
        <w:t>The Ministerial Body is to have a common seal.</w:t>
      </w:r>
    </w:p>
    <w:p>
      <w:pPr>
        <w:pStyle w:val="Subsection"/>
        <w:spacing w:before="120"/>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spacing w:before="120"/>
      </w:pPr>
      <w:r>
        <w:tab/>
        <w:t>(3)</w:t>
      </w:r>
      <w:r>
        <w:tab/>
        <w:t>The common seal of the Ministerial Body is not to be affixed to a document except as authorised by the Ministerial Body.</w:t>
      </w:r>
    </w:p>
    <w:p>
      <w:pPr>
        <w:pStyle w:val="Subsection"/>
        <w:spacing w:before="12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2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107" w:name="_Toc148348495"/>
      <w:bookmarkStart w:id="108" w:name="_Toc148358279"/>
      <w:bookmarkStart w:id="109" w:name="_Toc148360923"/>
      <w:bookmarkStart w:id="110" w:name="_Toc117582539"/>
      <w:bookmarkStart w:id="111" w:name="_Toc117584352"/>
      <w:bookmarkStart w:id="112" w:name="_Toc117585522"/>
      <w:bookmarkStart w:id="113" w:name="_Toc117607876"/>
      <w:r>
        <w:rPr>
          <w:rStyle w:val="CharDivNo"/>
        </w:rPr>
        <w:t>Division 3</w:t>
      </w:r>
      <w:r>
        <w:t xml:space="preserve"> — </w:t>
      </w:r>
      <w:r>
        <w:rPr>
          <w:rStyle w:val="CharDivText"/>
        </w:rPr>
        <w:t>The CEO</w:t>
      </w:r>
      <w:bookmarkEnd w:id="107"/>
      <w:bookmarkEnd w:id="108"/>
      <w:bookmarkEnd w:id="109"/>
      <w:bookmarkEnd w:id="110"/>
      <w:bookmarkEnd w:id="111"/>
      <w:bookmarkEnd w:id="112"/>
      <w:bookmarkEnd w:id="113"/>
    </w:p>
    <w:p>
      <w:pPr>
        <w:pStyle w:val="Heading5"/>
      </w:pPr>
      <w:bookmarkStart w:id="114" w:name="_Toc148360924"/>
      <w:bookmarkStart w:id="115" w:name="_Toc117607877"/>
      <w:r>
        <w:rPr>
          <w:rStyle w:val="CharSectno"/>
        </w:rPr>
        <w:t>21</w:t>
      </w:r>
      <w:r>
        <w:t>.</w:t>
      </w:r>
      <w:r>
        <w:tab/>
        <w:t>Functions of CEO</w:t>
      </w:r>
      <w:bookmarkEnd w:id="114"/>
      <w:bookmarkEnd w:id="115"/>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 and</w:t>
      </w:r>
    </w:p>
    <w:p>
      <w:pPr>
        <w:pStyle w:val="Indenti"/>
      </w:pPr>
      <w:r>
        <w:tab/>
        <w:t>(ii)</w:t>
      </w:r>
      <w:r>
        <w:tab/>
        <w:t>Aboriginal people and Torres Strait Islanders; and</w:t>
      </w:r>
    </w:p>
    <w:p>
      <w:pPr>
        <w:pStyle w:val="Indenti"/>
      </w:pPr>
      <w:r>
        <w:tab/>
        <w:t>(iii)</w:t>
      </w:r>
      <w:r>
        <w:tab/>
        <w:t>people from culturally or linguistically diverse backgrounds; and</w:t>
      </w:r>
    </w:p>
    <w:p>
      <w:pPr>
        <w:pStyle w:val="Indenti"/>
      </w:pPr>
      <w:r>
        <w:tab/>
        <w:t>(iv)</w:t>
      </w:r>
      <w:r>
        <w:tab/>
        <w:t>people with disabilities; and</w:t>
      </w:r>
    </w:p>
    <w:p>
      <w:pPr>
        <w:pStyle w:val="Indenti"/>
      </w:pPr>
      <w:r>
        <w:tab/>
        <w:t>(v)</w:t>
      </w:r>
      <w:r>
        <w:tab/>
        <w:t>women and men of all ages as distinct groups within society;</w:t>
      </w:r>
    </w:p>
    <w:p>
      <w:pPr>
        <w:pStyle w:val="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No. 49 of 2010 s. 47.]</w:t>
      </w:r>
    </w:p>
    <w:p>
      <w:pPr>
        <w:pStyle w:val="Heading5"/>
      </w:pPr>
      <w:bookmarkStart w:id="116" w:name="_Toc148360925"/>
      <w:bookmarkStart w:id="117" w:name="_Toc117607878"/>
      <w:r>
        <w:rPr>
          <w:rStyle w:val="CharSectno"/>
        </w:rPr>
        <w:t>22</w:t>
      </w:r>
      <w:r>
        <w:t>.</w:t>
      </w:r>
      <w:r>
        <w:tab/>
        <w:t>Cooperation and assistance</w:t>
      </w:r>
      <w:bookmarkEnd w:id="116"/>
      <w:bookmarkEnd w:id="117"/>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functions and does not unduly prejudice the performance of its functions.</w:t>
      </w:r>
    </w:p>
    <w:p>
      <w:pPr>
        <w:pStyle w:val="Subsection"/>
      </w:pPr>
      <w:r>
        <w:tab/>
        <w:t>(4AA)</w:t>
      </w:r>
      <w:r>
        <w:tab/>
        <w:t>A public authority prescribed by the regulations as a public authority to which this subsection applies must prioritise a request under subsection (3) to provide assistance to the following —</w:t>
      </w:r>
    </w:p>
    <w:p>
      <w:pPr>
        <w:pStyle w:val="Indenta"/>
      </w:pPr>
      <w:r>
        <w:tab/>
        <w:t>(a)</w:t>
      </w:r>
      <w:r>
        <w:tab/>
        <w:t>a child in the CEO’s care;</w:t>
      </w:r>
    </w:p>
    <w:p>
      <w:pPr>
        <w:pStyle w:val="Indenta"/>
      </w:pPr>
      <w:r>
        <w:tab/>
        <w:t>(b)</w:t>
      </w:r>
      <w:r>
        <w:tab/>
        <w:t>a person who under section 96 qualifies for assistance under Part 4 Division 6;</w:t>
      </w:r>
    </w:p>
    <w:p>
      <w:pPr>
        <w:pStyle w:val="Indenta"/>
      </w:pPr>
      <w:r>
        <w:tab/>
        <w:t>(c)</w:t>
      </w:r>
      <w:r>
        <w:tab/>
        <w:t>a child under a protection order (special guardianship).</w:t>
      </w:r>
    </w:p>
    <w:p>
      <w:pPr>
        <w:pStyle w:val="Subsection"/>
      </w:pPr>
      <w:r>
        <w:tab/>
        <w:t>(4AB)</w:t>
      </w:r>
      <w:r>
        <w:tab/>
        <w:t>If the relevant officer for a public authority to which subsection (4AA) applies forms the opinion that the public authority cannot comply with a request under subsection (3) consistently with its functions or so as to not unduly prejudice the performance of its functions, the relevant officer must, at the request of the CEO, give the CEO written reasons for the opinion.</w:t>
      </w:r>
    </w:p>
    <w:p>
      <w:pPr>
        <w:pStyle w:val="Subsection"/>
      </w:pPr>
      <w:r>
        <w:tab/>
        <w:t>(4AC)</w:t>
      </w:r>
      <w:r>
        <w:tab/>
        <w:t xml:space="preserve">In subsection (4AB) — </w:t>
      </w:r>
    </w:p>
    <w:p>
      <w:pPr>
        <w:pStyle w:val="Defstart"/>
      </w:pPr>
      <w:r>
        <w:tab/>
      </w:r>
      <w:r>
        <w:rPr>
          <w:rStyle w:val="CharDefText"/>
        </w:rPr>
        <w:t>relevant officer</w:t>
      </w:r>
      <w:r>
        <w:t xml:space="preserve">, for a public authority, means — </w:t>
      </w:r>
    </w:p>
    <w:p>
      <w:pPr>
        <w:pStyle w:val="Defpara"/>
      </w:pPr>
      <w:r>
        <w:tab/>
        <w:t>(a)</w:t>
      </w:r>
      <w:r>
        <w:tab/>
        <w:t xml:space="preserve">if the public authority is an entity referred to in paragraph (a), (b) or (c) of the definition of </w:t>
      </w:r>
      <w:r>
        <w:rPr>
          <w:b/>
          <w:i/>
        </w:rPr>
        <w:t>public authority</w:t>
      </w:r>
      <w:r>
        <w:t xml:space="preserve"> in section 3 — the principal officer (however described) of that entity; or</w:t>
      </w:r>
    </w:p>
    <w:p>
      <w:pPr>
        <w:pStyle w:val="Defpara"/>
      </w:pPr>
      <w:r>
        <w:tab/>
        <w:t>(b)</w:t>
      </w:r>
      <w:r>
        <w:tab/>
        <w:t xml:space="preserve">if the public authority is a body referred to in paragraph (d) of the definition of </w:t>
      </w:r>
      <w:r>
        <w:rPr>
          <w:b/>
          <w:i/>
        </w:rPr>
        <w:t>public authority</w:t>
      </w:r>
      <w:r>
        <w:t xml:space="preserve"> in section 3 — the principal officer (however described) of that body; or</w:t>
      </w:r>
    </w:p>
    <w:p>
      <w:pPr>
        <w:pStyle w:val="Defpara"/>
      </w:pPr>
      <w:r>
        <w:tab/>
        <w:t>(c)</w:t>
      </w:r>
      <w:r>
        <w:tab/>
        <w:t xml:space="preserve">if the public authority is the holder of an office, post or position referred to in paragraph (d) of the definition of </w:t>
      </w:r>
      <w:r>
        <w:rPr>
          <w:b/>
          <w:i/>
        </w:rPr>
        <w:t>public authority</w:t>
      </w:r>
      <w:r>
        <w:t xml:space="preserve"> in section 3 — that holder.</w:t>
      </w:r>
    </w:p>
    <w:p>
      <w:pPr>
        <w:pStyle w:val="Subsection"/>
      </w:pPr>
      <w:r>
        <w:tab/>
        <w:t>(5)</w:t>
      </w:r>
      <w:r>
        <w:tab/>
        <w:t>Nothing in this section is to be taken to limit the operation of section 23.</w:t>
      </w:r>
    </w:p>
    <w:p>
      <w:pPr>
        <w:pStyle w:val="Footnotesection"/>
      </w:pPr>
      <w:r>
        <w:tab/>
        <w:t>[Section 22 amended: No. 49 of 2010 s. 48; No. 18 of 2021 s. 14.]</w:t>
      </w:r>
    </w:p>
    <w:p>
      <w:pPr>
        <w:pStyle w:val="Heading5"/>
      </w:pPr>
      <w:bookmarkStart w:id="118" w:name="_Toc148360926"/>
      <w:bookmarkStart w:id="119" w:name="_Toc117607879"/>
      <w:r>
        <w:rPr>
          <w:rStyle w:val="CharSectno"/>
        </w:rPr>
        <w:t>23</w:t>
      </w:r>
      <w:r>
        <w:t>.</w:t>
      </w:r>
      <w:r>
        <w:tab/>
        <w:t>CEO etc. may disclose or request relevant information</w:t>
      </w:r>
      <w:bookmarkEnd w:id="118"/>
      <w:bookmarkEnd w:id="119"/>
    </w:p>
    <w:p>
      <w:pPr>
        <w:pStyle w:val="Subsection"/>
        <w:keepNext/>
      </w:pPr>
      <w:r>
        <w:tab/>
        <w:t>(1)</w:t>
      </w:r>
      <w:r>
        <w:tab/>
        <w:t>In this section —</w:t>
      </w:r>
    </w:p>
    <w:p>
      <w:pPr>
        <w:pStyle w:val="Defstart"/>
        <w:keepNex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 </w:t>
      </w:r>
    </w:p>
    <w:p>
      <w:pPr>
        <w:pStyle w:val="Defpara"/>
      </w:pPr>
      <w:r>
        <w:tab/>
        <w:t>(a)</w:t>
      </w:r>
      <w:r>
        <w:tab/>
        <w:t>a child or a class or group of children; or</w:t>
      </w:r>
    </w:p>
    <w:p>
      <w:pPr>
        <w:pStyle w:val="Defpara"/>
      </w:pPr>
      <w:r>
        <w:tab/>
        <w:t>(b)</w:t>
      </w:r>
      <w:r>
        <w:tab/>
        <w:t>a person who under section 96 qualifies for assistance for the purposes of Part 4 Division 6;</w:t>
      </w:r>
    </w:p>
    <w:p>
      <w:pPr>
        <w:pStyle w:val="Defstart"/>
      </w:pPr>
      <w:r>
        <w:tab/>
      </w:r>
      <w:r>
        <w:rPr>
          <w:rStyle w:val="CharDefText"/>
        </w:rPr>
        <w:t>non</w:t>
      </w:r>
      <w:r>
        <w:rPr>
          <w:rStyle w:val="CharDefText"/>
        </w:rPr>
        <w:noBreakHyphen/>
        <w:t>government provider</w:t>
      </w:r>
      <w:r>
        <w:t xml:space="preserve"> has the meaning given in section 28A;</w:t>
      </w:r>
    </w:p>
    <w:p>
      <w:pPr>
        <w:pStyle w:val="Defstart"/>
      </w:pPr>
      <w:r>
        <w:tab/>
      </w:r>
      <w:r>
        <w:rPr>
          <w:rStyle w:val="CharDefText"/>
        </w:rPr>
        <w:t>relevant information</w:t>
      </w:r>
      <w:r>
        <w:t xml:space="preserve"> means — </w:t>
      </w:r>
    </w:p>
    <w:p>
      <w:pPr>
        <w:pStyle w:val="Defpara"/>
      </w:pPr>
      <w:r>
        <w:tab/>
        <w:t>(a)</w:t>
      </w:r>
      <w:r>
        <w:tab/>
        <w:t xml:space="preserve">information that, in the opinion of the CEO, is, or is likely to be, relevant to — </w:t>
      </w:r>
    </w:p>
    <w:p>
      <w:pPr>
        <w:pStyle w:val="Defsubpara"/>
      </w:pPr>
      <w:r>
        <w:tab/>
        <w:t>(i)</w:t>
      </w:r>
      <w:r>
        <w:tab/>
        <w:t>the wellbeing of a child or a class or group of children; or</w:t>
      </w:r>
    </w:p>
    <w:p>
      <w:pPr>
        <w:pStyle w:val="Defsubpara"/>
      </w:pPr>
      <w:r>
        <w:tab/>
        <w:t>(ii)</w:t>
      </w:r>
      <w:r>
        <w:tab/>
        <w:t>the wellbeing of a person who under section 96 qualifies for assistance for the purposes of Part 4 Division 6; or</w:t>
      </w:r>
    </w:p>
    <w:p>
      <w:pPr>
        <w:pStyle w:val="Defsubpara"/>
      </w:pPr>
      <w:r>
        <w:tab/>
        <w:t>(iii)</w:t>
      </w:r>
      <w:r>
        <w:tab/>
        <w:t>the safety of a person who has been subjected to, or exposed to, family violence; or</w:t>
      </w:r>
    </w:p>
    <w:p>
      <w:pPr>
        <w:pStyle w:val="Defsubpara"/>
        <w:keepNext/>
      </w:pPr>
      <w:r>
        <w:tab/>
        <w:t>(iv)</w:t>
      </w:r>
      <w:r>
        <w:tab/>
        <w:t>the performance of a function under this Act;</w:t>
      </w:r>
    </w:p>
    <w:p>
      <w:pPr>
        <w:pStyle w:val="Defpara"/>
      </w:pPr>
      <w:r>
        <w:tab/>
      </w:r>
      <w:r>
        <w:tab/>
        <w:t>or</w:t>
      </w:r>
    </w:p>
    <w:p>
      <w:pPr>
        <w:pStyle w:val="Defpara"/>
      </w:pPr>
      <w:r>
        <w:tab/>
        <w:t>(b)</w:t>
      </w:r>
      <w:r>
        <w:tab/>
        <w:t>other information of a kind prescribed by the regulations for the purposes of this paragraph.</w:t>
      </w:r>
    </w:p>
    <w:p>
      <w:pPr>
        <w:pStyle w:val="Subsection"/>
        <w:spacing w:before="140"/>
      </w:pPr>
      <w:r>
        <w:tab/>
        <w:t>(2)</w:t>
      </w:r>
      <w:r>
        <w:tab/>
        <w:t>The CEO or an authorised officer may disclose relevant information to a public authority, a Commonwealth agency, a corresponding authority, a non</w:t>
      </w:r>
      <w:r>
        <w:noBreakHyphen/>
        <w:t>government provider or an interested person.</w:t>
      </w:r>
    </w:p>
    <w:p>
      <w:pPr>
        <w:pStyle w:val="Subsection"/>
        <w:spacing w:before="140"/>
      </w:pPr>
      <w:r>
        <w:tab/>
        <w:t>(3)</w:t>
      </w:r>
      <w:r>
        <w:tab/>
        <w:t>The CEO or an authorised officer may request a public authority, a Commonwealth agency, a corresponding authority, a non</w:t>
      </w:r>
      <w:r>
        <w:noBreakHyphen/>
        <w:t>government provider or an interested person</w:t>
      </w:r>
      <w:r>
        <w:rPr>
          <w:b/>
          <w:i/>
          <w:sz w:val="20"/>
        </w:rPr>
        <w:t xml:space="preserve"> </w:t>
      </w:r>
      <w:r>
        <w:t>who or which holds relevant information to disclose the information to the CEO or authorised officer, as the case requires.</w:t>
      </w:r>
    </w:p>
    <w:p>
      <w:pPr>
        <w:pStyle w:val="Subsection"/>
        <w:spacing w:before="140"/>
      </w:pPr>
      <w:r>
        <w:tab/>
        <w:t>(4)</w:t>
      </w:r>
      <w:r>
        <w:tab/>
        <w:t>Information may be disclosed under subsection (2), or in compliance with a request under subsection (3), despite any enactment that prohibits or restricts its disclosure.</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No. 26 of 2008 s. 4; No. 49 of 2010 s. 49; No. 23 of 2015 s. 28; No. 49 of 2016 s. 92.]</w:t>
      </w:r>
    </w:p>
    <w:p>
      <w:pPr>
        <w:pStyle w:val="Heading5"/>
      </w:pPr>
      <w:bookmarkStart w:id="120" w:name="_Toc148360927"/>
      <w:bookmarkStart w:id="121" w:name="_Toc117607880"/>
      <w:r>
        <w:rPr>
          <w:rStyle w:val="CharSectno"/>
        </w:rPr>
        <w:t>24A</w:t>
      </w:r>
      <w:r>
        <w:t>.</w:t>
      </w:r>
      <w:r>
        <w:tab/>
        <w:t>Power of CEO to obtain copies of certain reports from CEO (Corrective Services)</w:t>
      </w:r>
      <w:bookmarkEnd w:id="120"/>
      <w:bookmarkEnd w:id="121"/>
    </w:p>
    <w:p>
      <w:pPr>
        <w:pStyle w:val="Subsection"/>
      </w:pPr>
      <w:r>
        <w:tab/>
        <w:t>(1)</w:t>
      </w:r>
      <w:r>
        <w:tab/>
        <w:t xml:space="preserve">In this section — </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Sentence Administration Act 2003</w:t>
      </w:r>
      <w:r>
        <w:t xml:space="preserve"> Part 8;</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keepNext/>
      </w:pPr>
      <w:r>
        <w:tab/>
        <w:t>(d)</w:t>
      </w:r>
      <w:r>
        <w:tab/>
        <w:t xml:space="preserve">a report — </w:t>
      </w:r>
    </w:p>
    <w:p>
      <w:pPr>
        <w:pStyle w:val="Defsubpara"/>
      </w:pPr>
      <w:r>
        <w:tab/>
        <w:t>(i)</w:t>
      </w:r>
      <w:r>
        <w:tab/>
        <w:t xml:space="preserve">made under, or prepared for the purposes of, the </w:t>
      </w:r>
      <w:r>
        <w:rPr>
          <w:i/>
        </w:rPr>
        <w:t>Bail Act 1982</w:t>
      </w:r>
      <w:r>
        <w:t xml:space="preserve">, the former </w:t>
      </w:r>
      <w:r>
        <w:rPr>
          <w:i/>
        </w:rPr>
        <w:t>Dangerous Sexual Offenders Act 2006</w:t>
      </w:r>
      <w:r>
        <w:t xml:space="preserve">, the </w:t>
      </w:r>
      <w:r>
        <w:rPr>
          <w:i/>
        </w:rPr>
        <w:t>High Risk Serious Offenders Act 2020</w:t>
      </w:r>
      <w:r>
        <w:t xml:space="preserve">, the </w:t>
      </w:r>
      <w:r>
        <w:rPr>
          <w:i/>
        </w:rPr>
        <w:t>Sentence Administration Act 2003</w:t>
      </w:r>
      <w:r>
        <w:t xml:space="preserve">, the </w:t>
      </w:r>
      <w:r>
        <w:rPr>
          <w:i/>
        </w:rPr>
        <w:t>Sentencing Act 1995</w:t>
      </w:r>
      <w:r>
        <w:t xml:space="preserve">, the </w:t>
      </w:r>
      <w:r>
        <w:rPr>
          <w:i/>
        </w:rPr>
        <w:t>Prisons Act 1981</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pPr>
      <w:r>
        <w:tab/>
        <w:t>(2)</w:t>
      </w:r>
      <w:r>
        <w:tab/>
        <w:t>The CEO may request the CEO (Corrective Services) to give to the CEO a copy of a prescribed report if, in the opinion of the CEO, the report is, or is likely to be, relevant to the wellbeing of a child or a class or group of children.</w:t>
      </w:r>
    </w:p>
    <w:p>
      <w:pPr>
        <w:pStyle w:val="Subsection"/>
      </w:pPr>
      <w:r>
        <w:tab/>
        <w:t>(3)</w:t>
      </w:r>
      <w:r>
        <w:tab/>
        <w:t>The CEO (Corrective Services) must comply with a request under subsection (2).</w:t>
      </w:r>
    </w:p>
    <w:p>
      <w:pPr>
        <w:pStyle w:val="Subsection"/>
      </w:pPr>
      <w:r>
        <w:tab/>
        <w:t>(4)</w:t>
      </w:r>
      <w:r>
        <w:tab/>
        <w:t>Subsection (3) applies despite any enactment that prohibits or restricts disclosure of the report or information in it.</w:t>
      </w:r>
    </w:p>
    <w:p>
      <w:pPr>
        <w:pStyle w:val="Subsection"/>
      </w:pPr>
      <w:r>
        <w:tab/>
        <w:t>(5)</w:t>
      </w:r>
      <w:r>
        <w:tab/>
        <w:t>This section does not limit the operation of section 23.</w:t>
      </w:r>
    </w:p>
    <w:p>
      <w:pPr>
        <w:pStyle w:val="Footnotesection"/>
      </w:pPr>
      <w:r>
        <w:tab/>
        <w:t>[Section 24A inserted: No. 23 of 2015 s. 29; amended: No. 29 of 2020 s. 121; No. 18 of 2021 s. 16.]</w:t>
      </w:r>
    </w:p>
    <w:p>
      <w:pPr>
        <w:pStyle w:val="Heading5"/>
      </w:pPr>
      <w:bookmarkStart w:id="122" w:name="_Toc148360928"/>
      <w:bookmarkStart w:id="123" w:name="_Toc117607881"/>
      <w:r>
        <w:rPr>
          <w:rStyle w:val="CharSectno"/>
        </w:rPr>
        <w:t>24</w:t>
      </w:r>
      <w:r>
        <w:t>.</w:t>
      </w:r>
      <w:r>
        <w:tab/>
        <w:t>Delegation by CEO</w:t>
      </w:r>
      <w:bookmarkEnd w:id="122"/>
      <w:bookmarkEnd w:id="123"/>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No. 49 of 2010 s. 51.]</w:t>
      </w:r>
    </w:p>
    <w:p>
      <w:pPr>
        <w:pStyle w:val="Heading3"/>
      </w:pPr>
      <w:bookmarkStart w:id="124" w:name="_Toc148348501"/>
      <w:bookmarkStart w:id="125" w:name="_Toc148358285"/>
      <w:bookmarkStart w:id="126" w:name="_Toc148360929"/>
      <w:bookmarkStart w:id="127" w:name="_Toc117582545"/>
      <w:bookmarkStart w:id="128" w:name="_Toc117584358"/>
      <w:bookmarkStart w:id="129" w:name="_Toc117585528"/>
      <w:bookmarkStart w:id="130" w:name="_Toc117607882"/>
      <w:r>
        <w:rPr>
          <w:rStyle w:val="CharDivNo"/>
        </w:rPr>
        <w:t>Division 4</w:t>
      </w:r>
      <w:r>
        <w:t xml:space="preserve"> — </w:t>
      </w:r>
      <w:r>
        <w:rPr>
          <w:rStyle w:val="CharDivText"/>
        </w:rPr>
        <w:t>Authorised officers</w:t>
      </w:r>
      <w:bookmarkEnd w:id="124"/>
      <w:bookmarkEnd w:id="125"/>
      <w:bookmarkEnd w:id="126"/>
      <w:bookmarkEnd w:id="127"/>
      <w:bookmarkEnd w:id="128"/>
      <w:bookmarkEnd w:id="129"/>
      <w:bookmarkEnd w:id="130"/>
    </w:p>
    <w:p>
      <w:pPr>
        <w:pStyle w:val="Heading5"/>
      </w:pPr>
      <w:bookmarkStart w:id="131" w:name="_Toc148360930"/>
      <w:bookmarkStart w:id="132" w:name="_Toc117607883"/>
      <w:r>
        <w:rPr>
          <w:rStyle w:val="CharSectno"/>
        </w:rPr>
        <w:t>25</w:t>
      </w:r>
      <w:r>
        <w:t>.</w:t>
      </w:r>
      <w:r>
        <w:tab/>
        <w:t>Designation of authorised officers</w:t>
      </w:r>
      <w:bookmarkEnd w:id="131"/>
      <w:bookmarkEnd w:id="132"/>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No. 49 of 2010 s. 52.]</w:t>
      </w:r>
    </w:p>
    <w:p>
      <w:pPr>
        <w:pStyle w:val="Heading5"/>
      </w:pPr>
      <w:bookmarkStart w:id="133" w:name="_Toc148360931"/>
      <w:bookmarkStart w:id="134" w:name="_Toc117607884"/>
      <w:r>
        <w:rPr>
          <w:rStyle w:val="CharSectno"/>
        </w:rPr>
        <w:t>26</w:t>
      </w:r>
      <w:r>
        <w:t>.</w:t>
      </w:r>
      <w:r>
        <w:tab/>
        <w:t>Identity cards</w:t>
      </w:r>
      <w:bookmarkEnd w:id="133"/>
      <w:bookmarkEnd w:id="134"/>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ind w:left="890" w:hanging="890"/>
      </w:pPr>
      <w:r>
        <w:tab/>
        <w:t>[Section 26 amended: No. 49 of 2010 s. 53.]</w:t>
      </w:r>
    </w:p>
    <w:p>
      <w:pPr>
        <w:pStyle w:val="Heading3"/>
      </w:pPr>
      <w:bookmarkStart w:id="135" w:name="_Toc148348504"/>
      <w:bookmarkStart w:id="136" w:name="_Toc148358288"/>
      <w:bookmarkStart w:id="137" w:name="_Toc148360932"/>
      <w:bookmarkStart w:id="138" w:name="_Toc117582548"/>
      <w:bookmarkStart w:id="139" w:name="_Toc117584361"/>
      <w:bookmarkStart w:id="140" w:name="_Toc117585531"/>
      <w:bookmarkStart w:id="141" w:name="_Toc117607885"/>
      <w:r>
        <w:rPr>
          <w:rStyle w:val="CharDivNo"/>
        </w:rPr>
        <w:t>Division 5</w:t>
      </w:r>
      <w:r>
        <w:t xml:space="preserve"> — </w:t>
      </w:r>
      <w:r>
        <w:rPr>
          <w:rStyle w:val="CharDivText"/>
        </w:rPr>
        <w:t>Advisory bodies</w:t>
      </w:r>
      <w:bookmarkEnd w:id="135"/>
      <w:bookmarkEnd w:id="136"/>
      <w:bookmarkEnd w:id="137"/>
      <w:bookmarkEnd w:id="138"/>
      <w:bookmarkEnd w:id="139"/>
      <w:bookmarkEnd w:id="140"/>
      <w:bookmarkEnd w:id="141"/>
    </w:p>
    <w:p>
      <w:pPr>
        <w:pStyle w:val="Heading5"/>
        <w:spacing w:before="180"/>
      </w:pPr>
      <w:bookmarkStart w:id="142" w:name="_Toc148360933"/>
      <w:bookmarkStart w:id="143" w:name="_Toc117607886"/>
      <w:r>
        <w:rPr>
          <w:rStyle w:val="CharSectno"/>
        </w:rPr>
        <w:t>27</w:t>
      </w:r>
      <w:r>
        <w:t>.</w:t>
      </w:r>
      <w:r>
        <w:tab/>
        <w:t>Establishment of advisory bodies</w:t>
      </w:r>
      <w:bookmarkEnd w:id="142"/>
      <w:bookmarkEnd w:id="143"/>
    </w:p>
    <w:p>
      <w:pPr>
        <w:pStyle w:val="Subsection"/>
        <w:spacing w:before="120"/>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spacing w:before="120"/>
      </w:pPr>
      <w:r>
        <w:tab/>
        <w:t>(6)</w:t>
      </w:r>
      <w:r>
        <w:tab/>
        <w:t>The Minister may, by instrument signed by the Minister, amend or cancel an instrument made under subsection (5).</w:t>
      </w:r>
    </w:p>
    <w:p>
      <w:pPr>
        <w:pStyle w:val="Subsection"/>
        <w:spacing w:before="120"/>
      </w:pPr>
      <w:r>
        <w:tab/>
        <w:t>(7)</w:t>
      </w:r>
      <w:r>
        <w:tab/>
        <w:t xml:space="preserve">The Minister must cause an instrument made under this section to be published in the </w:t>
      </w:r>
      <w:r>
        <w:rPr>
          <w:i/>
        </w:rPr>
        <w:t>Gazette</w:t>
      </w:r>
      <w:r>
        <w:t>.</w:t>
      </w:r>
    </w:p>
    <w:p>
      <w:pPr>
        <w:pStyle w:val="Subsection"/>
        <w:spacing w:before="120"/>
      </w:pPr>
      <w:r>
        <w:tab/>
        <w:t>(8)</w:t>
      </w:r>
      <w:r>
        <w:tab/>
        <w:t>Members of an advisory body are entitled to any remuneration and allowances that the Minister may from time to time determine on the recommendation of the Public Sector Commissioner.</w:t>
      </w:r>
    </w:p>
    <w:p>
      <w:pPr>
        <w:pStyle w:val="Footnotesection"/>
        <w:ind w:left="890" w:hanging="890"/>
      </w:pPr>
      <w:r>
        <w:tab/>
        <w:t>[Section 27 amended: No. 39 of 2010 s. 89.]</w:t>
      </w:r>
    </w:p>
    <w:p>
      <w:pPr>
        <w:pStyle w:val="Heading3"/>
        <w:spacing w:before="200"/>
      </w:pPr>
      <w:bookmarkStart w:id="144" w:name="_Toc148348506"/>
      <w:bookmarkStart w:id="145" w:name="_Toc148358290"/>
      <w:bookmarkStart w:id="146" w:name="_Toc148360934"/>
      <w:bookmarkStart w:id="147" w:name="_Toc117582550"/>
      <w:bookmarkStart w:id="148" w:name="_Toc117584363"/>
      <w:bookmarkStart w:id="149" w:name="_Toc117585533"/>
      <w:bookmarkStart w:id="150" w:name="_Toc117607887"/>
      <w:r>
        <w:rPr>
          <w:rStyle w:val="CharDivNo"/>
        </w:rPr>
        <w:t>Division 6</w:t>
      </w:r>
      <w:r>
        <w:t> — </w:t>
      </w:r>
      <w:r>
        <w:rPr>
          <w:rStyle w:val="CharDivText"/>
        </w:rPr>
        <w:t>Information sharing</w:t>
      </w:r>
      <w:bookmarkEnd w:id="144"/>
      <w:bookmarkEnd w:id="145"/>
      <w:bookmarkEnd w:id="146"/>
      <w:bookmarkEnd w:id="147"/>
      <w:bookmarkEnd w:id="148"/>
      <w:bookmarkEnd w:id="149"/>
      <w:bookmarkEnd w:id="150"/>
    </w:p>
    <w:p>
      <w:pPr>
        <w:pStyle w:val="Footnoteheading"/>
      </w:pPr>
      <w:r>
        <w:tab/>
        <w:t>[Heading inserted: No. 23 of 2015 s. 30.]</w:t>
      </w:r>
    </w:p>
    <w:p>
      <w:pPr>
        <w:pStyle w:val="Heading5"/>
        <w:spacing w:before="180"/>
      </w:pPr>
      <w:bookmarkStart w:id="151" w:name="_Toc148360935"/>
      <w:bookmarkStart w:id="152" w:name="_Toc117607888"/>
      <w:r>
        <w:rPr>
          <w:rStyle w:val="CharSectno"/>
        </w:rPr>
        <w:t>28A</w:t>
      </w:r>
      <w:r>
        <w:t>.</w:t>
      </w:r>
      <w:r>
        <w:tab/>
        <w:t>Terms used</w:t>
      </w:r>
      <w:bookmarkEnd w:id="151"/>
      <w:bookmarkEnd w:id="152"/>
    </w:p>
    <w:p>
      <w:pPr>
        <w:pStyle w:val="Subsection"/>
        <w:spacing w:before="120"/>
      </w:pPr>
      <w:r>
        <w:tab/>
      </w:r>
      <w:r>
        <w:tab/>
        <w:t xml:space="preserve">In this Division — </w:t>
      </w:r>
    </w:p>
    <w:p>
      <w:pPr>
        <w:pStyle w:val="Defstart"/>
        <w:spacing w:before="60"/>
      </w:pPr>
      <w:r>
        <w:tab/>
      </w:r>
      <w:r>
        <w:rPr>
          <w:rStyle w:val="CharDefText"/>
        </w:rPr>
        <w:t>authorised entity</w:t>
      </w:r>
      <w:r>
        <w:t xml:space="preserve"> means — </w:t>
      </w:r>
    </w:p>
    <w:p>
      <w:pPr>
        <w:pStyle w:val="Defpara"/>
        <w:spacing w:before="60"/>
      </w:pPr>
      <w:r>
        <w:tab/>
        <w:t>(a)</w:t>
      </w:r>
      <w:r>
        <w:tab/>
        <w:t>the CEO of a non</w:t>
      </w:r>
      <w:r>
        <w:noBreakHyphen/>
        <w:t>government provider; or</w:t>
      </w:r>
    </w:p>
    <w:p>
      <w:pPr>
        <w:pStyle w:val="Defpara"/>
        <w:spacing w:before="60"/>
      </w:pPr>
      <w:r>
        <w:tab/>
        <w:t>(b)</w:t>
      </w:r>
      <w:r>
        <w:tab/>
        <w:t xml:space="preserve">the governing body of a registered school or school system under the </w:t>
      </w:r>
      <w:r>
        <w:rPr>
          <w:i/>
        </w:rPr>
        <w:t>School Education Act 1999</w:t>
      </w:r>
      <w:r>
        <w:t xml:space="preserve"> Part 4;</w:t>
      </w:r>
    </w:p>
    <w:p>
      <w:pPr>
        <w:pStyle w:val="Defstart"/>
        <w:keepNext/>
        <w:spacing w:before="60"/>
      </w:pPr>
      <w:r>
        <w:tab/>
      </w:r>
      <w:r>
        <w:rPr>
          <w:rStyle w:val="CharDefText"/>
        </w:rPr>
        <w:t>CEO</w:t>
      </w:r>
      <w:r>
        <w:t xml:space="preserve"> means — </w:t>
      </w:r>
    </w:p>
    <w:p>
      <w:pPr>
        <w:pStyle w:val="Defpara"/>
        <w:keepNext/>
        <w:spacing w:before="60"/>
      </w:pPr>
      <w:r>
        <w:tab/>
        <w:t>(a)</w:t>
      </w:r>
      <w:r>
        <w:tab/>
        <w:t xml:space="preserve">in relation to a prescribed authority — </w:t>
      </w:r>
    </w:p>
    <w:p>
      <w:pPr>
        <w:pStyle w:val="Defsubpara"/>
        <w:spacing w:before="60"/>
      </w:pPr>
      <w:r>
        <w:tab/>
        <w:t>(i)</w:t>
      </w:r>
      <w:r>
        <w:tab/>
        <w:t xml:space="preserve">if the prescribed authority is an entity referred to in paragraph (a), (b) or (c) of the definition of </w:t>
      </w:r>
      <w:r>
        <w:rPr>
          <w:b/>
          <w:i/>
        </w:rPr>
        <w:t>public authority</w:t>
      </w:r>
      <w:r>
        <w:t xml:space="preserve"> in section 3 — the principal officer (however described) of that entity; or</w:t>
      </w:r>
    </w:p>
    <w:p>
      <w:pPr>
        <w:pStyle w:val="Defsubpara"/>
        <w:spacing w:before="60"/>
      </w:pPr>
      <w:r>
        <w:tab/>
        <w:t>(ii)</w:t>
      </w:r>
      <w:r>
        <w:tab/>
        <w:t xml:space="preserve">if the prescribed authority is a body referred to in paragraph (d) of the definition of </w:t>
      </w:r>
      <w:r>
        <w:rPr>
          <w:b/>
          <w:i/>
        </w:rPr>
        <w:t>public authority</w:t>
      </w:r>
      <w:r>
        <w:t xml:space="preserve"> in section 3 — the principal officer (however described) of that body; or</w:t>
      </w:r>
    </w:p>
    <w:p>
      <w:pPr>
        <w:pStyle w:val="Defsubpara"/>
        <w:spacing w:before="60"/>
      </w:pPr>
      <w:r>
        <w:tab/>
        <w:t>(iii)</w:t>
      </w:r>
      <w:r>
        <w:tab/>
        <w:t xml:space="preserve">if the prescribed authority is the holder of an office, post or position referred to in paragraph (d) of the definition of </w:t>
      </w:r>
      <w:r>
        <w:rPr>
          <w:b/>
          <w:i/>
        </w:rPr>
        <w:t>public authority</w:t>
      </w:r>
      <w:r>
        <w:t xml:space="preserve"> in section 3 — that holder;</w:t>
      </w:r>
    </w:p>
    <w:p>
      <w:pPr>
        <w:pStyle w:val="Defpara"/>
      </w:pPr>
      <w:r>
        <w:tab/>
      </w:r>
      <w:r>
        <w:tab/>
        <w:t>or</w:t>
      </w:r>
    </w:p>
    <w:p>
      <w:pPr>
        <w:pStyle w:val="Defpara"/>
      </w:pPr>
      <w:r>
        <w:tab/>
        <w:t>(b)</w:t>
      </w:r>
      <w:r>
        <w:tab/>
        <w:t>in relation to a non</w:t>
      </w:r>
      <w:r>
        <w:noBreakHyphen/>
        <w:t xml:space="preserve">government provider — </w:t>
      </w:r>
    </w:p>
    <w:p>
      <w:pPr>
        <w:pStyle w:val="Defsubpara"/>
      </w:pPr>
      <w:r>
        <w:tab/>
        <w:t>(i)</w:t>
      </w:r>
      <w:r>
        <w:tab/>
        <w:t>if the non</w:t>
      </w:r>
      <w:r>
        <w:noBreakHyphen/>
        <w:t>government provider is an individual — that individual; or</w:t>
      </w:r>
    </w:p>
    <w:p>
      <w:pPr>
        <w:pStyle w:val="Indenti"/>
      </w:pPr>
      <w:r>
        <w:tab/>
        <w:t>(ii)</w:t>
      </w:r>
      <w:r>
        <w:tab/>
        <w:t>otherwise — the principal officer (however described) of the non</w:t>
      </w:r>
      <w:r>
        <w:noBreakHyphen/>
        <w:t>government provider;</w:t>
      </w:r>
    </w:p>
    <w:p>
      <w:pPr>
        <w:pStyle w:val="Defstart"/>
      </w:pPr>
      <w:r>
        <w:tab/>
      </w:r>
      <w:r>
        <w:rPr>
          <w:rStyle w:val="CharDefText"/>
        </w:rPr>
        <w:t>non</w:t>
      </w:r>
      <w:r>
        <w:rPr>
          <w:rStyle w:val="CharDefText"/>
        </w:rPr>
        <w:noBreakHyphen/>
        <w:t>government provider</w:t>
      </w:r>
      <w:r>
        <w:t xml:space="preserve"> means — </w:t>
      </w:r>
    </w:p>
    <w:p>
      <w:pPr>
        <w:pStyle w:val="Defpara"/>
      </w:pPr>
      <w:r>
        <w:tab/>
        <w:t>(a)</w:t>
      </w:r>
      <w:r>
        <w:tab/>
        <w:t>a service provider; or</w:t>
      </w:r>
    </w:p>
    <w:p>
      <w:pPr>
        <w:pStyle w:val="Defpara"/>
      </w:pPr>
      <w:r>
        <w:tab/>
        <w:t>(b)</w:t>
      </w:r>
      <w:r>
        <w:tab/>
        <w:t>a person who provides social services under a contract or other agreement (excluding an agreement for a monetary grant) entered into between the person and a prescribed authority or an officer or employee of a prescribed authority;</w:t>
      </w:r>
    </w:p>
    <w:p>
      <w:pPr>
        <w:pStyle w:val="Defstart"/>
      </w:pPr>
      <w:r>
        <w:tab/>
      </w:r>
      <w:r>
        <w:rPr>
          <w:rStyle w:val="CharDefText"/>
        </w:rPr>
        <w:t>prescribed authority</w:t>
      </w:r>
      <w:r>
        <w:t xml:space="preserve"> means a public authority (other than the Department) prescribed by the regulations for the purposes of this definition;</w:t>
      </w:r>
    </w:p>
    <w:p>
      <w:pPr>
        <w:pStyle w:val="Defstart"/>
        <w:keepNext/>
      </w:pPr>
      <w:r>
        <w:tab/>
      </w:r>
      <w:r>
        <w:rPr>
          <w:rStyle w:val="CharDefText"/>
        </w:rPr>
        <w:t>relevant information</w:t>
      </w:r>
      <w:r>
        <w:t xml:space="preserve"> means — </w:t>
      </w:r>
    </w:p>
    <w:p>
      <w:pPr>
        <w:pStyle w:val="Defpara"/>
        <w:keepNext/>
      </w:pPr>
      <w:r>
        <w:tab/>
        <w:t>(a)</w:t>
      </w:r>
      <w:r>
        <w:tab/>
        <w:t xml:space="preserve">information that is, or is likely to be, relevant to — </w:t>
      </w:r>
    </w:p>
    <w:p>
      <w:pPr>
        <w:pStyle w:val="Defsubpara"/>
      </w:pPr>
      <w:r>
        <w:tab/>
        <w:t>(i)</w:t>
      </w:r>
      <w:r>
        <w:tab/>
        <w:t>the wellbeing of a child or a class or group of children; or</w:t>
      </w:r>
    </w:p>
    <w:p>
      <w:pPr>
        <w:pStyle w:val="Defsubpara"/>
      </w:pPr>
      <w:r>
        <w:tab/>
        <w:t>(ii)</w:t>
      </w:r>
      <w:r>
        <w:tab/>
        <w:t>the safety of a person who has been subjected to, or exposed to, family violence;</w:t>
      </w:r>
    </w:p>
    <w:p>
      <w:pPr>
        <w:pStyle w:val="Defpara"/>
      </w:pPr>
      <w:r>
        <w:tab/>
      </w:r>
      <w:r>
        <w:tab/>
        <w:t>or</w:t>
      </w:r>
    </w:p>
    <w:p>
      <w:pPr>
        <w:pStyle w:val="Defpara"/>
      </w:pPr>
      <w:r>
        <w:tab/>
        <w:t>(b)</w:t>
      </w:r>
      <w:r>
        <w:tab/>
        <w:t>other information of a kind prescribed by the regulations for the purposes of this paragraph.</w:t>
      </w:r>
    </w:p>
    <w:p>
      <w:pPr>
        <w:pStyle w:val="Footnotesection"/>
      </w:pPr>
      <w:r>
        <w:tab/>
        <w:t>[Section 28A inserted: No. 23 of 2015 s. 30; amended: No. 49 of 2016 s. 93.]</w:t>
      </w:r>
    </w:p>
    <w:p>
      <w:pPr>
        <w:pStyle w:val="Heading5"/>
      </w:pPr>
      <w:bookmarkStart w:id="153" w:name="_Toc148360936"/>
      <w:bookmarkStart w:id="154" w:name="_Toc117607889"/>
      <w:r>
        <w:rPr>
          <w:rStyle w:val="CharSectno"/>
        </w:rPr>
        <w:t>28B</w:t>
      </w:r>
      <w:r>
        <w:t>.</w:t>
      </w:r>
      <w:r>
        <w:tab/>
        <w:t>Disclosure of information by prescribed authority or authorised entity</w:t>
      </w:r>
      <w:bookmarkEnd w:id="153"/>
      <w:bookmarkEnd w:id="154"/>
    </w:p>
    <w:p>
      <w:pPr>
        <w:pStyle w:val="Subsection"/>
      </w:pPr>
      <w:r>
        <w:tab/>
        <w:t>(1)</w:t>
      </w:r>
      <w:r>
        <w:tab/>
        <w:t xml:space="preserve">The CEO of a prescribed authority (the </w:t>
      </w:r>
      <w:r>
        <w:rPr>
          <w:rStyle w:val="CharDefText"/>
        </w:rPr>
        <w:t>disclosing CEO</w:t>
      </w:r>
      <w:r>
        <w:t xml:space="preserve">) may disclose information to the CEO of another prescribed authority or an authorised entity if, in the opinion of the disclosing CEO, the information is relevant information. </w:t>
      </w:r>
    </w:p>
    <w:p>
      <w:pPr>
        <w:pStyle w:val="Subsection"/>
      </w:pPr>
      <w:r>
        <w:tab/>
        <w:t>(2)</w:t>
      </w:r>
      <w:r>
        <w:tab/>
        <w:t xml:space="preserve">The CEO of a prescribed authority (the </w:t>
      </w:r>
      <w:r>
        <w:rPr>
          <w:rStyle w:val="CharDefText"/>
        </w:rPr>
        <w:t>requesting CEO</w:t>
      </w:r>
      <w:r>
        <w:t>) may request the CEO of another prescribed authority or an authorised entity to disclose information to the requesting CEO if, in the opinion of the requesting CEO, the information is relevant information.</w:t>
      </w:r>
    </w:p>
    <w:p>
      <w:pPr>
        <w:pStyle w:val="Subsection"/>
      </w:pPr>
      <w:r>
        <w:tab/>
        <w:t>(3)</w:t>
      </w:r>
      <w:r>
        <w:tab/>
        <w:t>An authorised entity may disclose information to the CEO of a prescribed authority if, in the opinion of the authorised entity, the information is relevant information.</w:t>
      </w:r>
    </w:p>
    <w:p>
      <w:pPr>
        <w:pStyle w:val="Subsection"/>
      </w:pPr>
      <w:r>
        <w:tab/>
        <w:t>(4)</w:t>
      </w:r>
      <w:r>
        <w:tab/>
        <w:t>An authorised entity may request the CEO of a prescribed authority to disclose information to the authorised entity if, in the opinion of the authorised entity, the information is relevant information.</w:t>
      </w:r>
    </w:p>
    <w:p>
      <w:pPr>
        <w:pStyle w:val="Subsection"/>
      </w:pPr>
      <w:r>
        <w:tab/>
        <w:t>(5)</w:t>
      </w:r>
      <w:r>
        <w:tab/>
        <w:t>Information may be disclosed under subsection (1) or (3), or in compliance with a request under subsection (2) or (4), despite any enactment that prohibits or restricts its disclosure.</w:t>
      </w:r>
    </w:p>
    <w:p>
      <w:pPr>
        <w:pStyle w:val="Subsection"/>
      </w:pPr>
      <w:r>
        <w:tab/>
        <w:t>(6)</w:t>
      </w:r>
      <w:r>
        <w:tab/>
        <w:t xml:space="preserve">If information is disclosed, in good faith, under subsection (1) or (3) or in compliance with a request under subsection (2) or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Footnotesection"/>
      </w:pPr>
      <w:r>
        <w:tab/>
        <w:t>[Section 28B inserted: No. 23 of 2015 s. 30.]</w:t>
      </w:r>
    </w:p>
    <w:p>
      <w:pPr>
        <w:pStyle w:val="Heading5"/>
      </w:pPr>
      <w:bookmarkStart w:id="155" w:name="_Toc148360937"/>
      <w:bookmarkStart w:id="156" w:name="_Toc117607890"/>
      <w:r>
        <w:rPr>
          <w:rStyle w:val="CharSectno"/>
        </w:rPr>
        <w:t>28C</w:t>
      </w:r>
      <w:r>
        <w:t>.</w:t>
      </w:r>
      <w:r>
        <w:tab/>
        <w:t>Delegation of powers under s. 28B</w:t>
      </w:r>
      <w:bookmarkEnd w:id="155"/>
      <w:bookmarkEnd w:id="156"/>
    </w:p>
    <w:p>
      <w:pPr>
        <w:pStyle w:val="Subsection"/>
      </w:pPr>
      <w:r>
        <w:tab/>
        <w:t>(1)</w:t>
      </w:r>
      <w:r>
        <w:tab/>
        <w:t>The CEO of a prescribed authority may, in writing, delegate a power conferred by section 28B(1) or (2) to an officer or employee of the prescribed authority.</w:t>
      </w:r>
    </w:p>
    <w:p>
      <w:pPr>
        <w:pStyle w:val="Subsection"/>
      </w:pPr>
      <w:r>
        <w:tab/>
        <w:t>(2)</w:t>
      </w:r>
      <w:r>
        <w:tab/>
        <w:t>A delegation under subsection (1) must be in writing signed by the CEO of the prescribed authority.</w:t>
      </w:r>
    </w:p>
    <w:p>
      <w:pPr>
        <w:pStyle w:val="Subsection"/>
      </w:pPr>
      <w:r>
        <w:tab/>
        <w:t>(3)</w:t>
      </w:r>
      <w:r>
        <w:tab/>
        <w:t xml:space="preserve">An authorised entity may, in writing, delegate a power conferred by section 28B(3) or (4) to — </w:t>
      </w:r>
    </w:p>
    <w:p>
      <w:pPr>
        <w:pStyle w:val="Indenta"/>
      </w:pPr>
      <w:r>
        <w:tab/>
        <w:t>(a)</w:t>
      </w:r>
      <w:r>
        <w:tab/>
        <w:t>if the authorised entity is the CEO of a non</w:t>
      </w:r>
      <w:r>
        <w:noBreakHyphen/>
        <w:t>government provider — an officer or employee of the non</w:t>
      </w:r>
      <w:r>
        <w:noBreakHyphen/>
        <w:t>government provider; or</w:t>
      </w:r>
    </w:p>
    <w:p>
      <w:pPr>
        <w:pStyle w:val="Indenta"/>
      </w:pPr>
      <w:r>
        <w:tab/>
        <w:t>(b)</w:t>
      </w:r>
      <w:r>
        <w:tab/>
        <w:t xml:space="preserve">if the authorised entity is the governing body of a registered school or school system — </w:t>
      </w:r>
    </w:p>
    <w:p>
      <w:pPr>
        <w:pStyle w:val="Indenti"/>
      </w:pPr>
      <w:r>
        <w:tab/>
        <w:t>(i)</w:t>
      </w:r>
      <w:r>
        <w:tab/>
        <w:t>an officer or employee of the governing body; or</w:t>
      </w:r>
    </w:p>
    <w:p>
      <w:pPr>
        <w:pStyle w:val="Indenti"/>
      </w:pPr>
      <w:r>
        <w:tab/>
        <w:t>(ii)</w:t>
      </w:r>
      <w:r>
        <w:tab/>
        <w:t>in the case of the governing body of a school system — the principal of a school that is a member of the school system.</w:t>
      </w:r>
    </w:p>
    <w:p>
      <w:pPr>
        <w:pStyle w:val="Subsection"/>
      </w:pPr>
      <w:r>
        <w:tab/>
        <w:t>(4)</w:t>
      </w:r>
      <w:r>
        <w:tab/>
        <w:t>A delegation under subsection (3) must be in writing signed or executed by the authorised entity.</w:t>
      </w:r>
    </w:p>
    <w:p>
      <w:pPr>
        <w:pStyle w:val="Subsection"/>
      </w:pPr>
      <w:r>
        <w:tab/>
        <w:t>(5)</w:t>
      </w:r>
      <w:r>
        <w:tab/>
        <w:t>A person to whom a power is delegated under this section cannot delegate the power.</w:t>
      </w:r>
    </w:p>
    <w:p>
      <w:pPr>
        <w:pStyle w:val="Subsection"/>
      </w:pPr>
      <w:r>
        <w:tab/>
        <w:t>(6)</w:t>
      </w:r>
      <w:r>
        <w:tab/>
        <w:t>A person exercising a power that has been delegated to the person under this section is to be taken to do so in accordance with the terms of the delegation unless the contrary is shown.</w:t>
      </w:r>
    </w:p>
    <w:p>
      <w:pPr>
        <w:pStyle w:val="Subsection"/>
      </w:pPr>
      <w:r>
        <w:tab/>
        <w:t>(7)</w:t>
      </w:r>
      <w:r>
        <w:tab/>
        <w:t>Nothing in this section limits the ability of the CEO of a prescribed authority or an authorised entity to exercise a power through an officer or agent.</w:t>
      </w:r>
    </w:p>
    <w:p>
      <w:pPr>
        <w:pStyle w:val="Footnotesection"/>
      </w:pPr>
      <w:r>
        <w:tab/>
        <w:t>[Section 28C inserted: No. 23 of 2015 s. 30.]</w:t>
      </w:r>
    </w:p>
    <w:p>
      <w:pPr>
        <w:pStyle w:val="Heading2"/>
      </w:pPr>
      <w:bookmarkStart w:id="157" w:name="_Toc148348510"/>
      <w:bookmarkStart w:id="158" w:name="_Toc148358294"/>
      <w:bookmarkStart w:id="159" w:name="_Toc148360938"/>
      <w:bookmarkStart w:id="160" w:name="_Toc117582554"/>
      <w:bookmarkStart w:id="161" w:name="_Toc117584367"/>
      <w:bookmarkStart w:id="162" w:name="_Toc117585537"/>
      <w:bookmarkStart w:id="163" w:name="_Toc117607891"/>
      <w:r>
        <w:rPr>
          <w:rStyle w:val="CharPartNo"/>
        </w:rPr>
        <w:t>Part 4</w:t>
      </w:r>
      <w:r>
        <w:t xml:space="preserve"> — </w:t>
      </w:r>
      <w:r>
        <w:rPr>
          <w:rStyle w:val="CharPartText"/>
        </w:rPr>
        <w:t>Protection and care of children</w:t>
      </w:r>
      <w:bookmarkEnd w:id="157"/>
      <w:bookmarkEnd w:id="158"/>
      <w:bookmarkEnd w:id="159"/>
      <w:bookmarkEnd w:id="160"/>
      <w:bookmarkEnd w:id="161"/>
      <w:bookmarkEnd w:id="162"/>
      <w:bookmarkEnd w:id="163"/>
    </w:p>
    <w:p>
      <w:pPr>
        <w:pStyle w:val="Heading3"/>
      </w:pPr>
      <w:bookmarkStart w:id="164" w:name="_Toc148348511"/>
      <w:bookmarkStart w:id="165" w:name="_Toc148358295"/>
      <w:bookmarkStart w:id="166" w:name="_Toc148360939"/>
      <w:bookmarkStart w:id="167" w:name="_Toc117582555"/>
      <w:bookmarkStart w:id="168" w:name="_Toc117584368"/>
      <w:bookmarkStart w:id="169" w:name="_Toc117585538"/>
      <w:bookmarkStart w:id="170" w:name="_Toc117607892"/>
      <w:r>
        <w:rPr>
          <w:rStyle w:val="CharDivNo"/>
        </w:rPr>
        <w:t>Division 1</w:t>
      </w:r>
      <w:r>
        <w:t xml:space="preserve"> — </w:t>
      </w:r>
      <w:r>
        <w:rPr>
          <w:rStyle w:val="CharDivText"/>
        </w:rPr>
        <w:t>Introductory matters</w:t>
      </w:r>
      <w:bookmarkEnd w:id="164"/>
      <w:bookmarkEnd w:id="165"/>
      <w:bookmarkEnd w:id="166"/>
      <w:bookmarkEnd w:id="167"/>
      <w:bookmarkEnd w:id="168"/>
      <w:bookmarkEnd w:id="169"/>
      <w:bookmarkEnd w:id="170"/>
    </w:p>
    <w:p>
      <w:pPr>
        <w:pStyle w:val="Heading5"/>
      </w:pPr>
      <w:bookmarkStart w:id="171" w:name="_Toc148360940"/>
      <w:bookmarkStart w:id="172" w:name="_Toc117607893"/>
      <w:r>
        <w:rPr>
          <w:rStyle w:val="CharSectno"/>
        </w:rPr>
        <w:t>28</w:t>
      </w:r>
      <w:r>
        <w:t>.</w:t>
      </w:r>
      <w:r>
        <w:tab/>
        <w:t>When child in need of protection</w:t>
      </w:r>
      <w:bookmarkEnd w:id="171"/>
      <w:bookmarkEnd w:id="172"/>
    </w:p>
    <w:p>
      <w:pPr>
        <w:pStyle w:val="Subsection"/>
      </w:pPr>
      <w:r>
        <w:tab/>
        <w:t>(1)</w:t>
      </w:r>
      <w:r>
        <w:tab/>
        <w:t xml:space="preserve">In this section — </w:t>
      </w:r>
    </w:p>
    <w:p>
      <w:pPr>
        <w:pStyle w:val="Defstart"/>
      </w:pPr>
      <w:r>
        <w:tab/>
      </w:r>
      <w:r>
        <w:rPr>
          <w:rStyle w:val="CharDefText"/>
        </w:rPr>
        <w:t>emotional abuse</w:t>
      </w:r>
      <w:r>
        <w:t xml:space="preserve"> includes — </w:t>
      </w:r>
    </w:p>
    <w:p>
      <w:pPr>
        <w:pStyle w:val="Defpara"/>
      </w:pPr>
      <w:r>
        <w:tab/>
        <w:t>(a)</w:t>
      </w:r>
      <w:r>
        <w:tab/>
        <w:t>psychological abuse; and</w:t>
      </w:r>
    </w:p>
    <w:p>
      <w:pPr>
        <w:pStyle w:val="Defpara"/>
      </w:pPr>
      <w:r>
        <w:tab/>
        <w:t>(b)</w:t>
      </w:r>
      <w:r>
        <w:tab/>
        <w:t>being exposed to family violence;</w:t>
      </w:r>
    </w:p>
    <w:p>
      <w:pPr>
        <w:pStyle w:val="Defstart"/>
      </w:pPr>
      <w:r>
        <w:tab/>
      </w:r>
      <w:r>
        <w:rPr>
          <w:rStyle w:val="CharDefText"/>
        </w:rPr>
        <w:t>harm</w:t>
      </w:r>
      <w:r>
        <w:t xml:space="preserve">, in relation to a child, means any detrimental effect of a significant nature on the child’s wellbeing, whether caused by — </w:t>
      </w:r>
    </w:p>
    <w:p>
      <w:pPr>
        <w:pStyle w:val="Defpara"/>
      </w:pPr>
      <w:r>
        <w:tab/>
        <w:t>(a)</w:t>
      </w:r>
      <w:r>
        <w:tab/>
        <w:t>a single act, omission or circumstance; or</w:t>
      </w:r>
    </w:p>
    <w:p>
      <w:pPr>
        <w:pStyle w:val="Defpara"/>
        <w:rPr>
          <w:b/>
        </w:rPr>
      </w:pPr>
      <w:r>
        <w:tab/>
        <w:t>(b)</w:t>
      </w:r>
      <w:r>
        <w:tab/>
        <w:t xml:space="preserve">a series or combination of acts, omissions or circumstances; </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Act, a child is </w:t>
      </w:r>
      <w:r>
        <w:rPr>
          <w:rStyle w:val="CharDefText"/>
        </w:rPr>
        <w:t>in need of protection</w:t>
      </w:r>
      <w:r>
        <w:t xml:space="preserve"> if —</w:t>
      </w:r>
    </w:p>
    <w:p>
      <w:pPr>
        <w:pStyle w:val="Indenta"/>
      </w:pPr>
      <w:r>
        <w:tab/>
        <w:t>(a)</w:t>
      </w:r>
      <w:r>
        <w:tab/>
        <w:t>the child has been abandoned by the child’s parents and, after reasonable inquiries —</w:t>
      </w:r>
    </w:p>
    <w:p>
      <w:pPr>
        <w:pStyle w:val="Indenti"/>
      </w:pPr>
      <w:r>
        <w:tab/>
        <w:t>(i)</w:t>
      </w:r>
      <w:r>
        <w:tab/>
        <w:t>the parents cannot be found; and</w:t>
      </w:r>
    </w:p>
    <w:p>
      <w:pPr>
        <w:pStyle w:val="Indenti"/>
      </w:pPr>
      <w:r>
        <w:tab/>
        <w:t>(ii)</w:t>
      </w:r>
      <w:r>
        <w:tab/>
        <w:t>no suitable adult member of the child’s family or other suitable adult can be found who is willing and able to care for the child;</w:t>
      </w:r>
    </w:p>
    <w:p>
      <w:pPr>
        <w:pStyle w:val="Indenta"/>
      </w:pPr>
      <w:r>
        <w:tab/>
      </w:r>
      <w:r>
        <w:tab/>
        <w:t>or</w:t>
      </w:r>
    </w:p>
    <w:p>
      <w:pPr>
        <w:pStyle w:val="Indenta"/>
        <w:keepNext/>
      </w:pPr>
      <w:r>
        <w:tab/>
        <w:t>(aa)</w:t>
      </w:r>
      <w:r>
        <w:tab/>
        <w:t>paragraph (a) applies and, on the parent or parents subsequently being found —</w:t>
      </w:r>
    </w:p>
    <w:p>
      <w:pPr>
        <w:pStyle w:val="Indenti"/>
      </w:pPr>
      <w:r>
        <w:tab/>
        <w:t>(i)</w:t>
      </w:r>
      <w:r>
        <w:tab/>
        <w:t>there is no parent who is willing and able to care for the child; and</w:t>
      </w:r>
    </w:p>
    <w:p>
      <w:pPr>
        <w:pStyle w:val="Indenti"/>
      </w:pPr>
      <w:r>
        <w:tab/>
        <w:t>(ii)</w:t>
      </w:r>
      <w:r>
        <w:tab/>
        <w:t>no suitable adult member of the child’s family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member of the child’s family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Ednotesubpara"/>
      </w:pPr>
      <w:r>
        <w:tab/>
        <w:t>[(iv)</w:t>
      </w:r>
      <w:r>
        <w:tab/>
        <w:t>deleted]</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or unwilling to provide, or arrange the provision of, adequate care for the child; or</w:t>
      </w:r>
    </w:p>
    <w:p>
      <w:pPr>
        <w:pStyle w:val="Indenti"/>
        <w:keepNext/>
      </w:pPr>
      <w:r>
        <w:tab/>
        <w:t>(ii)</w:t>
      </w:r>
      <w:r>
        <w:tab/>
        <w:t>the child’s parents being unable or unwilling to provide, or arrange the provision of, effective medical, therapeutic or other remedial treatment for the child.</w:t>
      </w:r>
    </w:p>
    <w:p>
      <w:pPr>
        <w:pStyle w:val="Footnotesection"/>
      </w:pPr>
      <w:r>
        <w:tab/>
        <w:t>[Section 28 amended: No. 23 of 2015 s. 31; No. 49 of 2016 s. 94; No. 18 of 2021 s. 17.]</w:t>
      </w:r>
    </w:p>
    <w:p>
      <w:pPr>
        <w:pStyle w:val="Heading5"/>
        <w:spacing w:before="240"/>
      </w:pPr>
      <w:bookmarkStart w:id="173" w:name="_Toc148360941"/>
      <w:bookmarkStart w:id="174" w:name="_Toc117607894"/>
      <w:r>
        <w:rPr>
          <w:rStyle w:val="CharSectno"/>
        </w:rPr>
        <w:t>29</w:t>
      </w:r>
      <w:r>
        <w:t>.</w:t>
      </w:r>
      <w:r>
        <w:tab/>
        <w:t>Provisional protection and care, meaning and effect of</w:t>
      </w:r>
      <w:bookmarkEnd w:id="173"/>
      <w:bookmarkEnd w:id="174"/>
    </w:p>
    <w:p>
      <w:pPr>
        <w:pStyle w:val="Subsection"/>
        <w:spacing w:before="180"/>
      </w:pPr>
      <w:r>
        <w:tab/>
        <w:t>(1)</w:t>
      </w:r>
      <w:r>
        <w:tab/>
        <w:t>A reference in this Act to a child being in, taken into, or placed in, provisional protection and care is a reference to the child being in, taken into, or placed in, the care of the CEO.</w:t>
      </w:r>
    </w:p>
    <w:p>
      <w:pPr>
        <w:pStyle w:val="Subsection"/>
        <w:spacing w:before="180"/>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spacing w:before="180"/>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spacing w:before="180"/>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keepNext/>
        <w:spacing w:before="60"/>
      </w:pPr>
      <w:r>
        <w:tab/>
        <w:t>(b)</w:t>
      </w:r>
      <w:r>
        <w:tab/>
        <w:t>the Court makes an interim order under section 133(2)(a) that the child be returned to or placed with a parent of the child; or</w:t>
      </w:r>
    </w:p>
    <w:p>
      <w:pPr>
        <w:pStyle w:val="Indenta"/>
      </w:pPr>
      <w:r>
        <w:tab/>
        <w:t>(c)</w:t>
      </w:r>
      <w:r>
        <w:tab/>
        <w:t>the Court makes an interim order under section 133(2)(c) that the child be placed with a person approved by the Court; or</w:t>
      </w:r>
    </w:p>
    <w:p>
      <w:pPr>
        <w:pStyle w:val="Indenta"/>
      </w:pPr>
      <w:r>
        <w:tab/>
        <w:t>(d)</w:t>
      </w:r>
      <w:r>
        <w:tab/>
        <w:t>the Court makes a protection order in respect of the child or refuses to make such an order.</w:t>
      </w:r>
    </w:p>
    <w:p>
      <w:pPr>
        <w:pStyle w:val="Footnotesection"/>
        <w:ind w:left="890" w:hanging="890"/>
      </w:pPr>
      <w:r>
        <w:tab/>
        <w:t>[Section 29 amended: No. 49 of 2010 s. 54; No. 18 of 2021 s. 18.]</w:t>
      </w:r>
    </w:p>
    <w:p>
      <w:pPr>
        <w:pStyle w:val="Heading5"/>
        <w:spacing w:before="240"/>
      </w:pPr>
      <w:bookmarkStart w:id="175" w:name="_Toc148360942"/>
      <w:bookmarkStart w:id="176" w:name="_Toc117607895"/>
      <w:r>
        <w:rPr>
          <w:rStyle w:val="CharSectno"/>
        </w:rPr>
        <w:t>30</w:t>
      </w:r>
      <w:r>
        <w:t>.</w:t>
      </w:r>
      <w:r>
        <w:tab/>
        <w:t>When child is in CEO’s care</w:t>
      </w:r>
      <w:bookmarkEnd w:id="175"/>
      <w:bookmarkEnd w:id="176"/>
    </w:p>
    <w:p>
      <w:pPr>
        <w:pStyle w:val="Subsection"/>
        <w:spacing w:before="180"/>
      </w:pPr>
      <w:r>
        <w:tab/>
      </w:r>
      <w:r>
        <w:tab/>
        <w:t xml:space="preserve">For the purposes of this Act, a child is </w:t>
      </w:r>
      <w:r>
        <w:rPr>
          <w:rStyle w:val="CharDefText"/>
        </w:rPr>
        <w:t>in the CEO’s care</w:t>
      </w:r>
      <w:r>
        <w:t xml:space="preserve"> if the child — </w:t>
      </w:r>
    </w:p>
    <w:p>
      <w:pPr>
        <w:pStyle w:val="Indenta"/>
      </w:pPr>
      <w:r>
        <w:tab/>
        <w:t>(a)</w:t>
      </w:r>
      <w:r>
        <w:tab/>
        <w:t>is in provisional protection and care; or</w:t>
      </w:r>
    </w:p>
    <w:p>
      <w:pPr>
        <w:pStyle w:val="Indenta"/>
      </w:pPr>
      <w:r>
        <w:tab/>
        <w:t>(b)</w:t>
      </w:r>
      <w:r>
        <w:tab/>
        <w:t>is the subject of a protection order (time</w:t>
      </w:r>
      <w:r>
        <w:noBreakHyphen/>
        <w:t>limited) or protection order (until 18); or</w:t>
      </w:r>
    </w:p>
    <w:p>
      <w:pPr>
        <w:pStyle w:val="Indenta"/>
      </w:pPr>
      <w:r>
        <w:tab/>
        <w:t>(c)</w:t>
      </w:r>
      <w:r>
        <w:tab/>
        <w:t>is the subject of a negotiated placement agreement; or</w:t>
      </w:r>
    </w:p>
    <w:p>
      <w:pPr>
        <w:pStyle w:val="Indenta"/>
      </w:pPr>
      <w:r>
        <w:tab/>
        <w:t>(d)</w:t>
      </w:r>
      <w:r>
        <w:tab/>
        <w:t>is provided with placement services under section 32(1)(a).</w:t>
      </w:r>
    </w:p>
    <w:p>
      <w:pPr>
        <w:pStyle w:val="Footnotesection"/>
        <w:ind w:left="890" w:hanging="890"/>
      </w:pPr>
      <w:r>
        <w:tab/>
        <w:t>[Section 30 amended: No. 18 of 2021 s. 19.]</w:t>
      </w:r>
    </w:p>
    <w:p>
      <w:pPr>
        <w:pStyle w:val="Heading3"/>
      </w:pPr>
      <w:bookmarkStart w:id="177" w:name="_Toc148348515"/>
      <w:bookmarkStart w:id="178" w:name="_Toc148358299"/>
      <w:bookmarkStart w:id="179" w:name="_Toc148360943"/>
      <w:bookmarkStart w:id="180" w:name="_Toc117582559"/>
      <w:bookmarkStart w:id="181" w:name="_Toc117584372"/>
      <w:bookmarkStart w:id="182" w:name="_Toc117585542"/>
      <w:bookmarkStart w:id="183" w:name="_Toc117607896"/>
      <w:r>
        <w:rPr>
          <w:rStyle w:val="CharDivNo"/>
        </w:rPr>
        <w:t>Division 2</w:t>
      </w:r>
      <w:r>
        <w:t> — </w:t>
      </w:r>
      <w:r>
        <w:rPr>
          <w:rStyle w:val="CharDivText"/>
        </w:rPr>
        <w:t>Measures to safeguard or promote child’s wellbeing</w:t>
      </w:r>
      <w:bookmarkEnd w:id="177"/>
      <w:bookmarkEnd w:id="178"/>
      <w:bookmarkEnd w:id="179"/>
      <w:bookmarkEnd w:id="180"/>
      <w:bookmarkEnd w:id="181"/>
      <w:bookmarkEnd w:id="182"/>
      <w:bookmarkEnd w:id="183"/>
    </w:p>
    <w:p>
      <w:pPr>
        <w:pStyle w:val="Footnoteheading"/>
        <w:keepNext/>
        <w:spacing w:before="80" w:line="220" w:lineRule="atLeast"/>
      </w:pPr>
      <w:r>
        <w:tab/>
        <w:t>[Heading amended: No. 49 of 2010 s. 55.]</w:t>
      </w:r>
    </w:p>
    <w:p>
      <w:pPr>
        <w:pStyle w:val="Heading4"/>
      </w:pPr>
      <w:bookmarkStart w:id="184" w:name="_Toc148348516"/>
      <w:bookmarkStart w:id="185" w:name="_Toc148358300"/>
      <w:bookmarkStart w:id="186" w:name="_Toc148360944"/>
      <w:bookmarkStart w:id="187" w:name="_Toc117582560"/>
      <w:bookmarkStart w:id="188" w:name="_Toc117584373"/>
      <w:bookmarkStart w:id="189" w:name="_Toc117585543"/>
      <w:bookmarkStart w:id="190" w:name="_Toc117607897"/>
      <w:r>
        <w:t>Subdivision 1 — General powers and duties of CEO</w:t>
      </w:r>
      <w:bookmarkEnd w:id="184"/>
      <w:bookmarkEnd w:id="185"/>
      <w:bookmarkEnd w:id="186"/>
      <w:bookmarkEnd w:id="187"/>
      <w:bookmarkEnd w:id="188"/>
      <w:bookmarkEnd w:id="189"/>
      <w:bookmarkEnd w:id="190"/>
    </w:p>
    <w:p>
      <w:pPr>
        <w:pStyle w:val="Footnoteheading"/>
        <w:keepNext/>
        <w:spacing w:before="80" w:line="220" w:lineRule="atLeast"/>
      </w:pPr>
      <w:r>
        <w:tab/>
        <w:t>[Heading amended: No. 49 of 2010 s. 56.]</w:t>
      </w:r>
    </w:p>
    <w:p>
      <w:pPr>
        <w:pStyle w:val="Heading5"/>
        <w:spacing w:before="240"/>
      </w:pPr>
      <w:bookmarkStart w:id="191" w:name="_Toc148360945"/>
      <w:bookmarkStart w:id="192" w:name="_Toc117607898"/>
      <w:r>
        <w:rPr>
          <w:rStyle w:val="CharSectno"/>
        </w:rPr>
        <w:t>31</w:t>
      </w:r>
      <w:r>
        <w:t>.</w:t>
      </w:r>
      <w:r>
        <w:tab/>
        <w:t>CEO may cause inquiries to be made about child</w:t>
      </w:r>
      <w:bookmarkEnd w:id="191"/>
      <w:bookmarkEnd w:id="192"/>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240"/>
      </w:pPr>
      <w:bookmarkStart w:id="193" w:name="_Toc148360946"/>
      <w:bookmarkStart w:id="194" w:name="_Toc117607899"/>
      <w:r>
        <w:rPr>
          <w:rStyle w:val="CharSectno"/>
        </w:rPr>
        <w:t>32</w:t>
      </w:r>
      <w:r>
        <w:t>.</w:t>
      </w:r>
      <w:r>
        <w:tab/>
        <w:t>CEO’s duties if action needed to safeguard etc. child’s wellbeing</w:t>
      </w:r>
      <w:bookmarkEnd w:id="193"/>
      <w:bookmarkEnd w:id="194"/>
    </w:p>
    <w:p>
      <w:pPr>
        <w:pStyle w:val="Subsection"/>
        <w:keepNext/>
      </w:pPr>
      <w:r>
        <w:tab/>
        <w:t>(1)</w:t>
      </w:r>
      <w:r>
        <w:tab/>
        <w:t xml:space="preserve">If the CEO determines that action should be taken to safeguard or promote a child’s wellbeing, the CEO must do one or more of the following — </w:t>
      </w:r>
    </w:p>
    <w:p>
      <w:pPr>
        <w:pStyle w:val="Indenta"/>
      </w:pPr>
      <w:r>
        <w:tab/>
        <w:t>(a)</w:t>
      </w:r>
      <w:r>
        <w:tab/>
        <w:t>provide, or arrange for the provision of, social services to the child and, if appropriate, a parent or other member of the child’s family;</w:t>
      </w:r>
    </w:p>
    <w:p>
      <w:pPr>
        <w:pStyle w:val="Indenta"/>
      </w:pPr>
      <w:r>
        <w:tab/>
        <w:t>(b)</w:t>
      </w:r>
      <w:r>
        <w:tab/>
        <w:t xml:space="preserve">arrange or facilitate a meeting between an officer and any one or more of the following people — </w:t>
      </w:r>
    </w:p>
    <w:p>
      <w:pPr>
        <w:pStyle w:val="Indenti"/>
      </w:pPr>
      <w:r>
        <w:tab/>
        <w:t>(i)</w:t>
      </w:r>
      <w:r>
        <w:tab/>
        <w:t>a parent or other member of the child’s family;</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(ca)</w:t>
      </w:r>
      <w:r>
        <w:tab/>
        <w:t>enter into a responsible parenting agreement in respect of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No. 49 of 2010 s. 57; No. 23 of 2015 s. 6; No. 18 of 2021 s. 20.]</w:t>
      </w:r>
    </w:p>
    <w:p>
      <w:pPr>
        <w:pStyle w:val="Heading5"/>
      </w:pPr>
      <w:bookmarkStart w:id="195" w:name="_Toc148360947"/>
      <w:bookmarkStart w:id="196" w:name="_Toc117607900"/>
      <w:r>
        <w:rPr>
          <w:rStyle w:val="CharSectno"/>
        </w:rPr>
        <w:t>33A</w:t>
      </w:r>
      <w:r>
        <w:t>.</w:t>
      </w:r>
      <w:r>
        <w:tab/>
        <w:t>CEO may cause inquiries to be made before child is born</w:t>
      </w:r>
      <w:bookmarkEnd w:id="195"/>
      <w:bookmarkEnd w:id="196"/>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ind w:left="890" w:hanging="890"/>
      </w:pPr>
      <w:r>
        <w:tab/>
        <w:t>[Section 33A inserted: No. 49 of 2010 s. 58.]</w:t>
      </w:r>
    </w:p>
    <w:p>
      <w:pPr>
        <w:pStyle w:val="Heading5"/>
        <w:spacing w:before="240"/>
      </w:pPr>
      <w:bookmarkStart w:id="197" w:name="_Toc148360948"/>
      <w:bookmarkStart w:id="198" w:name="_Toc117607901"/>
      <w:r>
        <w:rPr>
          <w:rStyle w:val="CharSectno"/>
        </w:rPr>
        <w:t>33B</w:t>
      </w:r>
      <w:r>
        <w:t>.</w:t>
      </w:r>
      <w:r>
        <w:tab/>
        <w:t>CEO’s duties if action needed before child born to safeguard etc. child after birth</w:t>
      </w:r>
      <w:bookmarkEnd w:id="197"/>
      <w:bookmarkEnd w:id="198"/>
    </w:p>
    <w:p>
      <w:pPr>
        <w:pStyle w:val="Subsection"/>
        <w:keepNext/>
      </w:pPr>
      <w:r>
        <w:tab/>
      </w:r>
      <w:r>
        <w:tab/>
        <w:t xml:space="preserve">If the CEO determines that action should be taken before a child is born to safeguard or promote the child’s wellbeing after the child is born, the CEO must do one or more of the following — </w:t>
      </w:r>
    </w:p>
    <w:p>
      <w:pPr>
        <w:pStyle w:val="Indenta"/>
      </w:pPr>
      <w:r>
        <w:tab/>
        <w:t>(a)</w:t>
      </w:r>
      <w:r>
        <w:tab/>
        <w:t>provide, or arrange for the provision of, social services to the pregnant woman;</w:t>
      </w:r>
    </w:p>
    <w:p>
      <w:pPr>
        <w:pStyle w:val="Indenta"/>
      </w:pPr>
      <w:r>
        <w:tab/>
        <w:t>(b)</w:t>
      </w:r>
      <w:r>
        <w:tab/>
        <w:t xml:space="preserve">arrange or facilitate a meeting between an officer and any one or more of the following people — </w:t>
      </w:r>
    </w:p>
    <w:p>
      <w:pPr>
        <w:pStyle w:val="Indenti"/>
      </w:pPr>
      <w:r>
        <w:tab/>
        <w:t>(i)</w:t>
      </w:r>
      <w:r>
        <w:tab/>
        <w:t>the pregnant woman;</w:t>
      </w:r>
    </w:p>
    <w:p>
      <w:pPr>
        <w:pStyle w:val="Indenti"/>
      </w:pPr>
      <w:r>
        <w:tab/>
        <w:t>(ii)</w:t>
      </w:r>
      <w:r>
        <w:tab/>
        <w:t>a representative of a service provider;</w:t>
      </w:r>
    </w:p>
    <w:p>
      <w:pPr>
        <w:pStyle w:val="Indenti"/>
      </w:pPr>
      <w:r>
        <w:tab/>
        <w:t>(iii)</w:t>
      </w:r>
      <w:r>
        <w:tab/>
        <w:t>a representative of a public authority;</w:t>
      </w:r>
    </w:p>
    <w:p>
      <w:pPr>
        <w:pStyle w:val="Indenti"/>
      </w:pPr>
      <w:r>
        <w:tab/>
        <w:t>(iv)</w:t>
      </w:r>
      <w:r>
        <w:tab/>
        <w:t>any other person the CEO considers appropriate,</w:t>
      </w:r>
    </w:p>
    <w:p>
      <w:pPr>
        <w:pStyle w:val="Indenta"/>
      </w:pPr>
      <w:r>
        <w:tab/>
      </w:r>
      <w:r>
        <w:tab/>
        <w:t>for the purpose of developing a plan to address the needs of the child after the child is born in a way that ensures the best outcome for the child;</w:t>
      </w:r>
    </w:p>
    <w:p>
      <w:pPr>
        <w:pStyle w:val="Indenta"/>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No. 49 of 2010 s. 58.]</w:t>
      </w:r>
    </w:p>
    <w:p>
      <w:pPr>
        <w:pStyle w:val="Heading4"/>
      </w:pPr>
      <w:bookmarkStart w:id="199" w:name="_Toc148348521"/>
      <w:bookmarkStart w:id="200" w:name="_Toc148358305"/>
      <w:bookmarkStart w:id="201" w:name="_Toc148360949"/>
      <w:bookmarkStart w:id="202" w:name="_Toc117582565"/>
      <w:bookmarkStart w:id="203" w:name="_Toc117584378"/>
      <w:bookmarkStart w:id="204" w:name="_Toc117585548"/>
      <w:bookmarkStart w:id="205" w:name="_Toc117607902"/>
      <w:r>
        <w:t>Subdivision 2 — Powers relating to investigation</w:t>
      </w:r>
      <w:bookmarkEnd w:id="199"/>
      <w:bookmarkEnd w:id="200"/>
      <w:bookmarkEnd w:id="201"/>
      <w:bookmarkEnd w:id="202"/>
      <w:bookmarkEnd w:id="203"/>
      <w:bookmarkEnd w:id="204"/>
      <w:bookmarkEnd w:id="205"/>
    </w:p>
    <w:p>
      <w:pPr>
        <w:pStyle w:val="Heading5"/>
        <w:keepLines w:val="0"/>
      </w:pPr>
      <w:bookmarkStart w:id="206" w:name="_Toc148360950"/>
      <w:bookmarkStart w:id="207" w:name="_Toc117607903"/>
      <w:r>
        <w:rPr>
          <w:rStyle w:val="CharSectno"/>
        </w:rPr>
        <w:t>33</w:t>
      </w:r>
      <w:r>
        <w:t>.</w:t>
      </w:r>
      <w:r>
        <w:tab/>
        <w:t>Access to child for purposes of investigation</w:t>
      </w:r>
      <w:bookmarkEnd w:id="206"/>
      <w:bookmarkEnd w:id="207"/>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keepNext/>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208" w:name="_Toc148360951"/>
      <w:bookmarkStart w:id="209" w:name="_Toc117607904"/>
      <w:r>
        <w:rPr>
          <w:rStyle w:val="CharSectno"/>
        </w:rPr>
        <w:t>34</w:t>
      </w:r>
      <w:r>
        <w:t>.</w:t>
      </w:r>
      <w:r>
        <w:tab/>
        <w:t>Warrant (access), application for and issue of</w:t>
      </w:r>
      <w:bookmarkEnd w:id="208"/>
      <w:bookmarkEnd w:id="209"/>
    </w:p>
    <w:p>
      <w:pPr>
        <w:pStyle w:val="Subsection"/>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120.</w:t>
      </w:r>
    </w:p>
    <w:p>
      <w:pPr>
        <w:pStyle w:val="Subsection"/>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34 amended: No. 8 of 2009 s. 32(3).]</w:t>
      </w:r>
    </w:p>
    <w:p>
      <w:pPr>
        <w:pStyle w:val="Heading4"/>
      </w:pPr>
      <w:bookmarkStart w:id="210" w:name="_Toc148348524"/>
      <w:bookmarkStart w:id="211" w:name="_Toc148358308"/>
      <w:bookmarkStart w:id="212" w:name="_Toc148360952"/>
      <w:bookmarkStart w:id="213" w:name="_Toc117582568"/>
      <w:bookmarkStart w:id="214" w:name="_Toc117584381"/>
      <w:bookmarkStart w:id="215" w:name="_Toc117585551"/>
      <w:bookmarkStart w:id="216" w:name="_Toc117607905"/>
      <w:r>
        <w:t>Subdivision 3 — Provisional protection and care</w:t>
      </w:r>
      <w:bookmarkEnd w:id="210"/>
      <w:bookmarkEnd w:id="211"/>
      <w:bookmarkEnd w:id="212"/>
      <w:bookmarkEnd w:id="213"/>
      <w:bookmarkEnd w:id="214"/>
      <w:bookmarkEnd w:id="215"/>
      <w:bookmarkEnd w:id="216"/>
    </w:p>
    <w:p>
      <w:pPr>
        <w:pStyle w:val="Heading5"/>
      </w:pPr>
      <w:bookmarkStart w:id="217" w:name="_Toc148360953"/>
      <w:bookmarkStart w:id="218" w:name="_Toc117607906"/>
      <w:r>
        <w:rPr>
          <w:rStyle w:val="CharSectno"/>
        </w:rPr>
        <w:t>35</w:t>
      </w:r>
      <w:r>
        <w:t>.</w:t>
      </w:r>
      <w:r>
        <w:tab/>
        <w:t>Warrant (provisional protection and care), application for and issue of</w:t>
      </w:r>
      <w:bookmarkEnd w:id="217"/>
      <w:bookmarkEnd w:id="218"/>
    </w:p>
    <w:p>
      <w:pPr>
        <w:pStyle w:val="Subsection"/>
        <w:keepNext/>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(ca)</w:t>
      </w:r>
      <w:r>
        <w:tab/>
        <w:t>in a case where the child is temporarily in a safe place (for example, a hospital) — believes that, when the child leaves that place, the child is likely to be living in circumstances that pose an unacceptable risk to the child’s wellbeing; or</w:t>
      </w:r>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120.</w:t>
      </w:r>
    </w:p>
    <w:p>
      <w:pPr>
        <w:pStyle w:val="Subsection"/>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(ca) or (c).</w:t>
      </w:r>
    </w:p>
    <w:p>
      <w:pPr>
        <w:pStyle w:val="PermNoteHeading"/>
      </w:pPr>
      <w:r>
        <w:tab/>
        <w:t>Note for this section:</w:t>
      </w:r>
    </w:p>
    <w:p>
      <w:pPr>
        <w:pStyle w:val="PermNoteText"/>
      </w:pPr>
      <w:r>
        <w:tab/>
      </w:r>
      <w:r>
        <w:tab/>
        <w:t>Section 123 contains provisions about the effect of a warrant (provisional protection and care).</w:t>
      </w:r>
    </w:p>
    <w:p>
      <w:pPr>
        <w:pStyle w:val="Footnotesection"/>
      </w:pPr>
      <w:r>
        <w:tab/>
        <w:t>[Section 35 amended: No. 8 of 2009 s. 32(3); No. 23 of 2015 s. 32.]</w:t>
      </w:r>
    </w:p>
    <w:p>
      <w:pPr>
        <w:pStyle w:val="Heading5"/>
      </w:pPr>
      <w:bookmarkStart w:id="219" w:name="_Toc148360954"/>
      <w:bookmarkStart w:id="220" w:name="_Toc117607907"/>
      <w:r>
        <w:rPr>
          <w:rStyle w:val="CharSectno"/>
        </w:rPr>
        <w:t>36</w:t>
      </w:r>
      <w:r>
        <w:t>.</w:t>
      </w:r>
      <w:r>
        <w:tab/>
        <w:t>CEO’s duty if child taken into provisional protection and care under warrant</w:t>
      </w:r>
      <w:bookmarkEnd w:id="219"/>
      <w:bookmarkEnd w:id="220"/>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221" w:name="_Toc148360955"/>
      <w:bookmarkStart w:id="222" w:name="_Toc117607908"/>
      <w:r>
        <w:rPr>
          <w:rStyle w:val="CharSectno"/>
        </w:rPr>
        <w:t>37</w:t>
      </w:r>
      <w:r>
        <w:t>.</w:t>
      </w:r>
      <w:r>
        <w:tab/>
        <w:t>Taking child into provisional protection and care without warrant in certain circumstances</w:t>
      </w:r>
      <w:bookmarkEnd w:id="221"/>
      <w:bookmarkEnd w:id="222"/>
    </w:p>
    <w:p>
      <w:pPr>
        <w:pStyle w:val="Subsection"/>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223" w:name="_Toc148360956"/>
      <w:bookmarkStart w:id="224" w:name="_Toc117607909"/>
      <w:r>
        <w:rPr>
          <w:rStyle w:val="CharSectno"/>
        </w:rPr>
        <w:t>38</w:t>
      </w:r>
      <w:r>
        <w:t>.</w:t>
      </w:r>
      <w:r>
        <w:tab/>
        <w:t>CEO’s duties etc. if child taken into provisional protection and care without warrant</w:t>
      </w:r>
      <w:bookmarkEnd w:id="223"/>
      <w:bookmarkEnd w:id="224"/>
    </w:p>
    <w:p>
      <w:pPr>
        <w:pStyle w:val="Subsection"/>
      </w:pPr>
      <w:r>
        <w:tab/>
        <w:t>(1)</w:t>
      </w:r>
      <w:r>
        <w:tab/>
        <w:t>This section applies in relation to a child who is taken into provisional protection and care under section 37.</w:t>
      </w:r>
    </w:p>
    <w:p>
      <w:pPr>
        <w:pStyle w:val="Subsection"/>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pPr>
      <w:r>
        <w:tab/>
        <w:t>(a)</w:t>
      </w:r>
      <w:r>
        <w:tab/>
        <w:t>a parent of the child; or</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 xml:space="preserve">If the child is already the subject of protection proceedings when the child is taken into provisional protection and care, then, unless subsection (4A) applies, the CEO must — </w:t>
      </w:r>
    </w:p>
    <w:p>
      <w:pPr>
        <w:pStyle w:val="Indenta"/>
      </w:pPr>
      <w:r>
        <w:tab/>
        <w:t>(a)</w:t>
      </w:r>
      <w:r>
        <w:tab/>
        <w:t>make an application for an interim order under section 133(2)(b) that the child is to remain in provisional protection and care; or</w:t>
      </w:r>
    </w:p>
    <w:p>
      <w:pPr>
        <w:pStyle w:val="Indenta"/>
      </w:pPr>
      <w:r>
        <w:tab/>
        <w:t>(b)</w:t>
      </w:r>
      <w:r>
        <w:tab/>
        <w:t>ensure that the child is returned to or placed in the care of a person referred to in subsection (2)(a), (b) or (c),</w:t>
      </w:r>
    </w:p>
    <w:p>
      <w:pPr>
        <w:pStyle w:val="Subsection"/>
      </w:pPr>
      <w:r>
        <w:tab/>
      </w:r>
      <w:r>
        <w:tab/>
        <w:t>as soon as practicable, but in any event not more than 2 working days, after the child is taken into provisional protection and care.</w:t>
      </w:r>
    </w:p>
    <w:p>
      <w:pPr>
        <w:pStyle w:val="Subsection"/>
      </w:pPr>
      <w:r>
        <w:tab/>
        <w:t>(4A)</w:t>
      </w:r>
      <w:r>
        <w:tab/>
        <w:t>If the child is already in the CEO’s care when the child is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No. 49 of 2010 s. 59.]</w:t>
      </w:r>
    </w:p>
    <w:p>
      <w:pPr>
        <w:pStyle w:val="Heading5"/>
      </w:pPr>
      <w:bookmarkStart w:id="225" w:name="_Toc148360957"/>
      <w:bookmarkStart w:id="226" w:name="_Toc117607910"/>
      <w:r>
        <w:rPr>
          <w:rStyle w:val="CharSectno"/>
        </w:rPr>
        <w:t>39</w:t>
      </w:r>
      <w:r>
        <w:t>.</w:t>
      </w:r>
      <w:r>
        <w:tab/>
        <w:t>Provisional care plans, preparation etc. of</w:t>
      </w:r>
      <w:bookmarkEnd w:id="225"/>
      <w:bookmarkEnd w:id="226"/>
    </w:p>
    <w:p>
      <w:pPr>
        <w:pStyle w:val="Ednotesubsection"/>
      </w:pPr>
      <w:r>
        <w:tab/>
        <w:t>[(1)</w:t>
      </w:r>
      <w:r>
        <w:tab/>
        <w:t>deleted]</w:t>
      </w:r>
    </w:p>
    <w:p>
      <w:pPr>
        <w:pStyle w:val="Subsection"/>
      </w:pPr>
      <w:r>
        <w:tab/>
        <w:t>(2)</w:t>
      </w:r>
      <w:r>
        <w:tab/>
        <w:t xml:space="preserve">The CEO must prepare and implement a plan (a </w:t>
      </w:r>
      <w:r>
        <w:rPr>
          <w:rStyle w:val="CharDefText"/>
        </w:rPr>
        <w:t>provisional care plan</w:t>
      </w:r>
      <w:r>
        <w:t xml:space="preserve">) for a child if — </w:t>
      </w:r>
    </w:p>
    <w:p>
      <w:pPr>
        <w:pStyle w:val="Indenta"/>
        <w:spacing w:before="60"/>
      </w:pPr>
      <w:r>
        <w:tab/>
        <w:t>(a)</w:t>
      </w:r>
      <w:r>
        <w:tab/>
        <w:t>the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(2A)</w:t>
      </w:r>
      <w:r>
        <w:tab/>
        <w:t>Unless section 88I(2) applies, the CEO must prepare the provisional care plan within 7 working days after the child is taken into provisional protection and care.</w:t>
      </w:r>
    </w:p>
    <w:p>
      <w:pPr>
        <w:pStyle w:val="Subsection"/>
      </w:pPr>
      <w:r>
        <w:tab/>
        <w:t>(2B)</w:t>
      </w:r>
      <w:r>
        <w:tab/>
        <w:t>A provisional care plan for a child must —</w:t>
      </w:r>
    </w:p>
    <w:p>
      <w:pPr>
        <w:pStyle w:val="Indenta"/>
      </w:pPr>
      <w:r>
        <w:tab/>
        <w:t>(a)</w:t>
      </w:r>
      <w:r>
        <w:tab/>
        <w:t>be in writing; and</w:t>
      </w:r>
    </w:p>
    <w:p>
      <w:pPr>
        <w:pStyle w:val="Indenta"/>
      </w:pPr>
      <w:r>
        <w:tab/>
        <w:t>(b)</w:t>
      </w:r>
      <w:r>
        <w:tab/>
        <w:t>identify the needs of the child while the child is in provisional protection and care; and</w:t>
      </w:r>
    </w:p>
    <w:p>
      <w:pPr>
        <w:pStyle w:val="Indenta"/>
      </w:pPr>
      <w:r>
        <w:tab/>
        <w:t>(c)</w:t>
      </w:r>
      <w:r>
        <w:tab/>
        <w:t>outline steps or measures to be taken to address those needs; and</w:t>
      </w:r>
    </w:p>
    <w:p>
      <w:pPr>
        <w:pStyle w:val="Indenta"/>
      </w:pPr>
      <w:r>
        <w:tab/>
        <w:t>(d)</w:t>
      </w:r>
      <w:r>
        <w:tab/>
        <w:t>record decisions made by the CEO about the care of the child, including —</w:t>
      </w:r>
    </w:p>
    <w:p>
      <w:pPr>
        <w:pStyle w:val="Indenti"/>
      </w:pPr>
      <w:r>
        <w:tab/>
        <w:t>(i)</w:t>
      </w:r>
      <w:r>
        <w:tab/>
        <w:t>decisions about a placement arrangement for the child; and</w:t>
      </w:r>
    </w:p>
    <w:p>
      <w:pPr>
        <w:pStyle w:val="Indenti"/>
      </w:pPr>
      <w:r>
        <w:tab/>
        <w:t>(ii)</w:t>
      </w:r>
      <w:r>
        <w:tab/>
        <w:t>decisions about contact between the child and a parent, sibling, other member of the child’s family or other person who is significant in the child’s life; and</w:t>
      </w:r>
    </w:p>
    <w:p>
      <w:pPr>
        <w:pStyle w:val="Indenti"/>
      </w:pPr>
      <w:r>
        <w:tab/>
        <w:t>(iii)</w:t>
      </w:r>
      <w:r>
        <w:tab/>
        <w:t xml:space="preserve">decisions about a secure care arrangement for the child; </w:t>
      </w:r>
    </w:p>
    <w:p>
      <w:pPr>
        <w:pStyle w:val="Indenta"/>
      </w:pPr>
      <w:r>
        <w:tab/>
      </w:r>
      <w:r>
        <w:tab/>
        <w:t>and</w:t>
      </w:r>
    </w:p>
    <w:p>
      <w:pPr>
        <w:pStyle w:val="Indenta"/>
        <w:keepNext/>
      </w:pPr>
      <w:r>
        <w:tab/>
        <w:t>(e)</w:t>
      </w:r>
      <w:r>
        <w:tab/>
        <w:t>contain a summary of —</w:t>
      </w:r>
    </w:p>
    <w:p>
      <w:pPr>
        <w:pStyle w:val="Indenti"/>
      </w:pPr>
      <w:r>
        <w:tab/>
        <w:t>(i)</w:t>
      </w:r>
      <w:r>
        <w:tab/>
        <w:t>how the principle set out in section 10 has been applied in connection with the decisions recorded in the plan; and</w:t>
      </w:r>
    </w:p>
    <w:p>
      <w:pPr>
        <w:pStyle w:val="Indenti"/>
      </w:pPr>
      <w:r>
        <w:tab/>
        <w:t>(ii)</w:t>
      </w:r>
      <w:r>
        <w:tab/>
        <w:t>the wishes and views expressed by the child about the decisions recorded in the plan.</w:t>
      </w:r>
    </w:p>
    <w:p>
      <w:pPr>
        <w:pStyle w:val="Subsection"/>
      </w:pPr>
      <w:r>
        <w:tab/>
        <w:t>(2C)</w:t>
      </w:r>
      <w:r>
        <w:tab/>
        <w:t xml:space="preserve">Subsection (2B)(e) only applies to the application of the principle set out in section 10, and to wishes and views expressed by the child, after the commencement of the </w:t>
      </w:r>
      <w:r>
        <w:rPr>
          <w:i/>
        </w:rPr>
        <w:t xml:space="preserve">Children and Community Services Amendment Act 2021 </w:t>
      </w:r>
      <w:r>
        <w:t>section 21.</w:t>
      </w:r>
    </w:p>
    <w:p>
      <w:pPr>
        <w:pStyle w:val="Subsection"/>
      </w:pPr>
      <w:r>
        <w:tab/>
        <w:t>(2D)</w:t>
      </w:r>
      <w:r>
        <w:tab/>
        <w:t>The CEO must modify a provisional care plan for a child if a decision recorded in the plan is varied, revoked or substituted or a further decision about the care of the child is made by the CEO.</w:t>
      </w:r>
    </w:p>
    <w:p>
      <w:pPr>
        <w:pStyle w:val="Subsection"/>
      </w:pPr>
      <w:r>
        <w:tab/>
        <w:t>(2E)</w:t>
      </w:r>
      <w:r>
        <w:tab/>
        <w:t>The modification must be made as soon as practicable after the decision is varied, revoked or substituted or the further decision is made.</w:t>
      </w:r>
    </w:p>
    <w:p>
      <w:pPr>
        <w:pStyle w:val="Ednotesubsection"/>
      </w:pPr>
      <w:r>
        <w:tab/>
        <w:t>[(3A), (3B)</w:t>
      </w:r>
      <w:r>
        <w:tab/>
        <w:t>deleted]</w:t>
      </w:r>
    </w:p>
    <w:p>
      <w:pPr>
        <w:pStyle w:val="Subsection"/>
        <w:spacing w:before="120"/>
      </w:pPr>
      <w:r>
        <w:tab/>
        <w:t>(3)</w:t>
      </w:r>
      <w:r>
        <w:tab/>
        <w:t>The CEO may modify a provisional care plan at any time if the CEO considers that it is appropriate to do so.</w:t>
      </w:r>
    </w:p>
    <w:p>
      <w:pPr>
        <w:pStyle w:val="Subsection"/>
        <w:spacing w:before="12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Footnotesection"/>
      </w:pPr>
      <w:r>
        <w:tab/>
        <w:t>[Section 39 amended: No. 49 of 2010 s. 6; No. 18 of 2021 s. 21.]</w:t>
      </w:r>
    </w:p>
    <w:p>
      <w:pPr>
        <w:pStyle w:val="Heading4"/>
        <w:spacing w:before="200"/>
      </w:pPr>
      <w:bookmarkStart w:id="227" w:name="_Toc148348530"/>
      <w:bookmarkStart w:id="228" w:name="_Toc148358314"/>
      <w:bookmarkStart w:id="229" w:name="_Toc148360958"/>
      <w:bookmarkStart w:id="230" w:name="_Toc117582574"/>
      <w:bookmarkStart w:id="231" w:name="_Toc117584387"/>
      <w:bookmarkStart w:id="232" w:name="_Toc117585557"/>
      <w:bookmarkStart w:id="233" w:name="_Toc117607911"/>
      <w:r>
        <w:t>Subdivision 4 — Other powers</w:t>
      </w:r>
      <w:bookmarkEnd w:id="227"/>
      <w:bookmarkEnd w:id="228"/>
      <w:bookmarkEnd w:id="229"/>
      <w:bookmarkEnd w:id="230"/>
      <w:bookmarkEnd w:id="231"/>
      <w:bookmarkEnd w:id="232"/>
      <w:bookmarkEnd w:id="233"/>
    </w:p>
    <w:p>
      <w:pPr>
        <w:pStyle w:val="Heading5"/>
        <w:spacing w:before="180"/>
      </w:pPr>
      <w:bookmarkStart w:id="234" w:name="_Toc148360959"/>
      <w:bookmarkStart w:id="235" w:name="_Toc117607912"/>
      <w:r>
        <w:rPr>
          <w:rStyle w:val="CharSectno"/>
        </w:rPr>
        <w:t>40</w:t>
      </w:r>
      <w:r>
        <w:t>.</w:t>
      </w:r>
      <w:r>
        <w:tab/>
        <w:t>Power to keep child under 6 years of age in hospital</w:t>
      </w:r>
      <w:bookmarkEnd w:id="234"/>
      <w:bookmarkEnd w:id="235"/>
    </w:p>
    <w:p>
      <w:pPr>
        <w:pStyle w:val="Subsection"/>
        <w:spacing w:before="12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spacing w:before="120"/>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keepNext/>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keepNext/>
      </w:pPr>
      <w:r>
        <w:tab/>
        <w:t>(8)</w:t>
      </w:r>
      <w:r>
        <w:tab/>
        <w:t>A person must not take a child who is being kept in a hospital under subsection (2) from the hospital except with the consent of the CEO or the officer in charge.</w:t>
      </w:r>
    </w:p>
    <w:p>
      <w:pPr>
        <w:pStyle w:val="Penstart"/>
        <w:spacing w:before="160"/>
      </w:pPr>
      <w:r>
        <w:tab/>
        <w:t>Penalty for this subsection: a fine of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ind w:left="890" w:hanging="890"/>
      </w:pPr>
      <w:r>
        <w:tab/>
        <w:t>[Section 40 amended: No. 49 of 2010 s. 85; No. 18 of 2021 s. 76.]</w:t>
      </w:r>
    </w:p>
    <w:p>
      <w:pPr>
        <w:pStyle w:val="Heading5"/>
        <w:keepNext w:val="0"/>
        <w:keepLines w:val="0"/>
        <w:spacing w:before="180"/>
      </w:pPr>
      <w:bookmarkStart w:id="236" w:name="_Toc148360960"/>
      <w:bookmarkStart w:id="237" w:name="_Toc117607913"/>
      <w:r>
        <w:rPr>
          <w:rStyle w:val="CharSectno"/>
        </w:rPr>
        <w:t>41</w:t>
      </w:r>
      <w:r>
        <w:t>.</w:t>
      </w:r>
      <w:r>
        <w:tab/>
        <w:t>Power to move child to safe place</w:t>
      </w:r>
      <w:bookmarkEnd w:id="236"/>
      <w:bookmarkEnd w:id="237"/>
    </w:p>
    <w:p>
      <w:pPr>
        <w:pStyle w:val="Subsection"/>
      </w:pPr>
      <w:r>
        <w:tab/>
        <w:t>(1)</w:t>
      </w:r>
      <w:r>
        <w:tab/>
        <w:t xml:space="preserve">In this section — </w:t>
      </w:r>
    </w:p>
    <w:p>
      <w:pPr>
        <w:pStyle w:val="Defstart"/>
      </w:pPr>
      <w:r>
        <w:tab/>
      </w:r>
      <w:r>
        <w:rPr>
          <w:rStyle w:val="CharDefText"/>
        </w:rPr>
        <w:t>appropriate person</w:t>
      </w:r>
      <w:r>
        <w:t xml:space="preserve">, in relation to a child, means — </w:t>
      </w:r>
    </w:p>
    <w:p>
      <w:pPr>
        <w:pStyle w:val="Defpara"/>
      </w:pPr>
      <w:r>
        <w:tab/>
        <w:t>(a)</w:t>
      </w:r>
      <w:r>
        <w:tab/>
        <w:t>a parent of the child; or</w:t>
      </w:r>
    </w:p>
    <w:p>
      <w:pPr>
        <w:pStyle w:val="Defpara"/>
      </w:pPr>
      <w:r>
        <w:tab/>
        <w:t>(b)</w:t>
      </w:r>
      <w:r>
        <w:tab/>
        <w:t>an adult, other than a parent of the child, who is a member of the child’s family; or</w:t>
      </w:r>
    </w:p>
    <w:p>
      <w:pPr>
        <w:pStyle w:val="Defpara"/>
      </w:pPr>
      <w:r>
        <w:tab/>
        <w:t>(c)</w:t>
      </w:r>
      <w:r>
        <w:tab/>
        <w:t>an adult, other than a parent or other member of the child’s family, with whom the child usually lives;</w:t>
      </w:r>
    </w:p>
    <w:p>
      <w:pPr>
        <w:pStyle w:val="Defstart"/>
        <w:keepNext/>
      </w:pPr>
      <w:r>
        <w:rPr>
          <w:b/>
        </w:rPr>
        <w:tab/>
      </w:r>
      <w:r>
        <w:rPr>
          <w:rStyle w:val="CharDefText"/>
        </w:rPr>
        <w:t>officer</w:t>
      </w:r>
      <w:r>
        <w:t xml:space="preserve"> means an authorised officer or a police officer.</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keepNext/>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spacing w:before="200"/>
      </w:pPr>
      <w:r>
        <w:tab/>
        <w:t>(3)</w:t>
      </w:r>
      <w:r>
        <w:tab/>
        <w:t xml:space="preserve">Subsection (2) does not authorise an officer to move a child to — </w:t>
      </w:r>
    </w:p>
    <w:p>
      <w:pPr>
        <w:pStyle w:val="Indenta"/>
        <w:spacing w:before="100"/>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spacing w:before="100"/>
      </w:pPr>
      <w:r>
        <w:tab/>
        <w:t>(b)</w:t>
      </w:r>
      <w:r>
        <w:tab/>
        <w:t>a secure care facility.</w:t>
      </w:r>
    </w:p>
    <w:p>
      <w:pPr>
        <w:pStyle w:val="Subsection"/>
        <w:spacing w:before="200"/>
      </w:pPr>
      <w:r>
        <w:tab/>
        <w:t>(4)</w:t>
      </w:r>
      <w:r>
        <w:tab/>
        <w:t>An officer does not need a warrant to exercise the power in subsection (2).</w:t>
      </w:r>
    </w:p>
    <w:p>
      <w:pPr>
        <w:pStyle w:val="Subsection"/>
        <w:spacing w:before="200"/>
      </w:pPr>
      <w:r>
        <w:tab/>
        <w:t>(5)</w:t>
      </w:r>
      <w:r>
        <w:tab/>
        <w:t>When exercising the power in subsection (2) an officer may use reasonable force and assistance.</w:t>
      </w:r>
    </w:p>
    <w:p>
      <w:pPr>
        <w:pStyle w:val="Subsection"/>
        <w:spacing w:before="200"/>
      </w:pPr>
      <w:r>
        <w:tab/>
        <w:t>(6)</w:t>
      </w:r>
      <w:r>
        <w:tab/>
        <w:t xml:space="preserve">If, in the exercise of the power in subsection (2), an officer moves a child to a place other than the child’s usual place of residence or school, the officer must immediately — </w:t>
      </w:r>
    </w:p>
    <w:p>
      <w:pPr>
        <w:pStyle w:val="Indenta"/>
        <w:spacing w:before="100"/>
        <w:rPr>
          <w:b/>
          <w:i/>
          <w:sz w:val="20"/>
        </w:rPr>
      </w:pPr>
      <w:r>
        <w:tab/>
        <w:t>(a)</w:t>
      </w:r>
      <w:r>
        <w:tab/>
        <w:t xml:space="preserve">cause reasonable steps to be taken to contact an appropriate person and inform that person — </w:t>
      </w:r>
    </w:p>
    <w:p>
      <w:pPr>
        <w:pStyle w:val="Indenti"/>
      </w:pPr>
      <w:r>
        <w:tab/>
        <w:t>(i)</w:t>
      </w:r>
      <w:r>
        <w:tab/>
        <w:t>that the child has been moved to a safe place; and</w:t>
      </w:r>
    </w:p>
    <w:p>
      <w:pPr>
        <w:pStyle w:val="Indenti"/>
        <w:keepNext/>
      </w:pPr>
      <w:r>
        <w:tab/>
        <w:t>(ii)</w:t>
      </w:r>
      <w:r>
        <w:tab/>
        <w:t>of the location of that place;</w:t>
      </w:r>
    </w:p>
    <w:p>
      <w:pPr>
        <w:pStyle w:val="Indenta"/>
        <w:spacing w:before="100"/>
        <w:ind w:firstLine="0"/>
      </w:pPr>
      <w:r>
        <w:t>and</w:t>
      </w:r>
    </w:p>
    <w:p>
      <w:pPr>
        <w:pStyle w:val="Indenta"/>
        <w:spacing w:before="100"/>
      </w:pPr>
      <w:r>
        <w:tab/>
        <w:t>(b)</w:t>
      </w:r>
      <w:r>
        <w:tab/>
        <w:t>if the officer is a police officer, cause the CEO to be informed of the matters mentioned in paragraph (a)(i) and (ii).</w:t>
      </w:r>
    </w:p>
    <w:p>
      <w:pPr>
        <w:pStyle w:val="Subsection"/>
        <w:spacing w:before="200"/>
      </w:pPr>
      <w:r>
        <w:tab/>
        <w:t>(7)</w:t>
      </w:r>
      <w:r>
        <w:tab/>
        <w:t>If an appropriate person is contacted under subsection (6), an officer must immediately cause arrangements to be made for the child to be placed in, or returned to, the care of that person.</w:t>
      </w:r>
    </w:p>
    <w:p>
      <w:pPr>
        <w:pStyle w:val="Subsection"/>
        <w:spacing w:before="200"/>
      </w:pPr>
      <w:r>
        <w:tab/>
        <w:t>(8)</w:t>
      </w:r>
      <w:r>
        <w:tab/>
        <w:t>If an appropriate person cannot be contacted under subsection (6), an officer must immediately cause arrangements to be made for the care of the child until the child is placed in, or returned to, the care of an appropriate person or otherwise dealt with under this Part.</w:t>
      </w:r>
    </w:p>
    <w:p>
      <w:pPr>
        <w:pStyle w:val="PermNoteHeading"/>
      </w:pPr>
      <w:r>
        <w:tab/>
        <w:t>Note for this section:</w:t>
      </w:r>
    </w:p>
    <w:p>
      <w:pPr>
        <w:pStyle w:val="PermNoteText"/>
      </w:pPr>
      <w:r>
        <w:tab/>
      </w:r>
      <w:r>
        <w:tab/>
        <w:t>Division 8 confers certain powers on authorised officers and police officers in relation to children moved to a safe place under this section.</w:t>
      </w:r>
    </w:p>
    <w:p>
      <w:pPr>
        <w:pStyle w:val="Footnotesection"/>
      </w:pPr>
      <w:r>
        <w:tab/>
        <w:t>[Section 41 amended: No. 49 of 2010 s. 7; No. 23 of 2015 s. 33; No. 18 of 2021 s. 22.]</w:t>
      </w:r>
    </w:p>
    <w:p>
      <w:pPr>
        <w:pStyle w:val="Heading3"/>
        <w:spacing w:before="220"/>
      </w:pPr>
      <w:bookmarkStart w:id="238" w:name="_Toc148348533"/>
      <w:bookmarkStart w:id="239" w:name="_Toc148358317"/>
      <w:bookmarkStart w:id="240" w:name="_Toc148360961"/>
      <w:bookmarkStart w:id="241" w:name="_Toc117582577"/>
      <w:bookmarkStart w:id="242" w:name="_Toc117584390"/>
      <w:bookmarkStart w:id="243" w:name="_Toc117585560"/>
      <w:bookmarkStart w:id="244" w:name="_Toc117607914"/>
      <w:r>
        <w:rPr>
          <w:rStyle w:val="CharDivNo"/>
        </w:rPr>
        <w:t>Division 3</w:t>
      </w:r>
      <w:r>
        <w:t xml:space="preserve"> — </w:t>
      </w:r>
      <w:r>
        <w:rPr>
          <w:rStyle w:val="CharDivText"/>
        </w:rPr>
        <w:t>Protection orders</w:t>
      </w:r>
      <w:bookmarkEnd w:id="238"/>
      <w:bookmarkEnd w:id="239"/>
      <w:bookmarkEnd w:id="240"/>
      <w:bookmarkEnd w:id="241"/>
      <w:bookmarkEnd w:id="242"/>
      <w:bookmarkEnd w:id="243"/>
      <w:bookmarkEnd w:id="244"/>
    </w:p>
    <w:p>
      <w:pPr>
        <w:pStyle w:val="Heading4"/>
      </w:pPr>
      <w:bookmarkStart w:id="245" w:name="_Toc148348534"/>
      <w:bookmarkStart w:id="246" w:name="_Toc148358318"/>
      <w:bookmarkStart w:id="247" w:name="_Toc148360962"/>
      <w:bookmarkStart w:id="248" w:name="_Toc117582578"/>
      <w:bookmarkStart w:id="249" w:name="_Toc117584391"/>
      <w:bookmarkStart w:id="250" w:name="_Toc117585561"/>
      <w:bookmarkStart w:id="251" w:name="_Toc117607915"/>
      <w:r>
        <w:t>Subdivision 1 — Introductory matters</w:t>
      </w:r>
      <w:bookmarkEnd w:id="245"/>
      <w:bookmarkEnd w:id="246"/>
      <w:bookmarkEnd w:id="247"/>
      <w:bookmarkEnd w:id="248"/>
      <w:bookmarkEnd w:id="249"/>
      <w:bookmarkEnd w:id="250"/>
      <w:bookmarkEnd w:id="251"/>
    </w:p>
    <w:p>
      <w:pPr>
        <w:pStyle w:val="Heading5"/>
      </w:pPr>
      <w:bookmarkStart w:id="252" w:name="_Toc148360963"/>
      <w:bookmarkStart w:id="253" w:name="_Toc117607916"/>
      <w:r>
        <w:rPr>
          <w:rStyle w:val="CharSectno"/>
        </w:rPr>
        <w:t>42</w:t>
      </w:r>
      <w:r>
        <w:t>.</w:t>
      </w:r>
      <w:r>
        <w:tab/>
        <w:t>Terms used</w:t>
      </w:r>
      <w:bookmarkEnd w:id="252"/>
      <w:bookmarkEnd w:id="253"/>
    </w:p>
    <w:p>
      <w:pPr>
        <w:pStyle w:val="Subsection"/>
        <w:keepNext/>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Footnotesection"/>
      </w:pPr>
      <w:r>
        <w:tab/>
        <w:t>[Section 42 amended: No. 49 of 2010 s. 25; No. 18 of 2021 s. 23.]</w:t>
      </w:r>
    </w:p>
    <w:p>
      <w:pPr>
        <w:pStyle w:val="Heading5"/>
      </w:pPr>
      <w:bookmarkStart w:id="254" w:name="_Toc148360964"/>
      <w:bookmarkStart w:id="255" w:name="_Toc117607917"/>
      <w:r>
        <w:rPr>
          <w:rStyle w:val="CharSectno"/>
        </w:rPr>
        <w:t>43</w:t>
      </w:r>
      <w:r>
        <w:t>.</w:t>
      </w:r>
      <w:r>
        <w:tab/>
        <w:t>Term used: protection order</w:t>
      </w:r>
      <w:bookmarkEnd w:id="254"/>
      <w:bookmarkEnd w:id="255"/>
    </w:p>
    <w:p>
      <w:pPr>
        <w:pStyle w:val="Subsection"/>
      </w:pPr>
      <w:r>
        <w:tab/>
      </w:r>
      <w:r>
        <w:tab/>
        <w:t xml:space="preserve">A reference in this Act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No. 49 of 2010 s. 35; No. 18 of 2021 s. 24.]</w:t>
      </w:r>
    </w:p>
    <w:p>
      <w:pPr>
        <w:pStyle w:val="Heading4"/>
      </w:pPr>
      <w:bookmarkStart w:id="256" w:name="_Toc148348537"/>
      <w:bookmarkStart w:id="257" w:name="_Toc148358321"/>
      <w:bookmarkStart w:id="258" w:name="_Toc148360965"/>
      <w:bookmarkStart w:id="259" w:name="_Toc117582581"/>
      <w:bookmarkStart w:id="260" w:name="_Toc117584394"/>
      <w:bookmarkStart w:id="261" w:name="_Toc117585564"/>
      <w:bookmarkStart w:id="262" w:name="_Toc117607918"/>
      <w:r>
        <w:t>Subdivision 2 — Applications for, and making of, protection orders</w:t>
      </w:r>
      <w:bookmarkEnd w:id="256"/>
      <w:bookmarkEnd w:id="257"/>
      <w:bookmarkEnd w:id="258"/>
      <w:bookmarkEnd w:id="259"/>
      <w:bookmarkEnd w:id="260"/>
      <w:bookmarkEnd w:id="261"/>
      <w:bookmarkEnd w:id="262"/>
    </w:p>
    <w:p>
      <w:pPr>
        <w:pStyle w:val="Heading5"/>
        <w:spacing w:before="240"/>
      </w:pPr>
      <w:bookmarkStart w:id="263" w:name="_Toc148360966"/>
      <w:bookmarkStart w:id="264" w:name="_Toc117607919"/>
      <w:r>
        <w:rPr>
          <w:rStyle w:val="CharSectno"/>
        </w:rPr>
        <w:t>44</w:t>
      </w:r>
      <w:r>
        <w:t>.</w:t>
      </w:r>
      <w:r>
        <w:tab/>
        <w:t>Application for protection order</w:t>
      </w:r>
      <w:bookmarkEnd w:id="263"/>
      <w:bookmarkEnd w:id="264"/>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 any proposed conditions of the order;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proposed special guardian.</w:t>
      </w:r>
    </w:p>
    <w:p>
      <w:pPr>
        <w:pStyle w:val="Subsection"/>
      </w:pPr>
      <w:r>
        <w:tab/>
        <w:t>(4)</w:t>
      </w:r>
      <w:r>
        <w:tab/>
        <w:t>When a protection application is lodged, the Court must fix the day, time and place for the Court to first deal with the application.</w:t>
      </w:r>
    </w:p>
    <w:p>
      <w:pPr>
        <w:pStyle w:val="Subsection"/>
        <w:keepNext/>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No. 49 of 2010 s. 26; No. 18 of 2021 s. 25.]</w:t>
      </w:r>
    </w:p>
    <w:p>
      <w:pPr>
        <w:pStyle w:val="Heading5"/>
      </w:pPr>
      <w:bookmarkStart w:id="265" w:name="_Toc148360967"/>
      <w:bookmarkStart w:id="266" w:name="_Toc117607920"/>
      <w:r>
        <w:rPr>
          <w:rStyle w:val="CharSectno"/>
        </w:rPr>
        <w:t>45</w:t>
      </w:r>
      <w:r>
        <w:t>.</w:t>
      </w:r>
      <w:r>
        <w:tab/>
        <w:t>Court may make protection order</w:t>
      </w:r>
      <w:bookmarkEnd w:id="265"/>
      <w:bookmarkEnd w:id="266"/>
    </w:p>
    <w:p>
      <w:pPr>
        <w:pStyle w:val="Subsection"/>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pPr>
      <w:bookmarkStart w:id="267" w:name="_Toc148360968"/>
      <w:bookmarkStart w:id="268" w:name="_Toc117607921"/>
      <w:r>
        <w:rPr>
          <w:rStyle w:val="CharSectno"/>
        </w:rPr>
        <w:t>46</w:t>
      </w:r>
      <w:r>
        <w:t>.</w:t>
      </w:r>
      <w:r>
        <w:tab/>
        <w:t>No order principle</w:t>
      </w:r>
      <w:bookmarkEnd w:id="267"/>
      <w:bookmarkEnd w:id="268"/>
    </w:p>
    <w:p>
      <w:pPr>
        <w:pStyle w:val="Subsection"/>
        <w:spacing w:before="18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269" w:name="_Toc148348541"/>
      <w:bookmarkStart w:id="270" w:name="_Toc148358325"/>
      <w:bookmarkStart w:id="271" w:name="_Toc148360969"/>
      <w:bookmarkStart w:id="272" w:name="_Toc117582585"/>
      <w:bookmarkStart w:id="273" w:name="_Toc117584398"/>
      <w:bookmarkStart w:id="274" w:name="_Toc117585568"/>
      <w:bookmarkStart w:id="275" w:name="_Toc117607922"/>
      <w:r>
        <w:t>Subdivision 3 — Protection orders (supervision)</w:t>
      </w:r>
      <w:bookmarkEnd w:id="269"/>
      <w:bookmarkEnd w:id="270"/>
      <w:bookmarkEnd w:id="271"/>
      <w:bookmarkEnd w:id="272"/>
      <w:bookmarkEnd w:id="273"/>
      <w:bookmarkEnd w:id="274"/>
      <w:bookmarkEnd w:id="275"/>
    </w:p>
    <w:p>
      <w:pPr>
        <w:pStyle w:val="Heading5"/>
        <w:spacing w:before="240"/>
      </w:pPr>
      <w:bookmarkStart w:id="276" w:name="_Toc148360970"/>
      <w:bookmarkStart w:id="277" w:name="_Toc117607923"/>
      <w:r>
        <w:rPr>
          <w:rStyle w:val="CharSectno"/>
        </w:rPr>
        <w:t>47</w:t>
      </w:r>
      <w:r>
        <w:t>.</w:t>
      </w:r>
      <w:r>
        <w:tab/>
        <w:t>Protection order (supervision)</w:t>
      </w:r>
      <w:bookmarkEnd w:id="276"/>
      <w:bookmarkEnd w:id="277"/>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spacing w:before="240"/>
      </w:pPr>
      <w:bookmarkStart w:id="278" w:name="_Toc148360971"/>
      <w:bookmarkStart w:id="279" w:name="_Toc117607924"/>
      <w:r>
        <w:rPr>
          <w:rStyle w:val="CharSectno"/>
        </w:rPr>
        <w:t>48</w:t>
      </w:r>
      <w:r>
        <w:t>.</w:t>
      </w:r>
      <w:r>
        <w:tab/>
        <w:t>Duration of protection order (supervision)</w:t>
      </w:r>
      <w:bookmarkEnd w:id="278"/>
      <w:bookmarkEnd w:id="279"/>
    </w:p>
    <w:p>
      <w:pPr>
        <w:pStyle w:val="Subsection"/>
        <w:keepLines/>
      </w:pPr>
      <w:r>
        <w:tab/>
        <w:t>(1)</w:t>
      </w:r>
      <w:r>
        <w:tab/>
        <w:t>A protection order (supervision) remains in force for the period specified in it unless it is extended under section 49 or revoked under Subdivision 7.</w:t>
      </w:r>
    </w:p>
    <w:p>
      <w:pPr>
        <w:pStyle w:val="Subsection"/>
      </w:pPr>
      <w:r>
        <w:tab/>
        <w:t>(2)</w:t>
      </w:r>
      <w:r>
        <w:tab/>
        <w:t>The period specified in the order must not exceed 2 years and must end before the child reaches 18 years of age.</w:t>
      </w:r>
    </w:p>
    <w:p>
      <w:pPr>
        <w:pStyle w:val="Heading5"/>
        <w:spacing w:before="240"/>
      </w:pPr>
      <w:bookmarkStart w:id="280" w:name="_Toc148360972"/>
      <w:bookmarkStart w:id="281" w:name="_Toc117607925"/>
      <w:r>
        <w:rPr>
          <w:rStyle w:val="CharSectno"/>
        </w:rPr>
        <w:t>49</w:t>
      </w:r>
      <w:r>
        <w:t>.</w:t>
      </w:r>
      <w:r>
        <w:tab/>
        <w:t>Extension of protection order (supervision)</w:t>
      </w:r>
      <w:bookmarkEnd w:id="280"/>
      <w:bookmarkEnd w:id="281"/>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48(1),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keepLines/>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Lines w:val="0"/>
      </w:pPr>
      <w:bookmarkStart w:id="282" w:name="_Toc148360973"/>
      <w:bookmarkStart w:id="283" w:name="_Toc117607926"/>
      <w:r>
        <w:rPr>
          <w:rStyle w:val="CharSectno"/>
        </w:rPr>
        <w:t>50</w:t>
      </w:r>
      <w:r>
        <w:t>.</w:t>
      </w:r>
      <w:r>
        <w:tab/>
        <w:t>Conditions of protection order (supervision)</w:t>
      </w:r>
      <w:bookmarkEnd w:id="282"/>
      <w:bookmarkEnd w:id="283"/>
    </w:p>
    <w:p>
      <w:pPr>
        <w:pStyle w:val="Subsection"/>
      </w:pPr>
      <w:r>
        <w:tab/>
        <w:t>(1)</w:t>
      </w:r>
      <w:r>
        <w:tab/>
        <w:t>It is a condition of every protection order (supervision) that a parent of the child keeps the CEO informed about where the child is living.</w:t>
      </w:r>
    </w:p>
    <w:p>
      <w:pPr>
        <w:pStyle w:val="Subsection"/>
        <w:keepNext/>
      </w:pPr>
      <w:r>
        <w:tab/>
        <w:t>(2)</w:t>
      </w:r>
      <w:r>
        <w:tab/>
        <w:t>A protection order (supervision) may include conditions to be complied with by —</w:t>
      </w:r>
    </w:p>
    <w:p>
      <w:pPr>
        <w:pStyle w:val="Indenta"/>
      </w:pPr>
      <w:r>
        <w:tab/>
        <w:t>(a)</w:t>
      </w:r>
      <w:r>
        <w:tab/>
        <w:t>the child if, in the opinion of the Court, the child is able to understand the condition; or</w:t>
      </w:r>
    </w:p>
    <w:p>
      <w:pPr>
        <w:pStyle w:val="Indenta"/>
      </w:pPr>
      <w:r>
        <w:tab/>
        <w:t>(b)</w:t>
      </w:r>
      <w:r>
        <w:tab/>
        <w:t>a parent of the child; or</w:t>
      </w:r>
    </w:p>
    <w:p>
      <w:pPr>
        <w:pStyle w:val="Indenta"/>
      </w:pPr>
      <w:r>
        <w:tab/>
        <w:t>(c)</w:t>
      </w:r>
      <w:r>
        <w:tab/>
        <w:t>an adult with whom the child is living.</w:t>
      </w:r>
    </w:p>
    <w:p>
      <w:pPr>
        <w:pStyle w:val="Subsection"/>
      </w:pPr>
      <w:r>
        <w:tab/>
        <w:t>(3)</w:t>
      </w:r>
      <w:r>
        <w:tab/>
        <w:t>A protection order (supervision) may include a condition requiring the child to live with a specified parent of the child, but otherwise must not include a condition about —</w:t>
      </w:r>
    </w:p>
    <w:p>
      <w:pPr>
        <w:pStyle w:val="Indenta"/>
      </w:pPr>
      <w:r>
        <w:tab/>
        <w:t>(a)</w:t>
      </w:r>
      <w:r>
        <w:tab/>
        <w:t>the person or persons with whom the child is to live; or</w:t>
      </w:r>
    </w:p>
    <w:p>
      <w:pPr>
        <w:pStyle w:val="Indenta"/>
      </w:pPr>
      <w:r>
        <w:tab/>
        <w:t>(b)</w:t>
      </w:r>
      <w:r>
        <w:tab/>
        <w:t>who is to have responsibility for the day</w:t>
      </w:r>
      <w:r>
        <w:noBreakHyphen/>
        <w:t>to</w:t>
      </w:r>
      <w:r>
        <w:noBreakHyphen/>
        <w:t>day care, welfare and development of the child.</w:t>
      </w:r>
    </w:p>
    <w:p>
      <w:pPr>
        <w:pStyle w:val="Footnotesection"/>
        <w:spacing w:before="100"/>
        <w:ind w:left="890" w:hanging="890"/>
      </w:pPr>
      <w:r>
        <w:tab/>
        <w:t>[Section 50 amended: No. 18 of 2021 s. 26.]</w:t>
      </w:r>
    </w:p>
    <w:p>
      <w:pPr>
        <w:pStyle w:val="Heading5"/>
        <w:keepNext w:val="0"/>
        <w:spacing w:before="180"/>
      </w:pPr>
      <w:bookmarkStart w:id="284" w:name="_Toc148360974"/>
      <w:bookmarkStart w:id="285" w:name="_Toc117607927"/>
      <w:r>
        <w:rPr>
          <w:rStyle w:val="CharSectno"/>
        </w:rPr>
        <w:t>51</w:t>
      </w:r>
      <w:r>
        <w:t>.</w:t>
      </w:r>
      <w:r>
        <w:tab/>
        <w:t>Variation of conditions of protection order (supervision)</w:t>
      </w:r>
      <w:bookmarkEnd w:id="284"/>
      <w:bookmarkEnd w:id="285"/>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keepNext/>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286" w:name="_Toc148360975"/>
      <w:bookmarkStart w:id="287" w:name="_Toc117607928"/>
      <w:r>
        <w:rPr>
          <w:rStyle w:val="CharSectno"/>
        </w:rPr>
        <w:t>52</w:t>
      </w:r>
      <w:r>
        <w:t>.</w:t>
      </w:r>
      <w:r>
        <w:tab/>
        <w:t>Access to child by authorised officer while protection order (supervision) in force</w:t>
      </w:r>
      <w:bookmarkEnd w:id="286"/>
      <w:bookmarkEnd w:id="287"/>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52 amended: No. 8 of 2009 s. 32(3).]</w:t>
      </w:r>
    </w:p>
    <w:p>
      <w:pPr>
        <w:pStyle w:val="Heading5"/>
        <w:spacing w:before="180"/>
      </w:pPr>
      <w:bookmarkStart w:id="288" w:name="_Toc148360976"/>
      <w:bookmarkStart w:id="289" w:name="_Toc117607929"/>
      <w:r>
        <w:rPr>
          <w:rStyle w:val="CharSectno"/>
        </w:rPr>
        <w:t>53</w:t>
      </w:r>
      <w:r>
        <w:t>.</w:t>
      </w:r>
      <w:r>
        <w:tab/>
        <w:t>Provision of social services</w:t>
      </w:r>
      <w:bookmarkEnd w:id="288"/>
      <w:bookmarkEnd w:id="289"/>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290" w:name="_Toc148348549"/>
      <w:bookmarkStart w:id="291" w:name="_Toc148358333"/>
      <w:bookmarkStart w:id="292" w:name="_Toc148360977"/>
      <w:bookmarkStart w:id="293" w:name="_Toc117582593"/>
      <w:bookmarkStart w:id="294" w:name="_Toc117584406"/>
      <w:bookmarkStart w:id="295" w:name="_Toc117585576"/>
      <w:bookmarkStart w:id="296" w:name="_Toc117607930"/>
      <w:r>
        <w:t>Subdivision 4 — Protection orders (time</w:t>
      </w:r>
      <w:r>
        <w:noBreakHyphen/>
        <w:t>limited)</w:t>
      </w:r>
      <w:bookmarkEnd w:id="290"/>
      <w:bookmarkEnd w:id="291"/>
      <w:bookmarkEnd w:id="292"/>
      <w:bookmarkEnd w:id="293"/>
      <w:bookmarkEnd w:id="294"/>
      <w:bookmarkEnd w:id="295"/>
      <w:bookmarkEnd w:id="296"/>
    </w:p>
    <w:p>
      <w:pPr>
        <w:pStyle w:val="Heading5"/>
      </w:pPr>
      <w:bookmarkStart w:id="297" w:name="_Toc148360978"/>
      <w:bookmarkStart w:id="298" w:name="_Toc117607931"/>
      <w:r>
        <w:rPr>
          <w:rStyle w:val="CharSectno"/>
        </w:rPr>
        <w:t>54</w:t>
      </w:r>
      <w:r>
        <w:t>.</w:t>
      </w:r>
      <w:r>
        <w:tab/>
        <w:t>Protection order (time</w:t>
      </w:r>
      <w:r>
        <w:noBreakHyphen/>
        <w:t>limited)</w:t>
      </w:r>
      <w:bookmarkEnd w:id="297"/>
      <w:bookmarkEnd w:id="298"/>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299" w:name="_Toc148360979"/>
      <w:bookmarkStart w:id="300" w:name="_Toc117607932"/>
      <w:r>
        <w:rPr>
          <w:rStyle w:val="CharSectno"/>
        </w:rPr>
        <w:t>55</w:t>
      </w:r>
      <w:r>
        <w:t>.</w:t>
      </w:r>
      <w:r>
        <w:tab/>
        <w:t>Duration of protection order (time</w:t>
      </w:r>
      <w:r>
        <w:noBreakHyphen/>
        <w:t>limited)</w:t>
      </w:r>
      <w:bookmarkEnd w:id="299"/>
      <w:bookmarkEnd w:id="300"/>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301" w:name="_Toc148360980"/>
      <w:bookmarkStart w:id="302" w:name="_Toc117607933"/>
      <w:r>
        <w:rPr>
          <w:rStyle w:val="CharSectno"/>
        </w:rPr>
        <w:t>56</w:t>
      </w:r>
      <w:r>
        <w:t>.</w:t>
      </w:r>
      <w:r>
        <w:tab/>
        <w:t>Extension of protection order (time</w:t>
      </w:r>
      <w:r>
        <w:noBreakHyphen/>
        <w:t>limited)</w:t>
      </w:r>
      <w:bookmarkEnd w:id="301"/>
      <w:bookmarkEnd w:id="302"/>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keepNext w:val="0"/>
      </w:pPr>
      <w:bookmarkStart w:id="303" w:name="_Toc148348553"/>
      <w:bookmarkStart w:id="304" w:name="_Toc148358337"/>
      <w:bookmarkStart w:id="305" w:name="_Toc148360981"/>
      <w:bookmarkStart w:id="306" w:name="_Toc117582597"/>
      <w:bookmarkStart w:id="307" w:name="_Toc117584410"/>
      <w:bookmarkStart w:id="308" w:name="_Toc117585580"/>
      <w:bookmarkStart w:id="309" w:name="_Toc117607934"/>
      <w:r>
        <w:t>Subdivision 5 — Protection orders (until 18)</w:t>
      </w:r>
      <w:bookmarkEnd w:id="303"/>
      <w:bookmarkEnd w:id="304"/>
      <w:bookmarkEnd w:id="305"/>
      <w:bookmarkEnd w:id="306"/>
      <w:bookmarkEnd w:id="307"/>
      <w:bookmarkEnd w:id="308"/>
      <w:bookmarkEnd w:id="309"/>
    </w:p>
    <w:p>
      <w:pPr>
        <w:pStyle w:val="Heading5"/>
        <w:keepNext w:val="0"/>
        <w:keepLines w:val="0"/>
        <w:spacing w:before="180"/>
      </w:pPr>
      <w:bookmarkStart w:id="310" w:name="_Toc148360982"/>
      <w:bookmarkStart w:id="311" w:name="_Toc117607935"/>
      <w:r>
        <w:rPr>
          <w:rStyle w:val="CharSectno"/>
        </w:rPr>
        <w:t>57</w:t>
      </w:r>
      <w:r>
        <w:t>.</w:t>
      </w:r>
      <w:r>
        <w:tab/>
        <w:t>Protection order (until 18)</w:t>
      </w:r>
      <w:bookmarkEnd w:id="310"/>
      <w:bookmarkEnd w:id="311"/>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312" w:name="_Toc148360983"/>
      <w:bookmarkStart w:id="313" w:name="_Toc117607936"/>
      <w:r>
        <w:rPr>
          <w:rStyle w:val="CharSectno"/>
        </w:rPr>
        <w:t>58</w:t>
      </w:r>
      <w:r>
        <w:t>.</w:t>
      </w:r>
      <w:r>
        <w:tab/>
        <w:t>Restriction on making protection order (until 18)</w:t>
      </w:r>
      <w:bookmarkEnd w:id="312"/>
      <w:bookmarkEnd w:id="313"/>
    </w:p>
    <w:p>
      <w:pPr>
        <w:pStyle w:val="Subsection"/>
        <w:spacing w:before="180"/>
      </w:pPr>
      <w:r>
        <w:tab/>
      </w:r>
      <w:r>
        <w:tab/>
        <w:t>The Court must not make a protection order (until 18) in respect of a child unless the Court is satisfied that long</w:t>
      </w:r>
      <w:r>
        <w:noBreakHyphen/>
        <w:t>term arrangements should be made for the wellbeing of the child.</w:t>
      </w:r>
    </w:p>
    <w:p>
      <w:pPr>
        <w:pStyle w:val="Heading5"/>
        <w:spacing w:before="240"/>
      </w:pPr>
      <w:bookmarkStart w:id="314" w:name="_Toc148360984"/>
      <w:bookmarkStart w:id="315" w:name="_Toc117607937"/>
      <w:r>
        <w:rPr>
          <w:rStyle w:val="CharSectno"/>
        </w:rPr>
        <w:t>59</w:t>
      </w:r>
      <w:r>
        <w:t>.</w:t>
      </w:r>
      <w:r>
        <w:tab/>
        <w:t>Duration of protection order (until 18)</w:t>
      </w:r>
      <w:bookmarkEnd w:id="314"/>
      <w:bookmarkEnd w:id="315"/>
    </w:p>
    <w:p>
      <w:pPr>
        <w:pStyle w:val="Subsection"/>
        <w:spacing w:before="180"/>
      </w:pPr>
      <w:r>
        <w:tab/>
      </w:r>
      <w:r>
        <w:tab/>
        <w:t>A protection order (until 18) remains in force until the child reaches 18 years of age unless it is revoked under Subdivision 7.</w:t>
      </w:r>
    </w:p>
    <w:p>
      <w:pPr>
        <w:pStyle w:val="Heading4"/>
      </w:pPr>
      <w:bookmarkStart w:id="316" w:name="_Toc148348557"/>
      <w:bookmarkStart w:id="317" w:name="_Toc148358341"/>
      <w:bookmarkStart w:id="318" w:name="_Toc148360985"/>
      <w:bookmarkStart w:id="319" w:name="_Toc117582601"/>
      <w:bookmarkStart w:id="320" w:name="_Toc117584414"/>
      <w:bookmarkStart w:id="321" w:name="_Toc117585584"/>
      <w:bookmarkStart w:id="322" w:name="_Toc117607938"/>
      <w:r>
        <w:t>Subdivision 6 — Protection orders (special guardianship)</w:t>
      </w:r>
      <w:bookmarkEnd w:id="316"/>
      <w:bookmarkEnd w:id="317"/>
      <w:bookmarkEnd w:id="318"/>
      <w:bookmarkEnd w:id="319"/>
      <w:bookmarkEnd w:id="320"/>
      <w:bookmarkEnd w:id="321"/>
      <w:bookmarkEnd w:id="322"/>
    </w:p>
    <w:p>
      <w:pPr>
        <w:pStyle w:val="Footnoteheading"/>
      </w:pPr>
      <w:r>
        <w:tab/>
        <w:t>[Heading amended: No. 49 of 2010 s. 35.]</w:t>
      </w:r>
    </w:p>
    <w:p>
      <w:pPr>
        <w:pStyle w:val="Heading5"/>
        <w:keepLines w:val="0"/>
        <w:spacing w:before="240"/>
      </w:pPr>
      <w:bookmarkStart w:id="323" w:name="_Toc148360986"/>
      <w:bookmarkStart w:id="324" w:name="_Toc117607939"/>
      <w:r>
        <w:rPr>
          <w:rStyle w:val="CharSectno"/>
        </w:rPr>
        <w:t>60</w:t>
      </w:r>
      <w:r>
        <w:t>.</w:t>
      </w:r>
      <w:r>
        <w:tab/>
        <w:t>Protection order (special guardianship)</w:t>
      </w:r>
      <w:bookmarkEnd w:id="323"/>
      <w:bookmarkEnd w:id="324"/>
    </w:p>
    <w:p>
      <w:pPr>
        <w:pStyle w:val="Subsection"/>
        <w:spacing w:before="180"/>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No. 49 of 2010 s. 27.]</w:t>
      </w:r>
    </w:p>
    <w:p>
      <w:pPr>
        <w:pStyle w:val="Heading5"/>
        <w:spacing w:before="240"/>
      </w:pPr>
      <w:bookmarkStart w:id="325" w:name="_Toc148360987"/>
      <w:bookmarkStart w:id="326" w:name="_Toc117607940"/>
      <w:r>
        <w:rPr>
          <w:rStyle w:val="CharSectno"/>
        </w:rPr>
        <w:t>61</w:t>
      </w:r>
      <w:r>
        <w:t>.</w:t>
      </w:r>
      <w:r>
        <w:tab/>
        <w:t>Restriction on making protection order (special guardianship)</w:t>
      </w:r>
      <w:bookmarkEnd w:id="325"/>
      <w:bookmarkEnd w:id="326"/>
    </w:p>
    <w:p>
      <w:pPr>
        <w:pStyle w:val="Ednotesubsection"/>
      </w:pPr>
      <w:r>
        <w:tab/>
        <w:t>[(1)</w:t>
      </w:r>
      <w:r>
        <w:tab/>
        <w:t>deleted]</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(2A)</w:t>
      </w:r>
      <w:r>
        <w:tab/>
        <w:t>The Court must, in assessing the suitability of the proposed special guardian, have regard to the following as if the order were a placement arrangement —</w:t>
      </w:r>
    </w:p>
    <w:p>
      <w:pPr>
        <w:pStyle w:val="Indenta"/>
      </w:pPr>
      <w:r>
        <w:tab/>
        <w:t>(a)</w:t>
      </w:r>
      <w:r>
        <w:tab/>
        <w:t>for an Aboriginal child or Torres Strait Islander child — the principle set out in section 12;</w:t>
      </w:r>
    </w:p>
    <w:p>
      <w:pPr>
        <w:pStyle w:val="Indenta"/>
      </w:pPr>
      <w:r>
        <w:tab/>
        <w:t>(b)</w:t>
      </w:r>
      <w:r>
        <w:tab/>
        <w:t>for a child of a culturally or linguistically diverse background — the guidelines established under section 80;</w:t>
      </w:r>
    </w:p>
    <w:p>
      <w:pPr>
        <w:pStyle w:val="Indenta"/>
      </w:pPr>
      <w:r>
        <w:tab/>
        <w:t>(c)</w:t>
      </w:r>
      <w:r>
        <w:tab/>
        <w:t>in any case — other principles set out in Part 2 affecting the placement of a child who is in the CEO’s care.</w:t>
      </w:r>
    </w:p>
    <w:p>
      <w:pPr>
        <w:pStyle w:val="Subsection"/>
      </w:pPr>
      <w:r>
        <w:tab/>
        <w:t>(2B)</w:t>
      </w:r>
      <w:r>
        <w:tab/>
        <w:t>The Court must not make a protection order (special guardianship) for an Aboriginal child or Torres Strait Islander child if no Aboriginal person or Torres Strait Islander is to be the special guardian unless the CEO has given the Court a written report prepared by a person who meets criteria prescribed by the regulations.</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subsections (2)(b)(i) and (ii) and (2A); and</w:t>
      </w:r>
    </w:p>
    <w:p>
      <w:pPr>
        <w:pStyle w:val="Indenta"/>
      </w:pPr>
      <w:r>
        <w:tab/>
        <w:t>(b)</w:t>
      </w:r>
      <w:r>
        <w:tab/>
        <w:t>outlines the proposed arrangements for the wellbeing of the child; and</w:t>
      </w:r>
    </w:p>
    <w:p>
      <w:pPr>
        <w:pStyle w:val="Indenta"/>
      </w:pPr>
      <w:r>
        <w:tab/>
        <w:t>(c)</w:t>
      </w:r>
      <w:r>
        <w:tab/>
        <w:t>without limiting paragraph (b), outlines the proposed arrangements for encouraging and supporting the child to develop and maintain contact with the child’s parents, siblings and other members of the child’s family and with other people who are significant in the child’s life, subject to decisions under this Act about that contact; and</w:t>
      </w:r>
    </w:p>
    <w:p>
      <w:pPr>
        <w:pStyle w:val="Indenta"/>
      </w:pPr>
      <w:r>
        <w:tab/>
        <w:t>(d)</w:t>
      </w:r>
      <w:r>
        <w:tab/>
        <w:t>for an Aboriginal child, Torres Strait Islander child or child of a culturally or linguistically diverse background — is accompanied by a cultural support plan for the child.</w:t>
      </w:r>
    </w:p>
    <w:p>
      <w:pPr>
        <w:pStyle w:val="Subsection"/>
      </w:pPr>
      <w:r>
        <w:tab/>
        <w:t>(4)</w:t>
      </w:r>
      <w:r>
        <w:tab/>
        <w:t>However, the report need not be accompanied by a cultural support plan if the application for the protection order (special guardianship) is made under section 69A.</w:t>
      </w:r>
    </w:p>
    <w:p>
      <w:pPr>
        <w:pStyle w:val="Subsection"/>
      </w:pPr>
      <w:r>
        <w:tab/>
        <w:t>(5)</w:t>
      </w:r>
      <w:r>
        <w:tab/>
        <w:t>The Court must, before making a protection order (special guardianship), consider each report given to the Court under this section.</w:t>
      </w:r>
    </w:p>
    <w:p>
      <w:pPr>
        <w:pStyle w:val="Subsection"/>
      </w:pPr>
      <w:r>
        <w:tab/>
        <w:t>(6)</w:t>
      </w:r>
      <w:r>
        <w:tab/>
        <w:t>The CEO must give a copy of each report given to the Court under this section to the other parties to the proceedings.</w:t>
      </w:r>
    </w:p>
    <w:p>
      <w:pPr>
        <w:pStyle w:val="Footnotesection"/>
        <w:ind w:left="890" w:hanging="890"/>
      </w:pPr>
      <w:r>
        <w:tab/>
        <w:t>[Section 61 amended: No. 49 of 2010 s. 28; No. 18 of 2021 s. 27.]</w:t>
      </w:r>
    </w:p>
    <w:p>
      <w:pPr>
        <w:pStyle w:val="Heading5"/>
      </w:pPr>
      <w:bookmarkStart w:id="327" w:name="_Toc148360988"/>
      <w:bookmarkStart w:id="328" w:name="_Toc117607941"/>
      <w:r>
        <w:rPr>
          <w:rStyle w:val="CharSectno"/>
        </w:rPr>
        <w:t>62</w:t>
      </w:r>
      <w:r>
        <w:t>.</w:t>
      </w:r>
      <w:r>
        <w:tab/>
        <w:t>Duration of protection order (special guardianship)</w:t>
      </w:r>
      <w:bookmarkEnd w:id="327"/>
      <w:bookmarkEnd w:id="328"/>
    </w:p>
    <w:p>
      <w:pPr>
        <w:pStyle w:val="Subsection"/>
      </w:pPr>
      <w:r>
        <w:tab/>
      </w:r>
      <w:r>
        <w:tab/>
        <w:t xml:space="preserve">A protection order (special guardianship) remains in force, unless it is revoked under Subdivision 7, until the earlier of — </w:t>
      </w:r>
    </w:p>
    <w:p>
      <w:pPr>
        <w:pStyle w:val="Indenta"/>
      </w:pPr>
      <w:r>
        <w:tab/>
        <w:t>(a)</w:t>
      </w:r>
      <w:r>
        <w:tab/>
        <w:t>the child reaching 18 years of age; or</w:t>
      </w:r>
    </w:p>
    <w:p>
      <w:pPr>
        <w:pStyle w:val="Indenta"/>
      </w:pPr>
      <w:r>
        <w:tab/>
        <w:t>(b)</w:t>
      </w:r>
      <w:r>
        <w:tab/>
        <w:t xml:space="preserve">an adoption order being made in relation to the child under the </w:t>
      </w:r>
      <w:r>
        <w:rPr>
          <w:i/>
        </w:rPr>
        <w:t>Adoption Act 1994</w:t>
      </w:r>
      <w:r>
        <w:t>.</w:t>
      </w:r>
    </w:p>
    <w:p>
      <w:pPr>
        <w:pStyle w:val="Footnotesection"/>
      </w:pPr>
      <w:r>
        <w:tab/>
        <w:t>[Section 62 inserted: No. 23 of 2015 s. 34.]</w:t>
      </w:r>
    </w:p>
    <w:p>
      <w:pPr>
        <w:pStyle w:val="Heading5"/>
      </w:pPr>
      <w:bookmarkStart w:id="329" w:name="_Toc148360989"/>
      <w:bookmarkStart w:id="330" w:name="_Toc117607942"/>
      <w:r>
        <w:rPr>
          <w:rStyle w:val="CharSectno"/>
        </w:rPr>
        <w:t>63</w:t>
      </w:r>
      <w:r>
        <w:t>.</w:t>
      </w:r>
      <w:r>
        <w:tab/>
        <w:t>Conditions of protection order (special guardianship)</w:t>
      </w:r>
      <w:bookmarkEnd w:id="329"/>
      <w:bookmarkEnd w:id="330"/>
    </w:p>
    <w:p>
      <w:pPr>
        <w:pStyle w:val="Subsection"/>
      </w:pPr>
      <w:r>
        <w:tab/>
        <w:t>(1)</w:t>
      </w:r>
      <w:r>
        <w:tab/>
        <w:t>A protection order (special guardianship) may include conditions to be complied with by the special guardian about —</w:t>
      </w:r>
    </w:p>
    <w:p>
      <w:pPr>
        <w:pStyle w:val="Indenta"/>
      </w:pPr>
      <w:r>
        <w:tab/>
        <w:t>(a)</w:t>
      </w:r>
      <w:r>
        <w:tab/>
        <w:t>contact between the child and another person; or</w:t>
      </w:r>
    </w:p>
    <w:p>
      <w:pPr>
        <w:pStyle w:val="Indenta"/>
      </w:pPr>
      <w:r>
        <w:tab/>
        <w:t>(b)</w:t>
      </w:r>
      <w:r>
        <w:tab/>
        <w:t>for an Aboriginal child, Torres Strait Islander child or child of a culturally or linguistically diverse background — matters that could be included in a cultural support plan for the child.</w:t>
      </w:r>
    </w:p>
    <w:p>
      <w:pPr>
        <w:pStyle w:val="Subsection"/>
      </w:pPr>
      <w:r>
        <w:tab/>
        <w:t>(2)</w:t>
      </w:r>
      <w:r>
        <w:tab/>
        <w:t xml:space="preserve">It is a condition of a protection order (special guardianship) that the special guardian must not, except with the permission of the Court, make an application under the </w:t>
      </w:r>
      <w:r>
        <w:rPr>
          <w:i/>
        </w:rPr>
        <w:t>Births, Deaths and Marriages Registration Act 1998</w:t>
      </w:r>
      <w:r>
        <w:t xml:space="preserve"> section 19(1), 23(1) or 31(3) (a </w:t>
      </w:r>
      <w:r>
        <w:rPr>
          <w:rStyle w:val="CharDefText"/>
        </w:rPr>
        <w:t>change of name application</w:t>
      </w:r>
      <w:r>
        <w:t>) in relation to the child.</w:t>
      </w:r>
    </w:p>
    <w:p>
      <w:pPr>
        <w:pStyle w:val="Subsection"/>
      </w:pPr>
      <w:r>
        <w:tab/>
        <w:t>(3)</w:t>
      </w:r>
      <w:r>
        <w:tab/>
        <w:t xml:space="preserve">The Court may, on an application made by the special guardian, permit the making of a change of name application if it is satisfied that — </w:t>
      </w:r>
    </w:p>
    <w:p>
      <w:pPr>
        <w:pStyle w:val="Indenta"/>
      </w:pPr>
      <w:r>
        <w:tab/>
        <w:t>(a)</w:t>
      </w:r>
      <w:r>
        <w:tab/>
        <w:t>there are exceptional reasons for the change of name; and</w:t>
      </w:r>
    </w:p>
    <w:p>
      <w:pPr>
        <w:pStyle w:val="Indenta"/>
      </w:pPr>
      <w:r>
        <w:tab/>
        <w:t>(b)</w:t>
      </w:r>
      <w:r>
        <w:tab/>
        <w:t>for a child who it is satisfied has sufficient maturity and understanding to consent to the change of name — the child consents to the change.</w:t>
      </w:r>
    </w:p>
    <w:p>
      <w:pPr>
        <w:pStyle w:val="Subsection"/>
      </w:pPr>
      <w:r>
        <w:tab/>
        <w:t>(4)</w:t>
      </w:r>
      <w:r>
        <w:tab/>
        <w:t>A protection order (special guardianship) must not include any conditions other than those referred to in this section.</w:t>
      </w:r>
    </w:p>
    <w:p>
      <w:pPr>
        <w:pStyle w:val="Footnotesection"/>
        <w:ind w:left="890" w:hanging="890"/>
      </w:pPr>
      <w:r>
        <w:tab/>
        <w:t>[Section 63 inserted: No. 18 of 2021 s. 28.]</w:t>
      </w:r>
    </w:p>
    <w:p>
      <w:pPr>
        <w:pStyle w:val="Heading5"/>
      </w:pPr>
      <w:bookmarkStart w:id="331" w:name="_Toc148360990"/>
      <w:bookmarkStart w:id="332" w:name="_Toc117607943"/>
      <w:r>
        <w:rPr>
          <w:rStyle w:val="CharSectno"/>
        </w:rPr>
        <w:t>64</w:t>
      </w:r>
      <w:r>
        <w:t>.</w:t>
      </w:r>
      <w:r>
        <w:tab/>
        <w:t>Variation of conditions</w:t>
      </w:r>
      <w:bookmarkEnd w:id="331"/>
      <w:bookmarkEnd w:id="332"/>
    </w:p>
    <w:p>
      <w:pPr>
        <w:pStyle w:val="Subsection"/>
      </w:pPr>
      <w:r>
        <w:tab/>
        <w:t>(1)</w:t>
      </w:r>
      <w:r>
        <w:tab/>
        <w:t>In this section —</w:t>
      </w:r>
    </w:p>
    <w:p>
      <w:pPr>
        <w:pStyle w:val="Defstart"/>
      </w:pPr>
      <w:r>
        <w:tab/>
      </w:r>
      <w:r>
        <w:rPr>
          <w:rStyle w:val="CharDefText"/>
        </w:rPr>
        <w:t>condition</w:t>
      </w:r>
      <w:r>
        <w:t xml:space="preserve"> means a condition of a protection order (special guardianship) other than the condition referred to in section 63(2).</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No. 49 of 2010 s. 29; No. 18 of 2021 s. 29.]</w:t>
      </w:r>
    </w:p>
    <w:p>
      <w:pPr>
        <w:pStyle w:val="Heading5"/>
      </w:pPr>
      <w:bookmarkStart w:id="333" w:name="_Toc148360991"/>
      <w:bookmarkStart w:id="334" w:name="_Toc117607944"/>
      <w:r>
        <w:rPr>
          <w:rStyle w:val="CharSectno"/>
        </w:rPr>
        <w:t>65</w:t>
      </w:r>
      <w:r>
        <w:t>.</w:t>
      </w:r>
      <w:r>
        <w:tab/>
        <w:t>Court may order payments to special guardian</w:t>
      </w:r>
      <w:bookmarkEnd w:id="333"/>
      <w:bookmarkEnd w:id="334"/>
    </w:p>
    <w:p>
      <w:pPr>
        <w:pStyle w:val="Subsection"/>
        <w:spacing w:before="180"/>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spacing w:before="180"/>
      </w:pPr>
      <w:r>
        <w:tab/>
        <w:t>(2)</w:t>
      </w:r>
      <w:r>
        <w:tab/>
        <w:t>The CEO must give effect to an order made under subsection (1).</w:t>
      </w:r>
    </w:p>
    <w:p>
      <w:pPr>
        <w:pStyle w:val="Subsection"/>
        <w:spacing w:before="180"/>
      </w:pPr>
      <w:r>
        <w:tab/>
        <w:t>(3)</w:t>
      </w:r>
      <w:r>
        <w:tab/>
        <w:t>The Court may, on the application of a party to the initial proceedings, revoke an order made under subsection (1).</w:t>
      </w:r>
    </w:p>
    <w:p>
      <w:pPr>
        <w:pStyle w:val="Subsection"/>
      </w:pPr>
      <w:r>
        <w:tab/>
        <w:t>(4A)</w:t>
      </w:r>
      <w:r>
        <w:tab/>
        <w:t>An order made under subsection (1) ceases to be in force if the protection order (special guardianship) in relation to which it was made ceases to be in force.</w:t>
      </w:r>
    </w:p>
    <w:p>
      <w:pPr>
        <w:pStyle w:val="Subsection"/>
        <w:spacing w:before="180"/>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No. 49 of 2010 s. 30; No. 23 of 2015 s. 35.]</w:t>
      </w:r>
    </w:p>
    <w:p>
      <w:pPr>
        <w:pStyle w:val="Heading5"/>
        <w:spacing w:before="240"/>
      </w:pPr>
      <w:bookmarkStart w:id="335" w:name="_Toc148360992"/>
      <w:bookmarkStart w:id="336" w:name="_Toc117607945"/>
      <w:r>
        <w:rPr>
          <w:rStyle w:val="CharSectno"/>
        </w:rPr>
        <w:t>66</w:t>
      </w:r>
      <w:r>
        <w:t>.</w:t>
      </w:r>
      <w:r>
        <w:tab/>
        <w:t>Provision of social services</w:t>
      </w:r>
      <w:bookmarkEnd w:id="335"/>
      <w:bookmarkEnd w:id="336"/>
    </w:p>
    <w:p>
      <w:pPr>
        <w:pStyle w:val="Subsection"/>
        <w:spacing w:before="180"/>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ind w:left="890" w:hanging="890"/>
      </w:pPr>
      <w:r>
        <w:tab/>
        <w:t>[Section 66 amended: No. 49 of 2010 s. 31.]</w:t>
      </w:r>
    </w:p>
    <w:p>
      <w:pPr>
        <w:pStyle w:val="Heading4"/>
      </w:pPr>
      <w:bookmarkStart w:id="337" w:name="_Toc148348565"/>
      <w:bookmarkStart w:id="338" w:name="_Toc148358349"/>
      <w:bookmarkStart w:id="339" w:name="_Toc148360993"/>
      <w:bookmarkStart w:id="340" w:name="_Toc117582609"/>
      <w:bookmarkStart w:id="341" w:name="_Toc117584422"/>
      <w:bookmarkStart w:id="342" w:name="_Toc117585592"/>
      <w:bookmarkStart w:id="343" w:name="_Toc117607946"/>
      <w:r>
        <w:t>Subdivision 7 — Revocation and replacement of protection orders</w:t>
      </w:r>
      <w:bookmarkEnd w:id="337"/>
      <w:bookmarkEnd w:id="338"/>
      <w:bookmarkEnd w:id="339"/>
      <w:bookmarkEnd w:id="340"/>
      <w:bookmarkEnd w:id="341"/>
      <w:bookmarkEnd w:id="342"/>
      <w:bookmarkEnd w:id="343"/>
    </w:p>
    <w:p>
      <w:pPr>
        <w:pStyle w:val="Heading5"/>
        <w:spacing w:before="240"/>
      </w:pPr>
      <w:bookmarkStart w:id="344" w:name="_Toc148360994"/>
      <w:bookmarkStart w:id="345" w:name="_Toc117607947"/>
      <w:r>
        <w:rPr>
          <w:rStyle w:val="CharSectno"/>
        </w:rPr>
        <w:t>67</w:t>
      </w:r>
      <w:r>
        <w:t>.</w:t>
      </w:r>
      <w:r>
        <w:tab/>
        <w:t>Revocation of protection order</w:t>
      </w:r>
      <w:bookmarkEnd w:id="344"/>
      <w:bookmarkEnd w:id="345"/>
    </w:p>
    <w:p>
      <w:pPr>
        <w:pStyle w:val="Subsection"/>
      </w:pPr>
      <w:r>
        <w:tab/>
        <w:t>(1)</w:t>
      </w:r>
      <w:r>
        <w:tab/>
        <w:t>A party to the initial proceedings may apply to the Court for the revocation of a protection order.</w:t>
      </w:r>
    </w:p>
    <w:p>
      <w:pPr>
        <w:pStyle w:val="Subsection"/>
        <w:keepNext/>
        <w:keepLines/>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346" w:name="_Toc148360995"/>
      <w:bookmarkStart w:id="347" w:name="_Toc117607948"/>
      <w:r>
        <w:rPr>
          <w:rStyle w:val="CharSectno"/>
        </w:rPr>
        <w:t>68</w:t>
      </w:r>
      <w:r>
        <w:t>.</w:t>
      </w:r>
      <w:r>
        <w:tab/>
        <w:t>Replacement of protection order: application by CEO</w:t>
      </w:r>
      <w:bookmarkEnd w:id="346"/>
      <w:bookmarkEnd w:id="347"/>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No. 49 of 2010 s. 32 and 60.]</w:t>
      </w:r>
    </w:p>
    <w:p>
      <w:pPr>
        <w:pStyle w:val="Heading5"/>
        <w:spacing w:before="180"/>
      </w:pPr>
      <w:bookmarkStart w:id="348" w:name="_Toc148360996"/>
      <w:bookmarkStart w:id="349" w:name="_Toc117607949"/>
      <w:r>
        <w:rPr>
          <w:rStyle w:val="CharSectno"/>
        </w:rPr>
        <w:t>69A</w:t>
      </w:r>
      <w:r>
        <w:t>.</w:t>
      </w:r>
      <w:r>
        <w:tab/>
        <w:t>Replacement of protection order (time</w:t>
      </w:r>
      <w:r>
        <w:noBreakHyphen/>
        <w:t>limited) or protection order (until 18): application by carer</w:t>
      </w:r>
      <w:bookmarkEnd w:id="348"/>
      <w:bookmarkEnd w:id="349"/>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80"/>
      </w:pPr>
      <w:r>
        <w:rPr>
          <w:szCs w:val="22"/>
        </w:rPr>
        <w:tab/>
      </w:r>
      <w:r>
        <w:rPr>
          <w:szCs w:val="22"/>
        </w:rPr>
        <w:tab/>
        <w:t>for at least the period of 2 years immediately preceding the day on which the application is made.</w:t>
      </w:r>
    </w:p>
    <w:p>
      <w:pPr>
        <w:pStyle w:val="Subsection"/>
        <w:spacing w:before="180"/>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spacing w:before="180"/>
      </w:pPr>
      <w:r>
        <w:tab/>
        <w:t>(3)</w:t>
      </w:r>
      <w:r>
        <w:tab/>
        <w:t>An application under subsection (2) must nominate the individual or individuals to whom parental responsibility for the child is proposed to be given under the protection order (special guardianship).</w:t>
      </w:r>
    </w:p>
    <w:p>
      <w:pPr>
        <w:pStyle w:val="Subsection"/>
        <w:spacing w:before="180"/>
      </w:pPr>
      <w:r>
        <w:tab/>
        <w:t>(4)</w:t>
      </w:r>
      <w:r>
        <w:tab/>
        <w:t>The applicant must be the individual or one of the individuals nominated in the application.</w:t>
      </w:r>
    </w:p>
    <w:p>
      <w:pPr>
        <w:pStyle w:val="Subsection"/>
        <w:keepLines/>
        <w:spacing w:before="180"/>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spacing w:before="180"/>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No. 49 of 2010 s. 33.]</w:t>
      </w:r>
    </w:p>
    <w:p>
      <w:pPr>
        <w:pStyle w:val="Heading5"/>
      </w:pPr>
      <w:bookmarkStart w:id="350" w:name="_Toc148360997"/>
      <w:bookmarkStart w:id="351" w:name="_Toc117607950"/>
      <w:r>
        <w:rPr>
          <w:rStyle w:val="CharSectno"/>
        </w:rPr>
        <w:t>69B</w:t>
      </w:r>
      <w:r>
        <w:t>.</w:t>
      </w:r>
      <w:r>
        <w:tab/>
        <w:t>Replacement of protection order (special guardianship) on notification by CEO</w:t>
      </w:r>
      <w:bookmarkEnd w:id="350"/>
      <w:bookmarkEnd w:id="351"/>
    </w:p>
    <w:p>
      <w:pPr>
        <w:pStyle w:val="Subsection"/>
      </w:pPr>
      <w:r>
        <w:tab/>
        <w:t>(1)</w:t>
      </w:r>
      <w:r>
        <w:tab/>
        <w:t>If the CEO becomes aware that each individual who is a special guardian under a protection order (special guardianship) has died, the CEO must give written notice of that fact to the Court as soon as practicable.</w:t>
      </w:r>
    </w:p>
    <w:p>
      <w:pPr>
        <w:pStyle w:val="Subsection"/>
      </w:pPr>
      <w:r>
        <w:tab/>
        <w:t>(2)</w:t>
      </w:r>
      <w:r>
        <w:tab/>
        <w:t>If the CEO gives written notice to the Court under subsection (1), the protection order (special guardianship) is revoked and replaced by a protection order (time</w:t>
      </w:r>
      <w:r>
        <w:noBreakHyphen/>
        <w:t>limited) in respect of the child on the day (</w:t>
      </w:r>
      <w:r>
        <w:rPr>
          <w:rStyle w:val="CharDefText"/>
        </w:rPr>
        <w:t>notification day</w:t>
      </w:r>
      <w:r>
        <w:t>) on which the CEO gives the notice.</w:t>
      </w:r>
    </w:p>
    <w:p>
      <w:pPr>
        <w:pStyle w:val="Subsection"/>
      </w:pPr>
      <w:r>
        <w:tab/>
        <w:t>(3)</w:t>
      </w:r>
      <w:r>
        <w:tab/>
        <w:t>The protection order (time</w:t>
      </w:r>
      <w:r>
        <w:noBreakHyphen/>
        <w:t>limited) —</w:t>
      </w:r>
    </w:p>
    <w:p>
      <w:pPr>
        <w:pStyle w:val="Indenta"/>
      </w:pPr>
      <w:r>
        <w:tab/>
        <w:t>(a)</w:t>
      </w:r>
      <w:r>
        <w:tab/>
        <w:t>comes into force on notification day; and</w:t>
      </w:r>
    </w:p>
    <w:p>
      <w:pPr>
        <w:pStyle w:val="Indenta"/>
      </w:pPr>
      <w:r>
        <w:tab/>
        <w:t>(b)</w:t>
      </w:r>
      <w:r>
        <w:tab/>
        <w:t xml:space="preserve">for the purposes of Subdivision 4, is taken to specify the shorter of the following periods — </w:t>
      </w:r>
    </w:p>
    <w:p>
      <w:pPr>
        <w:pStyle w:val="Indenti"/>
      </w:pPr>
      <w:r>
        <w:tab/>
        <w:t>(i)</w:t>
      </w:r>
      <w:r>
        <w:tab/>
        <w:t>the period of 2 years beginning on notification day;</w:t>
      </w:r>
    </w:p>
    <w:p>
      <w:pPr>
        <w:pStyle w:val="Indenti"/>
      </w:pPr>
      <w:r>
        <w:tab/>
        <w:t>(ii)</w:t>
      </w:r>
      <w:r>
        <w:tab/>
        <w:t>the period beginning on notification day and ending on the day before the day on which the child reaches 18 years of age.</w:t>
      </w:r>
    </w:p>
    <w:p>
      <w:pPr>
        <w:pStyle w:val="Subsection"/>
      </w:pPr>
      <w:r>
        <w:tab/>
        <w:t>(4)</w:t>
      </w:r>
      <w:r>
        <w:tab/>
        <w:t>As soon as practicable after notification day, the CEO must give written notice of the protection order (time</w:t>
      </w:r>
      <w:r>
        <w:noBreakHyphen/>
        <w:t xml:space="preserve">limited) to the following — </w:t>
      </w:r>
    </w:p>
    <w:p>
      <w:pPr>
        <w:pStyle w:val="Indenta"/>
      </w:pPr>
      <w:r>
        <w:tab/>
        <w:t>(a)</w:t>
      </w:r>
      <w:r>
        <w:tab/>
        <w:t>the child;</w:t>
      </w:r>
    </w:p>
    <w:p>
      <w:pPr>
        <w:pStyle w:val="Indenta"/>
      </w:pPr>
      <w:r>
        <w:tab/>
        <w:t>(b)</w:t>
      </w:r>
      <w:r>
        <w:tab/>
        <w:t>each other party to the initial proceedings (other than the special guardian);</w:t>
      </w:r>
    </w:p>
    <w:p>
      <w:pPr>
        <w:pStyle w:val="Indenta"/>
      </w:pPr>
      <w:r>
        <w:tab/>
        <w:t>(c)</w:t>
      </w:r>
      <w:r>
        <w:tab/>
        <w:t>each other person considered by the CEO to have a direct and significant interest in the wellbeing of the child.</w:t>
      </w:r>
    </w:p>
    <w:p>
      <w:pPr>
        <w:pStyle w:val="Subsection"/>
      </w:pPr>
      <w:r>
        <w:tab/>
        <w:t>(5)</w:t>
      </w:r>
      <w:r>
        <w:tab/>
        <w:t>Section 67 applies in relation to a protection order (time</w:t>
      </w:r>
      <w:r>
        <w:noBreakHyphen/>
        <w:t>limited) that comes into force under this section as if the reference in section 67(1) to a party to the initial proceedings were a reference to a person notified of the order under subsection (4).</w:t>
      </w:r>
    </w:p>
    <w:p>
      <w:pPr>
        <w:pStyle w:val="Footnotesection"/>
        <w:ind w:left="890" w:hanging="890"/>
      </w:pPr>
      <w:r>
        <w:tab/>
        <w:t>[Section 69B inserted: No. 18 of 2021 s. 30.]</w:t>
      </w:r>
    </w:p>
    <w:p>
      <w:pPr>
        <w:pStyle w:val="Heading4"/>
      </w:pPr>
      <w:bookmarkStart w:id="352" w:name="_Toc148348570"/>
      <w:bookmarkStart w:id="353" w:name="_Toc148358354"/>
      <w:bookmarkStart w:id="354" w:name="_Toc148360998"/>
      <w:bookmarkStart w:id="355" w:name="_Toc117582614"/>
      <w:bookmarkStart w:id="356" w:name="_Toc117584427"/>
      <w:bookmarkStart w:id="357" w:name="_Toc117585597"/>
      <w:bookmarkStart w:id="358" w:name="_Toc117607951"/>
      <w:r>
        <w:t>Subdivision 8 — General</w:t>
      </w:r>
      <w:bookmarkEnd w:id="352"/>
      <w:bookmarkEnd w:id="353"/>
      <w:bookmarkEnd w:id="354"/>
      <w:bookmarkEnd w:id="355"/>
      <w:bookmarkEnd w:id="356"/>
      <w:bookmarkEnd w:id="357"/>
      <w:bookmarkEnd w:id="358"/>
    </w:p>
    <w:p>
      <w:pPr>
        <w:pStyle w:val="Heading5"/>
        <w:keepNext w:val="0"/>
        <w:keepLines w:val="0"/>
        <w:spacing w:before="180"/>
      </w:pPr>
      <w:bookmarkStart w:id="359" w:name="_Toc148360999"/>
      <w:bookmarkStart w:id="360" w:name="_Toc117607952"/>
      <w:r>
        <w:rPr>
          <w:rStyle w:val="CharSectno"/>
        </w:rPr>
        <w:t>69</w:t>
      </w:r>
      <w:r>
        <w:t>.</w:t>
      </w:r>
      <w:r>
        <w:tab/>
        <w:t>Applications for extension, variation, revocation or replacement of protection orders</w:t>
      </w:r>
      <w:bookmarkEnd w:id="359"/>
      <w:bookmarkEnd w:id="360"/>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spacing w:before="180"/>
      </w:pPr>
      <w:bookmarkStart w:id="361" w:name="_Toc148361000"/>
      <w:bookmarkStart w:id="362" w:name="_Toc117607953"/>
      <w:r>
        <w:rPr>
          <w:rStyle w:val="CharSectno"/>
        </w:rPr>
        <w:t>70</w:t>
      </w:r>
      <w:r>
        <w:t>.</w:t>
      </w:r>
      <w:r>
        <w:tab/>
        <w:t>Form of protection order</w:t>
      </w:r>
      <w:bookmarkEnd w:id="361"/>
      <w:bookmarkEnd w:id="362"/>
    </w:p>
    <w:p>
      <w:pPr>
        <w:pStyle w:val="Subsection"/>
        <w:keepNext/>
        <w:keepLines/>
      </w:pPr>
      <w:r>
        <w:tab/>
        <w:t>(1)</w:t>
      </w:r>
      <w:r>
        <w:tab/>
        <w:t>A protection order must be in writing and must state the child’s name and date of birth.</w:t>
      </w:r>
    </w:p>
    <w:p>
      <w:pPr>
        <w:pStyle w:val="Subsection"/>
      </w:pPr>
      <w:r>
        <w:tab/>
        <w:t>(2)</w:t>
      </w:r>
      <w:r>
        <w:tab/>
        <w:t>A protection order, if made on a protection application, must state the basis under section 28 for finding that the child is in need of protection.</w:t>
      </w:r>
    </w:p>
    <w:p>
      <w:pPr>
        <w:pStyle w:val="Heading5"/>
        <w:spacing w:before="180"/>
      </w:pPr>
      <w:bookmarkStart w:id="363" w:name="_Toc148361001"/>
      <w:bookmarkStart w:id="364" w:name="_Toc117607954"/>
      <w:r>
        <w:rPr>
          <w:rStyle w:val="CharSectno"/>
        </w:rPr>
        <w:t>71</w:t>
      </w:r>
      <w:r>
        <w:t>.</w:t>
      </w:r>
      <w:r>
        <w:tab/>
        <w:t>Child’s date of birth</w:t>
      </w:r>
      <w:bookmarkEnd w:id="363"/>
      <w:bookmarkEnd w:id="364"/>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365" w:name="_Toc148361002"/>
      <w:bookmarkStart w:id="366" w:name="_Toc117607955"/>
      <w:r>
        <w:rPr>
          <w:rStyle w:val="CharSectno"/>
        </w:rPr>
        <w:t>72</w:t>
      </w:r>
      <w:r>
        <w:t>.</w:t>
      </w:r>
      <w:r>
        <w:tab/>
        <w:t>Parties to proceedings to be given copy of protection order</w:t>
      </w:r>
      <w:bookmarkEnd w:id="365"/>
      <w:bookmarkEnd w:id="366"/>
    </w:p>
    <w:p>
      <w:pPr>
        <w:pStyle w:val="Subsection"/>
        <w:keepLines/>
      </w:pPr>
      <w:r>
        <w:tab/>
      </w:r>
      <w:r>
        <w:tab/>
        <w:t>If the Court makes a protection order it must take all reasonable steps to ensure that each party is given a copy of the order.</w:t>
      </w:r>
    </w:p>
    <w:p>
      <w:pPr>
        <w:pStyle w:val="Heading5"/>
        <w:keepLines w:val="0"/>
        <w:spacing w:before="240"/>
      </w:pPr>
      <w:bookmarkStart w:id="367" w:name="_Toc148361003"/>
      <w:bookmarkStart w:id="368" w:name="_Toc117607956"/>
      <w:r>
        <w:rPr>
          <w:rStyle w:val="CharSectno"/>
        </w:rPr>
        <w:t>73</w:t>
      </w:r>
      <w:r>
        <w:t>.</w:t>
      </w:r>
      <w:r>
        <w:tab/>
        <w:t>Maintenance of children under certain orders</w:t>
      </w:r>
      <w:bookmarkEnd w:id="367"/>
      <w:bookmarkEnd w:id="368"/>
    </w:p>
    <w:p>
      <w:pPr>
        <w:pStyle w:val="Subsection"/>
        <w:keepNext/>
      </w:pPr>
      <w:r>
        <w:tab/>
        <w:t>(1)</w:t>
      </w:r>
      <w:r>
        <w:tab/>
        <w:t xml:space="preserve">In this section — </w:t>
      </w:r>
    </w:p>
    <w:p>
      <w:pPr>
        <w:pStyle w:val="Defstart"/>
        <w:keepNex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No. 49 of 2010 s. 34.]</w:t>
      </w:r>
    </w:p>
    <w:p>
      <w:pPr>
        <w:pStyle w:val="Heading3"/>
        <w:spacing w:before="220"/>
      </w:pPr>
      <w:bookmarkStart w:id="369" w:name="_Toc148348576"/>
      <w:bookmarkStart w:id="370" w:name="_Toc148358360"/>
      <w:bookmarkStart w:id="371" w:name="_Toc148361004"/>
      <w:bookmarkStart w:id="372" w:name="_Toc117582620"/>
      <w:bookmarkStart w:id="373" w:name="_Toc117584433"/>
      <w:bookmarkStart w:id="374" w:name="_Toc117585603"/>
      <w:bookmarkStart w:id="375" w:name="_Toc117607957"/>
      <w:r>
        <w:rPr>
          <w:rStyle w:val="CharDivNo"/>
        </w:rPr>
        <w:t>Division 4</w:t>
      </w:r>
      <w:r>
        <w:t> — </w:t>
      </w:r>
      <w:r>
        <w:rPr>
          <w:rStyle w:val="CharDivText"/>
        </w:rPr>
        <w:t>Negotiated placement</w:t>
      </w:r>
      <w:bookmarkEnd w:id="369"/>
      <w:bookmarkEnd w:id="370"/>
      <w:bookmarkEnd w:id="371"/>
      <w:bookmarkEnd w:id="372"/>
      <w:bookmarkEnd w:id="373"/>
      <w:bookmarkEnd w:id="374"/>
      <w:bookmarkEnd w:id="375"/>
    </w:p>
    <w:p>
      <w:pPr>
        <w:pStyle w:val="Heading5"/>
      </w:pPr>
      <w:bookmarkStart w:id="376" w:name="_Toc148361005"/>
      <w:bookmarkStart w:id="377" w:name="_Toc117607958"/>
      <w:r>
        <w:rPr>
          <w:rStyle w:val="CharSectno"/>
        </w:rPr>
        <w:t>74</w:t>
      </w:r>
      <w:r>
        <w:t>.</w:t>
      </w:r>
      <w:r>
        <w:tab/>
        <w:t>Term used: child</w:t>
      </w:r>
      <w:bookmarkEnd w:id="376"/>
      <w:bookmarkEnd w:id="377"/>
    </w:p>
    <w:p>
      <w:pPr>
        <w:pStyle w:val="Subsection"/>
        <w:keepNext/>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378" w:name="_Toc148361006"/>
      <w:bookmarkStart w:id="379" w:name="_Toc117607959"/>
      <w:r>
        <w:rPr>
          <w:rStyle w:val="CharSectno"/>
        </w:rPr>
        <w:t>75</w:t>
      </w:r>
      <w:r>
        <w:t>.</w:t>
      </w:r>
      <w:r>
        <w:tab/>
        <w:t>Negotiated placement agreement</w:t>
      </w:r>
      <w:bookmarkEnd w:id="378"/>
      <w:bookmarkEnd w:id="379"/>
    </w:p>
    <w:p>
      <w:pPr>
        <w:pStyle w:val="Subsection"/>
        <w:keepLines/>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keepNext/>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380" w:name="_Toc148361007"/>
      <w:bookmarkStart w:id="381" w:name="_Toc117607960"/>
      <w:r>
        <w:rPr>
          <w:rStyle w:val="CharSectno"/>
        </w:rPr>
        <w:t>76</w:t>
      </w:r>
      <w:r>
        <w:t>.</w:t>
      </w:r>
      <w:r>
        <w:tab/>
        <w:t>Duration of negotiated placement agreement</w:t>
      </w:r>
      <w:bookmarkEnd w:id="380"/>
      <w:bookmarkEnd w:id="381"/>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382" w:name="_Toc148361008"/>
      <w:bookmarkStart w:id="383" w:name="_Toc117607961"/>
      <w:r>
        <w:rPr>
          <w:rStyle w:val="CharSectno"/>
        </w:rPr>
        <w:t>77</w:t>
      </w:r>
      <w:r>
        <w:t>.</w:t>
      </w:r>
      <w:r>
        <w:tab/>
        <w:t>Termination of negotiated placement agreement</w:t>
      </w:r>
      <w:bookmarkEnd w:id="382"/>
      <w:bookmarkEnd w:id="383"/>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384" w:name="_Toc148348581"/>
      <w:bookmarkStart w:id="385" w:name="_Toc148358365"/>
      <w:bookmarkStart w:id="386" w:name="_Toc148361009"/>
      <w:bookmarkStart w:id="387" w:name="_Toc117582625"/>
      <w:bookmarkStart w:id="388" w:name="_Toc117584438"/>
      <w:bookmarkStart w:id="389" w:name="_Toc117585608"/>
      <w:bookmarkStart w:id="390" w:name="_Toc117607962"/>
      <w:r>
        <w:rPr>
          <w:rStyle w:val="CharDivNo"/>
        </w:rPr>
        <w:t>Division 5</w:t>
      </w:r>
      <w:r>
        <w:t> — </w:t>
      </w:r>
      <w:r>
        <w:rPr>
          <w:rStyle w:val="CharDivText"/>
        </w:rPr>
        <w:t>Children in the CEO’s care</w:t>
      </w:r>
      <w:bookmarkEnd w:id="384"/>
      <w:bookmarkEnd w:id="385"/>
      <w:bookmarkEnd w:id="386"/>
      <w:bookmarkEnd w:id="387"/>
      <w:bookmarkEnd w:id="388"/>
      <w:bookmarkEnd w:id="389"/>
      <w:bookmarkEnd w:id="390"/>
    </w:p>
    <w:p>
      <w:pPr>
        <w:pStyle w:val="Heading4"/>
      </w:pPr>
      <w:bookmarkStart w:id="391" w:name="_Toc148348582"/>
      <w:bookmarkStart w:id="392" w:name="_Toc148358366"/>
      <w:bookmarkStart w:id="393" w:name="_Toc148361010"/>
      <w:bookmarkStart w:id="394" w:name="_Toc117582626"/>
      <w:bookmarkStart w:id="395" w:name="_Toc117584439"/>
      <w:bookmarkStart w:id="396" w:name="_Toc117585609"/>
      <w:bookmarkStart w:id="397" w:name="_Toc117607963"/>
      <w:r>
        <w:t>Subdivision 1 — Charter of Rights</w:t>
      </w:r>
      <w:bookmarkEnd w:id="391"/>
      <w:bookmarkEnd w:id="392"/>
      <w:bookmarkEnd w:id="393"/>
      <w:bookmarkEnd w:id="394"/>
      <w:bookmarkEnd w:id="395"/>
      <w:bookmarkEnd w:id="396"/>
      <w:bookmarkEnd w:id="397"/>
    </w:p>
    <w:p>
      <w:pPr>
        <w:pStyle w:val="Heading5"/>
      </w:pPr>
      <w:bookmarkStart w:id="398" w:name="_Toc148361011"/>
      <w:bookmarkStart w:id="399" w:name="_Toc117607964"/>
      <w:r>
        <w:rPr>
          <w:rStyle w:val="CharSectno"/>
        </w:rPr>
        <w:t>78</w:t>
      </w:r>
      <w:r>
        <w:t>.</w:t>
      </w:r>
      <w:r>
        <w:tab/>
        <w:t>Preparation etc. of Charter of Rights</w:t>
      </w:r>
      <w:bookmarkEnd w:id="398"/>
      <w:bookmarkEnd w:id="399"/>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400" w:name="_Toc148348584"/>
      <w:bookmarkStart w:id="401" w:name="_Toc148358368"/>
      <w:bookmarkStart w:id="402" w:name="_Toc148361012"/>
      <w:bookmarkStart w:id="403" w:name="_Toc117582628"/>
      <w:bookmarkStart w:id="404" w:name="_Toc117584441"/>
      <w:bookmarkStart w:id="405" w:name="_Toc117585611"/>
      <w:bookmarkStart w:id="406" w:name="_Toc117607965"/>
      <w:r>
        <w:t>Subdivision 2 — Placement arrangements</w:t>
      </w:r>
      <w:bookmarkEnd w:id="400"/>
      <w:bookmarkEnd w:id="401"/>
      <w:bookmarkEnd w:id="402"/>
      <w:bookmarkEnd w:id="403"/>
      <w:bookmarkEnd w:id="404"/>
      <w:bookmarkEnd w:id="405"/>
      <w:bookmarkEnd w:id="406"/>
    </w:p>
    <w:p>
      <w:pPr>
        <w:pStyle w:val="Heading5"/>
      </w:pPr>
      <w:bookmarkStart w:id="407" w:name="_Toc148361013"/>
      <w:bookmarkStart w:id="408" w:name="_Toc117607966"/>
      <w:r>
        <w:rPr>
          <w:rStyle w:val="CharSectno"/>
        </w:rPr>
        <w:t>79</w:t>
      </w:r>
      <w:r>
        <w:t>.</w:t>
      </w:r>
      <w:r>
        <w:tab/>
        <w:t>CEO may arrange placement of child</w:t>
      </w:r>
      <w:bookmarkEnd w:id="407"/>
      <w:bookmarkEnd w:id="408"/>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 or</w:t>
      </w:r>
    </w:p>
    <w:p>
      <w:pPr>
        <w:pStyle w:val="Indenti"/>
      </w:pPr>
      <w:r>
        <w:tab/>
        <w:t>(iv)</w:t>
      </w:r>
      <w:r>
        <w:tab/>
        <w:t>as otherwise prescribed by the regulations;</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No. 49 of 2010 s. 8 and 61; No. 18 of 2021 s. 31.]</w:t>
      </w:r>
    </w:p>
    <w:p>
      <w:pPr>
        <w:pStyle w:val="Heading5"/>
      </w:pPr>
      <w:bookmarkStart w:id="409" w:name="_Toc148361014"/>
      <w:bookmarkStart w:id="410" w:name="_Toc117607967"/>
      <w:r>
        <w:rPr>
          <w:rStyle w:val="CharSectno"/>
        </w:rPr>
        <w:t>80</w:t>
      </w:r>
      <w:r>
        <w:t>.</w:t>
      </w:r>
      <w:r>
        <w:tab/>
        <w:t>Guidelines for placement of certain children</w:t>
      </w:r>
      <w:bookmarkEnd w:id="409"/>
      <w:bookmarkEnd w:id="410"/>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keepNext/>
      </w:pPr>
      <w:r>
        <w:tab/>
        <w:t>(4)</w:t>
      </w:r>
      <w:r>
        <w:tab/>
        <w:t>The guidelines are not to apply to Aboriginal or Torres Strait Islander children.</w:t>
      </w:r>
    </w:p>
    <w:p>
      <w:pPr>
        <w:pStyle w:val="PermNoteHeading"/>
      </w:pPr>
      <w:r>
        <w:tab/>
        <w:t>Note for this subsection:</w:t>
      </w:r>
    </w:p>
    <w:p>
      <w:pPr>
        <w:pStyle w:val="PermNoteText"/>
      </w:pPr>
      <w:r>
        <w:tab/>
      </w:r>
      <w:r>
        <w:tab/>
        <w:t>Section 12 sets out the relevant principle relating to the placement of Aboriginal or Torres Strait Islander children.</w:t>
      </w:r>
    </w:p>
    <w:p>
      <w:pPr>
        <w:pStyle w:val="Heading5"/>
      </w:pPr>
      <w:bookmarkStart w:id="411" w:name="_Toc148361015"/>
      <w:bookmarkStart w:id="412" w:name="_Toc117607968"/>
      <w:r>
        <w:rPr>
          <w:rStyle w:val="CharSectno"/>
        </w:rPr>
        <w:t>81</w:t>
      </w:r>
      <w:r>
        <w:t>.</w:t>
      </w:r>
      <w:r>
        <w:tab/>
        <w:t>Consultation before placement of Aboriginal or Torres Strait Islander child</w:t>
      </w:r>
      <w:bookmarkEnd w:id="411"/>
      <w:bookmarkEnd w:id="412"/>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No. 49 of 2010 s. 62.]</w:t>
      </w:r>
    </w:p>
    <w:p>
      <w:pPr>
        <w:pStyle w:val="Heading5"/>
      </w:pPr>
      <w:bookmarkStart w:id="413" w:name="_Toc148361016"/>
      <w:bookmarkStart w:id="414" w:name="_Toc117607969"/>
      <w:r>
        <w:rPr>
          <w:rStyle w:val="CharSectno"/>
        </w:rPr>
        <w:t>82</w:t>
      </w:r>
      <w:r>
        <w:t>.</w:t>
      </w:r>
      <w:r>
        <w:tab/>
        <w:t>Payment for care under placement arrangement</w:t>
      </w:r>
      <w:bookmarkEnd w:id="413"/>
      <w:bookmarkEnd w:id="414"/>
    </w:p>
    <w:p>
      <w:pPr>
        <w:pStyle w:val="Subsection"/>
      </w:pPr>
      <w:r>
        <w:tab/>
      </w:r>
      <w:r>
        <w:tab/>
        <w:t>The CEO may make payments to a person for or in relation to the provision of care for a child under a placement arrangement.</w:t>
      </w:r>
    </w:p>
    <w:p>
      <w:pPr>
        <w:pStyle w:val="Heading5"/>
      </w:pPr>
      <w:bookmarkStart w:id="415" w:name="_Toc148361017"/>
      <w:bookmarkStart w:id="416" w:name="_Toc117607970"/>
      <w:r>
        <w:rPr>
          <w:rStyle w:val="CharSectno"/>
        </w:rPr>
        <w:t>83</w:t>
      </w:r>
      <w:r>
        <w:t>.</w:t>
      </w:r>
      <w:r>
        <w:tab/>
        <w:t>Inspection of place where child living</w:t>
      </w:r>
      <w:bookmarkEnd w:id="415"/>
      <w:bookmarkEnd w:id="416"/>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417" w:name="_Toc148361018"/>
      <w:bookmarkStart w:id="418" w:name="_Toc117607971"/>
      <w:r>
        <w:rPr>
          <w:rStyle w:val="CharSectno"/>
        </w:rPr>
        <w:t>84</w:t>
      </w:r>
      <w:r>
        <w:t>.</w:t>
      </w:r>
      <w:r>
        <w:tab/>
        <w:t>Authorised officer may require person to hand over child</w:t>
      </w:r>
      <w:bookmarkEnd w:id="417"/>
      <w:bookmarkEnd w:id="418"/>
    </w:p>
    <w:p>
      <w:pPr>
        <w:pStyle w:val="Subsection"/>
        <w:keepNext/>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for this subsection: a fine of $12 000 and imprisonment for one year.</w:t>
      </w:r>
    </w:p>
    <w:p>
      <w:pPr>
        <w:pStyle w:val="Footnotesection"/>
      </w:pPr>
      <w:r>
        <w:tab/>
        <w:t>[Section 84 inserted: No. 49 of 2010 s. 63; amended: No. 18 of 2021 s. 76.]</w:t>
      </w:r>
    </w:p>
    <w:p>
      <w:pPr>
        <w:pStyle w:val="Heading5"/>
        <w:spacing w:before="240"/>
      </w:pPr>
      <w:bookmarkStart w:id="419" w:name="_Toc148361019"/>
      <w:bookmarkStart w:id="420" w:name="_Toc117607972"/>
      <w:r>
        <w:rPr>
          <w:rStyle w:val="CharSectno"/>
        </w:rPr>
        <w:t>85</w:t>
      </w:r>
      <w:r>
        <w:t>.</w:t>
      </w:r>
      <w:r>
        <w:tab/>
        <w:t>Warrant (apprehension) where child not handed over</w:t>
      </w:r>
      <w:bookmarkEnd w:id="419"/>
      <w:bookmarkEnd w:id="420"/>
    </w:p>
    <w:p>
      <w:pPr>
        <w:pStyle w:val="Subsection"/>
        <w:spacing w:before="180"/>
      </w:pPr>
      <w:r>
        <w:tab/>
        <w:t>(1)</w:t>
      </w:r>
      <w:r>
        <w:tab/>
        <w:t>If a person does not comply with a requirement of an authorised officer under section 84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magistrate is satisfied that the person has not complied with the requirement.</w:t>
      </w:r>
    </w:p>
    <w:p>
      <w:pPr>
        <w:pStyle w:val="PermNoteHeading"/>
      </w:pPr>
      <w:r>
        <w:tab/>
        <w:t>Note for this section:</w:t>
      </w:r>
    </w:p>
    <w:p>
      <w:pPr>
        <w:pStyle w:val="PermNoteText"/>
      </w:pPr>
      <w:r>
        <w:tab/>
      </w:r>
      <w:r>
        <w:tab/>
        <w:t>Section 122 contains provisions about the effect of a warrant (apprehension).</w:t>
      </w:r>
    </w:p>
    <w:p>
      <w:pPr>
        <w:pStyle w:val="Footnotesection"/>
      </w:pPr>
      <w:r>
        <w:tab/>
        <w:t>[Section 85 amended: No. 8 of 2009 s. 32(3); No. 49 of 2010 s. 64.]</w:t>
      </w:r>
    </w:p>
    <w:p>
      <w:pPr>
        <w:pStyle w:val="Heading5"/>
        <w:spacing w:before="240"/>
      </w:pPr>
      <w:bookmarkStart w:id="421" w:name="_Toc148361020"/>
      <w:bookmarkStart w:id="422" w:name="_Toc117607973"/>
      <w:r>
        <w:rPr>
          <w:rStyle w:val="CharSectno"/>
        </w:rPr>
        <w:t>86</w:t>
      </w:r>
      <w:r>
        <w:t>.</w:t>
      </w:r>
      <w:r>
        <w:tab/>
        <w:t>Warrant (apprehension) where child absent or taken without authority</w:t>
      </w:r>
      <w:bookmarkEnd w:id="421"/>
      <w:bookmarkEnd w:id="422"/>
    </w:p>
    <w:p>
      <w:pPr>
        <w:pStyle w:val="Subsection"/>
        <w:spacing w:before="180"/>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keepNext/>
        <w:spacing w:before="180"/>
      </w:pPr>
      <w:r>
        <w:tab/>
        <w:t>(3)</w:t>
      </w:r>
      <w:r>
        <w:tab/>
        <w:t>On an application made under subsection (1) a judge or magistrate may issue a warrant (apprehension) if the judge or magistrate is satisfied that there are reasonable grounds for the belief mentioned in that subsection.</w:t>
      </w:r>
    </w:p>
    <w:p>
      <w:pPr>
        <w:pStyle w:val="PermNoteHeading"/>
      </w:pPr>
      <w:r>
        <w:tab/>
        <w:t>Note for this section:</w:t>
      </w:r>
    </w:p>
    <w:p>
      <w:pPr>
        <w:pStyle w:val="PermNoteText"/>
        <w:keepNext/>
      </w:pPr>
      <w:r>
        <w:tab/>
      </w:r>
      <w:r>
        <w:tab/>
        <w:t>Section 122 contains provisions about the effect of a warrant (apprehension).</w:t>
      </w:r>
    </w:p>
    <w:p>
      <w:pPr>
        <w:pStyle w:val="Footnotesection"/>
      </w:pPr>
      <w:r>
        <w:tab/>
        <w:t>[Section 86 amended: No. 8 of 2009 s. 32(3); No. 49 of 2010 s. 65.]</w:t>
      </w:r>
    </w:p>
    <w:p>
      <w:pPr>
        <w:pStyle w:val="Heading5"/>
      </w:pPr>
      <w:bookmarkStart w:id="423" w:name="_Toc148361021"/>
      <w:bookmarkStart w:id="424" w:name="_Toc117607974"/>
      <w:r>
        <w:rPr>
          <w:rStyle w:val="CharSectno"/>
        </w:rPr>
        <w:t>87</w:t>
      </w:r>
      <w:r>
        <w:t>.</w:t>
      </w:r>
      <w:r>
        <w:tab/>
        <w:t>Apprehension without warrant in certain circumstances</w:t>
      </w:r>
      <w:bookmarkEnd w:id="423"/>
      <w:bookmarkEnd w:id="424"/>
    </w:p>
    <w:p>
      <w:pPr>
        <w:pStyle w:val="Subsection"/>
        <w:keepNext/>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keepNext/>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(3A)</w:t>
      </w:r>
      <w:r>
        <w:tab/>
        <w:t xml:space="preserve">An officer may apprehend a child and take the child to such place as the CEO directs if — </w:t>
      </w:r>
    </w:p>
    <w:p>
      <w:pPr>
        <w:pStyle w:val="Indenta"/>
      </w:pPr>
      <w:r>
        <w:tab/>
        <w:t>(a)</w:t>
      </w:r>
      <w:r>
        <w:tab/>
        <w:t>a person has failed to comply with a requirement under section 84 to hand over the child; and</w:t>
      </w:r>
    </w:p>
    <w:p>
      <w:pPr>
        <w:pStyle w:val="Indenta"/>
      </w:pPr>
      <w:r>
        <w:tab/>
        <w:t>(b)</w:t>
      </w:r>
      <w:r>
        <w:tab/>
        <w:t>the officer suspects on reasonable grounds that there is an immediate or substantial risk to the wellbeing of the child.</w:t>
      </w:r>
    </w:p>
    <w:p>
      <w:pPr>
        <w:pStyle w:val="Subsection"/>
        <w:keepNext/>
      </w:pPr>
      <w:r>
        <w:tab/>
        <w:t>(3)</w:t>
      </w:r>
      <w:r>
        <w:tab/>
        <w:t>For the purposes of subsection (2) or (3A)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Footnotesection"/>
      </w:pPr>
      <w:r>
        <w:tab/>
        <w:t>[Section 87 amended: No. 23 of 2015 s. 36.]</w:t>
      </w:r>
    </w:p>
    <w:p>
      <w:pPr>
        <w:pStyle w:val="Heading4"/>
      </w:pPr>
      <w:bookmarkStart w:id="425" w:name="_Toc148348594"/>
      <w:bookmarkStart w:id="426" w:name="_Toc148358378"/>
      <w:bookmarkStart w:id="427" w:name="_Toc148361022"/>
      <w:bookmarkStart w:id="428" w:name="_Toc117582638"/>
      <w:bookmarkStart w:id="429" w:name="_Toc117584451"/>
      <w:bookmarkStart w:id="430" w:name="_Toc117585621"/>
      <w:bookmarkStart w:id="431" w:name="_Toc117607975"/>
      <w:r>
        <w:t>Subdivision 3A — Secure care arrangements</w:t>
      </w:r>
      <w:bookmarkEnd w:id="425"/>
      <w:bookmarkEnd w:id="426"/>
      <w:bookmarkEnd w:id="427"/>
      <w:bookmarkEnd w:id="428"/>
      <w:bookmarkEnd w:id="429"/>
      <w:bookmarkEnd w:id="430"/>
      <w:bookmarkEnd w:id="431"/>
    </w:p>
    <w:p>
      <w:pPr>
        <w:pStyle w:val="Footnoteheading"/>
        <w:keepNext/>
      </w:pPr>
      <w:r>
        <w:tab/>
        <w:t>[Heading inserted: No. 49 of 2010 s. 9.]</w:t>
      </w:r>
    </w:p>
    <w:p>
      <w:pPr>
        <w:pStyle w:val="Heading5"/>
      </w:pPr>
      <w:bookmarkStart w:id="432" w:name="_Toc148361023"/>
      <w:bookmarkStart w:id="433" w:name="_Toc117607976"/>
      <w:r>
        <w:rPr>
          <w:rStyle w:val="CharSectno"/>
        </w:rPr>
        <w:t>88A</w:t>
      </w:r>
      <w:r>
        <w:t>.</w:t>
      </w:r>
      <w:r>
        <w:tab/>
        <w:t>Terms used</w:t>
      </w:r>
      <w:bookmarkEnd w:id="432"/>
      <w:bookmarkEnd w:id="433"/>
    </w:p>
    <w:p>
      <w:pPr>
        <w:pStyle w:val="Subsection"/>
        <w:keepNext/>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No. 49 of 2010 s. 9.]</w:t>
      </w:r>
    </w:p>
    <w:p>
      <w:pPr>
        <w:pStyle w:val="Heading5"/>
      </w:pPr>
      <w:bookmarkStart w:id="434" w:name="_Toc148361024"/>
      <w:bookmarkStart w:id="435" w:name="_Toc117607977"/>
      <w:r>
        <w:rPr>
          <w:rStyle w:val="CharSectno"/>
        </w:rPr>
        <w:t>88B</w:t>
      </w:r>
      <w:r>
        <w:t>.</w:t>
      </w:r>
      <w:r>
        <w:tab/>
        <w:t>Secure care facilities</w:t>
      </w:r>
      <w:bookmarkEnd w:id="434"/>
      <w:bookmarkEnd w:id="435"/>
    </w:p>
    <w:p>
      <w:pPr>
        <w:pStyle w:val="Subsection"/>
      </w:pPr>
      <w:r>
        <w:tab/>
        <w:t>(1)</w:t>
      </w:r>
      <w:r>
        <w:tab/>
        <w:t xml:space="preserve">The Minister may, by order published in the </w:t>
      </w:r>
      <w:r>
        <w:rPr>
          <w:i/>
          <w:iCs/>
        </w:rPr>
        <w:t>Gazette</w:t>
      </w:r>
      <w:r>
        <w:t>, declare a place to be a secure care facility.</w:t>
      </w:r>
    </w:p>
    <w:p>
      <w:pPr>
        <w:pStyle w:val="Subsection"/>
      </w:pPr>
      <w:r>
        <w:tab/>
        <w:t>(2)</w:t>
      </w:r>
      <w:r>
        <w:tab/>
        <w:t xml:space="preserve">The Minister may, by order published in the </w:t>
      </w:r>
      <w:r>
        <w:rPr>
          <w:i/>
          <w:iCs/>
        </w:rPr>
        <w:t>Gazette</w:t>
      </w:r>
      <w:r>
        <w:t>, amend or cancel an order under subsection (1).</w:t>
      </w:r>
    </w:p>
    <w:p>
      <w:pPr>
        <w:pStyle w:val="Subsection"/>
        <w:keepNext/>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No. 49 of 2010 s. 9.]</w:t>
      </w:r>
    </w:p>
    <w:p>
      <w:pPr>
        <w:pStyle w:val="Heading5"/>
      </w:pPr>
      <w:bookmarkStart w:id="436" w:name="_Toc148361025"/>
      <w:bookmarkStart w:id="437" w:name="_Toc117607978"/>
      <w:r>
        <w:rPr>
          <w:rStyle w:val="CharSectno"/>
        </w:rPr>
        <w:t>88C</w:t>
      </w:r>
      <w:r>
        <w:t>.</w:t>
      </w:r>
      <w:r>
        <w:tab/>
        <w:t>Secure care arrangements for certain children</w:t>
      </w:r>
      <w:bookmarkEnd w:id="436"/>
      <w:bookmarkEnd w:id="437"/>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keepNext/>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pPr>
      <w:r>
        <w:tab/>
        <w:t>(d)</w:t>
      </w:r>
      <w:r>
        <w:tab/>
        <w:t>any other person considered by the CEO to have a direct and significant interest in the wellbeing of the child.</w:t>
      </w:r>
    </w:p>
    <w:p>
      <w:pPr>
        <w:pStyle w:val="Subsection"/>
      </w:pPr>
      <w:r>
        <w:tab/>
        <w:t>(6)</w:t>
      </w:r>
      <w:r>
        <w:tab/>
        <w:t>The removal of a child from a secure care facility on a temporary basis or in an emergency situation, in accordance with procedures approved by the CEO for the secure care facility, does not affect the secure care arrangement to which the child is subject.</w:t>
      </w:r>
    </w:p>
    <w:p>
      <w:pPr>
        <w:pStyle w:val="Footnotesection"/>
      </w:pPr>
      <w:r>
        <w:tab/>
        <w:t>[Section 88C inserted: No. 49 of 2010 s. 9; amended: No. 18 of 2021 s. 33.]</w:t>
      </w:r>
    </w:p>
    <w:p>
      <w:pPr>
        <w:pStyle w:val="Heading5"/>
      </w:pPr>
      <w:bookmarkStart w:id="438" w:name="_Toc148361026"/>
      <w:bookmarkStart w:id="439" w:name="_Toc117607979"/>
      <w:r>
        <w:rPr>
          <w:rStyle w:val="CharSectno"/>
        </w:rPr>
        <w:t>88D</w:t>
      </w:r>
      <w:r>
        <w:t>.</w:t>
      </w:r>
      <w:r>
        <w:tab/>
        <w:t>Period in secure care facility</w:t>
      </w:r>
      <w:bookmarkEnd w:id="438"/>
      <w:bookmarkEnd w:id="439"/>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No. 49 of 2010 s. 9.]</w:t>
      </w:r>
    </w:p>
    <w:p>
      <w:pPr>
        <w:pStyle w:val="Heading5"/>
      </w:pPr>
      <w:bookmarkStart w:id="440" w:name="_Toc148361027"/>
      <w:bookmarkStart w:id="441" w:name="_Toc117607980"/>
      <w:r>
        <w:rPr>
          <w:rStyle w:val="CharSectno"/>
        </w:rPr>
        <w:t>88E</w:t>
      </w:r>
      <w:r>
        <w:t>.</w:t>
      </w:r>
      <w:r>
        <w:tab/>
        <w:t>Continuation order required for certain provisionally protected children</w:t>
      </w:r>
      <w:bookmarkEnd w:id="440"/>
      <w:bookmarkEnd w:id="441"/>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No. 49 of 2010 s. 9.]</w:t>
      </w:r>
    </w:p>
    <w:p>
      <w:pPr>
        <w:pStyle w:val="Heading5"/>
      </w:pPr>
      <w:bookmarkStart w:id="442" w:name="_Toc148361028"/>
      <w:bookmarkStart w:id="443" w:name="_Toc117607981"/>
      <w:r>
        <w:rPr>
          <w:rStyle w:val="CharSectno"/>
        </w:rPr>
        <w:t>88F</w:t>
      </w:r>
      <w:r>
        <w:t>.</w:t>
      </w:r>
      <w:r>
        <w:tab/>
        <w:t>CEO to decide secure care period for protected child</w:t>
      </w:r>
      <w:bookmarkEnd w:id="442"/>
      <w:bookmarkEnd w:id="443"/>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spacing w:before="60"/>
      </w:pPr>
      <w:r>
        <w:tab/>
        <w:t>(d)</w:t>
      </w:r>
      <w:r>
        <w:tab/>
        <w:t>any other person considered by the CEO to have a direct and significant interest in the wellbeing of the child.</w:t>
      </w:r>
    </w:p>
    <w:p>
      <w:pPr>
        <w:pStyle w:val="Footnotesection"/>
      </w:pPr>
      <w:r>
        <w:tab/>
        <w:t>[Section 88F inserted: No. 49 of 2010 s. 9.]</w:t>
      </w:r>
    </w:p>
    <w:p>
      <w:pPr>
        <w:pStyle w:val="Heading5"/>
      </w:pPr>
      <w:bookmarkStart w:id="444" w:name="_Toc148361029"/>
      <w:bookmarkStart w:id="445" w:name="_Toc117607982"/>
      <w:r>
        <w:rPr>
          <w:rStyle w:val="CharSectno"/>
        </w:rPr>
        <w:t>88G</w:t>
      </w:r>
      <w:r>
        <w:t>.</w:t>
      </w:r>
      <w:r>
        <w:tab/>
        <w:t>Reconsideration of certain decisions as to protected child</w:t>
      </w:r>
      <w:bookmarkEnd w:id="444"/>
      <w:bookmarkEnd w:id="445"/>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pPr>
      <w:r>
        <w:tab/>
        <w:t>(a)</w:t>
      </w:r>
      <w:r>
        <w:tab/>
        <w:t>a decision under section 88C(1) to make a secure care arrangement for a protected child; or</w:t>
      </w:r>
    </w:p>
    <w:p>
      <w:pPr>
        <w:pStyle w:val="Defpara"/>
      </w:pPr>
      <w:r>
        <w:tab/>
        <w:t>(b)</w:t>
      </w:r>
      <w:r>
        <w:tab/>
        <w:t>a decision under section 88F(1) as to the secure care period for a protected child; or</w:t>
      </w:r>
    </w:p>
    <w:p>
      <w:pPr>
        <w:pStyle w:val="Defpara"/>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keepNext/>
      </w:pPr>
      <w:r>
        <w:tab/>
        <w:t>(5)</w:t>
      </w:r>
      <w:r>
        <w:tab/>
        <w:t>The CEO must give the applicant written notice of his or her decision under subsection (4) and written reasons for it.</w:t>
      </w:r>
    </w:p>
    <w:p>
      <w:pPr>
        <w:pStyle w:val="Footnotesection"/>
      </w:pPr>
      <w:r>
        <w:tab/>
        <w:t>[Section 88G inserted: No. 49 of 2010 s. 9.]</w:t>
      </w:r>
    </w:p>
    <w:p>
      <w:pPr>
        <w:pStyle w:val="Heading5"/>
      </w:pPr>
      <w:bookmarkStart w:id="446" w:name="_Toc148361030"/>
      <w:bookmarkStart w:id="447" w:name="_Toc117607983"/>
      <w:r>
        <w:rPr>
          <w:rStyle w:val="CharSectno"/>
        </w:rPr>
        <w:t>88H</w:t>
      </w:r>
      <w:r>
        <w:t>.</w:t>
      </w:r>
      <w:r>
        <w:tab/>
        <w:t>Review of CEO’s decision</w:t>
      </w:r>
      <w:bookmarkEnd w:id="446"/>
      <w:bookmarkEnd w:id="447"/>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No. 49 of 2010 s. 9.]</w:t>
      </w:r>
    </w:p>
    <w:p>
      <w:pPr>
        <w:pStyle w:val="Heading5"/>
      </w:pPr>
      <w:bookmarkStart w:id="448" w:name="_Toc148361031"/>
      <w:bookmarkStart w:id="449" w:name="_Toc117607984"/>
      <w:r>
        <w:rPr>
          <w:rStyle w:val="CharSectno"/>
        </w:rPr>
        <w:t>88I</w:t>
      </w:r>
      <w:r>
        <w:t>.</w:t>
      </w:r>
      <w:r>
        <w:tab/>
        <w:t>Requirements for care plan or provisional care plan</w:t>
      </w:r>
      <w:bookmarkEnd w:id="448"/>
      <w:bookmarkEnd w:id="449"/>
    </w:p>
    <w:p>
      <w:pPr>
        <w:pStyle w:val="Ednotesubsection"/>
      </w:pPr>
      <w:r>
        <w:tab/>
        <w:t>[(1)</w:t>
      </w:r>
      <w:r>
        <w:tab/>
        <w:t>deleted]</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 and</w:t>
      </w:r>
    </w:p>
    <w:p>
      <w:pPr>
        <w:pStyle w:val="Indenta"/>
      </w:pPr>
      <w:r>
        <w:tab/>
        <w:t>(c)</w:t>
      </w:r>
      <w:r>
        <w:tab/>
        <w:t>contains a summary of —</w:t>
      </w:r>
    </w:p>
    <w:p>
      <w:pPr>
        <w:pStyle w:val="Indenti"/>
      </w:pPr>
      <w:r>
        <w:tab/>
        <w:t>(i)</w:t>
      </w:r>
      <w:r>
        <w:tab/>
        <w:t>how the principle set out in section 10 has been applied in connection with the matters referred to in paragraphs (a) and (b); and</w:t>
      </w:r>
    </w:p>
    <w:p>
      <w:pPr>
        <w:pStyle w:val="Indenti"/>
      </w:pPr>
      <w:r>
        <w:tab/>
        <w:t>(ii)</w:t>
      </w:r>
      <w:r>
        <w:tab/>
        <w:t>the wishes and views expressed by the child in connection with those matters.</w:t>
      </w:r>
    </w:p>
    <w:p>
      <w:pPr>
        <w:pStyle w:val="Subsection"/>
      </w:pPr>
      <w:r>
        <w:tab/>
        <w:t>(6)</w:t>
      </w:r>
      <w:r>
        <w:tab/>
        <w:t xml:space="preserve">Subsection (5)(c) only applies to the application of the principle set out in section 10, and to wishes and views expressed by the child, after the commencement of the </w:t>
      </w:r>
      <w:r>
        <w:rPr>
          <w:i/>
        </w:rPr>
        <w:t xml:space="preserve">Children and Community Services Amendment Act 2021 </w:t>
      </w:r>
      <w:r>
        <w:t>section 34.</w:t>
      </w:r>
    </w:p>
    <w:p>
      <w:pPr>
        <w:pStyle w:val="Footnotesection"/>
      </w:pPr>
      <w:r>
        <w:tab/>
        <w:t>[Section 88I inserted: No. 49 of 2010 s. 9; amended: No. 18 of 2021 s. 34.]</w:t>
      </w:r>
    </w:p>
    <w:p>
      <w:pPr>
        <w:pStyle w:val="Heading5"/>
      </w:pPr>
      <w:bookmarkStart w:id="450" w:name="_Toc148361032"/>
      <w:bookmarkStart w:id="451" w:name="_Toc117607985"/>
      <w:r>
        <w:rPr>
          <w:rStyle w:val="CharSectno"/>
        </w:rPr>
        <w:t>88J</w:t>
      </w:r>
      <w:r>
        <w:t>.</w:t>
      </w:r>
      <w:r>
        <w:tab/>
        <w:t>Apprehension without warrant of child absent from secure care facility</w:t>
      </w:r>
      <w:bookmarkEnd w:id="450"/>
      <w:bookmarkEnd w:id="451"/>
    </w:p>
    <w:p>
      <w:pPr>
        <w:pStyle w:val="Subsection"/>
        <w:keepNext/>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keepNext/>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No. 49 of 2010 s. 9.]</w:t>
      </w:r>
    </w:p>
    <w:p>
      <w:pPr>
        <w:pStyle w:val="Heading4"/>
      </w:pPr>
      <w:bookmarkStart w:id="452" w:name="_Toc148348605"/>
      <w:bookmarkStart w:id="453" w:name="_Toc148358389"/>
      <w:bookmarkStart w:id="454" w:name="_Toc148361033"/>
      <w:bookmarkStart w:id="455" w:name="_Toc117582649"/>
      <w:bookmarkStart w:id="456" w:name="_Toc117584462"/>
      <w:bookmarkStart w:id="457" w:name="_Toc117585632"/>
      <w:bookmarkStart w:id="458" w:name="_Toc117607986"/>
      <w:r>
        <w:t>Subdivision 3 — Plans</w:t>
      </w:r>
      <w:bookmarkEnd w:id="452"/>
      <w:bookmarkEnd w:id="453"/>
      <w:bookmarkEnd w:id="454"/>
      <w:bookmarkEnd w:id="455"/>
      <w:bookmarkEnd w:id="456"/>
      <w:bookmarkEnd w:id="457"/>
      <w:bookmarkEnd w:id="458"/>
    </w:p>
    <w:p>
      <w:pPr>
        <w:pStyle w:val="Footnoteheading"/>
      </w:pPr>
      <w:r>
        <w:tab/>
        <w:t>[Heading inserted: No. 18 of 2021 s. 35.]</w:t>
      </w:r>
    </w:p>
    <w:p>
      <w:pPr>
        <w:pStyle w:val="Ednotesection"/>
      </w:pPr>
      <w:r>
        <w:t>[</w:t>
      </w:r>
      <w:r>
        <w:rPr>
          <w:b/>
        </w:rPr>
        <w:t>88.</w:t>
      </w:r>
      <w:r>
        <w:tab/>
        <w:t>Deleted: No. 18 of 2021 s. 36.]</w:t>
      </w:r>
    </w:p>
    <w:p>
      <w:pPr>
        <w:pStyle w:val="Heading5"/>
        <w:spacing w:before="200"/>
      </w:pPr>
      <w:bookmarkStart w:id="459" w:name="_Toc148361034"/>
      <w:bookmarkStart w:id="460" w:name="_Toc117607987"/>
      <w:r>
        <w:rPr>
          <w:rStyle w:val="CharSectno"/>
        </w:rPr>
        <w:t>89</w:t>
      </w:r>
      <w:r>
        <w:t>.</w:t>
      </w:r>
      <w:r>
        <w:tab/>
        <w:t>Care plan</w:t>
      </w:r>
      <w:bookmarkEnd w:id="459"/>
      <w:bookmarkEnd w:id="460"/>
    </w:p>
    <w:p>
      <w:pPr>
        <w:pStyle w:val="Ednotesubsection"/>
      </w:pPr>
      <w:r>
        <w:tab/>
        <w:t>[(1)</w:t>
      </w:r>
      <w:r>
        <w:tab/>
        <w:t>deleted]</w:t>
      </w:r>
    </w:p>
    <w:p>
      <w:pPr>
        <w:pStyle w:val="Subsection"/>
      </w:pPr>
      <w:r>
        <w:tab/>
        <w:t>(2)</w:t>
      </w:r>
      <w:r>
        <w:tab/>
        <w:t xml:space="preserve">As soon as practicable after a child first comes into the CEO’s care, the CEO must prepare and implement a plan (a </w:t>
      </w:r>
      <w:r>
        <w:rPr>
          <w:rStyle w:val="CharDefText"/>
        </w:rPr>
        <w:t>care plan</w:t>
      </w:r>
      <w:r>
        <w:t>) for the child.</w:t>
      </w:r>
    </w:p>
    <w:p>
      <w:pPr>
        <w:pStyle w:val="Subsection"/>
      </w:pPr>
      <w:r>
        <w:tab/>
        <w:t>(3)</w:t>
      </w:r>
      <w:r>
        <w:tab/>
        <w:t>Subsection (2) does not apply in the case of a child taken into provisional protection and care.</w:t>
      </w:r>
    </w:p>
    <w:p>
      <w:pPr>
        <w:pStyle w:val="PermNoteHeading"/>
      </w:pPr>
      <w:r>
        <w:tab/>
        <w:t>Note for this subsection:</w:t>
      </w:r>
    </w:p>
    <w:p>
      <w:pPr>
        <w:pStyle w:val="PermNoteText"/>
      </w:pPr>
      <w:r>
        <w:tab/>
      </w:r>
      <w:r>
        <w:tab/>
        <w:t>Section 39 requires the CEO to prepare and implement a provisional care plan for a child taken into provisional protection and care.</w:t>
      </w:r>
    </w:p>
    <w:p>
      <w:pPr>
        <w:pStyle w:val="Subsection"/>
      </w:pPr>
      <w:r>
        <w:tab/>
        <w:t>(3A)</w:t>
      </w:r>
      <w:r>
        <w:tab/>
        <w:t>A care plan for a child must —</w:t>
      </w:r>
    </w:p>
    <w:p>
      <w:pPr>
        <w:pStyle w:val="Indenta"/>
      </w:pPr>
      <w:r>
        <w:tab/>
        <w:t>(a)</w:t>
      </w:r>
      <w:r>
        <w:tab/>
        <w:t>be in writing; and</w:t>
      </w:r>
    </w:p>
    <w:p>
      <w:pPr>
        <w:pStyle w:val="Indenta"/>
      </w:pPr>
      <w:r>
        <w:tab/>
        <w:t>(b)</w:t>
      </w:r>
      <w:r>
        <w:tab/>
        <w:t>identify the needs of the child; and</w:t>
      </w:r>
    </w:p>
    <w:p>
      <w:pPr>
        <w:pStyle w:val="Indenta"/>
      </w:pPr>
      <w:r>
        <w:tab/>
        <w:t>(c)</w:t>
      </w:r>
      <w:r>
        <w:tab/>
        <w:t>outline steps or measures to be taken to address the needs of the child; and</w:t>
      </w:r>
    </w:p>
    <w:p>
      <w:pPr>
        <w:pStyle w:val="Indenta"/>
      </w:pPr>
      <w:r>
        <w:tab/>
        <w:t>(d)</w:t>
      </w:r>
      <w:r>
        <w:tab/>
        <w:t>for an Aboriginal child, Torres Strait Islander child or child of a culturally or linguistically diverse background — incorporate a cultural support plan for the child; and</w:t>
      </w:r>
    </w:p>
    <w:p>
      <w:pPr>
        <w:pStyle w:val="Indenta"/>
      </w:pPr>
      <w:r>
        <w:tab/>
        <w:t>(e)</w:t>
      </w:r>
      <w:r>
        <w:tab/>
        <w:t>for a child who has reached 15 years of age (subject to subsection (3F)) — incorporate a leaving care plan for the child; and</w:t>
      </w:r>
    </w:p>
    <w:p>
      <w:pPr>
        <w:pStyle w:val="Indenta"/>
      </w:pPr>
      <w:r>
        <w:tab/>
        <w:t>(f)</w:t>
      </w:r>
      <w:r>
        <w:tab/>
        <w:t>record decisions made by the CEO about the care of the child, including —</w:t>
      </w:r>
    </w:p>
    <w:p>
      <w:pPr>
        <w:pStyle w:val="Indenti"/>
      </w:pPr>
      <w:r>
        <w:tab/>
        <w:t>(i)</w:t>
      </w:r>
      <w:r>
        <w:tab/>
        <w:t>decisions about a placement arrangement for the child; and</w:t>
      </w:r>
    </w:p>
    <w:p>
      <w:pPr>
        <w:pStyle w:val="Indenti"/>
      </w:pPr>
      <w:r>
        <w:tab/>
        <w:t>(ii)</w:t>
      </w:r>
      <w:r>
        <w:tab/>
        <w:t>decisions about contact between the child and a parent, sibling, other member of the child’s family or other person who is significant in the child’s life; and</w:t>
      </w:r>
    </w:p>
    <w:p>
      <w:pPr>
        <w:pStyle w:val="Indenti"/>
      </w:pPr>
      <w:r>
        <w:tab/>
        <w:t>(iii)</w:t>
      </w:r>
      <w:r>
        <w:tab/>
        <w:t xml:space="preserve">secure care decisions; </w:t>
      </w:r>
    </w:p>
    <w:p>
      <w:pPr>
        <w:pStyle w:val="Indenta"/>
      </w:pPr>
      <w:r>
        <w:tab/>
      </w:r>
      <w:r>
        <w:tab/>
        <w:t>and</w:t>
      </w:r>
    </w:p>
    <w:p>
      <w:pPr>
        <w:pStyle w:val="Indenta"/>
      </w:pPr>
      <w:r>
        <w:tab/>
        <w:t>(g)</w:t>
      </w:r>
      <w:r>
        <w:tab/>
        <w:t>contain a summary of —</w:t>
      </w:r>
    </w:p>
    <w:p>
      <w:pPr>
        <w:pStyle w:val="Indenti"/>
      </w:pPr>
      <w:r>
        <w:tab/>
        <w:t>(i)</w:t>
      </w:r>
      <w:r>
        <w:tab/>
        <w:t>how the principle set out in section 10 has been applied in connection with the decisions recorded in the plan; and</w:t>
      </w:r>
    </w:p>
    <w:p>
      <w:pPr>
        <w:pStyle w:val="Indenti"/>
      </w:pPr>
      <w:r>
        <w:tab/>
        <w:t>(ii)</w:t>
      </w:r>
      <w:r>
        <w:tab/>
        <w:t>the wishes and views expressed by the child about the decisions recorded in the plan.</w:t>
      </w:r>
    </w:p>
    <w:p>
      <w:pPr>
        <w:pStyle w:val="Subsection"/>
      </w:pPr>
      <w:r>
        <w:tab/>
        <w:t>(3B)</w:t>
      </w:r>
      <w:r>
        <w:tab/>
        <w:t xml:space="preserve">Subsection (3A)(d), (e) and (g) do not apply to a care plan in existence immediately before the commencement of the </w:t>
      </w:r>
      <w:r>
        <w:rPr>
          <w:i/>
        </w:rPr>
        <w:t>Children and Community Services Amendment Act 2021</w:t>
      </w:r>
      <w:r>
        <w:t xml:space="preserve"> section 37 until the completion of the first review of the plan under section 90 after that commencement.</w:t>
      </w:r>
    </w:p>
    <w:p>
      <w:pPr>
        <w:pStyle w:val="Subsection"/>
      </w:pPr>
      <w:r>
        <w:tab/>
        <w:t>(3C)</w:t>
      </w:r>
      <w:r>
        <w:tab/>
        <w:t xml:space="preserve">Subsection (3A)(g) only applies to the application of the principle set out in section 10, and to wishes and views expressed by the child, after the commencement of the </w:t>
      </w:r>
      <w:r>
        <w:rPr>
          <w:i/>
        </w:rPr>
        <w:t xml:space="preserve">Children and Community Services Amendment Act 2021 </w:t>
      </w:r>
      <w:r>
        <w:t>section 37.</w:t>
      </w:r>
    </w:p>
    <w:p>
      <w:pPr>
        <w:pStyle w:val="Subsection"/>
      </w:pPr>
      <w:r>
        <w:tab/>
        <w:t>(3D)</w:t>
      </w:r>
      <w:r>
        <w:tab/>
        <w:t>The CEO must modify a care plan if a decision recorded in the plan is varied, revoked or substituted or a further decision about the care of the child is made by the CEO.</w:t>
      </w:r>
    </w:p>
    <w:p>
      <w:pPr>
        <w:pStyle w:val="Subsection"/>
      </w:pPr>
      <w:r>
        <w:tab/>
        <w:t>(3E)</w:t>
      </w:r>
      <w:r>
        <w:tab/>
        <w:t>The modification must be made as soon as practicable after the decision is varied, revoked or substituted or the further decision is made.</w:t>
      </w:r>
    </w:p>
    <w:p>
      <w:pPr>
        <w:pStyle w:val="Subsection"/>
      </w:pPr>
      <w:r>
        <w:tab/>
        <w:t>(3F)</w:t>
      </w:r>
      <w:r>
        <w:tab/>
        <w:t>The CEO must modify a care plan to include a leaving care plan as soon as practicable after the child reaches 15 years of age.</w:t>
      </w:r>
    </w:p>
    <w:p>
      <w:pPr>
        <w:pStyle w:val="Subsection"/>
      </w:pPr>
      <w:r>
        <w:tab/>
        <w:t>(4)</w:t>
      </w:r>
      <w:r>
        <w:tab/>
        <w:t>The CEO may modify a care plan at any time if the CEO considers that it is appropriate to do so.</w:t>
      </w:r>
    </w:p>
    <w:p>
      <w:pPr>
        <w:pStyle w:val="Ednotesubsection"/>
      </w:pPr>
      <w:r>
        <w:tab/>
        <w:t>[(5A)</w:t>
      </w:r>
      <w:r>
        <w:tab/>
        <w:t>deleted]</w:t>
      </w:r>
    </w:p>
    <w:p>
      <w:pPr>
        <w:pStyle w:val="Subsection"/>
      </w:pPr>
      <w:r>
        <w:tab/>
        <w:t>(5)</w:t>
      </w:r>
      <w:r>
        <w:tab/>
        <w:t>However, the CEO cannot modify a care plan in a manner that would be contrary to section 94(3).</w:t>
      </w:r>
    </w:p>
    <w:p>
      <w:pPr>
        <w:pStyle w:val="Subsection"/>
      </w:pPr>
      <w:r>
        <w:tab/>
        <w:t>(6)</w:t>
      </w:r>
      <w:r>
        <w:tab/>
        <w:t xml:space="preserve">As soon as practicable after the CEO prepares or modifies a care plan, the CEO must give a copy of the care plan or modification, as the case requires, to — </w:t>
      </w:r>
    </w:p>
    <w:p>
      <w:pPr>
        <w:pStyle w:val="Indenta"/>
      </w:pPr>
      <w:r>
        <w:tab/>
        <w:t>(a)</w:t>
      </w:r>
      <w:r>
        <w:tab/>
        <w:t>the child; and</w:t>
      </w:r>
    </w:p>
    <w:p>
      <w:pPr>
        <w:pStyle w:val="Indenta"/>
      </w:pPr>
      <w:r>
        <w:tab/>
        <w:t>(b)</w:t>
      </w:r>
      <w:r>
        <w:tab/>
        <w:t>each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(7)</w:t>
      </w:r>
      <w:r>
        <w:tab/>
        <w:t>Despite subsection (6), the CEO may decide not to give a copy of the care plan or modification to a person mentioned in that subsection if the CEO considers that to do so would pose an unacceptable risk to the safety of the child or another person.</w:t>
      </w:r>
    </w:p>
    <w:p>
      <w:pPr>
        <w:pStyle w:val="Subsection"/>
        <w:keepNext/>
      </w:pPr>
      <w:r>
        <w:tab/>
        <w:t>(8)</w:t>
      </w:r>
      <w:r>
        <w:tab/>
        <w:t>If the CEO decides under subsection (7) not to give a person a copy of the care plan or modification, the CEO must give the person written notice of the decision and written reasons for it.</w:t>
      </w:r>
    </w:p>
    <w:p>
      <w:pPr>
        <w:pStyle w:val="Footnotesection"/>
      </w:pPr>
      <w:r>
        <w:tab/>
        <w:t>[Section 89 amended: No. 49 of 2010 s. 10; No. 23 of 2015 s. 37; No. 18 of 2021 s. 37.]</w:t>
      </w:r>
    </w:p>
    <w:p>
      <w:pPr>
        <w:pStyle w:val="Heading5"/>
      </w:pPr>
      <w:bookmarkStart w:id="461" w:name="_Toc148361035"/>
      <w:bookmarkStart w:id="462" w:name="_Toc117607988"/>
      <w:r>
        <w:rPr>
          <w:rStyle w:val="CharSectno"/>
        </w:rPr>
        <w:t>89A</w:t>
      </w:r>
      <w:r>
        <w:t>.</w:t>
      </w:r>
      <w:r>
        <w:tab/>
        <w:t>Cultural support plan</w:t>
      </w:r>
      <w:bookmarkEnd w:id="461"/>
      <w:bookmarkEnd w:id="462"/>
    </w:p>
    <w:p>
      <w:pPr>
        <w:pStyle w:val="Subsection"/>
      </w:pPr>
      <w:r>
        <w:tab/>
      </w:r>
      <w:r>
        <w:tab/>
        <w:t xml:space="preserve">A </w:t>
      </w:r>
      <w:r>
        <w:rPr>
          <w:rStyle w:val="CharDefText"/>
        </w:rPr>
        <w:t>cultural support plan</w:t>
      </w:r>
      <w:r>
        <w:t xml:space="preserve"> for a child is a plan that contains arrangements for developing and maintaining the child’s connection with the culture and traditions of the child’s family or community.</w:t>
      </w:r>
    </w:p>
    <w:p>
      <w:pPr>
        <w:pStyle w:val="Footnotesection"/>
      </w:pPr>
      <w:r>
        <w:tab/>
        <w:t>[Section 89A inserted: No. 18 of 2021 s. 38.]</w:t>
      </w:r>
    </w:p>
    <w:p>
      <w:pPr>
        <w:pStyle w:val="Heading5"/>
      </w:pPr>
      <w:bookmarkStart w:id="463" w:name="_Toc148361036"/>
      <w:bookmarkStart w:id="464" w:name="_Toc117607989"/>
      <w:r>
        <w:rPr>
          <w:rStyle w:val="CharSectno"/>
        </w:rPr>
        <w:t>89B</w:t>
      </w:r>
      <w:r>
        <w:t>.</w:t>
      </w:r>
      <w:r>
        <w:tab/>
        <w:t>Leaving care plan</w:t>
      </w:r>
      <w:bookmarkEnd w:id="463"/>
      <w:bookmarkEnd w:id="464"/>
    </w:p>
    <w:p>
      <w:pPr>
        <w:pStyle w:val="Subsection"/>
      </w:pPr>
      <w:r>
        <w:tab/>
      </w:r>
      <w:r>
        <w:tab/>
        <w:t xml:space="preserve">A </w:t>
      </w:r>
      <w:r>
        <w:rPr>
          <w:rStyle w:val="CharDefText"/>
        </w:rPr>
        <w:t>leaving care plan</w:t>
      </w:r>
      <w:r>
        <w:t xml:space="preserve"> for a child is a plan that — </w:t>
      </w:r>
    </w:p>
    <w:p>
      <w:pPr>
        <w:pStyle w:val="Indenta"/>
      </w:pPr>
      <w:r>
        <w:tab/>
        <w:t>(a)</w:t>
      </w:r>
      <w:r>
        <w:tab/>
        <w:t>identifies the needs of the child in preparing to leave the CEO’s care and in transitioning to other living arrangements; and</w:t>
      </w:r>
    </w:p>
    <w:p>
      <w:pPr>
        <w:pStyle w:val="Indenta"/>
      </w:pPr>
      <w:r>
        <w:tab/>
        <w:t>(b)</w:t>
      </w:r>
      <w:r>
        <w:tab/>
        <w:t>outlines steps or measures to be taken to assist the child to meet those needs (including the social services proposed to be provided when the child leaves the CEO’s care).</w:t>
      </w:r>
    </w:p>
    <w:p>
      <w:pPr>
        <w:pStyle w:val="Footnotesection"/>
      </w:pPr>
      <w:r>
        <w:tab/>
        <w:t>[Section 89B inserted: No. 18 of 2021 s. 38.]</w:t>
      </w:r>
    </w:p>
    <w:p>
      <w:pPr>
        <w:pStyle w:val="Heading5"/>
      </w:pPr>
      <w:bookmarkStart w:id="465" w:name="_Toc148361037"/>
      <w:bookmarkStart w:id="466" w:name="_Toc117607990"/>
      <w:r>
        <w:rPr>
          <w:rStyle w:val="CharSectno"/>
        </w:rPr>
        <w:t>90</w:t>
      </w:r>
      <w:r>
        <w:t>.</w:t>
      </w:r>
      <w:r>
        <w:tab/>
        <w:t>Review of care plan</w:t>
      </w:r>
      <w:bookmarkEnd w:id="465"/>
      <w:bookmarkEnd w:id="466"/>
    </w:p>
    <w:p>
      <w:pPr>
        <w:pStyle w:val="Subsection"/>
      </w:pPr>
      <w:r>
        <w:tab/>
        <w:t>(1)</w:t>
      </w:r>
      <w:r>
        <w:tab/>
        <w:t>The CEO must carry out a review of the operation and effectiveness of every care plan at regular intervals not exceeding 12 months.</w:t>
      </w:r>
    </w:p>
    <w:p>
      <w:pPr>
        <w:pStyle w:val="Subsection"/>
      </w:pPr>
      <w:r>
        <w:tab/>
        <w:t>(2)</w:t>
      </w:r>
      <w:r>
        <w:tab/>
        <w:t>In the course of the review the CEO must have regard to any views expressed by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467" w:name="_Toc148348610"/>
      <w:bookmarkStart w:id="468" w:name="_Toc148358394"/>
      <w:bookmarkStart w:id="469" w:name="_Toc148361038"/>
      <w:bookmarkStart w:id="470" w:name="_Toc117582654"/>
      <w:bookmarkStart w:id="471" w:name="_Toc117584467"/>
      <w:bookmarkStart w:id="472" w:name="_Toc117585637"/>
      <w:bookmarkStart w:id="473" w:name="_Toc117607991"/>
      <w:r>
        <w:t>Subdivision 4 — Review of certain decisions</w:t>
      </w:r>
      <w:bookmarkEnd w:id="467"/>
      <w:bookmarkEnd w:id="468"/>
      <w:bookmarkEnd w:id="469"/>
      <w:bookmarkEnd w:id="470"/>
      <w:bookmarkEnd w:id="471"/>
      <w:bookmarkEnd w:id="472"/>
      <w:bookmarkEnd w:id="473"/>
    </w:p>
    <w:p>
      <w:pPr>
        <w:pStyle w:val="Footnoteheading"/>
      </w:pPr>
      <w:r>
        <w:tab/>
        <w:t>[Heading amended: No. 49 of 2010 s. 11; No. 23 of 2015 s. 38.]</w:t>
      </w:r>
    </w:p>
    <w:p>
      <w:pPr>
        <w:pStyle w:val="Heading5"/>
        <w:keepNext w:val="0"/>
      </w:pPr>
      <w:bookmarkStart w:id="474" w:name="_Toc148361039"/>
      <w:bookmarkStart w:id="475" w:name="_Toc117607992"/>
      <w:r>
        <w:rPr>
          <w:rStyle w:val="CharSectno"/>
        </w:rPr>
        <w:t>91</w:t>
      </w:r>
      <w:r>
        <w:t>.</w:t>
      </w:r>
      <w:r>
        <w:tab/>
        <w:t>Terms used</w:t>
      </w:r>
      <w:bookmarkEnd w:id="474"/>
      <w:bookmarkEnd w:id="475"/>
    </w:p>
    <w:p>
      <w:pPr>
        <w:pStyle w:val="Subsection"/>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 or (2A);</w:t>
      </w:r>
    </w:p>
    <w:p>
      <w:pPr>
        <w:pStyle w:val="Defstart"/>
      </w:pPr>
      <w:r>
        <w:tab/>
      </w:r>
      <w:r>
        <w:rPr>
          <w:rStyle w:val="CharDefText"/>
        </w:rPr>
        <w:t>care planning decision</w:t>
      </w:r>
      <w:r>
        <w:t>, in relation to a child, means a decision set out in a care plan for the child but does not include a secure care decision;</w:t>
      </w:r>
    </w:p>
    <w:p>
      <w:pPr>
        <w:pStyle w:val="Defstart"/>
      </w:pPr>
      <w:r>
        <w:tab/>
      </w:r>
      <w:r>
        <w:rPr>
          <w:rStyle w:val="CharDefText"/>
        </w:rPr>
        <w:t>care plan review panel</w:t>
      </w:r>
      <w:r>
        <w:t xml:space="preserve"> means the care plan review panel established under section 92.</w:t>
      </w:r>
    </w:p>
    <w:p>
      <w:pPr>
        <w:pStyle w:val="Footnotesection"/>
      </w:pPr>
      <w:r>
        <w:tab/>
        <w:t>[Section 91 amended: No. 49 of 2010 s. 12; No. 23 of 2015 s. 39; No. 18 of 2021 s. 41.]</w:t>
      </w:r>
    </w:p>
    <w:p>
      <w:pPr>
        <w:pStyle w:val="Heading5"/>
      </w:pPr>
      <w:bookmarkStart w:id="476" w:name="_Toc148361040"/>
      <w:bookmarkStart w:id="477" w:name="_Toc117607993"/>
      <w:r>
        <w:rPr>
          <w:rStyle w:val="CharSectno"/>
        </w:rPr>
        <w:t>92</w:t>
      </w:r>
      <w:r>
        <w:t>.</w:t>
      </w:r>
      <w:r>
        <w:tab/>
        <w:t>Care plan review panel</w:t>
      </w:r>
      <w:bookmarkEnd w:id="476"/>
      <w:bookmarkEnd w:id="477"/>
    </w:p>
    <w:p>
      <w:pPr>
        <w:pStyle w:val="Subsection"/>
      </w:pPr>
      <w:r>
        <w:tab/>
        <w:t>(1)</w:t>
      </w:r>
      <w:r>
        <w:tab/>
        <w:t>The CEO must establish a care plan review panel for the purposes of this Subdivision.</w:t>
      </w:r>
    </w:p>
    <w:p>
      <w:pPr>
        <w:pStyle w:val="Subsection"/>
      </w:pPr>
      <w:r>
        <w:tab/>
        <w:t>(2)</w:t>
      </w:r>
      <w:r>
        <w:tab/>
        <w:t>The care plan review panel is to consist of not less than 3 members appointed by the CEO.</w:t>
      </w:r>
    </w:p>
    <w:p>
      <w:pPr>
        <w:pStyle w:val="Subsection"/>
        <w:keepLines/>
      </w:pPr>
      <w:r>
        <w:tab/>
        <w:t>(3)</w:t>
      </w:r>
      <w:r>
        <w:tab/>
        <w:t>The members of the care plan review panel are to be people who have such experience, skills, attributes or qualifications as the CEO considers appropriate to enable them to effectively perform their review function.</w:t>
      </w:r>
    </w:p>
    <w:p>
      <w:pPr>
        <w:pStyle w:val="Subsection"/>
      </w:pPr>
      <w:r>
        <w:tab/>
        <w:t>(3A)</w:t>
      </w:r>
      <w:r>
        <w:tab/>
        <w:t>At least 1 member of the care plan review panel must be an Aboriginal person or Torres Strait Islander.</w:t>
      </w:r>
    </w:p>
    <w:p>
      <w:pPr>
        <w:pStyle w:val="Subsection"/>
      </w:pPr>
      <w:r>
        <w:tab/>
        <w:t>(4)</w:t>
      </w:r>
      <w:r>
        <w:tab/>
        <w:t>An officer is not eligible to be appointed, or hold office, as a member of the care plan review panel.</w:t>
      </w:r>
    </w:p>
    <w:p>
      <w:pPr>
        <w:pStyle w:val="Subsection"/>
      </w:pPr>
      <w:r>
        <w:tab/>
        <w:t>(5)</w:t>
      </w:r>
      <w:r>
        <w:tab/>
        <w:t>The CEO may remove and replace members of the care plan review panel.</w:t>
      </w:r>
    </w:p>
    <w:p>
      <w:pPr>
        <w:pStyle w:val="Subsection"/>
      </w:pPr>
      <w:r>
        <w:tab/>
        <w:t>(6)</w:t>
      </w:r>
      <w:r>
        <w:tab/>
        <w:t>The CEO must appoint one of the members of the care plan review panel to be the chairperson.</w:t>
      </w:r>
    </w:p>
    <w:p>
      <w:pPr>
        <w:pStyle w:val="Subsection"/>
      </w:pPr>
      <w:r>
        <w:tab/>
        <w:t>(7)</w:t>
      </w:r>
      <w:r>
        <w:tab/>
        <w:t>The CEO may —</w:t>
      </w:r>
    </w:p>
    <w:p>
      <w:pPr>
        <w:pStyle w:val="Indenta"/>
      </w:pPr>
      <w:r>
        <w:tab/>
        <w:t>(a)</w:t>
      </w:r>
      <w:r>
        <w:tab/>
        <w:t xml:space="preserve">direct that the members of the care plan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(8)</w:t>
      </w:r>
      <w:r>
        <w:tab/>
        <w:t>The CEO must provide the care plan review panel with such support services as it may reasonably require.</w:t>
      </w:r>
    </w:p>
    <w:p>
      <w:pPr>
        <w:pStyle w:val="Subsection"/>
      </w:pPr>
      <w:r>
        <w:tab/>
        <w:t>(9)</w:t>
      </w:r>
      <w:r>
        <w:tab/>
        <w:t>If there are more than 3 members of the care plan review panel —</w:t>
      </w:r>
    </w:p>
    <w:p>
      <w:pPr>
        <w:pStyle w:val="Indenta"/>
      </w:pPr>
      <w:r>
        <w:tab/>
        <w:t>(a)</w:t>
      </w:r>
      <w:r>
        <w:tab/>
        <w:t>the panel to which an application under section 93(1) or (2A) is referred must be constituted by 3 members; and</w:t>
      </w:r>
    </w:p>
    <w:p>
      <w:pPr>
        <w:pStyle w:val="Indenta"/>
      </w:pPr>
      <w:r>
        <w:tab/>
        <w:t>(b)</w:t>
      </w:r>
      <w:r>
        <w:tab/>
        <w:t>the panel, separately constituted under paragraph (a), may sit simultaneously to hear and determine separate applications referred to the panel.</w:t>
      </w:r>
    </w:p>
    <w:p>
      <w:pPr>
        <w:pStyle w:val="Subsection"/>
        <w:keepNext/>
      </w:pPr>
      <w:r>
        <w:tab/>
        <w:t>(10)</w:t>
      </w:r>
      <w:r>
        <w:tab/>
        <w:t>If an application referred to the care plan review panel concerns an Aboriginal child or Torres Strait Islander child, the panel constituted for the review must include at least 1 Aboriginal person or Torres Strait Islander.</w:t>
      </w:r>
    </w:p>
    <w:p>
      <w:pPr>
        <w:pStyle w:val="Footnotesection"/>
      </w:pPr>
      <w:r>
        <w:tab/>
        <w:t>[Section 92 amended: No. 39 of 2010 s. 89; No. 23 of 2015 s. 40; No. 18 of 2021 s. 42.]</w:t>
      </w:r>
    </w:p>
    <w:p>
      <w:pPr>
        <w:pStyle w:val="Heading5"/>
      </w:pPr>
      <w:bookmarkStart w:id="478" w:name="_Toc148361041"/>
      <w:bookmarkStart w:id="479" w:name="_Toc117607994"/>
      <w:r>
        <w:rPr>
          <w:rStyle w:val="CharSectno"/>
        </w:rPr>
        <w:t>93</w:t>
      </w:r>
      <w:r>
        <w:t>.</w:t>
      </w:r>
      <w:r>
        <w:tab/>
        <w:t>Initial review</w:t>
      </w:r>
      <w:bookmarkEnd w:id="478"/>
      <w:bookmarkEnd w:id="479"/>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(2A)</w:t>
      </w:r>
      <w:r>
        <w:tab/>
        <w:t>An application for the review of a decision under section 89(7) may be made to the CEO by the person given notice of the decision under section 89(8).</w:t>
      </w:r>
    </w:p>
    <w:p>
      <w:pPr>
        <w:pStyle w:val="Subsection"/>
      </w:pPr>
      <w:r>
        <w:tab/>
        <w:t>(2)</w:t>
      </w:r>
      <w:r>
        <w:tab/>
        <w:t>An application under subsection (1) or (2A)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An application under subsection (1)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keepNext/>
      </w:pPr>
      <w:r>
        <w:tab/>
        <w:t>(4A)</w:t>
      </w:r>
      <w:r>
        <w:tab/>
        <w:t xml:space="preserve">An application under subsection (2A) must be made within — </w:t>
      </w:r>
    </w:p>
    <w:p>
      <w:pPr>
        <w:pStyle w:val="Indenta"/>
      </w:pPr>
      <w:r>
        <w:tab/>
        <w:t>(a)</w:t>
      </w:r>
      <w:r>
        <w:tab/>
        <w:t>14 days after the day on which the applicant received written notice of the decision under section 89(8); or</w:t>
      </w:r>
    </w:p>
    <w:p>
      <w:pPr>
        <w:pStyle w:val="Indenta"/>
      </w:pPr>
      <w:r>
        <w:tab/>
        <w:t>(b)</w:t>
      </w:r>
      <w:r>
        <w:tab/>
        <w:t>any longer period that the CEO in special circumstances allows.</w:t>
      </w:r>
    </w:p>
    <w:p>
      <w:pPr>
        <w:pStyle w:val="Subsection"/>
      </w:pPr>
      <w:r>
        <w:tab/>
        <w:t>(4)</w:t>
      </w:r>
      <w:r>
        <w:tab/>
        <w:t>The CEO must refer an application under subsection (1) or (2A), together with such other material as the CEO considers relevant, to the care plan review panel.</w:t>
      </w:r>
    </w:p>
    <w:p>
      <w:pPr>
        <w:pStyle w:val="Subsection"/>
      </w:pPr>
      <w:r>
        <w:tab/>
        <w:t>(5)</w:t>
      </w:r>
      <w:r>
        <w:tab/>
        <w:t>On a referral under subsection (4) the care plan review panel must consider the application and other material (if any) and report to the CEO on its recommendations in respect of the application.</w:t>
      </w:r>
    </w:p>
    <w:p>
      <w:pPr>
        <w:pStyle w:val="Subsection"/>
      </w:pPr>
      <w:r>
        <w:tab/>
        <w:t>(6)</w:t>
      </w:r>
      <w:r>
        <w:tab/>
        <w:t xml:space="preserve">The CEO, after considering the report of the care plan review panel and other information available to the CEO, must — </w:t>
      </w:r>
    </w:p>
    <w:p>
      <w:pPr>
        <w:pStyle w:val="Indenta"/>
      </w:pPr>
      <w:r>
        <w:tab/>
        <w:t>(a)</w:t>
      </w:r>
      <w:r>
        <w:tab/>
        <w:t>confirm, vary or reverse the care planning decision or decision under section 89(7); or</w:t>
      </w:r>
    </w:p>
    <w:p>
      <w:pPr>
        <w:pStyle w:val="Indenta"/>
      </w:pPr>
      <w:r>
        <w:tab/>
        <w:t>(b)</w:t>
      </w:r>
      <w:r>
        <w:tab/>
        <w:t>substitute another decision for the care planning decision or decision under section 89(7); or</w:t>
      </w:r>
    </w:p>
    <w:p>
      <w:pPr>
        <w:pStyle w:val="Indenta"/>
      </w:pPr>
      <w:r>
        <w:tab/>
        <w:t>(c)</w:t>
      </w:r>
      <w:r>
        <w:tab/>
        <w:t>refer the matter back to the care plan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No. 49 of 2010 s. 13; No. 23 of 2015 s. 41.]</w:t>
      </w:r>
    </w:p>
    <w:p>
      <w:pPr>
        <w:pStyle w:val="Heading5"/>
      </w:pPr>
      <w:bookmarkStart w:id="480" w:name="_Toc148361042"/>
      <w:bookmarkStart w:id="481" w:name="_Toc117607995"/>
      <w:r>
        <w:rPr>
          <w:rStyle w:val="CharSectno"/>
        </w:rPr>
        <w:t>94</w:t>
      </w:r>
      <w:r>
        <w:t>.</w:t>
      </w:r>
      <w:r>
        <w:tab/>
        <w:t>Review of CEO’s decision</w:t>
      </w:r>
      <w:bookmarkEnd w:id="480"/>
      <w:bookmarkEnd w:id="481"/>
    </w:p>
    <w:p>
      <w:pPr>
        <w:pStyle w:val="Subsection"/>
      </w:pPr>
      <w:r>
        <w:tab/>
        <w:t>(1)</w:t>
      </w:r>
      <w:r>
        <w:tab/>
        <w:t>A person who is aggrieved by a decision made by the CEO under section 93(6)(a) or (b) may apply to the State Administrative Tribunal for a review of the decision.</w:t>
      </w:r>
    </w:p>
    <w:p>
      <w:pPr>
        <w:pStyle w:val="Subsection"/>
        <w:keepNext/>
      </w:pPr>
      <w:r>
        <w:tab/>
        <w:t>(2)</w:t>
      </w:r>
      <w:r>
        <w:tab/>
        <w:t xml:space="preserve">Subsection (3) applies if — </w:t>
      </w:r>
    </w:p>
    <w:p>
      <w:pPr>
        <w:pStyle w:val="Indenta"/>
      </w:pPr>
      <w:r>
        <w:tab/>
        <w:t>(a)</w:t>
      </w:r>
      <w:r>
        <w:tab/>
        <w:t>an application is made to the State Administrative Tribunal under subsection (1); and</w:t>
      </w:r>
    </w:p>
    <w:p>
      <w:pPr>
        <w:pStyle w:val="Indenta"/>
      </w:pPr>
      <w:r>
        <w:tab/>
        <w:t>(b)</w:t>
      </w:r>
      <w:r>
        <w:tab/>
        <w:t xml:space="preserve">the State Administrative Tribunal’s decision on the application (the </w:t>
      </w:r>
      <w:r>
        <w:rPr>
          <w:rStyle w:val="CharDefText"/>
        </w:rPr>
        <w:t>Tribunal decision</w:t>
      </w:r>
      <w:r>
        <w:t xml:space="preserve">) results in the modification of a care plan (the </w:t>
      </w:r>
      <w:r>
        <w:rPr>
          <w:rStyle w:val="CharDefText"/>
        </w:rPr>
        <w:t>relevant modification</w:t>
      </w:r>
      <w:r>
        <w:t>).</w:t>
      </w:r>
    </w:p>
    <w:p>
      <w:pPr>
        <w:pStyle w:val="Subsection"/>
      </w:pPr>
      <w:r>
        <w:tab/>
        <w:t>(3)</w:t>
      </w:r>
      <w:r>
        <w:tab/>
        <w:t>The CEO must not, within the period of 12 months after the Tribunal decision, exercise the power to modify a care plan so as to affect the relevant modification unless the CEO is satisfied that there has been a significant change in facts or circumstances, or that new facts or circumstances have arisen, since the Tribunal decision was made.</w:t>
      </w:r>
    </w:p>
    <w:p>
      <w:pPr>
        <w:pStyle w:val="Footnotesection"/>
      </w:pPr>
      <w:r>
        <w:tab/>
        <w:t>[Section 94 amended: No. 23 of 2015 s. 42; No. 18 of 2021 s. 43.]</w:t>
      </w:r>
    </w:p>
    <w:p>
      <w:pPr>
        <w:pStyle w:val="Heading5"/>
      </w:pPr>
      <w:bookmarkStart w:id="482" w:name="_Toc148361043"/>
      <w:bookmarkStart w:id="483" w:name="_Toc117607996"/>
      <w:r>
        <w:rPr>
          <w:rStyle w:val="CharSectno"/>
        </w:rPr>
        <w:t>95</w:t>
      </w:r>
      <w:r>
        <w:t>.</w:t>
      </w:r>
      <w:r>
        <w:tab/>
        <w:t>Procedure</w:t>
      </w:r>
      <w:bookmarkEnd w:id="482"/>
      <w:bookmarkEnd w:id="483"/>
    </w:p>
    <w:p>
      <w:pPr>
        <w:pStyle w:val="Subsection"/>
      </w:pPr>
      <w:r>
        <w:tab/>
        <w:t>(1)</w:t>
      </w:r>
      <w:r>
        <w:tab/>
        <w:t>The CEO may give directions in writing to the care plan review panel as to its procedure, but otherwise, subject to subsection (2), the care plan review panel may determine its own procedure.</w:t>
      </w:r>
    </w:p>
    <w:p>
      <w:pPr>
        <w:pStyle w:val="Subsection"/>
      </w:pPr>
      <w:r>
        <w:tab/>
        <w:t>(2)</w:t>
      </w:r>
      <w:r>
        <w:tab/>
        <w:t>The care plan review panel must give each applicant a reasonable opportunity to make submissions in respect of the application.</w:t>
      </w:r>
    </w:p>
    <w:p>
      <w:pPr>
        <w:pStyle w:val="Footnotesection"/>
      </w:pPr>
      <w:r>
        <w:tab/>
        <w:t>[Section 95 amended: No. 23 of 2015 s. 43.]</w:t>
      </w:r>
    </w:p>
    <w:p>
      <w:pPr>
        <w:pStyle w:val="Heading3"/>
      </w:pPr>
      <w:bookmarkStart w:id="484" w:name="_Toc148348616"/>
      <w:bookmarkStart w:id="485" w:name="_Toc148358400"/>
      <w:bookmarkStart w:id="486" w:name="_Toc148361044"/>
      <w:bookmarkStart w:id="487" w:name="_Toc117582660"/>
      <w:bookmarkStart w:id="488" w:name="_Toc117584473"/>
      <w:bookmarkStart w:id="489" w:name="_Toc117585643"/>
      <w:bookmarkStart w:id="490" w:name="_Toc117607997"/>
      <w:r>
        <w:rPr>
          <w:rStyle w:val="CharDivNo"/>
        </w:rPr>
        <w:t>Division 6</w:t>
      </w:r>
      <w:r>
        <w:t xml:space="preserve"> — </w:t>
      </w:r>
      <w:r>
        <w:rPr>
          <w:rStyle w:val="CharDivText"/>
        </w:rPr>
        <w:t>Provisions about leaving the CEO’s care</w:t>
      </w:r>
      <w:bookmarkEnd w:id="484"/>
      <w:bookmarkEnd w:id="485"/>
      <w:bookmarkEnd w:id="486"/>
      <w:bookmarkEnd w:id="487"/>
      <w:bookmarkEnd w:id="488"/>
      <w:bookmarkEnd w:id="489"/>
      <w:bookmarkEnd w:id="490"/>
    </w:p>
    <w:p>
      <w:pPr>
        <w:pStyle w:val="Heading5"/>
      </w:pPr>
      <w:bookmarkStart w:id="491" w:name="_Toc148361045"/>
      <w:bookmarkStart w:id="492" w:name="_Toc117607998"/>
      <w:r>
        <w:rPr>
          <w:rStyle w:val="CharSectno"/>
        </w:rPr>
        <w:t>96</w:t>
      </w:r>
      <w:r>
        <w:t>.</w:t>
      </w:r>
      <w:r>
        <w:tab/>
        <w:t>People who qualify for assistance</w:t>
      </w:r>
      <w:bookmarkEnd w:id="491"/>
      <w:bookmarkEnd w:id="492"/>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493" w:name="_Toc148361046"/>
      <w:bookmarkStart w:id="494" w:name="_Toc117607999"/>
      <w:r>
        <w:rPr>
          <w:rStyle w:val="CharSectno"/>
        </w:rPr>
        <w:t>97</w:t>
      </w:r>
      <w:r>
        <w:t>.</w:t>
      </w:r>
      <w:r>
        <w:tab/>
        <w:t>Child’s entitlement to personal material</w:t>
      </w:r>
      <w:bookmarkEnd w:id="493"/>
      <w:bookmarkEnd w:id="494"/>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No. 49 of 2010 s. 14.]</w:t>
      </w:r>
    </w:p>
    <w:p>
      <w:pPr>
        <w:pStyle w:val="Heading5"/>
      </w:pPr>
      <w:bookmarkStart w:id="495" w:name="_Toc148361047"/>
      <w:bookmarkStart w:id="496" w:name="_Toc117608000"/>
      <w:r>
        <w:rPr>
          <w:rStyle w:val="CharSectno"/>
        </w:rPr>
        <w:t>98</w:t>
      </w:r>
      <w:r>
        <w:t>.</w:t>
      </w:r>
      <w:r>
        <w:tab/>
        <w:t>Provision of social services</w:t>
      </w:r>
      <w:bookmarkEnd w:id="495"/>
      <w:bookmarkEnd w:id="496"/>
    </w:p>
    <w:p>
      <w:pPr>
        <w:pStyle w:val="Subsection"/>
      </w:pPr>
      <w:r>
        <w:tab/>
        <w:t>(1)</w:t>
      </w:r>
      <w:r>
        <w:tab/>
        <w:t>The CEO must ensure that a child who leaves the CEO’s care is provided with social services that the CEO considers appropriate having regard to the needs of the child.</w:t>
      </w:r>
    </w:p>
    <w:p>
      <w:pPr>
        <w:pStyle w:val="Subsection"/>
      </w:pPr>
      <w:r>
        <w:tab/>
        <w:t>(2)</w:t>
      </w:r>
      <w:r>
        <w:tab/>
        <w:t>Subsection (1) does not apply to a child who ceases to be in provisional protection and care.</w:t>
      </w:r>
    </w:p>
    <w:p>
      <w:pPr>
        <w:pStyle w:val="Footnotesection"/>
      </w:pPr>
      <w:r>
        <w:tab/>
        <w:t>[Section 98 amended: No. 18 of 2021 s. 44.]</w:t>
      </w:r>
    </w:p>
    <w:p>
      <w:pPr>
        <w:pStyle w:val="Heading5"/>
      </w:pPr>
      <w:bookmarkStart w:id="497" w:name="_Toc148361048"/>
      <w:bookmarkStart w:id="498" w:name="_Toc117608001"/>
      <w:r>
        <w:rPr>
          <w:rStyle w:val="CharSectno"/>
        </w:rPr>
        <w:t>99</w:t>
      </w:r>
      <w:r>
        <w:t>.</w:t>
      </w:r>
      <w:r>
        <w:tab/>
        <w:t>Provision of assistance to obtain accommodation etc.</w:t>
      </w:r>
      <w:bookmarkEnd w:id="497"/>
      <w:bookmarkEnd w:id="498"/>
    </w:p>
    <w:p>
      <w:pPr>
        <w:pStyle w:val="Subsection"/>
      </w:pPr>
      <w:r>
        <w:tab/>
      </w:r>
      <w:r>
        <w:tab/>
        <w:t xml:space="preserve">The CEO must ensure that a person who qualifies for, and seeks,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Footnotesection"/>
      </w:pPr>
      <w:r>
        <w:tab/>
        <w:t>[Section 99 amended: No. 18 of 2021 s. 45.]</w:t>
      </w:r>
    </w:p>
    <w:p>
      <w:pPr>
        <w:pStyle w:val="Heading5"/>
      </w:pPr>
      <w:bookmarkStart w:id="499" w:name="_Toc148361049"/>
      <w:bookmarkStart w:id="500" w:name="_Toc117608002"/>
      <w:r>
        <w:rPr>
          <w:rStyle w:val="CharSectno"/>
        </w:rPr>
        <w:t>100</w:t>
      </w:r>
      <w:r>
        <w:t>.</w:t>
      </w:r>
      <w:r>
        <w:tab/>
        <w:t>Provision of financial assistance</w:t>
      </w:r>
      <w:bookmarkEnd w:id="499"/>
      <w:bookmarkEnd w:id="500"/>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501" w:name="_Toc148361050"/>
      <w:bookmarkStart w:id="502" w:name="_Toc117608003"/>
      <w:r>
        <w:rPr>
          <w:rStyle w:val="CharSectno"/>
        </w:rPr>
        <w:t>100A</w:t>
      </w:r>
      <w:r>
        <w:t>.</w:t>
      </w:r>
      <w:r>
        <w:rPr>
          <w:b w:val="0"/>
        </w:rPr>
        <w:tab/>
      </w:r>
      <w:r>
        <w:t>Provision of explanation to child</w:t>
      </w:r>
      <w:bookmarkEnd w:id="501"/>
      <w:bookmarkEnd w:id="502"/>
    </w:p>
    <w:p>
      <w:pPr>
        <w:pStyle w:val="Subsection"/>
      </w:pPr>
      <w:r>
        <w:tab/>
      </w:r>
      <w:r>
        <w:tab/>
        <w:t>The CEO must ensure that, before a child leaves the CEO’s care, the child is provided with a written explanation of the assistance that may or must be provided to the child under this Division.</w:t>
      </w:r>
    </w:p>
    <w:p>
      <w:pPr>
        <w:pStyle w:val="Footnotesection"/>
      </w:pPr>
      <w:r>
        <w:tab/>
        <w:t>[Section 100A inserted: No. 18 of 2021 s. 46.]</w:t>
      </w:r>
    </w:p>
    <w:p>
      <w:pPr>
        <w:pStyle w:val="Heading3"/>
      </w:pPr>
      <w:bookmarkStart w:id="503" w:name="_Toc148348623"/>
      <w:bookmarkStart w:id="504" w:name="_Toc148358407"/>
      <w:bookmarkStart w:id="505" w:name="_Toc148361051"/>
      <w:bookmarkStart w:id="506" w:name="_Toc117582667"/>
      <w:bookmarkStart w:id="507" w:name="_Toc117584480"/>
      <w:bookmarkStart w:id="508" w:name="_Toc117585650"/>
      <w:bookmarkStart w:id="509" w:name="_Toc117608004"/>
      <w:r>
        <w:rPr>
          <w:rStyle w:val="CharDivNo"/>
        </w:rPr>
        <w:t>Division 7</w:t>
      </w:r>
      <w:r>
        <w:t xml:space="preserve"> — </w:t>
      </w:r>
      <w:r>
        <w:rPr>
          <w:rStyle w:val="CharDivText"/>
        </w:rPr>
        <w:t>Offences</w:t>
      </w:r>
      <w:bookmarkEnd w:id="503"/>
      <w:bookmarkEnd w:id="504"/>
      <w:bookmarkEnd w:id="505"/>
      <w:bookmarkEnd w:id="506"/>
      <w:bookmarkEnd w:id="507"/>
      <w:bookmarkEnd w:id="508"/>
      <w:bookmarkEnd w:id="509"/>
    </w:p>
    <w:p>
      <w:pPr>
        <w:pStyle w:val="Heading4"/>
        <w:spacing w:before="120"/>
      </w:pPr>
      <w:bookmarkStart w:id="510" w:name="_Toc148348624"/>
      <w:bookmarkStart w:id="511" w:name="_Toc148358408"/>
      <w:bookmarkStart w:id="512" w:name="_Toc148361052"/>
      <w:bookmarkStart w:id="513" w:name="_Toc117582668"/>
      <w:bookmarkStart w:id="514" w:name="_Toc117584481"/>
      <w:bookmarkStart w:id="515" w:name="_Toc117585651"/>
      <w:bookmarkStart w:id="516" w:name="_Toc117608005"/>
      <w:r>
        <w:t>Subdivision 1 — Children generally</w:t>
      </w:r>
      <w:bookmarkEnd w:id="510"/>
      <w:bookmarkEnd w:id="511"/>
      <w:bookmarkEnd w:id="512"/>
      <w:bookmarkEnd w:id="513"/>
      <w:bookmarkEnd w:id="514"/>
      <w:bookmarkEnd w:id="515"/>
      <w:bookmarkEnd w:id="516"/>
    </w:p>
    <w:p>
      <w:pPr>
        <w:pStyle w:val="Heading5"/>
      </w:pPr>
      <w:bookmarkStart w:id="517" w:name="_Toc148361053"/>
      <w:bookmarkStart w:id="518" w:name="_Toc117608006"/>
      <w:r>
        <w:rPr>
          <w:rStyle w:val="CharSectno"/>
        </w:rPr>
        <w:t>101</w:t>
      </w:r>
      <w:r>
        <w:t>.</w:t>
      </w:r>
      <w:r>
        <w:tab/>
        <w:t>Failing to protect child from harm</w:t>
      </w:r>
      <w:bookmarkEnd w:id="517"/>
      <w:bookmarkEnd w:id="518"/>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as defined in section 28(1); or</w:t>
      </w:r>
    </w:p>
    <w:p>
      <w:pPr>
        <w:pStyle w:val="Ednotesubpara"/>
      </w:pPr>
      <w:r>
        <w:tab/>
        <w:t>[(iv)</w:t>
      </w:r>
      <w:r>
        <w:tab/>
        <w:t>deleted]</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(1A)</w:t>
      </w:r>
      <w:r>
        <w:tab/>
        <w:t>It is a defence to a charge under subsection (1) involving conduct that may result in a child suffering harm as a result of emotional abuse comprised of exposure to family violence for the accused to prove that the accused was a victim of that family violence.</w:t>
      </w:r>
    </w:p>
    <w:p>
      <w:pPr>
        <w:pStyle w:val="Subsection"/>
        <w:keepNext/>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Footnotesection"/>
      </w:pPr>
      <w:r>
        <w:tab/>
        <w:t>[Section 101 amended: No. 23 of 2015 s. 44; No. 18 of 2021 s. 47.]</w:t>
      </w:r>
    </w:p>
    <w:p>
      <w:pPr>
        <w:pStyle w:val="Heading5"/>
      </w:pPr>
      <w:bookmarkStart w:id="519" w:name="_Toc148361054"/>
      <w:bookmarkStart w:id="520" w:name="_Toc117608007"/>
      <w:r>
        <w:rPr>
          <w:rStyle w:val="CharSectno"/>
        </w:rPr>
        <w:t>102</w:t>
      </w:r>
      <w:r>
        <w:t>.</w:t>
      </w:r>
      <w:r>
        <w:tab/>
        <w:t>Leaving child unsupervised in vehicle</w:t>
      </w:r>
      <w:bookmarkEnd w:id="519"/>
      <w:bookmarkEnd w:id="520"/>
    </w:p>
    <w:p>
      <w:pPr>
        <w:pStyle w:val="Subsection"/>
      </w:pPr>
      <w:r>
        <w:tab/>
      </w:r>
      <w:r>
        <w:tab/>
        <w:t xml:space="preserve">A person who has the care or control of a child and who leaves the child in a motor vehicle (as defined in the </w:t>
      </w:r>
      <w:r>
        <w:rPr>
          <w:i/>
          <w:iCs/>
        </w:rPr>
        <w:t>Road Traffic (Administration) Act 2008</w:t>
      </w:r>
      <w:r>
        <w:t xml:space="preserve"> section 4</w:t>
      </w:r>
      <w:r>
        <w:rPr>
          <w:iCs/>
        </w:rPr>
        <w:t xml:space="preserve">) </w:t>
      </w:r>
      <w:r>
        <w:t>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No. 49 of 2010 s. 66; No. 8 of 2012 s. 54.]</w:t>
      </w:r>
    </w:p>
    <w:p>
      <w:pPr>
        <w:pStyle w:val="Heading5"/>
      </w:pPr>
      <w:bookmarkStart w:id="521" w:name="_Toc148361055"/>
      <w:bookmarkStart w:id="522" w:name="_Toc117608008"/>
      <w:r>
        <w:rPr>
          <w:rStyle w:val="CharSectno"/>
        </w:rPr>
        <w:t>103</w:t>
      </w:r>
      <w:r>
        <w:t>.</w:t>
      </w:r>
      <w:r>
        <w:tab/>
        <w:t>Tattooing or branding</w:t>
      </w:r>
      <w:bookmarkEnd w:id="521"/>
      <w:bookmarkEnd w:id="522"/>
    </w:p>
    <w:p>
      <w:pPr>
        <w:pStyle w:val="Subsection"/>
      </w:pPr>
      <w:r>
        <w:tab/>
        <w:t>(1)</w:t>
      </w:r>
      <w:r>
        <w:tab/>
        <w:t>A person must not in any manner tattoo or brand any part of the body of a child who has not reached 16 years of age.</w:t>
      </w:r>
    </w:p>
    <w:p>
      <w:pPr>
        <w:pStyle w:val="Penstart"/>
      </w:pPr>
      <w:r>
        <w:tab/>
        <w:t>Penalty for this subsection: a fine of $12 000 and imprisonment for one year.</w:t>
      </w:r>
    </w:p>
    <w:p>
      <w:pPr>
        <w:pStyle w:val="Subsection"/>
        <w:keepNext/>
      </w:pPr>
      <w:r>
        <w:tab/>
        <w:t>(2)</w:t>
      </w:r>
      <w:r>
        <w:tab/>
        <w:t>A person must not in any manner tattoo or brand any part of the body of a child who has reached 16 years of age unless the person has first obtained the written consent of a parent of the child to tattoo or brand the child in that manner and on that part of the child’s body.</w:t>
      </w:r>
    </w:p>
    <w:p>
      <w:pPr>
        <w:pStyle w:val="Penstart"/>
      </w:pPr>
      <w:r>
        <w:tab/>
        <w:t>Penalty for this subsection: a fine of $12 000 and imprisonment for one year.</w:t>
      </w:r>
    </w:p>
    <w:p>
      <w:pPr>
        <w:pStyle w:val="Subsection"/>
      </w:pPr>
      <w:r>
        <w:tab/>
        <w:t>(3)</w:t>
      </w:r>
      <w:r>
        <w:tab/>
        <w:t>This section does not apply to tattooing or branding carried out for a medical or therapeutic purpose.</w:t>
      </w:r>
    </w:p>
    <w:p>
      <w:pPr>
        <w:pStyle w:val="Footnotesection"/>
      </w:pPr>
      <w:r>
        <w:tab/>
        <w:t>[Section 103 inserted: No. 23 of 2015 s. 45; amended: No. 18 of 2021 s. 76.]</w:t>
      </w:r>
    </w:p>
    <w:p>
      <w:pPr>
        <w:pStyle w:val="Heading5"/>
      </w:pPr>
      <w:bookmarkStart w:id="523" w:name="_Toc148361056"/>
      <w:bookmarkStart w:id="524" w:name="_Toc117608009"/>
      <w:r>
        <w:rPr>
          <w:rStyle w:val="CharSectno"/>
        </w:rPr>
        <w:t>104A</w:t>
      </w:r>
      <w:r>
        <w:t>.</w:t>
      </w:r>
      <w:r>
        <w:tab/>
        <w:t>Body piercing</w:t>
      </w:r>
      <w:bookmarkEnd w:id="523"/>
      <w:bookmarkEnd w:id="524"/>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for this subsection: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for this subsection: a fine of $12 000 and imprisonment for one year.</w:t>
      </w:r>
    </w:p>
    <w:p>
      <w:pPr>
        <w:pStyle w:val="Subsection"/>
      </w:pPr>
      <w:r>
        <w:tab/>
        <w:t>(5)</w:t>
      </w:r>
      <w:r>
        <w:tab/>
        <w:t>Subsection (4) does not apply to body piercing carried out on the ear of a child who has reached 16 years of age.</w:t>
      </w:r>
    </w:p>
    <w:p>
      <w:pPr>
        <w:pStyle w:val="Subsection"/>
        <w:keepNext/>
      </w:pPr>
      <w:r>
        <w:tab/>
        <w:t>(6)</w:t>
      </w:r>
      <w:r>
        <w:tab/>
        <w:t>This section does not apply to body piercing carried out for a medical or therapeutic purpose.</w:t>
      </w:r>
    </w:p>
    <w:p>
      <w:pPr>
        <w:pStyle w:val="Footnotesection"/>
      </w:pPr>
      <w:r>
        <w:tab/>
        <w:t>[Section 104A inserted: No. 49 of 2010 s. 67; amended: No. 18 of 2021 s. 76.]</w:t>
      </w:r>
    </w:p>
    <w:p>
      <w:pPr>
        <w:pStyle w:val="Heading5"/>
      </w:pPr>
      <w:bookmarkStart w:id="525" w:name="_Toc148361057"/>
      <w:bookmarkStart w:id="526" w:name="_Toc117608010"/>
      <w:r>
        <w:rPr>
          <w:rStyle w:val="CharSectno"/>
        </w:rPr>
        <w:t>104</w:t>
      </w:r>
      <w:r>
        <w:t>.</w:t>
      </w:r>
      <w:r>
        <w:tab/>
        <w:t>Providing long</w:t>
      </w:r>
      <w:r>
        <w:noBreakHyphen/>
        <w:t>term care for young children</w:t>
      </w:r>
      <w:bookmarkEnd w:id="525"/>
      <w:bookmarkEnd w:id="526"/>
    </w:p>
    <w:p>
      <w:pPr>
        <w:pStyle w:val="Subsection"/>
        <w:keepNext/>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member of the child’s family;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keepNext/>
      </w:pPr>
      <w:r>
        <w:tab/>
        <w:t>(f)</w:t>
      </w:r>
      <w:r>
        <w:tab/>
        <w:t>a person who is providing care for the child in accordance with an approval under subsection (3).</w:t>
      </w:r>
    </w:p>
    <w:p>
      <w:pPr>
        <w:pStyle w:val="Penstart"/>
      </w:pPr>
      <w:r>
        <w:tab/>
        <w:t>Penalty for this subsection: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No. 35 of 2006 s. 201; No. 47 of 2008 s. 57; No. 49 of 2010 s. 85; No. 18 of 2021 s. 48 and 76.]</w:t>
      </w:r>
    </w:p>
    <w:p>
      <w:pPr>
        <w:pStyle w:val="Heading4"/>
      </w:pPr>
      <w:bookmarkStart w:id="527" w:name="_Toc148348630"/>
      <w:bookmarkStart w:id="528" w:name="_Toc148358414"/>
      <w:bookmarkStart w:id="529" w:name="_Toc148361058"/>
      <w:bookmarkStart w:id="530" w:name="_Toc117582674"/>
      <w:bookmarkStart w:id="531" w:name="_Toc117584487"/>
      <w:bookmarkStart w:id="532" w:name="_Toc117585657"/>
      <w:bookmarkStart w:id="533" w:name="_Toc117608011"/>
      <w:r>
        <w:t>Subdivision 2 — Children under placement arrangements or secure care arrangements</w:t>
      </w:r>
      <w:bookmarkEnd w:id="527"/>
      <w:bookmarkEnd w:id="528"/>
      <w:bookmarkEnd w:id="529"/>
      <w:bookmarkEnd w:id="530"/>
      <w:bookmarkEnd w:id="531"/>
      <w:bookmarkEnd w:id="532"/>
      <w:bookmarkEnd w:id="533"/>
    </w:p>
    <w:p>
      <w:pPr>
        <w:pStyle w:val="Footnoteheading"/>
        <w:keepNext/>
      </w:pPr>
      <w:r>
        <w:tab/>
        <w:t>[Heading amended: No. 49 of 2010 s. 15.]</w:t>
      </w:r>
    </w:p>
    <w:p>
      <w:pPr>
        <w:pStyle w:val="Heading5"/>
      </w:pPr>
      <w:bookmarkStart w:id="534" w:name="_Toc148361059"/>
      <w:bookmarkStart w:id="535" w:name="_Toc117608012"/>
      <w:r>
        <w:rPr>
          <w:rStyle w:val="CharSectno"/>
        </w:rPr>
        <w:t>105</w:t>
      </w:r>
      <w:r>
        <w:t>.</w:t>
      </w:r>
      <w:r>
        <w:tab/>
        <w:t>Terms used</w:t>
      </w:r>
      <w:bookmarkEnd w:id="534"/>
      <w:bookmarkEnd w:id="535"/>
    </w:p>
    <w:p>
      <w:pPr>
        <w:pStyle w:val="Subsection"/>
        <w:keepNext/>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(aa)</w:t>
      </w:r>
      <w:r>
        <w:tab/>
        <w:t>for a child who is the subject of a secure care arrangement — the act is done in accordance with procedures approved by the CEO for the secure care facility where the child lives;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No. 49 of 2010 s. 16; No. 18 of 2021 s. 49.]</w:t>
      </w:r>
    </w:p>
    <w:p>
      <w:pPr>
        <w:pStyle w:val="Heading5"/>
      </w:pPr>
      <w:bookmarkStart w:id="536" w:name="_Toc148361060"/>
      <w:bookmarkStart w:id="537" w:name="_Toc117608013"/>
      <w:r>
        <w:rPr>
          <w:rStyle w:val="CharSectno"/>
        </w:rPr>
        <w:t>106</w:t>
      </w:r>
      <w:r>
        <w:t>.</w:t>
      </w:r>
      <w:r>
        <w:tab/>
        <w:t>Removing child from State</w:t>
      </w:r>
      <w:bookmarkEnd w:id="536"/>
      <w:bookmarkEnd w:id="537"/>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No. 49 of 2010 s. 85.]</w:t>
      </w:r>
    </w:p>
    <w:p>
      <w:pPr>
        <w:pStyle w:val="Heading5"/>
      </w:pPr>
      <w:bookmarkStart w:id="538" w:name="_Toc148361061"/>
      <w:bookmarkStart w:id="539" w:name="_Toc117608014"/>
      <w:r>
        <w:rPr>
          <w:rStyle w:val="CharSectno"/>
        </w:rPr>
        <w:t>107</w:t>
      </w:r>
      <w:r>
        <w:t>.</w:t>
      </w:r>
      <w:r>
        <w:tab/>
        <w:t>Removing child from place of residence</w:t>
      </w:r>
      <w:bookmarkEnd w:id="538"/>
      <w:bookmarkEnd w:id="539"/>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for this subsection: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for this subsection: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No. 49 of 2010 s. 85; No. 18 of 2021 s. 76.]</w:t>
      </w:r>
    </w:p>
    <w:p>
      <w:pPr>
        <w:pStyle w:val="Heading5"/>
      </w:pPr>
      <w:bookmarkStart w:id="540" w:name="_Toc148361062"/>
      <w:bookmarkStart w:id="541" w:name="_Toc117608015"/>
      <w:r>
        <w:rPr>
          <w:rStyle w:val="CharSectno"/>
        </w:rPr>
        <w:t>108</w:t>
      </w:r>
      <w:r>
        <w:t>.</w:t>
      </w:r>
      <w:r>
        <w:tab/>
        <w:t>Harbouring child absent from place of residence</w:t>
      </w:r>
      <w:bookmarkEnd w:id="540"/>
      <w:bookmarkEnd w:id="541"/>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No. 49 of 2010 s. 85.]</w:t>
      </w:r>
    </w:p>
    <w:p>
      <w:pPr>
        <w:pStyle w:val="Heading5"/>
        <w:keepLines w:val="0"/>
      </w:pPr>
      <w:bookmarkStart w:id="542" w:name="_Toc148361063"/>
      <w:bookmarkStart w:id="543" w:name="_Toc117608016"/>
      <w:r>
        <w:rPr>
          <w:rStyle w:val="CharSectno"/>
        </w:rPr>
        <w:t>109</w:t>
      </w:r>
      <w:r>
        <w:t>.</w:t>
      </w:r>
      <w:r>
        <w:tab/>
        <w:t>Preventing child’s return to place of residence</w:t>
      </w:r>
      <w:bookmarkEnd w:id="542"/>
      <w:bookmarkEnd w:id="543"/>
    </w:p>
    <w:p>
      <w:pPr>
        <w:pStyle w:val="Subsection"/>
        <w:keepLines/>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No. 49 of 2010 s. 85.]</w:t>
      </w:r>
    </w:p>
    <w:p>
      <w:pPr>
        <w:pStyle w:val="Heading5"/>
        <w:keepLines w:val="0"/>
      </w:pPr>
      <w:bookmarkStart w:id="544" w:name="_Toc148361064"/>
      <w:bookmarkStart w:id="545" w:name="_Toc117608017"/>
      <w:r>
        <w:rPr>
          <w:rStyle w:val="CharSectno"/>
        </w:rPr>
        <w:t>110</w:t>
      </w:r>
      <w:r>
        <w:t>.</w:t>
      </w:r>
      <w:r>
        <w:tab/>
        <w:t>CEO may prohibit communication with child</w:t>
      </w:r>
      <w:bookmarkEnd w:id="544"/>
      <w:bookmarkEnd w:id="545"/>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for this subsection: a fine of $6 000.</w:t>
      </w:r>
    </w:p>
    <w:p>
      <w:pPr>
        <w:pStyle w:val="Footnotesection"/>
      </w:pPr>
      <w:r>
        <w:tab/>
        <w:t>[Section 110 amended: No. 49 of 2010 s. 85; No. 18 of 2021 s. 76.]</w:t>
      </w:r>
    </w:p>
    <w:p>
      <w:pPr>
        <w:pStyle w:val="Heading5"/>
      </w:pPr>
      <w:bookmarkStart w:id="546" w:name="_Toc148361065"/>
      <w:bookmarkStart w:id="547" w:name="_Toc117608018"/>
      <w:r>
        <w:rPr>
          <w:rStyle w:val="CharSectno"/>
        </w:rPr>
        <w:t>111</w:t>
      </w:r>
      <w:r>
        <w:t>.</w:t>
      </w:r>
      <w:r>
        <w:tab/>
        <w:t>Evidentiary provision</w:t>
      </w:r>
      <w:bookmarkEnd w:id="546"/>
      <w:bookmarkEnd w:id="547"/>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No. 84 of 2004 s. 80.]</w:t>
      </w:r>
    </w:p>
    <w:p>
      <w:pPr>
        <w:pStyle w:val="Heading3"/>
      </w:pPr>
      <w:bookmarkStart w:id="548" w:name="_Toc148348638"/>
      <w:bookmarkStart w:id="549" w:name="_Toc148358422"/>
      <w:bookmarkStart w:id="550" w:name="_Toc148361066"/>
      <w:bookmarkStart w:id="551" w:name="_Toc117582682"/>
      <w:bookmarkStart w:id="552" w:name="_Toc117584495"/>
      <w:bookmarkStart w:id="553" w:name="_Toc117585665"/>
      <w:bookmarkStart w:id="554" w:name="_Toc117608019"/>
      <w:r>
        <w:rPr>
          <w:rStyle w:val="CharDivNo"/>
        </w:rPr>
        <w:t>Division 8</w:t>
      </w:r>
      <w:r>
        <w:t> — </w:t>
      </w:r>
      <w:r>
        <w:rPr>
          <w:rStyle w:val="CharDivText"/>
        </w:rPr>
        <w:t>Powers of restraint, search and seizure</w:t>
      </w:r>
      <w:bookmarkEnd w:id="548"/>
      <w:bookmarkEnd w:id="549"/>
      <w:bookmarkEnd w:id="550"/>
      <w:bookmarkEnd w:id="551"/>
      <w:bookmarkEnd w:id="552"/>
      <w:bookmarkEnd w:id="553"/>
      <w:bookmarkEnd w:id="554"/>
    </w:p>
    <w:p>
      <w:pPr>
        <w:pStyle w:val="Heading5"/>
      </w:pPr>
      <w:bookmarkStart w:id="555" w:name="_Toc148361067"/>
      <w:bookmarkStart w:id="556" w:name="_Toc117608020"/>
      <w:r>
        <w:rPr>
          <w:rStyle w:val="CharSectno"/>
        </w:rPr>
        <w:t>112</w:t>
      </w:r>
      <w:r>
        <w:t>.</w:t>
      </w:r>
      <w:r>
        <w:tab/>
        <w:t>Terms used</w:t>
      </w:r>
      <w:bookmarkEnd w:id="555"/>
      <w:bookmarkEnd w:id="556"/>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keepNex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keepNext/>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 xml:space="preserve">firearm </w:t>
      </w:r>
      <w:del w:id="557" w:author="Master Repository Process" w:date="2023-10-17T15:18:00Z">
        <w:r>
          <w:delText>has the meaning given to that term</w:delText>
        </w:r>
      </w:del>
      <w:ins w:id="558" w:author="Master Repository Process" w:date="2023-10-17T15:18:00Z">
        <w:r>
          <w:rPr>
            <w:rStyle w:val="CharDefText"/>
          </w:rPr>
          <w:t>article</w:t>
        </w:r>
        <w:r>
          <w:t xml:space="preserve"> means a firearm, major firearm part, prohibited firearm accessory or ammunition, as those terms are defined</w:t>
        </w:r>
      </w:ins>
      <w:r>
        <w:t xml:space="preserve">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No. 49 of 2010 s. </w:t>
      </w:r>
      <w:del w:id="559" w:author="Master Repository Process" w:date="2023-10-17T15:18:00Z">
        <w:r>
          <w:delText>68.]</w:delText>
        </w:r>
      </w:del>
      <w:ins w:id="560" w:author="Master Repository Process" w:date="2023-10-17T15:18:00Z">
        <w:r>
          <w:t>68; No. 13 of 2022 s. 82(2) and (3).]</w:t>
        </w:r>
      </w:ins>
    </w:p>
    <w:p>
      <w:pPr>
        <w:pStyle w:val="Heading5"/>
      </w:pPr>
      <w:bookmarkStart w:id="561" w:name="_Toc148361068"/>
      <w:bookmarkStart w:id="562" w:name="_Toc117608021"/>
      <w:r>
        <w:rPr>
          <w:rStyle w:val="CharSectno"/>
        </w:rPr>
        <w:t>113A</w:t>
      </w:r>
      <w:r>
        <w:t>.</w:t>
      </w:r>
      <w:r>
        <w:tab/>
        <w:t>Approving persons for purposes of this Division</w:t>
      </w:r>
      <w:bookmarkEnd w:id="561"/>
      <w:bookmarkEnd w:id="562"/>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keepNext/>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keepNext/>
      </w:pPr>
      <w:r>
        <w:tab/>
        <w:t>(c)</w:t>
      </w:r>
      <w:r>
        <w:tab/>
        <w:t>may be revoked at any time.</w:t>
      </w:r>
    </w:p>
    <w:p>
      <w:pPr>
        <w:pStyle w:val="Footnotesection"/>
      </w:pPr>
      <w:r>
        <w:tab/>
        <w:t>[Section 113A inserted: No. 49 of 2010 s. 69.]</w:t>
      </w:r>
    </w:p>
    <w:p>
      <w:pPr>
        <w:pStyle w:val="Heading5"/>
        <w:spacing w:before="200"/>
      </w:pPr>
      <w:bookmarkStart w:id="563" w:name="_Toc148361069"/>
      <w:bookmarkStart w:id="564" w:name="_Toc117608022"/>
      <w:r>
        <w:rPr>
          <w:rStyle w:val="CharSectno"/>
        </w:rPr>
        <w:t>113</w:t>
      </w:r>
      <w:r>
        <w:t>.</w:t>
      </w:r>
      <w:r>
        <w:tab/>
        <w:t>Prerequisites for exercise of power</w:t>
      </w:r>
      <w:bookmarkEnd w:id="563"/>
      <w:bookmarkEnd w:id="564"/>
    </w:p>
    <w:p>
      <w:pPr>
        <w:pStyle w:val="Subsection"/>
        <w:keepNext/>
      </w:pPr>
      <w:r>
        <w:tab/>
        <w:t>(1)</w:t>
      </w:r>
      <w:r>
        <w:tab/>
        <w:t xml:space="preserve">A power conferred by this Division may be exercised by an authorised officer only if — </w:t>
      </w:r>
    </w:p>
    <w:p>
      <w:pPr>
        <w:pStyle w:val="Indenta"/>
        <w:keepNext/>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keepNext/>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keepNext/>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keepNext/>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No. 49 of 2010 s. 70.]</w:t>
      </w:r>
    </w:p>
    <w:p>
      <w:pPr>
        <w:pStyle w:val="Heading5"/>
        <w:spacing w:before="200"/>
      </w:pPr>
      <w:bookmarkStart w:id="565" w:name="_Toc148361070"/>
      <w:bookmarkStart w:id="566" w:name="_Toc117608023"/>
      <w:r>
        <w:rPr>
          <w:rStyle w:val="CharSectno"/>
        </w:rPr>
        <w:t>114</w:t>
      </w:r>
      <w:r>
        <w:t>.</w:t>
      </w:r>
      <w:r>
        <w:tab/>
        <w:t>Child may be restrained</w:t>
      </w:r>
      <w:bookmarkEnd w:id="565"/>
      <w:bookmarkEnd w:id="566"/>
    </w:p>
    <w:p>
      <w:pPr>
        <w:pStyle w:val="Subsection"/>
        <w:keepNext/>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No. 49 of 2010 s. 84.]</w:t>
      </w:r>
    </w:p>
    <w:p>
      <w:pPr>
        <w:pStyle w:val="Heading5"/>
      </w:pPr>
      <w:bookmarkStart w:id="567" w:name="_Toc148361071"/>
      <w:bookmarkStart w:id="568" w:name="_Toc117608024"/>
      <w:r>
        <w:rPr>
          <w:rStyle w:val="CharSectno"/>
        </w:rPr>
        <w:t>115</w:t>
      </w:r>
      <w:r>
        <w:t>.</w:t>
      </w:r>
      <w:r>
        <w:tab/>
        <w:t>Child may be searched</w:t>
      </w:r>
      <w:bookmarkEnd w:id="567"/>
      <w:bookmarkEnd w:id="568"/>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and</w:t>
      </w:r>
    </w:p>
    <w:p>
      <w:pPr>
        <w:pStyle w:val="Indenta"/>
      </w:pPr>
      <w:r>
        <w:tab/>
        <w:t>(b)</w:t>
      </w:r>
      <w:r>
        <w:tab/>
        <w:t>in the presence of at least one other adult.</w:t>
      </w:r>
    </w:p>
    <w:p>
      <w:pPr>
        <w:pStyle w:val="Subsection"/>
        <w:spacing w:before="120"/>
      </w:pPr>
      <w:r>
        <w:tab/>
        <w:t>(3)</w:t>
      </w:r>
      <w:r>
        <w:tab/>
        <w:t>If it is reasonably necessary in order to do the search, an authorised person may designate another person to do the search or to assist in doing the search.</w:t>
      </w:r>
    </w:p>
    <w:p>
      <w:pPr>
        <w:pStyle w:val="Subsection"/>
        <w:keepNext/>
      </w:pPr>
      <w:r>
        <w:tab/>
        <w:t>(3A)</w:t>
      </w:r>
      <w:r>
        <w:tab/>
        <w:t>In determining the appropriateness of a person to do the search or assist in doing the search —</w:t>
      </w:r>
    </w:p>
    <w:p>
      <w:pPr>
        <w:pStyle w:val="Indenta"/>
      </w:pPr>
      <w:r>
        <w:tab/>
        <w:t>(a)</w:t>
      </w:r>
      <w:r>
        <w:tab/>
        <w:t>if there is no reason to suspect that the child is transgender or intersex — the person must be of the same sex as the child; and</w:t>
      </w:r>
    </w:p>
    <w:p>
      <w:pPr>
        <w:pStyle w:val="Indenta"/>
        <w:keepNext/>
      </w:pPr>
      <w:r>
        <w:tab/>
        <w:t>(b)</w:t>
      </w:r>
      <w:r>
        <w:tab/>
        <w:t>in any other case, consideration must be given to —</w:t>
      </w:r>
    </w:p>
    <w:p>
      <w:pPr>
        <w:pStyle w:val="Indenti"/>
      </w:pPr>
      <w:r>
        <w:tab/>
        <w:t>(i)</w:t>
      </w:r>
      <w:r>
        <w:tab/>
        <w:t>whether the child and the person identify as male, female, transgender or intersex; and</w:t>
      </w:r>
    </w:p>
    <w:p>
      <w:pPr>
        <w:pStyle w:val="Indenti"/>
      </w:pPr>
      <w:r>
        <w:tab/>
        <w:t>(ii)</w:t>
      </w:r>
      <w:r>
        <w:tab/>
        <w:t>the views of the child (taking into account the maturity and understanding of the child); and</w:t>
      </w:r>
    </w:p>
    <w:p>
      <w:pPr>
        <w:pStyle w:val="Indenti"/>
      </w:pPr>
      <w:r>
        <w:tab/>
        <w:t>(iii)</w:t>
      </w:r>
      <w:r>
        <w:tab/>
        <w:t>any known views of a member of the child’s family or other person who is significant in the child’s life.</w:t>
      </w:r>
    </w:p>
    <w:p>
      <w:pPr>
        <w:pStyle w:val="Subsection"/>
        <w:spacing w:before="120"/>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spacing w:before="120"/>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No. 49 of 2010 s. 84; No. 18 of 2021 s. 50.]</w:t>
      </w:r>
    </w:p>
    <w:p>
      <w:pPr>
        <w:pStyle w:val="Heading5"/>
      </w:pPr>
      <w:bookmarkStart w:id="569" w:name="_Toc148361072"/>
      <w:bookmarkStart w:id="570" w:name="_Toc117608025"/>
      <w:r>
        <w:rPr>
          <w:rStyle w:val="CharSectno"/>
        </w:rPr>
        <w:t>116</w:t>
      </w:r>
      <w:r>
        <w:t>.</w:t>
      </w:r>
      <w:r>
        <w:tab/>
        <w:t>Certain articles may be seized</w:t>
      </w:r>
      <w:bookmarkEnd w:id="569"/>
      <w:bookmarkEnd w:id="570"/>
    </w:p>
    <w:p>
      <w:pPr>
        <w:pStyle w:val="Subsection"/>
        <w:spacing w:before="120"/>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keepNext/>
      </w:pPr>
      <w:r>
        <w:tab/>
        <w:t>(b)</w:t>
      </w:r>
      <w:r>
        <w:tab/>
        <w:t>to prevent the child causing serious damage to property.</w:t>
      </w:r>
    </w:p>
    <w:p>
      <w:pPr>
        <w:pStyle w:val="Footnotesection"/>
      </w:pPr>
      <w:r>
        <w:tab/>
        <w:t>[Section 116 amended: No. 49 of 2010 s. 84.]</w:t>
      </w:r>
    </w:p>
    <w:p>
      <w:pPr>
        <w:pStyle w:val="Heading5"/>
      </w:pPr>
      <w:bookmarkStart w:id="571" w:name="_Toc148361073"/>
      <w:bookmarkStart w:id="572" w:name="_Toc117608026"/>
      <w:r>
        <w:rPr>
          <w:rStyle w:val="CharSectno"/>
        </w:rPr>
        <w:t>117</w:t>
      </w:r>
      <w:r>
        <w:t>.</w:t>
      </w:r>
      <w:r>
        <w:tab/>
        <w:t>How seized articles to be dealt with</w:t>
      </w:r>
      <w:bookmarkEnd w:id="571"/>
      <w:bookmarkEnd w:id="572"/>
    </w:p>
    <w:p>
      <w:pPr>
        <w:pStyle w:val="Subsection"/>
        <w:keepNext/>
        <w:spacing w:before="120"/>
      </w:pPr>
      <w:r>
        <w:tab/>
        <w:t>(1)</w:t>
      </w:r>
      <w:r>
        <w:tab/>
        <w:t xml:space="preserve">In this section — </w:t>
      </w:r>
    </w:p>
    <w:p>
      <w:pPr>
        <w:pStyle w:val="Defstart"/>
      </w:pPr>
      <w:r>
        <w:tab/>
      </w:r>
      <w:r>
        <w:rPr>
          <w:rStyle w:val="CharDefText"/>
        </w:rPr>
        <w:t>seized</w:t>
      </w:r>
      <w:r>
        <w:t xml:space="preserve"> means seized under section 116.</w:t>
      </w:r>
    </w:p>
    <w:p>
      <w:pPr>
        <w:pStyle w:val="Subsection"/>
        <w:spacing w:before="120"/>
      </w:pPr>
      <w:r>
        <w:tab/>
        <w:t>(2)</w:t>
      </w:r>
      <w:r>
        <w:tab/>
        <w:t>If a firearm</w:t>
      </w:r>
      <w:ins w:id="573" w:author="Master Repository Process" w:date="2023-10-17T15:18:00Z">
        <w:r>
          <w:t xml:space="preserve"> article</w:t>
        </w:r>
      </w:ins>
      <w:r>
        <w:t>,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No. 49 of 2010 s. 71 and 84</w:t>
      </w:r>
      <w:del w:id="574" w:author="Master Repository Process" w:date="2023-10-17T15:18:00Z">
        <w:r>
          <w:delText>.]</w:delText>
        </w:r>
      </w:del>
      <w:ins w:id="575" w:author="Master Repository Process" w:date="2023-10-17T15:18:00Z">
        <w:r>
          <w:t>; No. 13 of 2022 s. 82(4).]</w:t>
        </w:r>
      </w:ins>
    </w:p>
    <w:p>
      <w:pPr>
        <w:pStyle w:val="Heading5"/>
      </w:pPr>
      <w:bookmarkStart w:id="576" w:name="_Toc148361074"/>
      <w:bookmarkStart w:id="577" w:name="_Toc117608027"/>
      <w:r>
        <w:rPr>
          <w:rStyle w:val="CharSectno"/>
        </w:rPr>
        <w:t>118</w:t>
      </w:r>
      <w:r>
        <w:t>.</w:t>
      </w:r>
      <w:r>
        <w:tab/>
        <w:t>Use of reasonable force</w:t>
      </w:r>
      <w:bookmarkEnd w:id="576"/>
      <w:bookmarkEnd w:id="577"/>
    </w:p>
    <w:p>
      <w:pPr>
        <w:pStyle w:val="Subsection"/>
        <w:spacing w:before="140"/>
      </w:pPr>
      <w:r>
        <w:tab/>
      </w:r>
      <w:r>
        <w:tab/>
        <w:t>Reasonable force may be used to do a search under section 115 and to seize any thing or substance that can be seized under section 116.</w:t>
      </w:r>
    </w:p>
    <w:p>
      <w:pPr>
        <w:pStyle w:val="Heading5"/>
      </w:pPr>
      <w:bookmarkStart w:id="578" w:name="_Toc148361075"/>
      <w:bookmarkStart w:id="579" w:name="_Toc117608028"/>
      <w:r>
        <w:rPr>
          <w:rStyle w:val="CharSectno"/>
        </w:rPr>
        <w:t>119</w:t>
      </w:r>
      <w:r>
        <w:t>.</w:t>
      </w:r>
      <w:r>
        <w:tab/>
        <w:t>Prescribed procedures</w:t>
      </w:r>
      <w:bookmarkEnd w:id="578"/>
      <w:bookmarkEnd w:id="579"/>
    </w:p>
    <w:p>
      <w:pPr>
        <w:pStyle w:val="Subsection"/>
        <w:keepNext/>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No. 49 of 2010 s. 84.]</w:t>
      </w:r>
    </w:p>
    <w:p>
      <w:pPr>
        <w:pStyle w:val="Heading3"/>
        <w:spacing w:before="220"/>
      </w:pPr>
      <w:bookmarkStart w:id="580" w:name="_Toc148348648"/>
      <w:bookmarkStart w:id="581" w:name="_Toc148358432"/>
      <w:bookmarkStart w:id="582" w:name="_Toc148361076"/>
      <w:bookmarkStart w:id="583" w:name="_Toc117582692"/>
      <w:bookmarkStart w:id="584" w:name="_Toc117584505"/>
      <w:bookmarkStart w:id="585" w:name="_Toc117585675"/>
      <w:bookmarkStart w:id="586" w:name="_Toc117608029"/>
      <w:r>
        <w:rPr>
          <w:rStyle w:val="CharDivNo"/>
        </w:rPr>
        <w:t>Division 9</w:t>
      </w:r>
      <w:r>
        <w:t xml:space="preserve"> — </w:t>
      </w:r>
      <w:r>
        <w:rPr>
          <w:rStyle w:val="CharDivText"/>
        </w:rPr>
        <w:t>Warrants</w:t>
      </w:r>
      <w:bookmarkEnd w:id="580"/>
      <w:bookmarkEnd w:id="581"/>
      <w:bookmarkEnd w:id="582"/>
      <w:bookmarkEnd w:id="583"/>
      <w:bookmarkEnd w:id="584"/>
      <w:bookmarkEnd w:id="585"/>
      <w:bookmarkEnd w:id="586"/>
    </w:p>
    <w:p>
      <w:pPr>
        <w:pStyle w:val="Heading5"/>
        <w:spacing w:before="200"/>
      </w:pPr>
      <w:bookmarkStart w:id="587" w:name="_Toc148361077"/>
      <w:bookmarkStart w:id="588" w:name="_Toc117608030"/>
      <w:r>
        <w:rPr>
          <w:rStyle w:val="CharSectno"/>
        </w:rPr>
        <w:t>120</w:t>
      </w:r>
      <w:r>
        <w:t>.</w:t>
      </w:r>
      <w:r>
        <w:tab/>
        <w:t>Applying for warrants</w:t>
      </w:r>
      <w:bookmarkEnd w:id="587"/>
      <w:bookmarkEnd w:id="588"/>
    </w:p>
    <w:p>
      <w:pPr>
        <w:pStyle w:val="Ednotesubsection"/>
        <w:keepNext/>
      </w:pPr>
      <w:r>
        <w:tab/>
        <w:t>[(1)</w:t>
      </w:r>
      <w:r>
        <w:tab/>
        <w:t>deleted]</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keepNext/>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keepNext/>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No. 8 of 2009 s. 32(3); No. 18 of 2021 s. 51.]</w:t>
      </w:r>
    </w:p>
    <w:p>
      <w:pPr>
        <w:pStyle w:val="Heading5"/>
      </w:pPr>
      <w:bookmarkStart w:id="589" w:name="_Toc148361078"/>
      <w:bookmarkStart w:id="590" w:name="_Toc117608031"/>
      <w:r>
        <w:rPr>
          <w:rStyle w:val="CharSectno"/>
        </w:rPr>
        <w:t>121</w:t>
      </w:r>
      <w:r>
        <w:t>.</w:t>
      </w:r>
      <w:r>
        <w:tab/>
        <w:t>Warrant (access), effect of</w:t>
      </w:r>
      <w:bookmarkEnd w:id="589"/>
      <w:bookmarkEnd w:id="590"/>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591" w:name="_Toc148361079"/>
      <w:bookmarkStart w:id="592" w:name="_Toc117608032"/>
      <w:r>
        <w:rPr>
          <w:rStyle w:val="CharSectno"/>
        </w:rPr>
        <w:t>122</w:t>
      </w:r>
      <w:r>
        <w:t>.</w:t>
      </w:r>
      <w:r>
        <w:tab/>
        <w:t>Warrant (apprehension), effect of</w:t>
      </w:r>
      <w:bookmarkEnd w:id="591"/>
      <w:bookmarkEnd w:id="592"/>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keepNext/>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keepLines/>
        <w:spacing w:before="60"/>
      </w:pPr>
      <w:r>
        <w:tab/>
        <w:t>(ii)</w:t>
      </w:r>
      <w:r>
        <w:tab/>
        <w:t>in the case of a warrant issued under section 86, to take the child to the place referred to in section 86(1) or such other place as the CEO directs.</w:t>
      </w:r>
    </w:p>
    <w:p>
      <w:pPr>
        <w:pStyle w:val="Heading5"/>
      </w:pPr>
      <w:bookmarkStart w:id="593" w:name="_Toc148361080"/>
      <w:bookmarkStart w:id="594" w:name="_Toc117608033"/>
      <w:r>
        <w:rPr>
          <w:rStyle w:val="CharSectno"/>
        </w:rPr>
        <w:t>123</w:t>
      </w:r>
      <w:r>
        <w:t>.</w:t>
      </w:r>
      <w:r>
        <w:tab/>
        <w:t>Warrant (provisional protection and care), effect of</w:t>
      </w:r>
      <w:bookmarkEnd w:id="593"/>
      <w:bookmarkEnd w:id="594"/>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keepNext/>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595" w:name="_Toc148361081"/>
      <w:bookmarkStart w:id="596" w:name="_Toc117608034"/>
      <w:r>
        <w:rPr>
          <w:rStyle w:val="CharSectno"/>
        </w:rPr>
        <w:t>124</w:t>
      </w:r>
      <w:r>
        <w:t>.</w:t>
      </w:r>
      <w:r>
        <w:tab/>
        <w:t>Execution of warrant</w:t>
      </w:r>
      <w:bookmarkEnd w:id="595"/>
      <w:bookmarkEnd w:id="596"/>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597" w:name="_Toc148348654"/>
      <w:bookmarkStart w:id="598" w:name="_Toc148358438"/>
      <w:bookmarkStart w:id="599" w:name="_Toc148361082"/>
      <w:bookmarkStart w:id="600" w:name="_Toc117582698"/>
      <w:bookmarkStart w:id="601" w:name="_Toc117584511"/>
      <w:bookmarkStart w:id="602" w:name="_Toc117585681"/>
      <w:bookmarkStart w:id="603" w:name="_Toc117608035"/>
      <w:r>
        <w:rPr>
          <w:rStyle w:val="CharDivNo"/>
        </w:rPr>
        <w:t>Division 9A</w:t>
      </w:r>
      <w:r>
        <w:t> — </w:t>
      </w:r>
      <w:r>
        <w:rPr>
          <w:rStyle w:val="CharDivText"/>
        </w:rPr>
        <w:t>Reporting sexual abuse of children</w:t>
      </w:r>
      <w:bookmarkEnd w:id="597"/>
      <w:bookmarkEnd w:id="598"/>
      <w:bookmarkEnd w:id="599"/>
      <w:bookmarkEnd w:id="600"/>
      <w:bookmarkEnd w:id="601"/>
      <w:bookmarkEnd w:id="602"/>
      <w:bookmarkEnd w:id="603"/>
    </w:p>
    <w:p>
      <w:pPr>
        <w:pStyle w:val="Footnoteheading"/>
        <w:keepNext/>
      </w:pPr>
      <w:r>
        <w:tab/>
        <w:t>[Heading inserted: No. 26 of 2008 s. 5.]</w:t>
      </w:r>
    </w:p>
    <w:p>
      <w:pPr>
        <w:pStyle w:val="Heading5"/>
      </w:pPr>
      <w:bookmarkStart w:id="604" w:name="_Toc148361083"/>
      <w:bookmarkStart w:id="605" w:name="_Toc117608036"/>
      <w:r>
        <w:rPr>
          <w:rStyle w:val="CharSectno"/>
        </w:rPr>
        <w:t>124A</w:t>
      </w:r>
      <w:r>
        <w:t>.</w:t>
      </w:r>
      <w:r>
        <w:tab/>
        <w:t>Terms used</w:t>
      </w:r>
      <w:bookmarkEnd w:id="604"/>
      <w:bookmarkEnd w:id="605"/>
    </w:p>
    <w:p>
      <w:pPr>
        <w:pStyle w:val="Subsection"/>
        <w:keepNext/>
      </w:pPr>
      <w:r>
        <w:tab/>
      </w:r>
      <w:r>
        <w:tab/>
        <w:t xml:space="preserve">In this Division — </w:t>
      </w:r>
    </w:p>
    <w:p>
      <w:pPr>
        <w:pStyle w:val="Defstart"/>
      </w:pPr>
      <w:r>
        <w:tab/>
      </w:r>
      <w:r>
        <w:rPr>
          <w:rStyle w:val="CharDefText"/>
        </w:rPr>
        <w:t>boarding facility</w:t>
      </w:r>
      <w:r>
        <w:t xml:space="preserve"> means a place used to provide residential accommodation for children while they attend a school as defined in the </w:t>
      </w:r>
      <w:r>
        <w:rPr>
          <w:i/>
        </w:rPr>
        <w:t>School Education Act 1999</w:t>
      </w:r>
      <w:r>
        <w:t xml:space="preserve"> section 4;</w:t>
      </w:r>
    </w:p>
    <w:p>
      <w:pPr>
        <w:pStyle w:val="Defstart"/>
      </w:pPr>
      <w:r>
        <w:tab/>
      </w:r>
      <w:r>
        <w:rPr>
          <w:rStyle w:val="CharDefText"/>
        </w:rPr>
        <w:t>boarding supervisor</w:t>
      </w:r>
      <w:r>
        <w:t xml:space="preserve"> means a person who holds an office or position at a boarding facility the duties of which include the supervision of children living at the facility;</w:t>
      </w:r>
    </w:p>
    <w:p>
      <w:pPr>
        <w:pStyle w:val="Defstart"/>
        <w:keepNext/>
      </w:pPr>
      <w:r>
        <w:tab/>
      </w:r>
      <w:r>
        <w:rPr>
          <w:rStyle w:val="CharDefText"/>
        </w:rPr>
        <w:t>commencement day</w:t>
      </w:r>
      <w:r>
        <w:t xml:space="preserve"> means the following — </w:t>
      </w:r>
    </w:p>
    <w:p>
      <w:pPr>
        <w:pStyle w:val="Defpara"/>
      </w:pPr>
      <w:r>
        <w:tab/>
        <w:t>(a)</w:t>
      </w:r>
      <w:r>
        <w:tab/>
        <w:t xml:space="preserve">in relation to a doctor, nurse, midwife, police officer or teacher — the day on which the </w:t>
      </w:r>
      <w:r>
        <w:rPr>
          <w:i/>
        </w:rPr>
        <w:t>Children and Community Services Amendment (Reporting Sexual Abuse of Children) Act 2008</w:t>
      </w:r>
      <w:r>
        <w:t xml:space="preserve"> section 5 came into operation;</w:t>
      </w:r>
    </w:p>
    <w:p>
      <w:pPr>
        <w:pStyle w:val="Defpara"/>
      </w:pPr>
      <w:r>
        <w:tab/>
        <w:t>(b)</w:t>
      </w:r>
      <w:r>
        <w:tab/>
        <w:t xml:space="preserve">in relation to a boarding supervisor — the day on which the </w:t>
      </w:r>
      <w:r>
        <w:rPr>
          <w:i/>
        </w:rPr>
        <w:t>Children and Community Services Legislation Amendment and Repeal Act 2015</w:t>
      </w:r>
      <w:r>
        <w:t xml:space="preserve"> section 47 came into operation;</w:t>
      </w:r>
    </w:p>
    <w:p>
      <w:pPr>
        <w:pStyle w:val="Defpara"/>
      </w:pPr>
      <w:r>
        <w:tab/>
        <w:t>(c)</w:t>
      </w:r>
      <w:r>
        <w:tab/>
        <w:t xml:space="preserve">in relation to a minister of religion — the day on which the </w:t>
      </w:r>
      <w:r>
        <w:rPr>
          <w:i/>
        </w:rPr>
        <w:t>Children and Community Services Amendment Act 2021</w:t>
      </w:r>
      <w:r>
        <w:t xml:space="preserve"> section 52(9) came into operation;</w:t>
      </w:r>
    </w:p>
    <w:p>
      <w:pPr>
        <w:pStyle w:val="Defstart"/>
      </w:pPr>
      <w:r>
        <w:tab/>
      </w:r>
      <w:r>
        <w:rPr>
          <w:rStyle w:val="CharDefText"/>
        </w:rPr>
        <w:t>doctor</w:t>
      </w:r>
      <w:r>
        <w:t xml:space="preserve"> means a person registered under the </w:t>
      </w:r>
      <w:r>
        <w:rPr>
          <w:i/>
          <w:iCs/>
        </w:rPr>
        <w:t xml:space="preserve">Health Practitioner Regulation National Law (Western Australia) </w:t>
      </w:r>
      <w:r>
        <w:t>in the medical profession (other than as a student);</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 (other than as a student);</w:t>
      </w:r>
    </w:p>
    <w:p>
      <w:pPr>
        <w:pStyle w:val="Defstart"/>
      </w:pPr>
      <w:r>
        <w:tab/>
      </w:r>
      <w:r>
        <w:rPr>
          <w:rStyle w:val="CharDefText"/>
        </w:rPr>
        <w:t>minister of religion</w:t>
      </w:r>
      <w:r>
        <w:t> —</w:t>
      </w:r>
    </w:p>
    <w:p>
      <w:pPr>
        <w:pStyle w:val="Defpara"/>
      </w:pPr>
      <w:r>
        <w:tab/>
        <w:t>(a)</w:t>
      </w:r>
      <w:r>
        <w:tab/>
        <w:t>means a person who is recognised in accordance with the practices of a faith or religion as a person who is authorised to conduct services or ceremonies in accordance with the tenets of the faith or religion; and</w:t>
      </w:r>
    </w:p>
    <w:p>
      <w:pPr>
        <w:pStyle w:val="Defpara"/>
      </w:pPr>
      <w:r>
        <w:tab/>
        <w:t>(b)</w:t>
      </w:r>
      <w:r>
        <w:tab/>
        <w:t>includes such a person regardless of how the person’s position or title is described (for example, member of the clergy, priest, minister, imam, rabbi or pastor);</w:t>
      </w:r>
    </w:p>
    <w:p>
      <w:pPr>
        <w:pStyle w:val="Defstart"/>
      </w:pPr>
      <w:r>
        <w:tab/>
      </w:r>
      <w:r>
        <w:rPr>
          <w:rStyle w:val="CharDefText"/>
        </w:rPr>
        <w:t>nurse</w:t>
      </w:r>
      <w:r>
        <w:t xml:space="preserve"> means a person registered under the </w:t>
      </w:r>
      <w:r>
        <w:rPr>
          <w:i/>
        </w:rPr>
        <w:t xml:space="preserve">Health Practitioner Regulation National Law (Western Australia) </w:t>
      </w:r>
      <w:r>
        <w:t>in the nursing profession (other than as a student);</w:t>
      </w:r>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Cs/>
        </w:rPr>
        <w:t xml:space="preserve"> — </w:t>
      </w:r>
    </w:p>
    <w:p>
      <w:pPr>
        <w:pStyle w:val="Defpara"/>
      </w:pPr>
      <w:r>
        <w:tab/>
        <w:t>(a)</w:t>
      </w:r>
      <w:r>
        <w:tab/>
        <w:t>means a person who makes a report; and</w:t>
      </w:r>
    </w:p>
    <w:p>
      <w:pPr>
        <w:pStyle w:val="Defpara"/>
        <w:keepNext/>
      </w:pPr>
      <w:r>
        <w:tab/>
        <w:t>(b)</w:t>
      </w:r>
      <w:r>
        <w:tab/>
        <w:t xml:space="preserve">in sections 124F, 124G and 124H includes a person who, in good faith — </w:t>
      </w:r>
    </w:p>
    <w:p>
      <w:pPr>
        <w:pStyle w:val="Defsubpara"/>
        <w:keepLines w:val="0"/>
      </w:pPr>
      <w:r>
        <w:tab/>
        <w:t>(i)</w:t>
      </w:r>
      <w:r>
        <w:tab/>
        <w:t>provides information on the basis of which a report is made; or</w:t>
      </w:r>
    </w:p>
    <w:p>
      <w:pPr>
        <w:pStyle w:val="Defsubpara"/>
        <w:keepLines w:val="0"/>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keepNext/>
      </w:pPr>
      <w:r>
        <w:rPr>
          <w:b/>
        </w:rPr>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keepNext/>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spacing w:before="80"/>
      </w:pPr>
      <w:r>
        <w:tab/>
        <w:t>[(b)</w:t>
      </w:r>
      <w:r>
        <w:tab/>
        <w:t>deleted]</w:t>
      </w:r>
    </w:p>
    <w:p>
      <w:pPr>
        <w:pStyle w:val="Defpara"/>
        <w:keepNext/>
      </w:pPr>
      <w:r>
        <w:tab/>
        <w:t>(c)</w:t>
      </w:r>
      <w:r>
        <w:tab/>
        <w:t xml:space="preserve">a person who provides instruction in a course that is — </w:t>
      </w:r>
    </w:p>
    <w:p>
      <w:pPr>
        <w:pStyle w:val="Defsubpara"/>
        <w:keepLines w:val="0"/>
      </w:pPr>
      <w:r>
        <w:tab/>
        <w:t>(i)</w:t>
      </w:r>
      <w:r>
        <w:tab/>
        <w:t xml:space="preserve">mentioned in the </w:t>
      </w:r>
      <w:r>
        <w:rPr>
          <w:i/>
        </w:rPr>
        <w:t>School Education Act 1999</w:t>
      </w:r>
      <w:r>
        <w:t xml:space="preserve"> section 11B(1)(a), (b) or (e); and</w:t>
      </w:r>
    </w:p>
    <w:p>
      <w:pPr>
        <w:pStyle w:val="Defsubpara"/>
        <w:keepNext/>
        <w:keepLines w:val="0"/>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keepLines w:val="0"/>
      </w:pPr>
      <w:r>
        <w:tab/>
        <w:t>(i)</w:t>
      </w:r>
      <w:r>
        <w:tab/>
        <w:t xml:space="preserve">part of an educational programme of a school under an arrangement mentioned in the </w:t>
      </w:r>
      <w:r>
        <w:rPr>
          <w:i/>
        </w:rPr>
        <w:t>School Education Act 1999</w:t>
      </w:r>
      <w:r>
        <w:t xml:space="preserve"> section 24(1); and</w:t>
      </w:r>
    </w:p>
    <w:p>
      <w:pPr>
        <w:pStyle w:val="Defsubpara"/>
        <w:keepLines w:val="0"/>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No. 26 of 2008 s. 5; amended: No. 35 of 2010 s. 39; No. 16 of 2012 s. 163; No. 23 of 2015 s. 46; No. 4 of 2018 s. 102; No. 18 of 2021 s. 52(3), (8), (9) and (17)</w:t>
      </w:r>
      <w:r>
        <w:noBreakHyphen/>
        <w:t>(19).]</w:t>
      </w:r>
    </w:p>
    <w:p>
      <w:pPr>
        <w:pStyle w:val="Heading5"/>
      </w:pPr>
      <w:bookmarkStart w:id="606" w:name="_Toc148361084"/>
      <w:bookmarkStart w:id="607" w:name="_Toc117608037"/>
      <w:r>
        <w:rPr>
          <w:rStyle w:val="CharSectno"/>
        </w:rPr>
        <w:t>124B</w:t>
      </w:r>
      <w:r>
        <w:t>.</w:t>
      </w:r>
      <w:r>
        <w:tab/>
        <w:t>Duty of certain people to report sexual abuse of children</w:t>
      </w:r>
      <w:bookmarkEnd w:id="606"/>
      <w:bookmarkEnd w:id="607"/>
      <w:r>
        <w:t xml:space="preserve"> </w:t>
      </w:r>
    </w:p>
    <w:p>
      <w:pPr>
        <w:pStyle w:val="Subsection"/>
        <w:keepNext/>
      </w:pPr>
      <w:r>
        <w:tab/>
        <w:t>(1)</w:t>
      </w:r>
      <w:r>
        <w:tab/>
        <w:t xml:space="preserve">A person who — </w:t>
      </w:r>
    </w:p>
    <w:p>
      <w:pPr>
        <w:pStyle w:val="Indenta"/>
        <w:keepNext/>
      </w:pPr>
      <w:r>
        <w:tab/>
        <w:t>(a)</w:t>
      </w:r>
      <w:r>
        <w:tab/>
        <w:t xml:space="preserve">is a person specified in the Table (a </w:t>
      </w:r>
      <w:r>
        <w:rPr>
          <w:rStyle w:val="CharDefText"/>
        </w:rPr>
        <w:t>specified person</w:t>
      </w:r>
      <w:r>
        <w:t>); and</w:t>
      </w:r>
    </w:p>
    <w:p>
      <w:pPr>
        <w:pStyle w:val="THeadingNAm"/>
        <w:rPr>
          <w:szCs w:val="24"/>
        </w:rPr>
      </w:pPr>
      <w:r>
        <w:rPr>
          <w:szCs w:val="24"/>
        </w:rPr>
        <w:t>Table</w:t>
      </w:r>
    </w:p>
    <w:tbl>
      <w:tblPr>
        <w:tblW w:w="5330"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65"/>
        <w:gridCol w:w="2665"/>
      </w:tblGrid>
      <w:tr>
        <w:tc>
          <w:tcPr>
            <w:tcW w:w="2665" w:type="dxa"/>
            <w:noWrap/>
          </w:tcPr>
          <w:p>
            <w:pPr>
              <w:pStyle w:val="TableNAm"/>
              <w:spacing w:after="40"/>
              <w:rPr>
                <w:szCs w:val="24"/>
              </w:rPr>
            </w:pPr>
            <w:r>
              <w:rPr>
                <w:szCs w:val="24"/>
              </w:rPr>
              <w:t>boarding supervisor</w:t>
            </w:r>
          </w:p>
        </w:tc>
        <w:tc>
          <w:tcPr>
            <w:tcW w:w="2665" w:type="dxa"/>
            <w:noWrap/>
          </w:tcPr>
          <w:p>
            <w:pPr>
              <w:pStyle w:val="TableNAm"/>
              <w:spacing w:after="40"/>
              <w:rPr>
                <w:szCs w:val="24"/>
              </w:rPr>
            </w:pPr>
            <w:r>
              <w:rPr>
                <w:szCs w:val="24"/>
              </w:rPr>
              <w:t>doctor</w:t>
            </w:r>
          </w:p>
        </w:tc>
      </w:tr>
      <w:tr>
        <w:tc>
          <w:tcPr>
            <w:tcW w:w="2665" w:type="dxa"/>
            <w:noWrap/>
          </w:tcPr>
          <w:p>
            <w:pPr>
              <w:pStyle w:val="TableNAm"/>
              <w:spacing w:after="40"/>
              <w:rPr>
                <w:szCs w:val="24"/>
              </w:rPr>
            </w:pPr>
            <w:r>
              <w:rPr>
                <w:szCs w:val="24"/>
              </w:rPr>
              <w:t>midwife</w:t>
            </w:r>
          </w:p>
        </w:tc>
        <w:tc>
          <w:tcPr>
            <w:tcW w:w="2665" w:type="dxa"/>
            <w:noWrap/>
          </w:tcPr>
          <w:p>
            <w:pPr>
              <w:pStyle w:val="TableNAm"/>
              <w:spacing w:after="40"/>
              <w:rPr>
                <w:szCs w:val="24"/>
              </w:rPr>
            </w:pPr>
            <w:r>
              <w:t>minister of religion</w:t>
            </w:r>
          </w:p>
        </w:tc>
      </w:tr>
      <w:tr>
        <w:tc>
          <w:tcPr>
            <w:tcW w:w="2665" w:type="dxa"/>
            <w:noWrap/>
          </w:tcPr>
          <w:p>
            <w:pPr>
              <w:pStyle w:val="TableNAm"/>
              <w:spacing w:after="40"/>
              <w:rPr>
                <w:szCs w:val="24"/>
              </w:rPr>
            </w:pPr>
            <w:r>
              <w:rPr>
                <w:szCs w:val="24"/>
              </w:rPr>
              <w:t>nurse</w:t>
            </w:r>
          </w:p>
        </w:tc>
        <w:tc>
          <w:tcPr>
            <w:tcW w:w="2665" w:type="dxa"/>
            <w:noWrap/>
          </w:tcPr>
          <w:p>
            <w:pPr>
              <w:pStyle w:val="TableNAm"/>
              <w:spacing w:after="40"/>
              <w:rPr>
                <w:szCs w:val="24"/>
              </w:rPr>
            </w:pPr>
            <w:r>
              <w:rPr>
                <w:szCs w:val="24"/>
              </w:rPr>
              <w:t>police officer</w:t>
            </w:r>
          </w:p>
        </w:tc>
      </w:tr>
      <w:tr>
        <w:tc>
          <w:tcPr>
            <w:tcW w:w="2665" w:type="dxa"/>
            <w:noWrap/>
          </w:tcPr>
          <w:p>
            <w:pPr>
              <w:pStyle w:val="TableNAm"/>
              <w:spacing w:after="40"/>
              <w:rPr>
                <w:szCs w:val="24"/>
              </w:rPr>
            </w:pPr>
            <w:r>
              <w:rPr>
                <w:szCs w:val="24"/>
              </w:rPr>
              <w:t>teacher</w:t>
            </w:r>
          </w:p>
        </w:tc>
        <w:tc>
          <w:tcPr>
            <w:tcW w:w="2665" w:type="dxa"/>
            <w:noWrap/>
          </w:tcPr>
          <w:p>
            <w:pPr>
              <w:pStyle w:val="TableNAm"/>
              <w:spacing w:after="40"/>
              <w:rPr>
                <w:szCs w:val="24"/>
              </w:rPr>
            </w:pPr>
          </w:p>
        </w:tc>
      </w:tr>
    </w:tbl>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keepNext/>
      </w:pPr>
      <w:r>
        <w:tab/>
        <w:t>(c)</w:t>
      </w:r>
      <w:r>
        <w:tab/>
        <w:t xml:space="preserve">forms the belief — </w:t>
      </w:r>
    </w:p>
    <w:p>
      <w:pPr>
        <w:pStyle w:val="Indenti"/>
      </w:pPr>
      <w:r>
        <w:tab/>
        <w:t>(i)</w:t>
      </w:r>
      <w:r>
        <w:tab/>
        <w:t>in the course of the person’s work (whether paid or unpaid) as a specified person;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for this subsection: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The duty that a person has under subsection (1) is in addition to, and does not affect, any other function that the person has in respect of the child in the course of the person’s work as a specified person.</w:t>
      </w:r>
    </w:p>
    <w:p>
      <w:pPr>
        <w:pStyle w:val="Footnotesection"/>
      </w:pPr>
      <w:r>
        <w:tab/>
        <w:t>[Section 124B inserted: No. 26 of 2008 s. 5; amended: No. 49 of 2010 s. 85; No. 23 of 2015 s. 47; No. 18 of 2021 s. 76; No. 18 of 2021 s. 53(1), (5), (10) and (11).]</w:t>
      </w:r>
    </w:p>
    <w:p>
      <w:pPr>
        <w:pStyle w:val="Heading5"/>
      </w:pPr>
      <w:bookmarkStart w:id="608" w:name="_Toc148361085"/>
      <w:bookmarkStart w:id="609" w:name="_Toc85624295"/>
      <w:bookmarkStart w:id="610" w:name="_Toc117608038"/>
      <w:r>
        <w:rPr>
          <w:rStyle w:val="CharSectno"/>
        </w:rPr>
        <w:t>124BA</w:t>
      </w:r>
      <w:r>
        <w:t>.</w:t>
      </w:r>
      <w:r>
        <w:tab/>
        <w:t>Provisions for ministers of religion</w:t>
      </w:r>
      <w:bookmarkEnd w:id="608"/>
      <w:bookmarkEnd w:id="609"/>
      <w:bookmarkEnd w:id="610"/>
    </w:p>
    <w:p>
      <w:pPr>
        <w:pStyle w:val="Subsection"/>
      </w:pPr>
      <w:r>
        <w:tab/>
        <w:t>(1)</w:t>
      </w:r>
      <w:r>
        <w:tab/>
        <w:t xml:space="preserve">In this section — </w:t>
      </w:r>
    </w:p>
    <w:p>
      <w:pPr>
        <w:pStyle w:val="Defstart"/>
      </w:pPr>
      <w:r>
        <w:tab/>
      </w:r>
      <w:r>
        <w:rPr>
          <w:rStyle w:val="CharDefText"/>
        </w:rPr>
        <w:t>religious confession</w:t>
      </w:r>
      <w:r>
        <w:t xml:space="preserve"> means a confession made by a person to a minister of religion in the minister’s capacity as a minister of religion in accordance with the tenets of the minister’s faith or religion.</w:t>
      </w:r>
    </w:p>
    <w:p>
      <w:pPr>
        <w:pStyle w:val="Subsection"/>
      </w:pPr>
      <w:r>
        <w:tab/>
        <w:t>(2)</w:t>
      </w:r>
      <w:r>
        <w:tab/>
        <w:t>For the purposes of section 124B(1)(c)(i), a minister of religion who forms a belief on the basis of information disclosed to the minister in the minister’s capacity as a minister of religion is taken to form the belief in the course of the minister’s work.</w:t>
      </w:r>
    </w:p>
    <w:p>
      <w:pPr>
        <w:pStyle w:val="Subsection"/>
      </w:pPr>
      <w:r>
        <w:tab/>
        <w:t>(3)</w:t>
      </w:r>
      <w:r>
        <w:tab/>
        <w:t xml:space="preserve">A minister of religion is not excused from criminal responsibility for an offence under section 124B(1) on the grounds that — </w:t>
      </w:r>
    </w:p>
    <w:p>
      <w:pPr>
        <w:pStyle w:val="Indenta"/>
      </w:pPr>
      <w:r>
        <w:tab/>
        <w:t>(a)</w:t>
      </w:r>
      <w:r>
        <w:tab/>
        <w:t>the minister’s belief is based on information disclosed to the minister during a religious confession; or</w:t>
      </w:r>
    </w:p>
    <w:p>
      <w:pPr>
        <w:pStyle w:val="Indenta"/>
        <w:keepNext/>
      </w:pPr>
      <w:r>
        <w:tab/>
        <w:t>(b)</w:t>
      </w:r>
      <w:r>
        <w:tab/>
        <w:t>disclosure of the minister’s belief or information on which the belief is based is otherwise contrary to the tenets of the minister’s faith or religion.</w:t>
      </w:r>
    </w:p>
    <w:p>
      <w:pPr>
        <w:pStyle w:val="Footnotesection"/>
      </w:pPr>
      <w:r>
        <w:tab/>
        <w:t>[Section 124BA inserted: No. 18 of 2021 s. 54.]</w:t>
      </w:r>
    </w:p>
    <w:p>
      <w:pPr>
        <w:pStyle w:val="Heading5"/>
      </w:pPr>
      <w:bookmarkStart w:id="611" w:name="_Toc148361086"/>
      <w:bookmarkStart w:id="612" w:name="_Toc117608039"/>
      <w:r>
        <w:rPr>
          <w:rStyle w:val="CharSectno"/>
        </w:rPr>
        <w:t>124C</w:t>
      </w:r>
      <w:r>
        <w:t>.</w:t>
      </w:r>
      <w:r>
        <w:tab/>
        <w:t>Reports under s. 124B, form and content of</w:t>
      </w:r>
      <w:bookmarkEnd w:id="611"/>
      <w:bookmarkEnd w:id="612"/>
    </w:p>
    <w:p>
      <w:pPr>
        <w:pStyle w:val="Subsection"/>
        <w:keepNext/>
      </w:pPr>
      <w:r>
        <w:tab/>
        <w:t>(1)</w:t>
      </w:r>
      <w:r>
        <w:tab/>
        <w:t>A report may be written or oral but if oral the reporter must make a written report as soon as practicable after the oral report is made.</w:t>
      </w:r>
    </w:p>
    <w:p>
      <w:pPr>
        <w:pStyle w:val="Penstart"/>
      </w:pPr>
      <w:r>
        <w:tab/>
        <w:t>Penalty for this subsection: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appropriate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(ea)</w:t>
      </w:r>
      <w:r>
        <w:tab/>
        <w:t xml:space="preserve">if, or to the extent, known to the reporter — </w:t>
      </w:r>
    </w:p>
    <w:p>
      <w:pPr>
        <w:pStyle w:val="Indenti"/>
      </w:pPr>
      <w:r>
        <w:tab/>
        <w:t>(i)</w:t>
      </w:r>
      <w:r>
        <w:tab/>
        <w:t>the name of any person alleged to be responsible for the sexual abuse; and</w:t>
      </w:r>
    </w:p>
    <w:p>
      <w:pPr>
        <w:pStyle w:val="Indenti"/>
      </w:pPr>
      <w:r>
        <w:tab/>
        <w:t>(ii)</w:t>
      </w:r>
      <w:r>
        <w:tab/>
        <w:t>the person’s contact details; and</w:t>
      </w:r>
    </w:p>
    <w:p>
      <w:pPr>
        <w:pStyle w:val="Indenti"/>
        <w:keepNext/>
      </w:pPr>
      <w:r>
        <w:tab/>
        <w:t>(iii)</w:t>
      </w:r>
      <w:r>
        <w:tab/>
        <w:t>the person’s relationship to the child;</w:t>
      </w:r>
    </w:p>
    <w:p>
      <w:pPr>
        <w:pStyle w:val="Indenta"/>
      </w:pPr>
      <w:r>
        <w:tab/>
      </w:r>
      <w:r>
        <w:tab/>
        <w:t>and</w:t>
      </w:r>
    </w:p>
    <w:p>
      <w:pPr>
        <w:pStyle w:val="Indenta"/>
      </w:pPr>
      <w:r>
        <w:tab/>
        <w:t>(e)</w:t>
      </w:r>
      <w:r>
        <w:tab/>
        <w:t>any other information that is prescribed.</w:t>
      </w:r>
    </w:p>
    <w:p>
      <w:pPr>
        <w:pStyle w:val="Subsection"/>
        <w:keepNext/>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keepNext/>
      </w:pPr>
      <w:r>
        <w:tab/>
        <w:t>(b)</w:t>
      </w:r>
      <w:r>
        <w:tab/>
        <w:t>an oral report must inform the CEO of the contents of the report as soon as practicable after receiving it.</w:t>
      </w:r>
    </w:p>
    <w:p>
      <w:pPr>
        <w:pStyle w:val="Penstart"/>
      </w:pPr>
      <w:r>
        <w:tab/>
        <w:t>Penalty for this subsection: a fine of $6 000.</w:t>
      </w:r>
    </w:p>
    <w:p>
      <w:pPr>
        <w:pStyle w:val="Subsection"/>
        <w:keepNext/>
      </w:pPr>
      <w:r>
        <w:tab/>
        <w:t>(5)</w:t>
      </w:r>
      <w:r>
        <w:tab/>
        <w:t>As soon as practicable after receiving a written report the CEO must advise the reporter of the receipt.</w:t>
      </w:r>
    </w:p>
    <w:p>
      <w:pPr>
        <w:pStyle w:val="Footnotesection"/>
        <w:spacing w:before="100"/>
        <w:ind w:left="890" w:hanging="890"/>
      </w:pPr>
      <w:r>
        <w:tab/>
        <w:t>[Section 124C inserted: No. 26 of 2008 s. 5; amended: No. 49 of 2010 s. 72 and 85; No. 23 of 2015 s. 48; No. 18 of 2021 s. 76.]</w:t>
      </w:r>
    </w:p>
    <w:p>
      <w:pPr>
        <w:pStyle w:val="Heading5"/>
      </w:pPr>
      <w:bookmarkStart w:id="613" w:name="_Toc148361087"/>
      <w:bookmarkStart w:id="614" w:name="_Toc117608040"/>
      <w:r>
        <w:rPr>
          <w:rStyle w:val="CharSectno"/>
        </w:rPr>
        <w:t>124D</w:t>
      </w:r>
      <w:r>
        <w:t>.</w:t>
      </w:r>
      <w:r>
        <w:tab/>
        <w:t>CEO to give copies of reports under s. 124B to police</w:t>
      </w:r>
      <w:bookmarkEnd w:id="613"/>
      <w:bookmarkEnd w:id="614"/>
    </w:p>
    <w:p>
      <w:pPr>
        <w:pStyle w:val="Subsection"/>
        <w:keepNext/>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No. 26 of 2008 s. 5.]</w:t>
      </w:r>
    </w:p>
    <w:p>
      <w:pPr>
        <w:pStyle w:val="Heading5"/>
      </w:pPr>
      <w:bookmarkStart w:id="615" w:name="_Toc148361088"/>
      <w:bookmarkStart w:id="616" w:name="_Toc117608041"/>
      <w:r>
        <w:rPr>
          <w:rStyle w:val="CharSectno"/>
        </w:rPr>
        <w:t>124E</w:t>
      </w:r>
      <w:r>
        <w:t>.</w:t>
      </w:r>
      <w:r>
        <w:tab/>
        <w:t>Time limit for prosecuting offences under s. 124B and 124C</w:t>
      </w:r>
      <w:bookmarkEnd w:id="615"/>
      <w:bookmarkEnd w:id="616"/>
    </w:p>
    <w:p>
      <w:pPr>
        <w:pStyle w:val="Subsection"/>
        <w:keepNext/>
        <w:spacing w:before="120"/>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keepNext/>
      </w:pPr>
      <w:r>
        <w:tab/>
        <w:t>(b)</w:t>
      </w:r>
      <w:r>
        <w:tab/>
        <w:t>with the consent of the Attorney General, may be commenced at a later time.</w:t>
      </w:r>
    </w:p>
    <w:p>
      <w:pPr>
        <w:pStyle w:val="Footnotesection"/>
        <w:spacing w:before="80"/>
        <w:ind w:left="890" w:hanging="890"/>
      </w:pPr>
      <w:r>
        <w:tab/>
        <w:t>[Section 124E inserted: No. 26 of 2008 s. 5.]</w:t>
      </w:r>
    </w:p>
    <w:p>
      <w:pPr>
        <w:pStyle w:val="Heading5"/>
        <w:spacing w:before="180"/>
      </w:pPr>
      <w:bookmarkStart w:id="617" w:name="_Toc148361089"/>
      <w:bookmarkStart w:id="618" w:name="_Toc117608042"/>
      <w:r>
        <w:rPr>
          <w:rStyle w:val="CharSectno"/>
        </w:rPr>
        <w:t>124F</w:t>
      </w:r>
      <w:r>
        <w:t>.</w:t>
      </w:r>
      <w:r>
        <w:tab/>
        <w:t>Confidentiality of reporter’s identity</w:t>
      </w:r>
      <w:bookmarkEnd w:id="617"/>
      <w:bookmarkEnd w:id="618"/>
    </w:p>
    <w:p>
      <w:pPr>
        <w:pStyle w:val="Subsection"/>
        <w:keepNext/>
        <w:spacing w:before="120"/>
      </w:pPr>
      <w:r>
        <w:tab/>
        <w:t>(1)</w:t>
      </w:r>
      <w:r>
        <w:tab/>
        <w:t xml:space="preserve">In this section — </w:t>
      </w:r>
    </w:p>
    <w:p>
      <w:pPr>
        <w:pStyle w:val="Defstart"/>
      </w:pPr>
      <w:r>
        <w:rPr>
          <w:b/>
        </w:rPr>
        <w:tab/>
      </w:r>
      <w:r>
        <w:rPr>
          <w:rStyle w:val="CharDefText"/>
        </w:rPr>
        <w:t>child</w:t>
      </w:r>
      <w:r>
        <w:t xml:space="preserve"> means the child about whom a report is made by the reporter, being the child believed by the reporter to be the subject of sexual abuse.</w:t>
      </w:r>
    </w:p>
    <w:p>
      <w:pPr>
        <w:pStyle w:val="Subsection"/>
        <w:keepNext/>
        <w:spacing w:before="120"/>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keepNext/>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keepNext/>
      </w:pPr>
      <w:r>
        <w:tab/>
        <w:t>(k)</w:t>
      </w:r>
      <w:r>
        <w:tab/>
        <w:t>the identifying information has already been disclosed in legal proceedings and the court or tribunal concerned has not made an order prohibiting further disclosure.</w:t>
      </w:r>
    </w:p>
    <w:p>
      <w:pPr>
        <w:pStyle w:val="Penstart"/>
        <w:keepNext/>
      </w:pPr>
      <w:r>
        <w:tab/>
        <w:t>Penalty for this subsection: a fine of $24 000 and imprisonment for 2 years.</w:t>
      </w:r>
    </w:p>
    <w:p>
      <w:pPr>
        <w:pStyle w:val="Footnotesection"/>
      </w:pPr>
      <w:r>
        <w:tab/>
        <w:t>[Section 124F inserted: No. 26 of 2008 s. 5; amended: No. 49 of 2010 s. 85; No. 18 of 2021 s. 76.]</w:t>
      </w:r>
    </w:p>
    <w:p>
      <w:pPr>
        <w:pStyle w:val="Heading5"/>
      </w:pPr>
      <w:bookmarkStart w:id="619" w:name="_Toc148361090"/>
      <w:bookmarkStart w:id="620" w:name="_Toc117608043"/>
      <w:r>
        <w:rPr>
          <w:rStyle w:val="CharSectno"/>
        </w:rPr>
        <w:t>124G</w:t>
      </w:r>
      <w:r>
        <w:t>.</w:t>
      </w:r>
      <w:r>
        <w:tab/>
        <w:t>Evidence and legal proceedings</w:t>
      </w:r>
      <w:bookmarkEnd w:id="619"/>
      <w:bookmarkEnd w:id="620"/>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keepNext/>
        <w:spacing w:before="120"/>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keepNext/>
        <w:spacing w:before="120"/>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spacing w:before="120"/>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keepNext/>
        <w:spacing w:before="12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keepNext/>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keepNext/>
      </w:pPr>
      <w:r>
        <w:tab/>
        <w:t>(c)</w:t>
      </w:r>
      <w:r>
        <w:tab/>
        <w:t>the court or tribunal concerned orders otherwise.</w:t>
      </w:r>
    </w:p>
    <w:p>
      <w:pPr>
        <w:pStyle w:val="Footnotesection"/>
      </w:pPr>
      <w:r>
        <w:tab/>
        <w:t>[Section 124G inserted: No. 26 of 2008 s. 5.]</w:t>
      </w:r>
    </w:p>
    <w:p>
      <w:pPr>
        <w:pStyle w:val="Heading5"/>
      </w:pPr>
      <w:bookmarkStart w:id="621" w:name="_Toc148361091"/>
      <w:bookmarkStart w:id="622" w:name="_Toc117608044"/>
      <w:r>
        <w:rPr>
          <w:rStyle w:val="CharSectno"/>
        </w:rPr>
        <w:t>124H</w:t>
      </w:r>
      <w:r>
        <w:t>.</w:t>
      </w:r>
      <w:r>
        <w:tab/>
        <w:t>Orders, leave of courts etc. under s. 124F or 124G</w:t>
      </w:r>
      <w:bookmarkEnd w:id="621"/>
      <w:bookmarkEnd w:id="622"/>
    </w:p>
    <w:p>
      <w:pPr>
        <w:pStyle w:val="Subsection"/>
        <w:keepNext/>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keepNext/>
      </w:pPr>
      <w:r>
        <w:tab/>
        <w:t>(4)</w:t>
      </w:r>
      <w:r>
        <w:tab/>
        <w:t>An application for an order or leave —</w:t>
      </w:r>
    </w:p>
    <w:p>
      <w:pPr>
        <w:pStyle w:val="Indenta"/>
      </w:pPr>
      <w:r>
        <w:tab/>
        <w:t>(a)</w:t>
      </w:r>
      <w:r>
        <w:tab/>
        <w:t>must not be heard in public; and</w:t>
      </w:r>
    </w:p>
    <w:p>
      <w:pPr>
        <w:pStyle w:val="Indenta"/>
        <w:keepNext/>
      </w:pPr>
      <w:r>
        <w:tab/>
        <w:t>(b)</w:t>
      </w:r>
      <w:r>
        <w:tab/>
        <w:t>must be dealt with in a way that protects, as far as practicable, the identity of the reporter pending a decision on the application.</w:t>
      </w:r>
    </w:p>
    <w:p>
      <w:pPr>
        <w:pStyle w:val="Footnotesection"/>
      </w:pPr>
      <w:r>
        <w:tab/>
        <w:t>[Section 124H inserted: No. 26 of 2008 s. 5.]</w:t>
      </w:r>
    </w:p>
    <w:p>
      <w:pPr>
        <w:pStyle w:val="Heading3"/>
      </w:pPr>
      <w:bookmarkStart w:id="623" w:name="_Toc148348664"/>
      <w:bookmarkStart w:id="624" w:name="_Toc148358448"/>
      <w:bookmarkStart w:id="625" w:name="_Toc148361092"/>
      <w:bookmarkStart w:id="626" w:name="_Toc117582707"/>
      <w:bookmarkStart w:id="627" w:name="_Toc117584521"/>
      <w:bookmarkStart w:id="628" w:name="_Toc117585691"/>
      <w:bookmarkStart w:id="629" w:name="_Toc117608045"/>
      <w:r>
        <w:rPr>
          <w:rStyle w:val="CharDivNo"/>
        </w:rPr>
        <w:t>Division 10</w:t>
      </w:r>
      <w:r>
        <w:t xml:space="preserve"> — </w:t>
      </w:r>
      <w:r>
        <w:rPr>
          <w:rStyle w:val="CharDivText"/>
        </w:rPr>
        <w:t>General</w:t>
      </w:r>
      <w:bookmarkEnd w:id="623"/>
      <w:bookmarkEnd w:id="624"/>
      <w:bookmarkEnd w:id="625"/>
      <w:bookmarkEnd w:id="626"/>
      <w:bookmarkEnd w:id="627"/>
      <w:bookmarkEnd w:id="628"/>
      <w:bookmarkEnd w:id="629"/>
    </w:p>
    <w:p>
      <w:pPr>
        <w:pStyle w:val="Heading5"/>
      </w:pPr>
      <w:bookmarkStart w:id="630" w:name="_Toc148361093"/>
      <w:bookmarkStart w:id="631" w:name="_Toc117608046"/>
      <w:r>
        <w:rPr>
          <w:rStyle w:val="CharSectno"/>
        </w:rPr>
        <w:t>125A</w:t>
      </w:r>
      <w:r>
        <w:t>.</w:t>
      </w:r>
      <w:r>
        <w:tab/>
        <w:t>Assessors, appointment and functions of</w:t>
      </w:r>
      <w:bookmarkEnd w:id="630"/>
      <w:bookmarkEnd w:id="631"/>
    </w:p>
    <w:p>
      <w:pPr>
        <w:pStyle w:val="Subsection"/>
        <w:keepNext/>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spacing w:before="120"/>
      </w:pPr>
      <w:r>
        <w:rPr>
          <w:szCs w:val="22"/>
        </w:rPr>
        <w:tab/>
        <w:t>(4A)</w:t>
      </w:r>
      <w:r>
        <w:rPr>
          <w:szCs w:val="22"/>
        </w:rPr>
        <w:tab/>
        <w:t xml:space="preserve">A child in a facility, or a parent or other </w:t>
      </w:r>
      <w:r>
        <w:t xml:space="preserve">member of the child’s family, </w:t>
      </w:r>
      <w:r>
        <w:rPr>
          <w:szCs w:val="22"/>
        </w:rPr>
        <w:t>may request the person in charge of the facility to arrange for an assessor to visit the facility and see and talk with the child.</w:t>
      </w:r>
    </w:p>
    <w:p>
      <w:pPr>
        <w:pStyle w:val="Subsection"/>
        <w:keepNext/>
        <w:spacing w:before="120"/>
      </w:pPr>
      <w:r>
        <w:tab/>
        <w:t>(4)</w:t>
      </w:r>
      <w:r>
        <w:tab/>
        <w:t>An assessor must provide a written report to the CEO about each visit made by the assessor under this section.</w:t>
      </w:r>
    </w:p>
    <w:p>
      <w:pPr>
        <w:pStyle w:val="Footnotesection"/>
      </w:pPr>
      <w:r>
        <w:tab/>
        <w:t>[Section 125A inserted: No. 49 of 2010 s. 17; amended: No. 17 of 2014 s. 18; No. 18 of 2021 s. 55.]</w:t>
      </w:r>
    </w:p>
    <w:p>
      <w:pPr>
        <w:pStyle w:val="Heading5"/>
        <w:spacing w:before="180"/>
      </w:pPr>
      <w:bookmarkStart w:id="632" w:name="_Toc148361094"/>
      <w:bookmarkStart w:id="633" w:name="_Toc117608047"/>
      <w:r>
        <w:rPr>
          <w:rStyle w:val="CharSectno"/>
        </w:rPr>
        <w:t>125B</w:t>
      </w:r>
      <w:r>
        <w:t>.</w:t>
      </w:r>
      <w:r>
        <w:tab/>
        <w:t>Identity cards for assessors</w:t>
      </w:r>
      <w:bookmarkEnd w:id="632"/>
      <w:bookmarkEnd w:id="633"/>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No. 49 of 2010 s. 17.]</w:t>
      </w:r>
    </w:p>
    <w:p>
      <w:pPr>
        <w:pStyle w:val="Heading5"/>
        <w:spacing w:before="180"/>
      </w:pPr>
      <w:bookmarkStart w:id="634" w:name="_Toc148361095"/>
      <w:bookmarkStart w:id="635" w:name="_Toc117608048"/>
      <w:r>
        <w:rPr>
          <w:rStyle w:val="CharSectno"/>
        </w:rPr>
        <w:t>125</w:t>
      </w:r>
      <w:r>
        <w:t>.</w:t>
      </w:r>
      <w:r>
        <w:tab/>
        <w:t>Access to child, meaning of</w:t>
      </w:r>
      <w:bookmarkEnd w:id="634"/>
      <w:bookmarkEnd w:id="635"/>
    </w:p>
    <w:p>
      <w:pPr>
        <w:pStyle w:val="Subsection"/>
        <w:spacing w:before="120"/>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636" w:name="_Toc148361096"/>
      <w:bookmarkStart w:id="637" w:name="_Toc117608049"/>
      <w:r>
        <w:rPr>
          <w:rStyle w:val="CharSectno"/>
        </w:rPr>
        <w:t>126</w:t>
      </w:r>
      <w:r>
        <w:t>.</w:t>
      </w:r>
      <w:r>
        <w:tab/>
        <w:t>Recovery of certain expenditure</w:t>
      </w:r>
      <w:bookmarkEnd w:id="636"/>
      <w:bookmarkEnd w:id="637"/>
    </w:p>
    <w:p>
      <w:pPr>
        <w:pStyle w:val="Subsection"/>
        <w:keepNext/>
      </w:pPr>
      <w:r>
        <w:tab/>
        <w:t>(1)</w:t>
      </w:r>
      <w:r>
        <w:tab/>
        <w:t>In this section —</w:t>
      </w:r>
    </w:p>
    <w:p>
      <w:pPr>
        <w:pStyle w:val="Defstart"/>
        <w:keepNex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638" w:name="_Toc148361097"/>
      <w:bookmarkStart w:id="639" w:name="_Toc117608050"/>
      <w:r>
        <w:rPr>
          <w:rStyle w:val="CharSectno"/>
        </w:rPr>
        <w:t>127</w:t>
      </w:r>
      <w:r>
        <w:t>.</w:t>
      </w:r>
      <w:r>
        <w:tab/>
        <w:t>CEO may give consent in lieu of parent in some cases</w:t>
      </w:r>
      <w:bookmarkEnd w:id="638"/>
      <w:bookmarkEnd w:id="639"/>
    </w:p>
    <w:p>
      <w:pPr>
        <w:pStyle w:val="Subsection"/>
        <w:keepNext/>
      </w:pPr>
      <w:r>
        <w:tab/>
        <w:t>(1)</w:t>
      </w:r>
      <w:r>
        <w:tab/>
        <w:t xml:space="preserve">In this section — </w:t>
      </w:r>
    </w:p>
    <w:p>
      <w:pPr>
        <w:pStyle w:val="Defstart"/>
      </w:pPr>
      <w:r>
        <w:tab/>
      </w:r>
      <w:r>
        <w:rPr>
          <w:rStyle w:val="CharDefText"/>
        </w:rPr>
        <w:t>consent</w:t>
      </w:r>
      <w:r>
        <w:t xml:space="preserve"> includes authorisation and permission.</w:t>
      </w:r>
    </w:p>
    <w:p>
      <w:pPr>
        <w:pStyle w:val="Subsection"/>
        <w:keepNext/>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keepNext/>
      </w:pPr>
      <w:r>
        <w:tab/>
        <w:t>(3)</w:t>
      </w:r>
      <w:r>
        <w:tab/>
        <w:t>A consent given under subsection (2) may incorporate a waiver of legal liability.</w:t>
      </w:r>
    </w:p>
    <w:p>
      <w:pPr>
        <w:pStyle w:val="Footnotesection"/>
      </w:pPr>
      <w:r>
        <w:tab/>
        <w:t>[Section 127 inserted: No. 49 of 2010 s. 73.]</w:t>
      </w:r>
    </w:p>
    <w:p>
      <w:pPr>
        <w:pStyle w:val="Heading5"/>
        <w:spacing w:before="180"/>
      </w:pPr>
      <w:bookmarkStart w:id="640" w:name="_Toc148361098"/>
      <w:bookmarkStart w:id="641" w:name="_Toc117608051"/>
      <w:r>
        <w:rPr>
          <w:rStyle w:val="CharSectno"/>
        </w:rPr>
        <w:t>128</w:t>
      </w:r>
      <w:r>
        <w:t>.</w:t>
      </w:r>
      <w:r>
        <w:tab/>
        <w:t>Records of children in CEO’s care to be kept</w:t>
      </w:r>
      <w:bookmarkEnd w:id="640"/>
      <w:bookmarkEnd w:id="641"/>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642" w:name="_Toc148361099"/>
      <w:bookmarkStart w:id="643" w:name="_Toc117608052"/>
      <w:r>
        <w:rPr>
          <w:rStyle w:val="CharSectno"/>
        </w:rPr>
        <w:t>129</w:t>
      </w:r>
      <w:r>
        <w:t>.</w:t>
      </w:r>
      <w:r>
        <w:tab/>
        <w:t>Protection from liability for giving information</w:t>
      </w:r>
      <w:bookmarkEnd w:id="642"/>
      <w:bookmarkEnd w:id="643"/>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keepNext/>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keepNext/>
      </w:pPr>
      <w:r>
        <w:tab/>
        <w:t>(iii)</w:t>
      </w:r>
      <w:r>
        <w:tab/>
        <w:t>notifying the CEO as mentioned in subsection (1)(f) or causing the CEO to be so notified.</w:t>
      </w:r>
    </w:p>
    <w:p>
      <w:pPr>
        <w:pStyle w:val="Footnotesection"/>
      </w:pPr>
      <w:r>
        <w:tab/>
        <w:t>[Section 129 amended: No. 26 of 2008 s. 6; No. 49 of 2010 s. 74.]</w:t>
      </w:r>
    </w:p>
    <w:p>
      <w:pPr>
        <w:pStyle w:val="Heading5"/>
      </w:pPr>
      <w:bookmarkStart w:id="644" w:name="_Toc148361100"/>
      <w:bookmarkStart w:id="645" w:name="_Toc117608053"/>
      <w:r>
        <w:rPr>
          <w:rStyle w:val="CharSectno"/>
        </w:rPr>
        <w:t>130</w:t>
      </w:r>
      <w:r>
        <w:t>.</w:t>
      </w:r>
      <w:r>
        <w:tab/>
        <w:t>General powers of police officers not affected</w:t>
      </w:r>
      <w:bookmarkEnd w:id="644"/>
      <w:bookmarkEnd w:id="645"/>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646" w:name="_Toc148348673"/>
      <w:bookmarkStart w:id="647" w:name="_Toc148358457"/>
      <w:bookmarkStart w:id="648" w:name="_Toc148361101"/>
      <w:bookmarkStart w:id="649" w:name="_Toc117582716"/>
      <w:bookmarkStart w:id="650" w:name="_Toc117584530"/>
      <w:bookmarkStart w:id="651" w:name="_Toc117585700"/>
      <w:bookmarkStart w:id="652" w:name="_Toc117608054"/>
      <w:r>
        <w:rPr>
          <w:rStyle w:val="CharPartNo"/>
        </w:rPr>
        <w:t>Part 5A</w:t>
      </w:r>
      <w:r>
        <w:rPr>
          <w:rStyle w:val="CharDivNo"/>
        </w:rPr>
        <w:t> </w:t>
      </w:r>
      <w:r>
        <w:t>—</w:t>
      </w:r>
      <w:r>
        <w:rPr>
          <w:rStyle w:val="CharDivText"/>
        </w:rPr>
        <w:t> </w:t>
      </w:r>
      <w:r>
        <w:rPr>
          <w:rStyle w:val="CharPartText"/>
        </w:rPr>
        <w:t>Responsible parenting agreements</w:t>
      </w:r>
      <w:bookmarkEnd w:id="646"/>
      <w:bookmarkEnd w:id="647"/>
      <w:bookmarkEnd w:id="648"/>
      <w:bookmarkEnd w:id="649"/>
      <w:bookmarkEnd w:id="650"/>
      <w:bookmarkEnd w:id="651"/>
      <w:bookmarkEnd w:id="652"/>
    </w:p>
    <w:p>
      <w:pPr>
        <w:pStyle w:val="Footnoteheading"/>
      </w:pPr>
      <w:r>
        <w:tab/>
        <w:t>[Heading inserted: No. 23 of 2015 s. 7.]</w:t>
      </w:r>
    </w:p>
    <w:p>
      <w:pPr>
        <w:pStyle w:val="Heading5"/>
      </w:pPr>
      <w:bookmarkStart w:id="653" w:name="_Toc148361102"/>
      <w:bookmarkStart w:id="654" w:name="_Toc117608055"/>
      <w:r>
        <w:rPr>
          <w:rStyle w:val="CharSectno"/>
        </w:rPr>
        <w:t>131A</w:t>
      </w:r>
      <w:r>
        <w:t>.</w:t>
      </w:r>
      <w:r>
        <w:tab/>
        <w:t>Terms used</w:t>
      </w:r>
      <w:bookmarkEnd w:id="653"/>
      <w:bookmarkEnd w:id="654"/>
    </w:p>
    <w:p>
      <w:pPr>
        <w:pStyle w:val="Subsection"/>
      </w:pPr>
      <w:r>
        <w:tab/>
      </w:r>
      <w:r>
        <w:tab/>
        <w:t xml:space="preserve">In this Part — </w:t>
      </w:r>
    </w:p>
    <w:p>
      <w:pPr>
        <w:pStyle w:val="Defstart"/>
      </w:pPr>
      <w:r>
        <w:tab/>
      </w:r>
      <w:r>
        <w:rPr>
          <w:rStyle w:val="CharDefText"/>
        </w:rPr>
        <w:t>authorised CEO</w:t>
      </w:r>
      <w:r>
        <w:t xml:space="preserve"> means — </w:t>
      </w:r>
    </w:p>
    <w:p>
      <w:pPr>
        <w:pStyle w:val="Defpara"/>
      </w:pPr>
      <w:r>
        <w:tab/>
        <w:t>(a)</w:t>
      </w:r>
      <w:r>
        <w:tab/>
        <w:t>the CEO; or</w:t>
      </w:r>
    </w:p>
    <w:p>
      <w:pPr>
        <w:pStyle w:val="Defpara"/>
      </w:pPr>
      <w:r>
        <w:tab/>
        <w:t>(b)</w:t>
      </w:r>
      <w:r>
        <w:tab/>
        <w:t>the CEO (Corrective Services); or</w:t>
      </w:r>
    </w:p>
    <w:p>
      <w:pPr>
        <w:pStyle w:val="Defpara"/>
      </w:pPr>
      <w:r>
        <w:tab/>
        <w:t>(c)</w:t>
      </w:r>
      <w:r>
        <w:tab/>
        <w:t>the CEO (Education);</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Young Offenders Act 1994</w:t>
      </w:r>
      <w:r>
        <w:t>;</w:t>
      </w:r>
    </w:p>
    <w:p>
      <w:pPr>
        <w:pStyle w:val="Defstart"/>
      </w:pPr>
      <w:r>
        <w:tab/>
      </w:r>
      <w:r>
        <w:rPr>
          <w:rStyle w:val="CharDefText"/>
        </w:rPr>
        <w:t>CEO (Education)</w:t>
      </w:r>
      <w:r>
        <w:t xml:space="preserve"> means the chief executive officer of the department of the Public Service referred to in the </w:t>
      </w:r>
      <w:r>
        <w:rPr>
          <w:i/>
        </w:rPr>
        <w:t>School Education Act 1999</w:t>
      </w:r>
      <w:r>
        <w:t xml:space="preserve"> section 228;</w:t>
      </w:r>
    </w:p>
    <w:p>
      <w:pPr>
        <w:pStyle w:val="Defstart"/>
      </w:pPr>
      <w:r>
        <w:tab/>
      </w:r>
      <w:r>
        <w:rPr>
          <w:rStyle w:val="CharDefText"/>
        </w:rPr>
        <w:t>corrective services officer</w:t>
      </w:r>
      <w:r>
        <w:t xml:space="preserve"> means a person employed or engaged in the department of the Public Service principally assisting in the administration of the </w:t>
      </w:r>
      <w:r>
        <w:rPr>
          <w:i/>
        </w:rPr>
        <w:t>Young Offenders Act 1994</w:t>
      </w:r>
      <w:r>
        <w:t xml:space="preserve">, whether as a public service officer under the </w:t>
      </w:r>
      <w:r>
        <w:rPr>
          <w:i/>
        </w:rPr>
        <w:t>Public Sector Management Act 1994</w:t>
      </w:r>
      <w:r>
        <w:t>, under a contract for services, or otherwise;</w:t>
      </w:r>
    </w:p>
    <w:p>
      <w:pPr>
        <w:pStyle w:val="Defstart"/>
      </w:pPr>
      <w:r>
        <w:tab/>
      </w:r>
      <w:r>
        <w:rPr>
          <w:rStyle w:val="CharDefText"/>
        </w:rPr>
        <w:t>education officer</w:t>
      </w:r>
      <w:r>
        <w:t xml:space="preserve"> means a person employed or engaged in the department of the Public Service referred to in the </w:t>
      </w:r>
      <w:r>
        <w:rPr>
          <w:i/>
        </w:rPr>
        <w:t>School Education Act 1999</w:t>
      </w:r>
      <w:r>
        <w:t xml:space="preserve"> section 228, whether in a category described in section 235(1) of that Act, under a contract for services, or otherwise;</w:t>
      </w:r>
    </w:p>
    <w:p>
      <w:pPr>
        <w:pStyle w:val="Defstart"/>
      </w:pPr>
      <w:r>
        <w:tab/>
      </w:r>
      <w:r>
        <w:rPr>
          <w:rStyle w:val="CharDefText"/>
        </w:rPr>
        <w:t>official</w:t>
      </w:r>
      <w:r>
        <w:t xml:space="preserve"> means an officer as defined in section 3, a corrective services officer, an education officer or another person employed or engaged in a public authority;</w:t>
      </w:r>
    </w:p>
    <w:p>
      <w:pPr>
        <w:pStyle w:val="Defstart"/>
      </w:pPr>
      <w:r>
        <w:tab/>
      </w:r>
      <w:r>
        <w:rPr>
          <w:rStyle w:val="CharDefText"/>
        </w:rPr>
        <w:t>parenting</w:t>
      </w:r>
      <w:r>
        <w:t xml:space="preserve"> includes the provision of day</w:t>
      </w:r>
      <w:r>
        <w:noBreakHyphen/>
        <w:t>to</w:t>
      </w:r>
      <w:r>
        <w:noBreakHyphen/>
        <w:t>day care for a child by a responsible person for the child;</w:t>
      </w:r>
    </w:p>
    <w:p>
      <w:pPr>
        <w:pStyle w:val="Defstart"/>
      </w:pPr>
      <w:r>
        <w:tab/>
      </w:r>
      <w:r>
        <w:rPr>
          <w:rStyle w:val="CharDefText"/>
        </w:rPr>
        <w:t>responsible person</w:t>
      </w:r>
      <w:r>
        <w:t xml:space="preserve">, for a child, means — </w:t>
      </w:r>
    </w:p>
    <w:p>
      <w:pPr>
        <w:pStyle w:val="Defpara"/>
      </w:pPr>
      <w:r>
        <w:tab/>
        <w:t>(a)</w:t>
      </w:r>
      <w:r>
        <w:tab/>
        <w:t>a parent of the child; or</w:t>
      </w:r>
    </w:p>
    <w:p>
      <w:pPr>
        <w:pStyle w:val="Defpara"/>
      </w:pPr>
      <w:r>
        <w:tab/>
        <w:t>(b)</w:t>
      </w:r>
      <w:r>
        <w:tab/>
        <w:t>an adult, other than a parent of the child, with whom the child usually lives and who provides day</w:t>
      </w:r>
      <w:r>
        <w:noBreakHyphen/>
        <w:t>to</w:t>
      </w:r>
      <w:r>
        <w:noBreakHyphen/>
        <w:t>day care for the child.</w:t>
      </w:r>
    </w:p>
    <w:p>
      <w:pPr>
        <w:pStyle w:val="Footnotesection"/>
      </w:pPr>
      <w:r>
        <w:tab/>
        <w:t>[Section 131A inserted: No. 23 of 2015 s. 7.]</w:t>
      </w:r>
    </w:p>
    <w:p>
      <w:pPr>
        <w:pStyle w:val="Heading5"/>
      </w:pPr>
      <w:bookmarkStart w:id="655" w:name="_Toc148361103"/>
      <w:bookmarkStart w:id="656" w:name="_Toc117608056"/>
      <w:r>
        <w:rPr>
          <w:rStyle w:val="CharSectno"/>
        </w:rPr>
        <w:t>131B</w:t>
      </w:r>
      <w:r>
        <w:t>.</w:t>
      </w:r>
      <w:r>
        <w:tab/>
        <w:t>Principle to be observed in administration of this Part</w:t>
      </w:r>
      <w:bookmarkEnd w:id="655"/>
      <w:bookmarkEnd w:id="656"/>
    </w:p>
    <w:p>
      <w:pPr>
        <w:pStyle w:val="Subsection"/>
      </w:pPr>
      <w:r>
        <w:tab/>
        <w:t>(1)</w:t>
      </w:r>
      <w:r>
        <w:tab/>
        <w:t xml:space="preserve">In the administration of this Part a principle to be observed is that public authorities should work together cooperatively and effectively to give responsible persons for a child the best chance of — </w:t>
      </w:r>
    </w:p>
    <w:p>
      <w:pPr>
        <w:pStyle w:val="Indenta"/>
      </w:pPr>
      <w:r>
        <w:tab/>
        <w:t>(a)</w:t>
      </w:r>
      <w:r>
        <w:tab/>
        <w:t>safeguarding and promoting the child’s wellbeing; and</w:t>
      </w:r>
    </w:p>
    <w:p>
      <w:pPr>
        <w:pStyle w:val="Indenta"/>
      </w:pPr>
      <w:r>
        <w:tab/>
        <w:t>(b)</w:t>
      </w:r>
      <w:r>
        <w:tab/>
        <w:t>appropriately and safely managing the behaviour of the child; and</w:t>
      </w:r>
    </w:p>
    <w:p>
      <w:pPr>
        <w:pStyle w:val="Indenta"/>
      </w:pPr>
      <w:r>
        <w:tab/>
        <w:t>(c)</w:t>
      </w:r>
      <w:r>
        <w:tab/>
        <w:t>complying with any responsible parenting agreement they may enter into.</w:t>
      </w:r>
    </w:p>
    <w:p>
      <w:pPr>
        <w:pStyle w:val="Subsection"/>
      </w:pPr>
      <w:r>
        <w:tab/>
        <w:t>(2)</w:t>
      </w:r>
      <w:r>
        <w:tab/>
        <w:t>The principle set out in subsection (1) is in addition to, and does not derogate from, the principles set out in Part 2 Divisions 2 and 3.</w:t>
      </w:r>
    </w:p>
    <w:p>
      <w:pPr>
        <w:pStyle w:val="Footnotesection"/>
      </w:pPr>
      <w:r>
        <w:tab/>
        <w:t>[Section 131B inserted: No. 23 of 2015 s. 7; amended: No. 18 of 2021 s. 56.]</w:t>
      </w:r>
    </w:p>
    <w:p>
      <w:pPr>
        <w:pStyle w:val="Heading5"/>
      </w:pPr>
      <w:bookmarkStart w:id="657" w:name="_Toc148361104"/>
      <w:bookmarkStart w:id="658" w:name="_Toc117608057"/>
      <w:r>
        <w:rPr>
          <w:rStyle w:val="CharSectno"/>
        </w:rPr>
        <w:t>131C</w:t>
      </w:r>
      <w:r>
        <w:t>.</w:t>
      </w:r>
      <w:r>
        <w:tab/>
        <w:t>Responsible parenting agreements</w:t>
      </w:r>
      <w:bookmarkEnd w:id="657"/>
      <w:bookmarkEnd w:id="658"/>
    </w:p>
    <w:p>
      <w:pPr>
        <w:pStyle w:val="Subsection"/>
      </w:pPr>
      <w:r>
        <w:tab/>
      </w:r>
      <w:r>
        <w:tab/>
        <w:t xml:space="preserve">A </w:t>
      </w:r>
      <w:r>
        <w:rPr>
          <w:rStyle w:val="CharDefText"/>
        </w:rPr>
        <w:t>responsible parenting agreement</w:t>
      </w:r>
      <w:r>
        <w:t xml:space="preserve"> is an agreement in respect of a child or children between — </w:t>
      </w:r>
    </w:p>
    <w:p>
      <w:pPr>
        <w:pStyle w:val="Indenta"/>
      </w:pPr>
      <w:r>
        <w:tab/>
        <w:t>(a)</w:t>
      </w:r>
      <w:r>
        <w:tab/>
        <w:t>any or all of the authorised CEOs; and</w:t>
      </w:r>
    </w:p>
    <w:p>
      <w:pPr>
        <w:pStyle w:val="Indenta"/>
      </w:pPr>
      <w:r>
        <w:tab/>
        <w:t>(b)</w:t>
      </w:r>
      <w:r>
        <w:tab/>
        <w:t>one or more responsible persons for the child or children.</w:t>
      </w:r>
    </w:p>
    <w:p>
      <w:pPr>
        <w:pStyle w:val="Footnotesection"/>
      </w:pPr>
      <w:r>
        <w:tab/>
        <w:t>[Section 131C inserted: No. 23 of 2015 s. 7.]</w:t>
      </w:r>
    </w:p>
    <w:p>
      <w:pPr>
        <w:pStyle w:val="Heading5"/>
      </w:pPr>
      <w:bookmarkStart w:id="659" w:name="_Toc148361105"/>
      <w:bookmarkStart w:id="660" w:name="_Toc117608058"/>
      <w:r>
        <w:rPr>
          <w:rStyle w:val="CharSectno"/>
        </w:rPr>
        <w:t>131D</w:t>
      </w:r>
      <w:r>
        <w:t>.</w:t>
      </w:r>
      <w:r>
        <w:tab/>
        <w:t>Entering into responsible parenting agreement</w:t>
      </w:r>
      <w:bookmarkEnd w:id="659"/>
      <w:bookmarkEnd w:id="660"/>
    </w:p>
    <w:p>
      <w:pPr>
        <w:pStyle w:val="Subsection"/>
        <w:keepNext/>
      </w:pPr>
      <w:r>
        <w:tab/>
      </w:r>
      <w:r>
        <w:tab/>
        <w:t xml:space="preserve">An authorised CEO may enter into a responsible parenting agreement if the authorised CEO is satisfied, in relation to each child in respect of whom the agreement is entered into, that — </w:t>
      </w:r>
    </w:p>
    <w:p>
      <w:pPr>
        <w:pStyle w:val="Indenta"/>
      </w:pPr>
      <w:r>
        <w:tab/>
        <w:t>(a)</w:t>
      </w:r>
      <w:r>
        <w:tab/>
        <w:t xml:space="preserve">the child engages in any of the following behaviour (the </w:t>
      </w:r>
      <w:r>
        <w:rPr>
          <w:rStyle w:val="CharDefText"/>
        </w:rPr>
        <w:t>relevant behaviour</w:t>
      </w:r>
      <w:r>
        <w:t xml:space="preserve">) — </w:t>
      </w:r>
    </w:p>
    <w:p>
      <w:pPr>
        <w:pStyle w:val="Indenti"/>
      </w:pPr>
      <w:r>
        <w:tab/>
        <w:t>(i)</w:t>
      </w:r>
      <w:r>
        <w:tab/>
        <w:t>criminal or antisocial behaviour;</w:t>
      </w:r>
    </w:p>
    <w:p>
      <w:pPr>
        <w:pStyle w:val="Indenti"/>
      </w:pPr>
      <w:r>
        <w:tab/>
        <w:t>(ii)</w:t>
      </w:r>
      <w:r>
        <w:tab/>
        <w:t>persistent failure to attend school;</w:t>
      </w:r>
    </w:p>
    <w:p>
      <w:pPr>
        <w:pStyle w:val="Indenta"/>
      </w:pPr>
      <w:r>
        <w:tab/>
      </w:r>
      <w:r>
        <w:tab/>
        <w:t>and</w:t>
      </w:r>
    </w:p>
    <w:p>
      <w:pPr>
        <w:pStyle w:val="Indenta"/>
      </w:pPr>
      <w:r>
        <w:tab/>
        <w:t>(b)</w:t>
      </w:r>
      <w:r>
        <w:tab/>
        <w:t>the relevant behaviour is having, or is likely to have, a detrimental effect on the wellbeing of the child; and</w:t>
      </w:r>
    </w:p>
    <w:p>
      <w:pPr>
        <w:pStyle w:val="Indenta"/>
      </w:pPr>
      <w:r>
        <w:tab/>
        <w:t>(c)</w:t>
      </w:r>
      <w:r>
        <w:tab/>
        <w:t>the parenting of the child may be contributing to the child engaging in the relevant behaviour; and</w:t>
      </w:r>
    </w:p>
    <w:p>
      <w:pPr>
        <w:pStyle w:val="Indenta"/>
      </w:pPr>
      <w:r>
        <w:tab/>
        <w:t>(d)</w:t>
      </w:r>
      <w:r>
        <w:tab/>
        <w:t>the responsible parenting agreement may assist the responsible person or persons to appropriately and safely manage the behaviour of the child.</w:t>
      </w:r>
    </w:p>
    <w:p>
      <w:pPr>
        <w:pStyle w:val="Footnotesection"/>
      </w:pPr>
      <w:r>
        <w:tab/>
        <w:t>[Section 131D inserted: No. 23 of 2015 s. 7; amended: No. 18 of 2021 s. 57.]</w:t>
      </w:r>
    </w:p>
    <w:p>
      <w:pPr>
        <w:pStyle w:val="Heading5"/>
      </w:pPr>
      <w:bookmarkStart w:id="661" w:name="_Toc148361106"/>
      <w:bookmarkStart w:id="662" w:name="_Toc117608059"/>
      <w:r>
        <w:rPr>
          <w:rStyle w:val="CharSectno"/>
        </w:rPr>
        <w:t>131E</w:t>
      </w:r>
      <w:r>
        <w:t>.</w:t>
      </w:r>
      <w:r>
        <w:tab/>
        <w:t>Content of responsible parenting agreement</w:t>
      </w:r>
      <w:bookmarkEnd w:id="661"/>
      <w:bookmarkEnd w:id="662"/>
    </w:p>
    <w:p>
      <w:pPr>
        <w:pStyle w:val="Subsection"/>
      </w:pPr>
      <w:r>
        <w:tab/>
        <w:t>(1)</w:t>
      </w:r>
      <w:r>
        <w:tab/>
        <w:t xml:space="preserve">A responsible parenting agreement must be about one or more of the following matters — </w:t>
      </w:r>
    </w:p>
    <w:p>
      <w:pPr>
        <w:pStyle w:val="Indenta"/>
      </w:pPr>
      <w:r>
        <w:tab/>
        <w:t>(a)</w:t>
      </w:r>
      <w:r>
        <w:tab/>
        <w:t>the responsible person engaging with a counselling service, a support service or any other relevant social service;</w:t>
      </w:r>
    </w:p>
    <w:p>
      <w:pPr>
        <w:pStyle w:val="Indenta"/>
      </w:pPr>
      <w:r>
        <w:tab/>
        <w:t>(b)</w:t>
      </w:r>
      <w:r>
        <w:tab/>
        <w:t>the responsible person taking all reasonable steps to ensure that the child attends school;</w:t>
      </w:r>
    </w:p>
    <w:p>
      <w:pPr>
        <w:pStyle w:val="Indenta"/>
      </w:pPr>
      <w:r>
        <w:tab/>
        <w:t>(c)</w:t>
      </w:r>
      <w:r>
        <w:tab/>
        <w:t>the responsible person taking all reasonable steps to ensure that the child avoids contact with a particular person or particular persons;</w:t>
      </w:r>
    </w:p>
    <w:p>
      <w:pPr>
        <w:pStyle w:val="Indenta"/>
      </w:pPr>
      <w:r>
        <w:tab/>
        <w:t>(d)</w:t>
      </w:r>
      <w:r>
        <w:tab/>
        <w:t>the responsible person taking all reasonable steps to ensure that the child avoids a particular place or particular places;</w:t>
      </w:r>
    </w:p>
    <w:p>
      <w:pPr>
        <w:pStyle w:val="Indenta"/>
      </w:pPr>
      <w:r>
        <w:tab/>
        <w:t>(e)</w:t>
      </w:r>
      <w:r>
        <w:tab/>
        <w:t>other matters relating to the effective parenting of the child;</w:t>
      </w:r>
    </w:p>
    <w:p>
      <w:pPr>
        <w:pStyle w:val="Indenta"/>
      </w:pPr>
      <w:r>
        <w:tab/>
        <w:t>(f)</w:t>
      </w:r>
      <w:r>
        <w:tab/>
        <w:t>the assistance to be given to the responsible person or the child by a public authority to assist the responsible person to comply with the agreement.</w:t>
      </w:r>
    </w:p>
    <w:p>
      <w:pPr>
        <w:pStyle w:val="Subsection"/>
      </w:pPr>
      <w:r>
        <w:tab/>
        <w:t>(2)</w:t>
      </w:r>
      <w:r>
        <w:tab/>
        <w:t>If more than one responsible person enters into the responsible parenting agreement, a reference in subsection (1) to the responsible person is a reference to any or all of those responsible persons.</w:t>
      </w:r>
    </w:p>
    <w:p>
      <w:pPr>
        <w:pStyle w:val="Subsection"/>
      </w:pPr>
      <w:r>
        <w:tab/>
        <w:t>(3)</w:t>
      </w:r>
      <w:r>
        <w:tab/>
        <w:t>If the responsible parenting agreement is entered into in respect of more than one child, a reference in subsection (1) to the child is a reference to any or all of those children.</w:t>
      </w:r>
    </w:p>
    <w:p>
      <w:pPr>
        <w:pStyle w:val="Footnotesection"/>
      </w:pPr>
      <w:r>
        <w:tab/>
        <w:t>[Section 131E inserted: No. 23 of 2015 s. 7.]</w:t>
      </w:r>
    </w:p>
    <w:p>
      <w:pPr>
        <w:pStyle w:val="Heading5"/>
      </w:pPr>
      <w:bookmarkStart w:id="663" w:name="_Toc148361107"/>
      <w:bookmarkStart w:id="664" w:name="_Toc117608060"/>
      <w:r>
        <w:rPr>
          <w:rStyle w:val="CharSectno"/>
        </w:rPr>
        <w:t>131F</w:t>
      </w:r>
      <w:r>
        <w:t>.</w:t>
      </w:r>
      <w:r>
        <w:tab/>
        <w:t>Formal requirements</w:t>
      </w:r>
      <w:bookmarkEnd w:id="663"/>
      <w:bookmarkEnd w:id="664"/>
    </w:p>
    <w:p>
      <w:pPr>
        <w:pStyle w:val="Subsection"/>
      </w:pPr>
      <w:r>
        <w:tab/>
      </w:r>
      <w:r>
        <w:tab/>
        <w:t xml:space="preserve">A responsible parenting agreement must — </w:t>
      </w:r>
    </w:p>
    <w:p>
      <w:pPr>
        <w:pStyle w:val="Indenta"/>
      </w:pPr>
      <w:r>
        <w:tab/>
        <w:t>(a)</w:t>
      </w:r>
      <w:r>
        <w:tab/>
        <w:t>be in writing; and</w:t>
      </w:r>
    </w:p>
    <w:p>
      <w:pPr>
        <w:pStyle w:val="Indenta"/>
      </w:pPr>
      <w:r>
        <w:tab/>
        <w:t>(b)</w:t>
      </w:r>
      <w:r>
        <w:tab/>
        <w:t>specify the period covered by the agreement; and</w:t>
      </w:r>
    </w:p>
    <w:p>
      <w:pPr>
        <w:pStyle w:val="Indenta"/>
      </w:pPr>
      <w:r>
        <w:tab/>
        <w:t>(c)</w:t>
      </w:r>
      <w:r>
        <w:tab/>
        <w:t>be signed by each authorised CEO, and each responsible person, who enters into the agreement.</w:t>
      </w:r>
    </w:p>
    <w:p>
      <w:pPr>
        <w:pStyle w:val="Footnotesection"/>
      </w:pPr>
      <w:r>
        <w:tab/>
        <w:t>[Section 131F inserted: No. 23 of 2015 s. 7.]</w:t>
      </w:r>
    </w:p>
    <w:p>
      <w:pPr>
        <w:pStyle w:val="Heading5"/>
      </w:pPr>
      <w:bookmarkStart w:id="665" w:name="_Toc148361108"/>
      <w:bookmarkStart w:id="666" w:name="_Toc117608061"/>
      <w:r>
        <w:rPr>
          <w:rStyle w:val="CharSectno"/>
        </w:rPr>
        <w:t>131G</w:t>
      </w:r>
      <w:r>
        <w:t>.</w:t>
      </w:r>
      <w:r>
        <w:tab/>
        <w:t>Effect of responsible parenting agreement</w:t>
      </w:r>
      <w:bookmarkEnd w:id="665"/>
      <w:bookmarkEnd w:id="666"/>
    </w:p>
    <w:p>
      <w:pPr>
        <w:pStyle w:val="Subsection"/>
      </w:pPr>
      <w:r>
        <w:tab/>
        <w:t>(1)</w:t>
      </w:r>
      <w:r>
        <w:tab/>
        <w:t>A responsible parenting agreement does not create obligations that are enforceable.</w:t>
      </w:r>
    </w:p>
    <w:p>
      <w:pPr>
        <w:pStyle w:val="Subsection"/>
        <w:keepNext/>
      </w:pPr>
      <w:r>
        <w:tab/>
        <w:t>(2)</w:t>
      </w:r>
      <w:r>
        <w:tab/>
        <w:t>An action in tort does not lie against the State, a Minister of the State, a public authority or an official for any failure of a person to comply with a responsible parenting agreement.</w:t>
      </w:r>
    </w:p>
    <w:p>
      <w:pPr>
        <w:pStyle w:val="Footnotesection"/>
      </w:pPr>
      <w:r>
        <w:tab/>
        <w:t>[Section 131G inserted: No. 23 of 2015 s. 7.]</w:t>
      </w:r>
    </w:p>
    <w:p>
      <w:pPr>
        <w:pStyle w:val="Heading5"/>
      </w:pPr>
      <w:bookmarkStart w:id="667" w:name="_Toc148361109"/>
      <w:bookmarkStart w:id="668" w:name="_Toc117608062"/>
      <w:r>
        <w:rPr>
          <w:rStyle w:val="CharSectno"/>
        </w:rPr>
        <w:t>131H</w:t>
      </w:r>
      <w:r>
        <w:t>.</w:t>
      </w:r>
      <w:r>
        <w:tab/>
        <w:t>Delegation by CEO (Corrective Services) and CEO (Education)</w:t>
      </w:r>
      <w:bookmarkEnd w:id="667"/>
      <w:bookmarkEnd w:id="668"/>
    </w:p>
    <w:p>
      <w:pPr>
        <w:pStyle w:val="Subsection"/>
      </w:pPr>
      <w:r>
        <w:tab/>
        <w:t>(1)</w:t>
      </w:r>
      <w:r>
        <w:tab/>
        <w:t>The CEO (Corrective Services) may delegate to a corrective services officer any power or duty of the CEO (Corrective Services) under another provision of this Part or section 237(3) or (4).</w:t>
      </w:r>
    </w:p>
    <w:p>
      <w:pPr>
        <w:pStyle w:val="Subsection"/>
      </w:pPr>
      <w:r>
        <w:tab/>
        <w:t>(2)</w:t>
      </w:r>
      <w:r>
        <w:tab/>
        <w:t>The CEO (Education) may delegate to an education officer any power or duty of the CEO (Education) under another provision of this Part or section 237(3) or (4).</w:t>
      </w:r>
    </w:p>
    <w:p>
      <w:pPr>
        <w:pStyle w:val="Subsection"/>
      </w:pPr>
      <w:r>
        <w:tab/>
        <w:t>(3)</w:t>
      </w:r>
      <w:r>
        <w:tab/>
        <w:t>A delegation under this section must be in writing signed by the CEO (Corrective Services) or the CEO (Education), as the case requires.</w:t>
      </w:r>
    </w:p>
    <w:p>
      <w:pPr>
        <w:pStyle w:val="Subsection"/>
      </w:pPr>
      <w:r>
        <w:tab/>
        <w:t>(4)</w:t>
      </w:r>
      <w:r>
        <w:tab/>
        <w:t>A delegation under this section may expressly authorise the delegate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CEO (Corrective Services) to perform a function through a corrective services officer or agent or the ability of the CEO (Education) to perform a function through an education officer or agent.</w:t>
      </w:r>
    </w:p>
    <w:p>
      <w:pPr>
        <w:pStyle w:val="Footnotesection"/>
      </w:pPr>
      <w:r>
        <w:tab/>
        <w:t>[Section 131H inserted: No. 23 of 2015 s. 7.]</w:t>
      </w:r>
    </w:p>
    <w:p>
      <w:pPr>
        <w:pStyle w:val="Heading2"/>
      </w:pPr>
      <w:bookmarkStart w:id="669" w:name="_Toc148348682"/>
      <w:bookmarkStart w:id="670" w:name="_Toc148358466"/>
      <w:bookmarkStart w:id="671" w:name="_Toc148361110"/>
      <w:bookmarkStart w:id="672" w:name="_Toc117582725"/>
      <w:bookmarkStart w:id="673" w:name="_Toc117584539"/>
      <w:bookmarkStart w:id="674" w:name="_Toc117585709"/>
      <w:bookmarkStart w:id="675" w:name="_Toc117608063"/>
      <w:r>
        <w:rPr>
          <w:rStyle w:val="CharPartNo"/>
        </w:rPr>
        <w:t>Part 5</w:t>
      </w:r>
      <w:r>
        <w:t> — </w:t>
      </w:r>
      <w:r>
        <w:rPr>
          <w:rStyle w:val="CharPartText"/>
        </w:rPr>
        <w:t>Protection proceedings</w:t>
      </w:r>
      <w:bookmarkEnd w:id="669"/>
      <w:bookmarkEnd w:id="670"/>
      <w:bookmarkEnd w:id="671"/>
      <w:bookmarkEnd w:id="672"/>
      <w:bookmarkEnd w:id="673"/>
      <w:bookmarkEnd w:id="674"/>
      <w:bookmarkEnd w:id="675"/>
    </w:p>
    <w:p>
      <w:pPr>
        <w:pStyle w:val="Heading3"/>
      </w:pPr>
      <w:bookmarkStart w:id="676" w:name="_Toc148348683"/>
      <w:bookmarkStart w:id="677" w:name="_Toc148358467"/>
      <w:bookmarkStart w:id="678" w:name="_Toc148361111"/>
      <w:bookmarkStart w:id="679" w:name="_Toc117582726"/>
      <w:bookmarkStart w:id="680" w:name="_Toc117584540"/>
      <w:bookmarkStart w:id="681" w:name="_Toc117585710"/>
      <w:bookmarkStart w:id="682" w:name="_Toc117608064"/>
      <w:r>
        <w:rPr>
          <w:rStyle w:val="CharDivNo"/>
        </w:rPr>
        <w:t>Division 1</w:t>
      </w:r>
      <w:r>
        <w:t> — </w:t>
      </w:r>
      <w:r>
        <w:rPr>
          <w:rStyle w:val="CharDivText"/>
        </w:rPr>
        <w:t>Terms used in this Part</w:t>
      </w:r>
      <w:bookmarkEnd w:id="676"/>
      <w:bookmarkEnd w:id="677"/>
      <w:bookmarkEnd w:id="678"/>
      <w:bookmarkEnd w:id="679"/>
      <w:bookmarkEnd w:id="680"/>
      <w:bookmarkEnd w:id="681"/>
      <w:bookmarkEnd w:id="682"/>
    </w:p>
    <w:p>
      <w:pPr>
        <w:pStyle w:val="Heading5"/>
        <w:spacing w:before="180"/>
      </w:pPr>
      <w:bookmarkStart w:id="683" w:name="_Toc148361112"/>
      <w:bookmarkStart w:id="684" w:name="_Toc117608065"/>
      <w:r>
        <w:rPr>
          <w:rStyle w:val="CharSectno"/>
        </w:rPr>
        <w:t>131</w:t>
      </w:r>
      <w:r>
        <w:t>.</w:t>
      </w:r>
      <w:r>
        <w:tab/>
        <w:t>Terms used</w:t>
      </w:r>
      <w:bookmarkEnd w:id="683"/>
      <w:bookmarkEnd w:id="684"/>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Footnotesection"/>
      </w:pPr>
      <w:r>
        <w:tab/>
        <w:t>[Section 131 amended: No. 18 of 2021 s. 58.]</w:t>
      </w:r>
    </w:p>
    <w:p>
      <w:pPr>
        <w:pStyle w:val="Heading3"/>
      </w:pPr>
      <w:bookmarkStart w:id="685" w:name="_Toc148348685"/>
      <w:bookmarkStart w:id="686" w:name="_Toc148358469"/>
      <w:bookmarkStart w:id="687" w:name="_Toc148361113"/>
      <w:bookmarkStart w:id="688" w:name="_Toc117582728"/>
      <w:bookmarkStart w:id="689" w:name="_Toc117584542"/>
      <w:bookmarkStart w:id="690" w:name="_Toc117585712"/>
      <w:bookmarkStart w:id="691" w:name="_Toc117608066"/>
      <w:r>
        <w:rPr>
          <w:rStyle w:val="CharDivNo"/>
        </w:rPr>
        <w:t>Division 2</w:t>
      </w:r>
      <w:r>
        <w:t> — </w:t>
      </w:r>
      <w:r>
        <w:rPr>
          <w:rStyle w:val="CharDivText"/>
        </w:rPr>
        <w:t>Adjournment and interim orders</w:t>
      </w:r>
      <w:bookmarkEnd w:id="685"/>
      <w:bookmarkEnd w:id="686"/>
      <w:bookmarkEnd w:id="687"/>
      <w:bookmarkEnd w:id="688"/>
      <w:bookmarkEnd w:id="689"/>
      <w:bookmarkEnd w:id="690"/>
      <w:bookmarkEnd w:id="691"/>
    </w:p>
    <w:p>
      <w:pPr>
        <w:pStyle w:val="Heading5"/>
      </w:pPr>
      <w:bookmarkStart w:id="692" w:name="_Toc148361114"/>
      <w:bookmarkStart w:id="693" w:name="_Toc117608067"/>
      <w:r>
        <w:rPr>
          <w:rStyle w:val="CharSectno"/>
        </w:rPr>
        <w:t>132</w:t>
      </w:r>
      <w:r>
        <w:t>.</w:t>
      </w:r>
      <w:r>
        <w:tab/>
        <w:t>Adjournment of proceedings</w:t>
      </w:r>
      <w:bookmarkEnd w:id="692"/>
      <w:bookmarkEnd w:id="693"/>
    </w:p>
    <w:p>
      <w:pPr>
        <w:pStyle w:val="Subsection"/>
      </w:pPr>
      <w:r>
        <w:tab/>
        <w:t>(1)</w:t>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Subsection"/>
      </w:pPr>
      <w:r>
        <w:tab/>
        <w:t>(2)</w:t>
      </w:r>
      <w:r>
        <w:tab/>
        <w:t>However, protection proceedings must not be adjourned if the proceedings are for an interim order (secure care).</w:t>
      </w:r>
    </w:p>
    <w:p>
      <w:pPr>
        <w:pStyle w:val="Subsection"/>
      </w:pPr>
      <w:r>
        <w:tab/>
        <w:t>(3)</w:t>
      </w:r>
      <w:r>
        <w:tab/>
        <w:t>Subsection (2) does not apply if the Court is satisfied that there are exceptional reasons for an adjournment and adjourns the proceedings for a period not exceeding 2 working days.</w:t>
      </w:r>
    </w:p>
    <w:p>
      <w:pPr>
        <w:pStyle w:val="Footnotesection"/>
      </w:pPr>
      <w:r>
        <w:tab/>
        <w:t>[Section 132 amended: No. 18 of 2021 s. 59.]</w:t>
      </w:r>
    </w:p>
    <w:p>
      <w:pPr>
        <w:pStyle w:val="Heading5"/>
        <w:spacing w:before="180"/>
      </w:pPr>
      <w:bookmarkStart w:id="694" w:name="_Toc148361115"/>
      <w:bookmarkStart w:id="695" w:name="_Toc117608068"/>
      <w:r>
        <w:rPr>
          <w:rStyle w:val="CharSectno"/>
        </w:rPr>
        <w:t>133</w:t>
      </w:r>
      <w:r>
        <w:t>.</w:t>
      </w:r>
      <w:r>
        <w:tab/>
        <w:t>Interim orders</w:t>
      </w:r>
      <w:bookmarkEnd w:id="694"/>
      <w:bookmarkEnd w:id="695"/>
    </w:p>
    <w:p>
      <w:pPr>
        <w:pStyle w:val="Subsection"/>
      </w:pPr>
      <w:r>
        <w:tab/>
        <w:t>(1)</w:t>
      </w:r>
      <w:r>
        <w:tab/>
        <w:t>The Court may at any time in the course of protection proceedings make an interim order.</w:t>
      </w:r>
    </w:p>
    <w:p>
      <w:pPr>
        <w:pStyle w:val="Subsection"/>
        <w:keepNext/>
      </w:pPr>
      <w:r>
        <w:tab/>
        <w:t>(2A)</w:t>
      </w:r>
      <w:r>
        <w:tab/>
        <w:t xml:space="preserve">Except in the case of an interim order (secure care), an interim order may be made — </w:t>
      </w:r>
    </w:p>
    <w:p>
      <w:pPr>
        <w:pStyle w:val="Indenta"/>
        <w:keepNext/>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other member of the child’s family or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PermNoteHeading"/>
      </w:pPr>
      <w:r>
        <w:tab/>
        <w:t>Note for this subsection:</w:t>
      </w:r>
    </w:p>
    <w:p>
      <w:pPr>
        <w:pStyle w:val="PermNoteText"/>
      </w:pPr>
      <w:r>
        <w:tab/>
      </w:r>
      <w:r>
        <w:tab/>
        <w:t>Section 123 contains provisions about the effect of a warrant (provisional protection and care).</w:t>
      </w:r>
    </w:p>
    <w:p>
      <w:pPr>
        <w:pStyle w:val="Footnotesection"/>
      </w:pPr>
      <w:r>
        <w:tab/>
        <w:t>[Section 133 amended: No. 49 of 2010 s. 18; No. 18 of 2021 s. 60.]</w:t>
      </w:r>
    </w:p>
    <w:p>
      <w:pPr>
        <w:pStyle w:val="Heading5"/>
        <w:keepNext w:val="0"/>
        <w:keepLines w:val="0"/>
      </w:pPr>
      <w:bookmarkStart w:id="696" w:name="_Toc148361116"/>
      <w:bookmarkStart w:id="697" w:name="_Toc117608069"/>
      <w:r>
        <w:rPr>
          <w:rStyle w:val="CharSectno"/>
        </w:rPr>
        <w:t>134A</w:t>
      </w:r>
      <w:r>
        <w:t>.</w:t>
      </w:r>
      <w:r>
        <w:tab/>
        <w:t>Interim orders (secure care)</w:t>
      </w:r>
      <w:bookmarkEnd w:id="696"/>
      <w:bookmarkEnd w:id="697"/>
    </w:p>
    <w:p>
      <w:pPr>
        <w:pStyle w:val="Subsection"/>
        <w:spacing w:before="120"/>
      </w:pPr>
      <w:r>
        <w:tab/>
        <w:t>(1)</w:t>
      </w:r>
      <w:r>
        <w:tab/>
        <w:t xml:space="preserve">The Court must not make an interim order (secure care) unless the Court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spacing w:before="12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20"/>
      </w:pPr>
      <w:r>
        <w:tab/>
        <w:t>(3)</w:t>
      </w:r>
      <w:r>
        <w:tab/>
        <w:t>If the order is made under section 133(2)(ca)(i), the secure care period must not exceed 21 days unless it is extended under subsection (6).</w:t>
      </w:r>
    </w:p>
    <w:p>
      <w:pPr>
        <w:pStyle w:val="Subsection"/>
        <w:spacing w:before="12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20"/>
      </w:pPr>
      <w:r>
        <w:tab/>
        <w:t>(5)</w:t>
      </w:r>
      <w:r>
        <w:tab/>
        <w:t>The CEO may apply to the Court for the variation of an interim order (secure care) to extend the secure care period.</w:t>
      </w:r>
    </w:p>
    <w:p>
      <w:pPr>
        <w:pStyle w:val="Subsection"/>
        <w:spacing w:before="120"/>
      </w:pPr>
      <w:r>
        <w:tab/>
        <w:t>(6)</w:t>
      </w:r>
      <w:r>
        <w:tab/>
        <w:t>On an application under subsection (5) the Court may extend the secure care period by not more than 21 days if the Court is satisfied that there are exceptional reasons for doing so.</w:t>
      </w:r>
    </w:p>
    <w:p>
      <w:pPr>
        <w:pStyle w:val="Subsection"/>
        <w:spacing w:before="120"/>
      </w:pPr>
      <w:r>
        <w:tab/>
        <w:t>(7)</w:t>
      </w:r>
      <w:r>
        <w:tab/>
        <w:t>The secure care period cannot be extended under subsection (6) more than once.</w:t>
      </w:r>
    </w:p>
    <w:p>
      <w:pPr>
        <w:pStyle w:val="Subsection"/>
        <w:spacing w:before="12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No. 49 of 2010 s. 19.]</w:t>
      </w:r>
    </w:p>
    <w:p>
      <w:pPr>
        <w:pStyle w:val="Heading5"/>
      </w:pPr>
      <w:bookmarkStart w:id="698" w:name="_Toc148361117"/>
      <w:bookmarkStart w:id="699" w:name="_Toc117608070"/>
      <w:r>
        <w:rPr>
          <w:rStyle w:val="CharSectno"/>
        </w:rPr>
        <w:t>134</w:t>
      </w:r>
      <w:r>
        <w:t>.</w:t>
      </w:r>
      <w:r>
        <w:tab/>
        <w:t>Variation or revocation of interim order</w:t>
      </w:r>
      <w:bookmarkEnd w:id="698"/>
      <w:bookmarkEnd w:id="699"/>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No. 49 of 2010 s. 20.]</w:t>
      </w:r>
    </w:p>
    <w:p>
      <w:pPr>
        <w:pStyle w:val="Heading5"/>
        <w:spacing w:before="120"/>
      </w:pPr>
      <w:bookmarkStart w:id="700" w:name="_Toc148361118"/>
      <w:bookmarkStart w:id="701" w:name="_Toc117608071"/>
      <w:r>
        <w:rPr>
          <w:rStyle w:val="CharSectno"/>
        </w:rPr>
        <w:t>135</w:t>
      </w:r>
      <w:r>
        <w:t>.</w:t>
      </w:r>
      <w:r>
        <w:tab/>
        <w:t>Access to child by authorised officer while interim order in force</w:t>
      </w:r>
      <w:bookmarkEnd w:id="700"/>
      <w:bookmarkEnd w:id="701"/>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135 amended: No. 8 of 2009 s. 32(3).]</w:t>
      </w:r>
    </w:p>
    <w:p>
      <w:pPr>
        <w:pStyle w:val="Heading3"/>
      </w:pPr>
      <w:bookmarkStart w:id="702" w:name="_Toc148348691"/>
      <w:bookmarkStart w:id="703" w:name="_Toc148358475"/>
      <w:bookmarkStart w:id="704" w:name="_Toc148361119"/>
      <w:bookmarkStart w:id="705" w:name="_Toc117582734"/>
      <w:bookmarkStart w:id="706" w:name="_Toc117584548"/>
      <w:bookmarkStart w:id="707" w:name="_Toc117585718"/>
      <w:bookmarkStart w:id="708" w:name="_Toc117608072"/>
      <w:r>
        <w:rPr>
          <w:rStyle w:val="CharDivNo"/>
        </w:rPr>
        <w:t>Division 3A</w:t>
      </w:r>
      <w:r>
        <w:t> — </w:t>
      </w:r>
      <w:r>
        <w:rPr>
          <w:rStyle w:val="CharDivText"/>
        </w:rPr>
        <w:t>Orders for determination of parentage</w:t>
      </w:r>
      <w:bookmarkEnd w:id="702"/>
      <w:bookmarkEnd w:id="703"/>
      <w:bookmarkEnd w:id="704"/>
      <w:bookmarkEnd w:id="705"/>
      <w:bookmarkEnd w:id="706"/>
      <w:bookmarkEnd w:id="707"/>
      <w:bookmarkEnd w:id="708"/>
    </w:p>
    <w:p>
      <w:pPr>
        <w:pStyle w:val="Footnoteheading"/>
        <w:keepNext/>
      </w:pPr>
      <w:r>
        <w:tab/>
        <w:t>[Heading inserted: No. 49 of 2010 s. 36.]</w:t>
      </w:r>
    </w:p>
    <w:p>
      <w:pPr>
        <w:pStyle w:val="Heading5"/>
      </w:pPr>
      <w:bookmarkStart w:id="709" w:name="_Toc148361120"/>
      <w:bookmarkStart w:id="710" w:name="_Toc117608073"/>
      <w:r>
        <w:rPr>
          <w:rStyle w:val="CharSectno"/>
        </w:rPr>
        <w:t>136A</w:t>
      </w:r>
      <w:r>
        <w:t>.</w:t>
      </w:r>
      <w:r>
        <w:tab/>
        <w:t>Terms used</w:t>
      </w:r>
      <w:bookmarkEnd w:id="709"/>
      <w:bookmarkEnd w:id="710"/>
    </w:p>
    <w:p>
      <w:pPr>
        <w:pStyle w:val="Subsection"/>
        <w:keepNext/>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No. 49 of 2010 s. 36.]</w:t>
      </w:r>
    </w:p>
    <w:p>
      <w:pPr>
        <w:pStyle w:val="Heading5"/>
      </w:pPr>
      <w:bookmarkStart w:id="711" w:name="_Toc148361121"/>
      <w:bookmarkStart w:id="712" w:name="_Toc117608074"/>
      <w:r>
        <w:rPr>
          <w:rStyle w:val="CharSectno"/>
        </w:rPr>
        <w:t>136B</w:t>
      </w:r>
      <w:r>
        <w:t>.</w:t>
      </w:r>
      <w:r>
        <w:tab/>
        <w:t>Orders requiring person to give evidence</w:t>
      </w:r>
      <w:bookmarkEnd w:id="711"/>
      <w:bookmarkEnd w:id="712"/>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No. 49 of 2010 s. 36.]</w:t>
      </w:r>
    </w:p>
    <w:p>
      <w:pPr>
        <w:pStyle w:val="Heading5"/>
      </w:pPr>
      <w:bookmarkStart w:id="713" w:name="_Toc148361122"/>
      <w:bookmarkStart w:id="714" w:name="_Toc117608075"/>
      <w:r>
        <w:rPr>
          <w:rStyle w:val="CharSectno"/>
        </w:rPr>
        <w:t>136C</w:t>
      </w:r>
      <w:r>
        <w:t>.</w:t>
      </w:r>
      <w:r>
        <w:tab/>
        <w:t>Parentage testing orders</w:t>
      </w:r>
      <w:bookmarkEnd w:id="713"/>
      <w:bookmarkEnd w:id="714"/>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keepNext/>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No. 49 of 2010 s. 36.]</w:t>
      </w:r>
    </w:p>
    <w:p>
      <w:pPr>
        <w:pStyle w:val="Heading5"/>
      </w:pPr>
      <w:bookmarkStart w:id="715" w:name="_Toc148361123"/>
      <w:bookmarkStart w:id="716" w:name="_Toc117608076"/>
      <w:r>
        <w:rPr>
          <w:rStyle w:val="CharSectno"/>
        </w:rPr>
        <w:t>136D</w:t>
      </w:r>
      <w:r>
        <w:t>.</w:t>
      </w:r>
      <w:r>
        <w:tab/>
        <w:t>Orders associated with parentage testing orders</w:t>
      </w:r>
      <w:bookmarkEnd w:id="715"/>
      <w:bookmarkEnd w:id="716"/>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keepLines w:val="0"/>
      </w:pPr>
      <w:r>
        <w:tab/>
        <w:t>[Section 136D inserted: No. 49 of 2010 s. 36.]</w:t>
      </w:r>
    </w:p>
    <w:p>
      <w:pPr>
        <w:pStyle w:val="Heading5"/>
      </w:pPr>
      <w:bookmarkStart w:id="717" w:name="_Toc148361124"/>
      <w:bookmarkStart w:id="718" w:name="_Toc117608077"/>
      <w:r>
        <w:rPr>
          <w:rStyle w:val="CharSectno"/>
        </w:rPr>
        <w:t>136E</w:t>
      </w:r>
      <w:r>
        <w:t>.</w:t>
      </w:r>
      <w:r>
        <w:tab/>
        <w:t>Adult contravening s. 136D order, consequences of</w:t>
      </w:r>
      <w:bookmarkEnd w:id="717"/>
      <w:bookmarkEnd w:id="718"/>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No. 49 of 2010 s. 36.]</w:t>
      </w:r>
    </w:p>
    <w:p>
      <w:pPr>
        <w:pStyle w:val="Heading5"/>
        <w:rPr>
          <w:snapToGrid w:val="0"/>
        </w:rPr>
      </w:pPr>
      <w:bookmarkStart w:id="719" w:name="_Toc148361125"/>
      <w:bookmarkStart w:id="720" w:name="_Toc117608078"/>
      <w:r>
        <w:rPr>
          <w:rStyle w:val="CharSectno"/>
        </w:rPr>
        <w:t>136F</w:t>
      </w:r>
      <w:r>
        <w:t>.</w:t>
      </w:r>
      <w:r>
        <w:tab/>
        <w:t>Procedure etc. ordered for child, parental consent needed in some cases, consequences of refusing to consent</w:t>
      </w:r>
      <w:bookmarkEnd w:id="719"/>
      <w:bookmarkEnd w:id="720"/>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No. 49 of 2010 s. 36.]</w:t>
      </w:r>
    </w:p>
    <w:p>
      <w:pPr>
        <w:pStyle w:val="Heading5"/>
        <w:rPr>
          <w:snapToGrid w:val="0"/>
        </w:rPr>
      </w:pPr>
      <w:bookmarkStart w:id="721" w:name="_Toc148361126"/>
      <w:bookmarkStart w:id="722" w:name="_Toc117608079"/>
      <w:r>
        <w:rPr>
          <w:rStyle w:val="CharSectno"/>
        </w:rPr>
        <w:t>136G</w:t>
      </w:r>
      <w:r>
        <w:t>.</w:t>
      </w:r>
      <w:r>
        <w:tab/>
        <w:t>No</w:t>
      </w:r>
      <w:r>
        <w:rPr>
          <w:snapToGrid w:val="0"/>
        </w:rPr>
        <w:t xml:space="preserve"> liability if parent or CEO consents</w:t>
      </w:r>
      <w:bookmarkEnd w:id="721"/>
      <w:bookmarkEnd w:id="722"/>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No. 49 of 2010 s. 36.]</w:t>
      </w:r>
    </w:p>
    <w:p>
      <w:pPr>
        <w:pStyle w:val="Heading5"/>
        <w:keepNext w:val="0"/>
        <w:keepLines w:val="0"/>
        <w:rPr>
          <w:snapToGrid w:val="0"/>
        </w:rPr>
      </w:pPr>
      <w:bookmarkStart w:id="723" w:name="_Toc148361127"/>
      <w:bookmarkStart w:id="724" w:name="_Toc117608080"/>
      <w:r>
        <w:rPr>
          <w:rStyle w:val="CharSectno"/>
        </w:rPr>
        <w:t>136H</w:t>
      </w:r>
      <w:r>
        <w:t>.</w:t>
      </w:r>
      <w:r>
        <w:tab/>
        <w:t>P</w:t>
      </w:r>
      <w:r>
        <w:rPr>
          <w:snapToGrid w:val="0"/>
        </w:rPr>
        <w:t>arentage testing procedures, conduct of etc.</w:t>
      </w:r>
      <w:bookmarkEnd w:id="723"/>
      <w:bookmarkEnd w:id="724"/>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No. 49 of 2010 s. 36.]</w:t>
      </w:r>
    </w:p>
    <w:p>
      <w:pPr>
        <w:pStyle w:val="Heading5"/>
        <w:rPr>
          <w:snapToGrid w:val="0"/>
        </w:rPr>
      </w:pPr>
      <w:bookmarkStart w:id="725" w:name="_Toc148361128"/>
      <w:bookmarkStart w:id="726" w:name="_Toc117608081"/>
      <w:r>
        <w:rPr>
          <w:rStyle w:val="CharSectno"/>
        </w:rPr>
        <w:t>136I</w:t>
      </w:r>
      <w:r>
        <w:t>.</w:t>
      </w:r>
      <w:r>
        <w:tab/>
        <w:t>Results of parentage testing procedures admissible in protection proceedings</w:t>
      </w:r>
      <w:bookmarkEnd w:id="725"/>
      <w:bookmarkEnd w:id="726"/>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No. 49 of 2010 s. 36.]</w:t>
      </w:r>
    </w:p>
    <w:p>
      <w:pPr>
        <w:pStyle w:val="Heading3"/>
      </w:pPr>
      <w:bookmarkStart w:id="727" w:name="_Toc148348701"/>
      <w:bookmarkStart w:id="728" w:name="_Toc148358485"/>
      <w:bookmarkStart w:id="729" w:name="_Toc148361129"/>
      <w:bookmarkStart w:id="730" w:name="_Toc117582744"/>
      <w:bookmarkStart w:id="731" w:name="_Toc117584558"/>
      <w:bookmarkStart w:id="732" w:name="_Toc117585728"/>
      <w:bookmarkStart w:id="733" w:name="_Toc117608082"/>
      <w:r>
        <w:rPr>
          <w:rStyle w:val="CharDivNo"/>
        </w:rPr>
        <w:t>Division 3</w:t>
      </w:r>
      <w:r>
        <w:t> — </w:t>
      </w:r>
      <w:r>
        <w:rPr>
          <w:rStyle w:val="CharDivText"/>
        </w:rPr>
        <w:t>Pre</w:t>
      </w:r>
      <w:r>
        <w:rPr>
          <w:rStyle w:val="CharDivText"/>
        </w:rPr>
        <w:noBreakHyphen/>
        <w:t>hearing conferences</w:t>
      </w:r>
      <w:bookmarkEnd w:id="727"/>
      <w:bookmarkEnd w:id="728"/>
      <w:bookmarkEnd w:id="729"/>
      <w:bookmarkEnd w:id="730"/>
      <w:bookmarkEnd w:id="731"/>
      <w:bookmarkEnd w:id="732"/>
      <w:bookmarkEnd w:id="733"/>
    </w:p>
    <w:p>
      <w:pPr>
        <w:pStyle w:val="Heading5"/>
      </w:pPr>
      <w:bookmarkStart w:id="734" w:name="_Toc148361130"/>
      <w:bookmarkStart w:id="735" w:name="_Toc117608083"/>
      <w:r>
        <w:rPr>
          <w:rStyle w:val="CharSectno"/>
        </w:rPr>
        <w:t>136</w:t>
      </w:r>
      <w:r>
        <w:t>.</w:t>
      </w:r>
      <w:r>
        <w:tab/>
        <w:t>Court may order pre</w:t>
      </w:r>
      <w:r>
        <w:noBreakHyphen/>
        <w:t>hearing conference</w:t>
      </w:r>
      <w:bookmarkEnd w:id="734"/>
      <w:bookmarkEnd w:id="735"/>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No. 8 of 2009 s. 32(3).]</w:t>
      </w:r>
    </w:p>
    <w:p>
      <w:pPr>
        <w:pStyle w:val="Heading5"/>
        <w:keepLines w:val="0"/>
      </w:pPr>
      <w:bookmarkStart w:id="736" w:name="_Toc148361131"/>
      <w:bookmarkStart w:id="737" w:name="_Toc117608084"/>
      <w:r>
        <w:rPr>
          <w:rStyle w:val="CharSectno"/>
        </w:rPr>
        <w:t>137</w:t>
      </w:r>
      <w:r>
        <w:t>.</w:t>
      </w:r>
      <w:r>
        <w:tab/>
        <w:t>Confidentiality of pre</w:t>
      </w:r>
      <w:r>
        <w:noBreakHyphen/>
        <w:t>hearing conference</w:t>
      </w:r>
      <w:bookmarkEnd w:id="736"/>
      <w:bookmarkEnd w:id="737"/>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for this subsection: a fine of $12 000 and imprisonment of one year.</w:t>
      </w:r>
    </w:p>
    <w:p>
      <w:pPr>
        <w:pStyle w:val="Subsection"/>
        <w:keepNext/>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keepLines/>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No. 49 of 2010 s. 85; No. 18 of 2021 s. 76.]</w:t>
      </w:r>
    </w:p>
    <w:p>
      <w:pPr>
        <w:pStyle w:val="Heading3"/>
      </w:pPr>
      <w:bookmarkStart w:id="738" w:name="_Toc148348704"/>
      <w:bookmarkStart w:id="739" w:name="_Toc148358488"/>
      <w:bookmarkStart w:id="740" w:name="_Toc148361132"/>
      <w:bookmarkStart w:id="741" w:name="_Toc117582747"/>
      <w:bookmarkStart w:id="742" w:name="_Toc117584561"/>
      <w:bookmarkStart w:id="743" w:name="_Toc117585731"/>
      <w:bookmarkStart w:id="744" w:name="_Toc117608085"/>
      <w:r>
        <w:rPr>
          <w:rStyle w:val="CharDivNo"/>
        </w:rPr>
        <w:t>Division 4</w:t>
      </w:r>
      <w:r>
        <w:t> — </w:t>
      </w:r>
      <w:r>
        <w:rPr>
          <w:rStyle w:val="CharDivText"/>
        </w:rPr>
        <w:t>Reports about child</w:t>
      </w:r>
      <w:bookmarkEnd w:id="738"/>
      <w:bookmarkEnd w:id="739"/>
      <w:bookmarkEnd w:id="740"/>
      <w:bookmarkEnd w:id="741"/>
      <w:bookmarkEnd w:id="742"/>
      <w:bookmarkEnd w:id="743"/>
      <w:bookmarkEnd w:id="744"/>
    </w:p>
    <w:p>
      <w:pPr>
        <w:pStyle w:val="Heading5"/>
      </w:pPr>
      <w:bookmarkStart w:id="745" w:name="_Toc148361133"/>
      <w:bookmarkStart w:id="746" w:name="_Toc117608086"/>
      <w:r>
        <w:rPr>
          <w:rStyle w:val="CharSectno"/>
        </w:rPr>
        <w:t>138</w:t>
      </w:r>
      <w:r>
        <w:t>.</w:t>
      </w:r>
      <w:r>
        <w:tab/>
        <w:t>Term used: report</w:t>
      </w:r>
      <w:bookmarkEnd w:id="745"/>
      <w:bookmarkEnd w:id="746"/>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Lines w:val="0"/>
      </w:pPr>
      <w:bookmarkStart w:id="747" w:name="_Toc148361134"/>
      <w:bookmarkStart w:id="748" w:name="_Toc117608087"/>
      <w:r>
        <w:rPr>
          <w:rStyle w:val="CharSectno"/>
        </w:rPr>
        <w:t>139</w:t>
      </w:r>
      <w:r>
        <w:t>.</w:t>
      </w:r>
      <w:r>
        <w:tab/>
        <w:t>Court may require report</w:t>
      </w:r>
      <w:bookmarkEnd w:id="747"/>
      <w:bookmarkEnd w:id="748"/>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749" w:name="_Toc148361135"/>
      <w:bookmarkStart w:id="750" w:name="_Toc117608088"/>
      <w:r>
        <w:rPr>
          <w:rStyle w:val="CharSectno"/>
        </w:rPr>
        <w:t>140</w:t>
      </w:r>
      <w:r>
        <w:t>.</w:t>
      </w:r>
      <w:r>
        <w:tab/>
        <w:t>Access to written report</w:t>
      </w:r>
      <w:bookmarkEnd w:id="749"/>
      <w:bookmarkEnd w:id="750"/>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751" w:name="_Toc148361136"/>
      <w:bookmarkStart w:id="752" w:name="_Toc117608089"/>
      <w:r>
        <w:rPr>
          <w:rStyle w:val="CharSectno"/>
        </w:rPr>
        <w:t>141</w:t>
      </w:r>
      <w:r>
        <w:t>.</w:t>
      </w:r>
      <w:r>
        <w:tab/>
        <w:t>Confidentiality of report</w:t>
      </w:r>
      <w:bookmarkEnd w:id="751"/>
      <w:bookmarkEnd w:id="752"/>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for this subsection: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No. 49 of 2010 s. 85; No. 18 of 2021 s. 76.]</w:t>
      </w:r>
    </w:p>
    <w:p>
      <w:pPr>
        <w:pStyle w:val="Heading5"/>
      </w:pPr>
      <w:bookmarkStart w:id="753" w:name="_Toc148361137"/>
      <w:bookmarkStart w:id="754" w:name="_Toc117608090"/>
      <w:r>
        <w:rPr>
          <w:rStyle w:val="CharSectno"/>
        </w:rPr>
        <w:t>142</w:t>
      </w:r>
      <w:r>
        <w:t>.</w:t>
      </w:r>
      <w:r>
        <w:tab/>
        <w:t>Protection from liability for preparing or giving report</w:t>
      </w:r>
      <w:bookmarkEnd w:id="753"/>
      <w:bookmarkEnd w:id="754"/>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No. 26 of 2008 s. 7.]</w:t>
      </w:r>
    </w:p>
    <w:p>
      <w:pPr>
        <w:pStyle w:val="Heading3"/>
      </w:pPr>
      <w:bookmarkStart w:id="755" w:name="_Toc148348710"/>
      <w:bookmarkStart w:id="756" w:name="_Toc148358494"/>
      <w:bookmarkStart w:id="757" w:name="_Toc148361138"/>
      <w:bookmarkStart w:id="758" w:name="_Toc117582753"/>
      <w:bookmarkStart w:id="759" w:name="_Toc117584567"/>
      <w:bookmarkStart w:id="760" w:name="_Toc117585737"/>
      <w:bookmarkStart w:id="761" w:name="_Toc117608091"/>
      <w:r>
        <w:rPr>
          <w:rStyle w:val="CharDivNo"/>
        </w:rPr>
        <w:t>Division 5</w:t>
      </w:r>
      <w:r>
        <w:t> — </w:t>
      </w:r>
      <w:r>
        <w:rPr>
          <w:rStyle w:val="CharDivText"/>
        </w:rPr>
        <w:t>Proposals about arrangements for child</w:t>
      </w:r>
      <w:bookmarkEnd w:id="755"/>
      <w:bookmarkEnd w:id="756"/>
      <w:bookmarkEnd w:id="757"/>
      <w:bookmarkEnd w:id="758"/>
      <w:bookmarkEnd w:id="759"/>
      <w:bookmarkEnd w:id="760"/>
      <w:bookmarkEnd w:id="761"/>
    </w:p>
    <w:p>
      <w:pPr>
        <w:pStyle w:val="Heading5"/>
      </w:pPr>
      <w:bookmarkStart w:id="762" w:name="_Toc148361139"/>
      <w:bookmarkStart w:id="763" w:name="_Toc117608092"/>
      <w:r>
        <w:rPr>
          <w:rStyle w:val="CharSectno"/>
        </w:rPr>
        <w:t>143</w:t>
      </w:r>
      <w:r>
        <w:t>.</w:t>
      </w:r>
      <w:r>
        <w:tab/>
        <w:t>CEO to provide Court with proposal for child</w:t>
      </w:r>
      <w:bookmarkEnd w:id="762"/>
      <w:bookmarkEnd w:id="763"/>
    </w:p>
    <w:p>
      <w:pPr>
        <w:pStyle w:val="Ednotesubsection"/>
      </w:pPr>
      <w:r>
        <w:tab/>
        <w:t>[(1)</w:t>
      </w:r>
      <w:r>
        <w:tab/>
        <w:t>deleted]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 xml:space="preserve">an application under section 68 — </w:t>
      </w:r>
    </w:p>
    <w:p>
      <w:pPr>
        <w:pStyle w:val="Indenti"/>
      </w:pPr>
      <w:r>
        <w:tab/>
        <w:t>(i)</w:t>
      </w:r>
      <w:r>
        <w:tab/>
        <w:t>for the replacement of a protection order (supervision) by another protection order (supervision); or</w:t>
      </w:r>
    </w:p>
    <w:p>
      <w:pPr>
        <w:pStyle w:val="Indenti"/>
        <w:keepNext/>
      </w:pPr>
      <w:r>
        <w:tab/>
        <w:t>(ii)</w:t>
      </w:r>
      <w:r>
        <w:tab/>
        <w:t>for the replacement of a protection order (time</w:t>
      </w:r>
      <w:r>
        <w:noBreakHyphen/>
        <w:t>limited), protection order (until 18) or protection order (special guardianship)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If the CEO makes an application under section 68 for the replacement of a protection order (supervision) by a protection order (time</w:t>
      </w:r>
      <w:r>
        <w:noBreakHyphen/>
        <w:t>limited) or protection order (until 18), the CEO must provide the Court with a proposal for the child as soon as practicable after the application is made.</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No. 49 of 2010 s. 35; No. 18 of 2021 s. 61.]</w:t>
      </w:r>
    </w:p>
    <w:p>
      <w:pPr>
        <w:pStyle w:val="Heading5"/>
      </w:pPr>
      <w:bookmarkStart w:id="764" w:name="_Toc148361140"/>
      <w:bookmarkStart w:id="765" w:name="_Toc117608093"/>
      <w:r>
        <w:rPr>
          <w:rStyle w:val="CharSectno"/>
        </w:rPr>
        <w:t>143A</w:t>
      </w:r>
      <w:r>
        <w:t>.</w:t>
      </w:r>
      <w:r>
        <w:tab/>
        <w:t>Content of proposal</w:t>
      </w:r>
      <w:bookmarkEnd w:id="764"/>
      <w:bookmarkEnd w:id="765"/>
    </w:p>
    <w:p>
      <w:pPr>
        <w:pStyle w:val="Subsection"/>
      </w:pPr>
      <w:r>
        <w:tab/>
        <w:t>(1)</w:t>
      </w:r>
      <w:r>
        <w:tab/>
        <w:t>A proposal under section 143 for a protection order (supervision) must outline proposed arrangements for the supervision of the wellbeing of the child.</w:t>
      </w:r>
    </w:p>
    <w:p>
      <w:pPr>
        <w:pStyle w:val="Subsection"/>
        <w:keepNext/>
      </w:pPr>
      <w:r>
        <w:tab/>
        <w:t>(2)</w:t>
      </w:r>
      <w:r>
        <w:tab/>
        <w:t>A proposal under section 143 for a protection order (time</w:t>
      </w:r>
      <w:r>
        <w:noBreakHyphen/>
        <w:t>limited) or protection order (until 18) must outline proposed arrangements for safeguarding and promoting the wellbeing of the child, including —</w:t>
      </w:r>
    </w:p>
    <w:p>
      <w:pPr>
        <w:pStyle w:val="Indenta"/>
      </w:pPr>
      <w:r>
        <w:tab/>
        <w:t>(a)</w:t>
      </w:r>
      <w:r>
        <w:tab/>
        <w:t>proposed arrangements for promoting, where appropriate, the relationship between the child and the child’s family or other people who are significant in the child’s life; and</w:t>
      </w:r>
    </w:p>
    <w:p>
      <w:pPr>
        <w:pStyle w:val="Indenta"/>
      </w:pPr>
      <w:r>
        <w:tab/>
        <w:t>(b)</w:t>
      </w:r>
      <w:r>
        <w:tab/>
        <w:t>for an Aboriginal child, Torres Strait Islander child or child of a culturally or linguistically diverse background —</w:t>
      </w:r>
    </w:p>
    <w:p>
      <w:pPr>
        <w:pStyle w:val="Indenti"/>
      </w:pPr>
      <w:r>
        <w:tab/>
        <w:t>(i)</w:t>
      </w:r>
      <w:r>
        <w:tab/>
        <w:t>proposed arrangements for placement of the child in accordance with the principle set out in section 12 or guidelines established under section 80 (as the case requires) and the principle set out in section 9(gb); and</w:t>
      </w:r>
    </w:p>
    <w:p>
      <w:pPr>
        <w:pStyle w:val="Indenti"/>
      </w:pPr>
      <w:r>
        <w:tab/>
        <w:t>(ii)</w:t>
      </w:r>
      <w:r>
        <w:tab/>
        <w:t>a cultural support plan for the child.</w:t>
      </w:r>
    </w:p>
    <w:p>
      <w:pPr>
        <w:pStyle w:val="Subsection"/>
      </w:pPr>
      <w:r>
        <w:tab/>
        <w:t>(3)</w:t>
      </w:r>
      <w:r>
        <w:tab/>
        <w:t>A proposal under section 143 for a protection order (time</w:t>
      </w:r>
      <w:r>
        <w:noBreakHyphen/>
        <w:t>limited) or protection order (until 18) for an Aboriginal child or Torres Strait Islander child must outline the consultation that has occurred or is proposed to occur as required under section 81.</w:t>
      </w:r>
    </w:p>
    <w:p>
      <w:pPr>
        <w:pStyle w:val="Subsection"/>
      </w:pPr>
      <w:r>
        <w:tab/>
        <w:t>(4)</w:t>
      </w:r>
      <w:r>
        <w:tab/>
        <w:t>A proposal under section 143 for a protection order (time</w:t>
      </w:r>
      <w:r>
        <w:noBreakHyphen/>
        <w:t>limited) must —</w:t>
      </w:r>
    </w:p>
    <w:p>
      <w:pPr>
        <w:pStyle w:val="Indenta"/>
      </w:pPr>
      <w:r>
        <w:tab/>
        <w:t>(a)</w:t>
      </w:r>
      <w:r>
        <w:tab/>
        <w:t>outline proposed arrangements for working towards the child being returned to or placed with the child’s parents; or</w:t>
      </w:r>
    </w:p>
    <w:p>
      <w:pPr>
        <w:pStyle w:val="Indenta"/>
      </w:pPr>
      <w:r>
        <w:tab/>
        <w:t>(b)</w:t>
      </w:r>
      <w:r>
        <w:tab/>
        <w:t>if the CEO is of the opinion that such arrangements</w:t>
      </w:r>
      <w:r>
        <w:rPr>
          <w:sz w:val="20"/>
        </w:rPr>
        <w:t xml:space="preserve"> </w:t>
      </w:r>
      <w:r>
        <w:t>would be contrary to the best interests of the child or not practicable — contain an explanation of the reasons for the opinion.</w:t>
      </w:r>
    </w:p>
    <w:p>
      <w:pPr>
        <w:pStyle w:val="Subsection"/>
        <w:keepNext/>
      </w:pPr>
      <w:r>
        <w:tab/>
        <w:t>(5)</w:t>
      </w:r>
      <w:r>
        <w:tab/>
        <w:t>A proposal under section 143 for the extension of a protection order (time</w:t>
      </w:r>
      <w:r>
        <w:noBreakHyphen/>
        <w:t>limited) must include plans for securing long</w:t>
      </w:r>
      <w:r>
        <w:noBreakHyphen/>
        <w:t>term stability, security and safety in the child’s relationships and living arrangements.</w:t>
      </w:r>
    </w:p>
    <w:p>
      <w:pPr>
        <w:pStyle w:val="Footnotesection"/>
      </w:pPr>
      <w:r>
        <w:tab/>
        <w:t>[Section 143A inserted: No. 18 of 2021 s. 62.]</w:t>
      </w:r>
    </w:p>
    <w:p>
      <w:pPr>
        <w:pStyle w:val="Heading5"/>
      </w:pPr>
      <w:bookmarkStart w:id="766" w:name="_Toc148361141"/>
      <w:bookmarkStart w:id="767" w:name="_Toc117608094"/>
      <w:r>
        <w:rPr>
          <w:rStyle w:val="CharSectno"/>
        </w:rPr>
        <w:t>144</w:t>
      </w:r>
      <w:r>
        <w:t>.</w:t>
      </w:r>
      <w:r>
        <w:tab/>
        <w:t>Court to consider proposal</w:t>
      </w:r>
      <w:bookmarkEnd w:id="766"/>
      <w:bookmarkEnd w:id="767"/>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143A(5), the Court must have regard to the likelihood of those plans being achieved.</w:t>
      </w:r>
    </w:p>
    <w:p>
      <w:pPr>
        <w:pStyle w:val="Footnotesection"/>
      </w:pPr>
      <w:r>
        <w:tab/>
        <w:t>[Section 144 amended: No. 18 of 2021 s. 63.]</w:t>
      </w:r>
    </w:p>
    <w:p>
      <w:pPr>
        <w:pStyle w:val="Heading3"/>
      </w:pPr>
      <w:bookmarkStart w:id="768" w:name="_Toc148348714"/>
      <w:bookmarkStart w:id="769" w:name="_Toc148358498"/>
      <w:bookmarkStart w:id="770" w:name="_Toc148361142"/>
      <w:bookmarkStart w:id="771" w:name="_Toc117582757"/>
      <w:bookmarkStart w:id="772" w:name="_Toc117584571"/>
      <w:bookmarkStart w:id="773" w:name="_Toc117585741"/>
      <w:bookmarkStart w:id="774" w:name="_Toc117608095"/>
      <w:r>
        <w:rPr>
          <w:rStyle w:val="CharDivNo"/>
        </w:rPr>
        <w:t>Division 6</w:t>
      </w:r>
      <w:r>
        <w:t> — </w:t>
      </w:r>
      <w:r>
        <w:rPr>
          <w:rStyle w:val="CharDivText"/>
        </w:rPr>
        <w:t>Procedural matters</w:t>
      </w:r>
      <w:bookmarkEnd w:id="768"/>
      <w:bookmarkEnd w:id="769"/>
      <w:bookmarkEnd w:id="770"/>
      <w:bookmarkEnd w:id="771"/>
      <w:bookmarkEnd w:id="772"/>
      <w:bookmarkEnd w:id="773"/>
      <w:bookmarkEnd w:id="774"/>
    </w:p>
    <w:p>
      <w:pPr>
        <w:pStyle w:val="Heading5"/>
      </w:pPr>
      <w:bookmarkStart w:id="775" w:name="_Toc148361143"/>
      <w:bookmarkStart w:id="776" w:name="_Toc117608096"/>
      <w:r>
        <w:rPr>
          <w:rStyle w:val="CharSectno"/>
        </w:rPr>
        <w:t>145</w:t>
      </w:r>
      <w:r>
        <w:t>.</w:t>
      </w:r>
      <w:r>
        <w:tab/>
        <w:t>Conduct of protection proceedings generally</w:t>
      </w:r>
      <w:bookmarkEnd w:id="775"/>
      <w:bookmarkEnd w:id="776"/>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so as to minimise the risk of detrimental effects arising from delay in decision</w:t>
      </w:r>
      <w:r>
        <w:noBreakHyphen/>
        <w:t>making.</w:t>
      </w:r>
    </w:p>
    <w:p>
      <w:pPr>
        <w:pStyle w:val="Subsection"/>
      </w:pPr>
      <w:r>
        <w:tab/>
        <w:t>(3A)</w:t>
      </w:r>
      <w:r>
        <w:tab/>
        <w:t>Subsection (3) does not prevent an adjournment of proceedings to allow for a trial period for particular arrangements or for other appropriate reasons.</w:t>
      </w:r>
    </w:p>
    <w:p>
      <w:pPr>
        <w:pStyle w:val="Subsection"/>
        <w:keepNext/>
      </w:pPr>
      <w:r>
        <w:tab/>
        <w:t>(4)</w:t>
      </w:r>
      <w:r>
        <w:tab/>
        <w:t>Protection proceedings are to be conducted, as far as possible, in a way that promotes cooperation and consensus.</w:t>
      </w:r>
    </w:p>
    <w:p>
      <w:pPr>
        <w:pStyle w:val="Footnotesection"/>
      </w:pPr>
      <w:r>
        <w:tab/>
        <w:t>[Section 145 amended: No. 23 of 2015 s. 49; No. 18 of 2021 s. 64.]</w:t>
      </w:r>
    </w:p>
    <w:p>
      <w:pPr>
        <w:pStyle w:val="Heading5"/>
      </w:pPr>
      <w:bookmarkStart w:id="777" w:name="_Toc148361144"/>
      <w:bookmarkStart w:id="778" w:name="_Toc117608097"/>
      <w:r>
        <w:rPr>
          <w:rStyle w:val="CharSectno"/>
        </w:rPr>
        <w:t>146</w:t>
      </w:r>
      <w:r>
        <w:t>.</w:t>
      </w:r>
      <w:r>
        <w:tab/>
        <w:t>Court not bound by rules of evidence</w:t>
      </w:r>
      <w:bookmarkEnd w:id="777"/>
      <w:bookmarkEnd w:id="778"/>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779" w:name="_Toc148361145"/>
      <w:bookmarkStart w:id="780" w:name="_Toc117608098"/>
      <w:r>
        <w:rPr>
          <w:rStyle w:val="CharSectno"/>
        </w:rPr>
        <w:t>147</w:t>
      </w:r>
      <w:r>
        <w:t>.</w:t>
      </w:r>
      <w:r>
        <w:tab/>
        <w:t>Parties to protection proceedings</w:t>
      </w:r>
      <w:bookmarkEnd w:id="779"/>
      <w:bookmarkEnd w:id="780"/>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if the proceedings relate to a protection order (special guardianship) — the special guardian or proposed special guardian;</w:t>
      </w:r>
    </w:p>
    <w:p>
      <w:pPr>
        <w:pStyle w:val="Indenta"/>
        <w:keepNext/>
      </w:pPr>
      <w:r>
        <w:tab/>
        <w:t>(e)</w:t>
      </w:r>
      <w:r>
        <w:tab/>
        <w:t>any other person considered by the Court to have a direct and significant interest in the wellbeing of the child.</w:t>
      </w:r>
    </w:p>
    <w:p>
      <w:pPr>
        <w:pStyle w:val="Footnotesection"/>
      </w:pPr>
      <w:r>
        <w:tab/>
        <w:t>[Section 147 amended: No. 49 of 2010 s. 35; No. 18 of 2021 s. 65.]</w:t>
      </w:r>
    </w:p>
    <w:p>
      <w:pPr>
        <w:pStyle w:val="Heading5"/>
      </w:pPr>
      <w:bookmarkStart w:id="781" w:name="_Toc148361146"/>
      <w:bookmarkStart w:id="782" w:name="_Toc117608099"/>
      <w:r>
        <w:rPr>
          <w:rStyle w:val="CharSectno"/>
        </w:rPr>
        <w:t>148</w:t>
      </w:r>
      <w:r>
        <w:t>.</w:t>
      </w:r>
      <w:r>
        <w:tab/>
        <w:t>Legal representation of child</w:t>
      </w:r>
      <w:bookmarkEnd w:id="781"/>
      <w:bookmarkEnd w:id="782"/>
    </w:p>
    <w:p>
      <w:pPr>
        <w:pStyle w:val="Ednotesubsection"/>
        <w:keepNext/>
      </w:pPr>
      <w:r>
        <w:tab/>
        <w:t>[(1)</w:t>
      </w:r>
      <w:r>
        <w:tab/>
        <w:t>deleted]</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keepNext/>
      </w:pPr>
      <w:r>
        <w:tab/>
        <w:t>(5)</w:t>
      </w:r>
      <w:r>
        <w:tab/>
        <w:t>Any question as to whether a child has sufficient maturity and understanding to give instructions is to be determined by the Court.</w:t>
      </w:r>
    </w:p>
    <w:p>
      <w:pPr>
        <w:pStyle w:val="Footnotesection"/>
      </w:pPr>
      <w:r>
        <w:tab/>
        <w:t>[Section 148 amended: No. 21 of 2008 s. 642; No. 9 of 2022 s. 334.]</w:t>
      </w:r>
    </w:p>
    <w:p>
      <w:pPr>
        <w:pStyle w:val="Heading5"/>
      </w:pPr>
      <w:bookmarkStart w:id="783" w:name="_Toc148361147"/>
      <w:bookmarkStart w:id="784" w:name="_Toc117608100"/>
      <w:r>
        <w:rPr>
          <w:rStyle w:val="CharSectno"/>
        </w:rPr>
        <w:t>149</w:t>
      </w:r>
      <w:r>
        <w:t>.</w:t>
      </w:r>
      <w:r>
        <w:tab/>
        <w:t>Presence of child in court</w:t>
      </w:r>
      <w:bookmarkEnd w:id="783"/>
      <w:bookmarkEnd w:id="784"/>
    </w:p>
    <w:p>
      <w:pPr>
        <w:pStyle w:val="Subsection"/>
      </w:pPr>
      <w:r>
        <w:tab/>
        <w:t>(1)</w:t>
      </w:r>
      <w:r>
        <w:tab/>
        <w:t>In protection proceedings the child may be present in court if the child so wishes.</w:t>
      </w:r>
    </w:p>
    <w:p>
      <w:pPr>
        <w:pStyle w:val="Subsection"/>
        <w:keepNext/>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785" w:name="_Toc148361148"/>
      <w:bookmarkStart w:id="786" w:name="_Toc117608101"/>
      <w:r>
        <w:rPr>
          <w:rStyle w:val="CharSectno"/>
        </w:rPr>
        <w:t>150</w:t>
      </w:r>
      <w:r>
        <w:t>.</w:t>
      </w:r>
      <w:r>
        <w:tab/>
        <w:t>Evidence of child</w:t>
      </w:r>
      <w:bookmarkEnd w:id="785"/>
      <w:bookmarkEnd w:id="786"/>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787" w:name="_Toc148361149"/>
      <w:bookmarkStart w:id="788" w:name="_Toc117608102"/>
      <w:r>
        <w:rPr>
          <w:rStyle w:val="CharSectno"/>
        </w:rPr>
        <w:t>151</w:t>
      </w:r>
      <w:r>
        <w:t>.</w:t>
      </w:r>
      <w:r>
        <w:tab/>
        <w:t>Standard of proof</w:t>
      </w:r>
      <w:bookmarkEnd w:id="787"/>
      <w:bookmarkEnd w:id="788"/>
    </w:p>
    <w:p>
      <w:pPr>
        <w:pStyle w:val="Subsection"/>
        <w:spacing w:before="120"/>
      </w:pPr>
      <w:r>
        <w:tab/>
      </w:r>
      <w:r>
        <w:tab/>
        <w:t>The standard of proof in protection proceedings is proof on the balance of probabilities.</w:t>
      </w:r>
    </w:p>
    <w:p>
      <w:pPr>
        <w:pStyle w:val="Heading5"/>
        <w:spacing w:before="180"/>
      </w:pPr>
      <w:bookmarkStart w:id="789" w:name="_Toc148361150"/>
      <w:bookmarkStart w:id="790" w:name="_Toc117608103"/>
      <w:r>
        <w:rPr>
          <w:rStyle w:val="CharSectno"/>
        </w:rPr>
        <w:t>152</w:t>
      </w:r>
      <w:r>
        <w:t>.</w:t>
      </w:r>
      <w:r>
        <w:tab/>
        <w:t>Intervention by Attorney General</w:t>
      </w:r>
      <w:bookmarkEnd w:id="789"/>
      <w:bookmarkEnd w:id="790"/>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791" w:name="_Toc148361151"/>
      <w:bookmarkStart w:id="792" w:name="_Toc117608104"/>
      <w:r>
        <w:rPr>
          <w:rStyle w:val="CharSectno"/>
        </w:rPr>
        <w:t>153</w:t>
      </w:r>
      <w:r>
        <w:t>.</w:t>
      </w:r>
      <w:r>
        <w:tab/>
        <w:t>Court to facilitate party’s participation in proceedings</w:t>
      </w:r>
      <w:bookmarkEnd w:id="791"/>
      <w:bookmarkEnd w:id="792"/>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is a person who has difficulty understanding or communicating in English; or</w:t>
      </w:r>
    </w:p>
    <w:p>
      <w:pPr>
        <w:pStyle w:val="Indenta"/>
      </w:pPr>
      <w:r>
        <w:tab/>
        <w:t>(b)</w:t>
      </w:r>
      <w:r>
        <w:tab/>
        <w:t>is a person whose disability prevents or restricts the party’s understanding of, or participation in, protection proceedings,</w:t>
      </w:r>
    </w:p>
    <w:p>
      <w:pPr>
        <w:pStyle w:val="Subsection"/>
      </w:pPr>
      <w:r>
        <w:tab/>
      </w:r>
      <w:r>
        <w:tab/>
        <w:t>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keepNext/>
      </w:pPr>
      <w:r>
        <w:tab/>
        <w:t>(3)</w:t>
      </w:r>
      <w:r>
        <w:tab/>
        <w:t xml:space="preserve">Nothing in this section is to be taken to affect the operation of the </w:t>
      </w:r>
      <w:r>
        <w:rPr>
          <w:i/>
        </w:rPr>
        <w:t>Children’s Court of Western Australia Act 1988</w:t>
      </w:r>
      <w:r>
        <w:t xml:space="preserve"> section 34(1).</w:t>
      </w:r>
    </w:p>
    <w:p>
      <w:pPr>
        <w:pStyle w:val="Footnotesection"/>
      </w:pPr>
      <w:r>
        <w:tab/>
        <w:t>[Section 153 amended: No. 18 of 2021 s. 66.]</w:t>
      </w:r>
    </w:p>
    <w:p>
      <w:pPr>
        <w:pStyle w:val="Heading5"/>
      </w:pPr>
      <w:bookmarkStart w:id="793" w:name="_Toc148361152"/>
      <w:bookmarkStart w:id="794" w:name="_Toc117608105"/>
      <w:r>
        <w:rPr>
          <w:rStyle w:val="CharSectno"/>
        </w:rPr>
        <w:t>154</w:t>
      </w:r>
      <w:r>
        <w:t>.</w:t>
      </w:r>
      <w:r>
        <w:tab/>
        <w:t>Court may dispense with requirement for service</w:t>
      </w:r>
      <w:bookmarkEnd w:id="793"/>
      <w:bookmarkEnd w:id="794"/>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795" w:name="_Toc148361153"/>
      <w:bookmarkStart w:id="796" w:name="_Toc117608106"/>
      <w:r>
        <w:rPr>
          <w:rStyle w:val="CharSectno"/>
        </w:rPr>
        <w:t>155</w:t>
      </w:r>
      <w:r>
        <w:t>.</w:t>
      </w:r>
      <w:r>
        <w:tab/>
        <w:t>Frivolous or vexatious proceedings</w:t>
      </w:r>
      <w:bookmarkEnd w:id="795"/>
      <w:bookmarkEnd w:id="796"/>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797" w:name="_Toc148348726"/>
      <w:bookmarkStart w:id="798" w:name="_Toc148358510"/>
      <w:bookmarkStart w:id="799" w:name="_Toc148361154"/>
      <w:bookmarkStart w:id="800" w:name="_Toc117582769"/>
      <w:bookmarkStart w:id="801" w:name="_Toc117584583"/>
      <w:bookmarkStart w:id="802" w:name="_Toc117585753"/>
      <w:bookmarkStart w:id="803" w:name="_Toc117608107"/>
      <w:r>
        <w:rPr>
          <w:rStyle w:val="CharPartNo"/>
        </w:rPr>
        <w:t>Part 6</w:t>
      </w:r>
      <w:r>
        <w:t xml:space="preserve"> — </w:t>
      </w:r>
      <w:r>
        <w:rPr>
          <w:rStyle w:val="CharPartText"/>
        </w:rPr>
        <w:t>Transfer of child protection orders and proceedings</w:t>
      </w:r>
      <w:bookmarkEnd w:id="797"/>
      <w:bookmarkEnd w:id="798"/>
      <w:bookmarkEnd w:id="799"/>
      <w:bookmarkEnd w:id="800"/>
      <w:bookmarkEnd w:id="801"/>
      <w:bookmarkEnd w:id="802"/>
      <w:bookmarkEnd w:id="803"/>
    </w:p>
    <w:p>
      <w:pPr>
        <w:pStyle w:val="Heading3"/>
      </w:pPr>
      <w:bookmarkStart w:id="804" w:name="_Toc148348727"/>
      <w:bookmarkStart w:id="805" w:name="_Toc148358511"/>
      <w:bookmarkStart w:id="806" w:name="_Toc148361155"/>
      <w:bookmarkStart w:id="807" w:name="_Toc117582770"/>
      <w:bookmarkStart w:id="808" w:name="_Toc117584584"/>
      <w:bookmarkStart w:id="809" w:name="_Toc117585754"/>
      <w:bookmarkStart w:id="810" w:name="_Toc117608108"/>
      <w:r>
        <w:rPr>
          <w:rStyle w:val="CharDivNo"/>
        </w:rPr>
        <w:t>Division 1</w:t>
      </w:r>
      <w:r>
        <w:t xml:space="preserve"> — </w:t>
      </w:r>
      <w:r>
        <w:rPr>
          <w:rStyle w:val="CharDivText"/>
        </w:rPr>
        <w:t>Introductory matters</w:t>
      </w:r>
      <w:bookmarkEnd w:id="804"/>
      <w:bookmarkEnd w:id="805"/>
      <w:bookmarkEnd w:id="806"/>
      <w:bookmarkEnd w:id="807"/>
      <w:bookmarkEnd w:id="808"/>
      <w:bookmarkEnd w:id="809"/>
      <w:bookmarkEnd w:id="810"/>
    </w:p>
    <w:p>
      <w:pPr>
        <w:pStyle w:val="Heading5"/>
      </w:pPr>
      <w:bookmarkStart w:id="811" w:name="_Toc148361156"/>
      <w:bookmarkStart w:id="812" w:name="_Toc117608109"/>
      <w:r>
        <w:rPr>
          <w:rStyle w:val="CharSectno"/>
        </w:rPr>
        <w:t>156</w:t>
      </w:r>
      <w:r>
        <w:t>.</w:t>
      </w:r>
      <w:r>
        <w:tab/>
        <w:t>Purpose of Part</w:t>
      </w:r>
      <w:bookmarkEnd w:id="811"/>
      <w:bookmarkEnd w:id="812"/>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813" w:name="_Toc148361157"/>
      <w:bookmarkStart w:id="814" w:name="_Toc117608110"/>
      <w:r>
        <w:rPr>
          <w:rStyle w:val="CharSectno"/>
        </w:rPr>
        <w:t>157</w:t>
      </w:r>
      <w:r>
        <w:t>.</w:t>
      </w:r>
      <w:r>
        <w:tab/>
        <w:t>Terms used</w:t>
      </w:r>
      <w:bookmarkEnd w:id="813"/>
      <w:bookmarkEnd w:id="814"/>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spacing w:before="60"/>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spacing w:before="60"/>
      </w:pPr>
      <w:r>
        <w:tab/>
        <w:t>(b)</w:t>
      </w:r>
      <w:r>
        <w:tab/>
        <w:t>the making of a child protection order or an interim order or for the variation or revocation, or the extension of the period, of such an order;</w:t>
      </w:r>
    </w:p>
    <w:p>
      <w:pPr>
        <w:pStyle w:val="Defstart"/>
        <w:spacing w:before="60"/>
      </w:pPr>
      <w:r>
        <w:tab/>
      </w:r>
      <w:r>
        <w:rPr>
          <w:rStyle w:val="CharDefText"/>
        </w:rPr>
        <w:t>child welfare law</w:t>
      </w:r>
      <w:r>
        <w:t xml:space="preserve"> means —</w:t>
      </w:r>
    </w:p>
    <w:p>
      <w:pPr>
        <w:pStyle w:val="Defpara"/>
        <w:spacing w:before="60"/>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pPr>
      <w:r>
        <w:tab/>
        <w:t>(a)</w:t>
      </w:r>
      <w:r>
        <w:tab/>
        <w:t>in relation to this State, the Court; and</w:t>
      </w:r>
    </w:p>
    <w:p>
      <w:pPr>
        <w:pStyle w:val="Defpara"/>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pPr>
      <w:r>
        <w:tab/>
        <w:t>(a)</w:t>
      </w:r>
      <w:r>
        <w:tab/>
        <w:t>a protection order; or</w:t>
      </w:r>
    </w:p>
    <w:p>
      <w:pPr>
        <w:pStyle w:val="Defpara"/>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keepNex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Footnotesection"/>
      </w:pPr>
      <w:r>
        <w:tab/>
        <w:t>[Section 157 amended: No. 18 of 2021 s. 67.]</w:t>
      </w:r>
    </w:p>
    <w:p>
      <w:pPr>
        <w:pStyle w:val="Heading3"/>
      </w:pPr>
      <w:bookmarkStart w:id="815" w:name="_Toc148348730"/>
      <w:bookmarkStart w:id="816" w:name="_Toc148358514"/>
      <w:bookmarkStart w:id="817" w:name="_Toc148361158"/>
      <w:bookmarkStart w:id="818" w:name="_Toc117582773"/>
      <w:bookmarkStart w:id="819" w:name="_Toc117584587"/>
      <w:bookmarkStart w:id="820" w:name="_Toc117585757"/>
      <w:bookmarkStart w:id="821" w:name="_Toc117608111"/>
      <w:r>
        <w:rPr>
          <w:rStyle w:val="CharDivNo"/>
        </w:rPr>
        <w:t>Division 2</w:t>
      </w:r>
      <w:r>
        <w:t xml:space="preserve"> — </w:t>
      </w:r>
      <w:r>
        <w:rPr>
          <w:rStyle w:val="CharDivText"/>
        </w:rPr>
        <w:t>Transfer of child protection orders</w:t>
      </w:r>
      <w:bookmarkEnd w:id="815"/>
      <w:bookmarkEnd w:id="816"/>
      <w:bookmarkEnd w:id="817"/>
      <w:bookmarkEnd w:id="818"/>
      <w:bookmarkEnd w:id="819"/>
      <w:bookmarkEnd w:id="820"/>
      <w:bookmarkEnd w:id="821"/>
    </w:p>
    <w:p>
      <w:pPr>
        <w:pStyle w:val="Heading4"/>
      </w:pPr>
      <w:bookmarkStart w:id="822" w:name="_Toc148348731"/>
      <w:bookmarkStart w:id="823" w:name="_Toc148358515"/>
      <w:bookmarkStart w:id="824" w:name="_Toc148361159"/>
      <w:bookmarkStart w:id="825" w:name="_Toc117582774"/>
      <w:bookmarkStart w:id="826" w:name="_Toc117584588"/>
      <w:bookmarkStart w:id="827" w:name="_Toc117585758"/>
      <w:bookmarkStart w:id="828" w:name="_Toc117608112"/>
      <w:r>
        <w:t>Subdivision 1 — Administrative transfers</w:t>
      </w:r>
      <w:bookmarkEnd w:id="822"/>
      <w:bookmarkEnd w:id="823"/>
      <w:bookmarkEnd w:id="824"/>
      <w:bookmarkEnd w:id="825"/>
      <w:bookmarkEnd w:id="826"/>
      <w:bookmarkEnd w:id="827"/>
      <w:bookmarkEnd w:id="828"/>
    </w:p>
    <w:p>
      <w:pPr>
        <w:pStyle w:val="Heading5"/>
      </w:pPr>
      <w:bookmarkStart w:id="829" w:name="_Toc148361160"/>
      <w:bookmarkStart w:id="830" w:name="_Toc117608113"/>
      <w:r>
        <w:rPr>
          <w:rStyle w:val="CharSectno"/>
        </w:rPr>
        <w:t>158</w:t>
      </w:r>
      <w:r>
        <w:t>.</w:t>
      </w:r>
      <w:r>
        <w:tab/>
        <w:t>When CEO may transfer home order</w:t>
      </w:r>
      <w:bookmarkEnd w:id="829"/>
      <w:bookmarkEnd w:id="830"/>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831" w:name="_Toc148361161"/>
      <w:bookmarkStart w:id="832" w:name="_Toc117608114"/>
      <w:r>
        <w:rPr>
          <w:rStyle w:val="CharSectno"/>
        </w:rPr>
        <w:t>159</w:t>
      </w:r>
      <w:r>
        <w:t>.</w:t>
      </w:r>
      <w:r>
        <w:tab/>
        <w:t>Persons whose consent is required under s. 158(1)(d)</w:t>
      </w:r>
      <w:bookmarkEnd w:id="831"/>
      <w:bookmarkEnd w:id="832"/>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833" w:name="_Toc148361162"/>
      <w:bookmarkStart w:id="834" w:name="_Toc117608115"/>
      <w:r>
        <w:rPr>
          <w:rStyle w:val="CharSectno"/>
        </w:rPr>
        <w:t>160</w:t>
      </w:r>
      <w:r>
        <w:t>.</w:t>
      </w:r>
      <w:r>
        <w:tab/>
        <w:t>CEO to have regard to certain matters</w:t>
      </w:r>
      <w:bookmarkEnd w:id="833"/>
      <w:bookmarkEnd w:id="834"/>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835" w:name="_Toc148361163"/>
      <w:bookmarkStart w:id="836" w:name="_Toc117608116"/>
      <w:r>
        <w:rPr>
          <w:rStyle w:val="CharSectno"/>
        </w:rPr>
        <w:t>161</w:t>
      </w:r>
      <w:r>
        <w:t>.</w:t>
      </w:r>
      <w:r>
        <w:tab/>
        <w:t>Notification of decision to transfer</w:t>
      </w:r>
      <w:bookmarkEnd w:id="835"/>
      <w:bookmarkEnd w:id="836"/>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837" w:name="_Toc148361164"/>
      <w:bookmarkStart w:id="838" w:name="_Toc117608117"/>
      <w:r>
        <w:rPr>
          <w:rStyle w:val="CharSectno"/>
        </w:rPr>
        <w:t>162</w:t>
      </w:r>
      <w:r>
        <w:t>.</w:t>
      </w:r>
      <w:r>
        <w:tab/>
        <w:t>Judicial review of CEO’s decision</w:t>
      </w:r>
      <w:bookmarkEnd w:id="837"/>
      <w:bookmarkEnd w:id="838"/>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839" w:name="_Toc148361165"/>
      <w:bookmarkStart w:id="840" w:name="_Toc117608118"/>
      <w:r>
        <w:rPr>
          <w:rStyle w:val="CharSectno"/>
        </w:rPr>
        <w:t>163</w:t>
      </w:r>
      <w:r>
        <w:t>.</w:t>
      </w:r>
      <w:r>
        <w:tab/>
        <w:t>Review by State Administrative Tribunal</w:t>
      </w:r>
      <w:bookmarkEnd w:id="839"/>
      <w:bookmarkEnd w:id="840"/>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841" w:name="_Toc148348738"/>
      <w:bookmarkStart w:id="842" w:name="_Toc148358522"/>
      <w:bookmarkStart w:id="843" w:name="_Toc148361166"/>
      <w:bookmarkStart w:id="844" w:name="_Toc117582781"/>
      <w:bookmarkStart w:id="845" w:name="_Toc117584595"/>
      <w:bookmarkStart w:id="846" w:name="_Toc117585765"/>
      <w:bookmarkStart w:id="847" w:name="_Toc117608119"/>
      <w:r>
        <w:t>Subdivision 2 — Judicial transfers</w:t>
      </w:r>
      <w:bookmarkEnd w:id="841"/>
      <w:bookmarkEnd w:id="842"/>
      <w:bookmarkEnd w:id="843"/>
      <w:bookmarkEnd w:id="844"/>
      <w:bookmarkEnd w:id="845"/>
      <w:bookmarkEnd w:id="846"/>
      <w:bookmarkEnd w:id="847"/>
    </w:p>
    <w:p>
      <w:pPr>
        <w:pStyle w:val="Heading5"/>
        <w:spacing w:before="180"/>
      </w:pPr>
      <w:bookmarkStart w:id="848" w:name="_Toc148361167"/>
      <w:bookmarkStart w:id="849" w:name="_Toc117608120"/>
      <w:r>
        <w:rPr>
          <w:rStyle w:val="CharSectno"/>
        </w:rPr>
        <w:t>164</w:t>
      </w:r>
      <w:r>
        <w:t>.</w:t>
      </w:r>
      <w:r>
        <w:tab/>
        <w:t>When Court may transfer home order</w:t>
      </w:r>
      <w:bookmarkEnd w:id="848"/>
      <w:bookmarkEnd w:id="849"/>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spacing w:before="180"/>
      </w:pPr>
      <w:bookmarkStart w:id="850" w:name="_Toc148361168"/>
      <w:bookmarkStart w:id="851" w:name="_Toc117608121"/>
      <w:r>
        <w:rPr>
          <w:rStyle w:val="CharSectno"/>
        </w:rPr>
        <w:t>165</w:t>
      </w:r>
      <w:r>
        <w:t>.</w:t>
      </w:r>
      <w:r>
        <w:tab/>
        <w:t>Service of application under s. 164</w:t>
      </w:r>
      <w:bookmarkEnd w:id="850"/>
      <w:bookmarkEnd w:id="851"/>
    </w:p>
    <w:p>
      <w:pPr>
        <w:pStyle w:val="Subsection"/>
        <w:spacing w:before="120"/>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spacing w:before="180"/>
      </w:pPr>
      <w:bookmarkStart w:id="852" w:name="_Toc148361169"/>
      <w:bookmarkStart w:id="853" w:name="_Toc117608122"/>
      <w:r>
        <w:rPr>
          <w:rStyle w:val="CharSectno"/>
        </w:rPr>
        <w:t>166</w:t>
      </w:r>
      <w:r>
        <w:t>.</w:t>
      </w:r>
      <w:r>
        <w:tab/>
        <w:t>Court to have regard to certain matters</w:t>
      </w:r>
      <w:bookmarkEnd w:id="852"/>
      <w:bookmarkEnd w:id="853"/>
    </w:p>
    <w:p>
      <w:pPr>
        <w:pStyle w:val="Subsection"/>
        <w:spacing w:before="120"/>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keepNext w:val="0"/>
        <w:keepLines w:val="0"/>
        <w:spacing w:before="180"/>
      </w:pPr>
      <w:bookmarkStart w:id="854" w:name="_Toc148361170"/>
      <w:bookmarkStart w:id="855" w:name="_Toc117608123"/>
      <w:r>
        <w:rPr>
          <w:rStyle w:val="CharSectno"/>
        </w:rPr>
        <w:t>167</w:t>
      </w:r>
      <w:r>
        <w:t>.</w:t>
      </w:r>
      <w:r>
        <w:tab/>
        <w:t>Proposed interstate orders, terms of</w:t>
      </w:r>
      <w:bookmarkEnd w:id="854"/>
      <w:bookmarkEnd w:id="855"/>
    </w:p>
    <w:p>
      <w:pPr>
        <w:pStyle w:val="Subsection"/>
        <w:spacing w:before="12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20"/>
      </w:pPr>
      <w:r>
        <w:tab/>
        <w:t>(2)</w:t>
      </w:r>
      <w:r>
        <w:tab/>
        <w:t>The Court may include in the proposed interstate order any conditions that could be included in a child protection order of that type made in the relevant participating State.</w:t>
      </w:r>
    </w:p>
    <w:p>
      <w:pPr>
        <w:pStyle w:val="Subsection"/>
        <w:spacing w:before="12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20"/>
      </w:pPr>
      <w:r>
        <w:tab/>
        <w:t>(4)</w:t>
      </w:r>
      <w:r>
        <w:tab/>
        <w:t>The Court must determine, and specify in the proposed interstate order, the period for which it is to remain in force.</w:t>
      </w:r>
    </w:p>
    <w:p>
      <w:pPr>
        <w:pStyle w:val="Subsection"/>
        <w:spacing w:before="120"/>
      </w:pPr>
      <w:r>
        <w:tab/>
        <w:t>(5)</w:t>
      </w:r>
      <w:r>
        <w:tab/>
        <w:t>The period must not be longer than the maximum period for which a child protection order of that type made in the relevant participating State could remain in force.</w:t>
      </w:r>
    </w:p>
    <w:p>
      <w:pPr>
        <w:pStyle w:val="Heading5"/>
        <w:spacing w:before="180"/>
      </w:pPr>
      <w:bookmarkStart w:id="856" w:name="_Toc148361171"/>
      <w:bookmarkStart w:id="857" w:name="_Toc117608124"/>
      <w:r>
        <w:rPr>
          <w:rStyle w:val="CharSectno"/>
        </w:rPr>
        <w:t>168</w:t>
      </w:r>
      <w:r>
        <w:t>.</w:t>
      </w:r>
      <w:r>
        <w:tab/>
        <w:t>Court not to make s. 164 order without report from CEO</w:t>
      </w:r>
      <w:bookmarkEnd w:id="856"/>
      <w:bookmarkEnd w:id="857"/>
    </w:p>
    <w:p>
      <w:pPr>
        <w:pStyle w:val="Subsection"/>
      </w:pPr>
      <w:r>
        <w:tab/>
      </w:r>
      <w:r>
        <w:tab/>
        <w:t>The Court must not make an order under section 164 unless it has received and considered a report from the CEO regarding the child.</w:t>
      </w:r>
    </w:p>
    <w:p>
      <w:pPr>
        <w:pStyle w:val="Heading5"/>
        <w:spacing w:before="180"/>
      </w:pPr>
      <w:bookmarkStart w:id="858" w:name="_Toc148361172"/>
      <w:bookmarkStart w:id="859" w:name="_Toc117608125"/>
      <w:r>
        <w:rPr>
          <w:rStyle w:val="CharSectno"/>
        </w:rPr>
        <w:t>169</w:t>
      </w:r>
      <w:r>
        <w:t>.</w:t>
      </w:r>
      <w:r>
        <w:tab/>
        <w:t>Appeals</w:t>
      </w:r>
      <w:bookmarkEnd w:id="858"/>
      <w:bookmarkEnd w:id="859"/>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spacing w:before="120"/>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860" w:name="_Toc148348745"/>
      <w:bookmarkStart w:id="861" w:name="_Toc148358529"/>
      <w:bookmarkStart w:id="862" w:name="_Toc148361173"/>
      <w:bookmarkStart w:id="863" w:name="_Toc117582788"/>
      <w:bookmarkStart w:id="864" w:name="_Toc117584602"/>
      <w:bookmarkStart w:id="865" w:name="_Toc117585772"/>
      <w:bookmarkStart w:id="866" w:name="_Toc117608126"/>
      <w:r>
        <w:rPr>
          <w:rStyle w:val="CharDivNo"/>
        </w:rPr>
        <w:t>Division 3</w:t>
      </w:r>
      <w:r>
        <w:t xml:space="preserve"> — </w:t>
      </w:r>
      <w:r>
        <w:rPr>
          <w:rStyle w:val="CharDivText"/>
        </w:rPr>
        <w:t>Transfer of child protection proceedings</w:t>
      </w:r>
      <w:bookmarkEnd w:id="860"/>
      <w:bookmarkEnd w:id="861"/>
      <w:bookmarkEnd w:id="862"/>
      <w:bookmarkEnd w:id="863"/>
      <w:bookmarkEnd w:id="864"/>
      <w:bookmarkEnd w:id="865"/>
      <w:bookmarkEnd w:id="866"/>
    </w:p>
    <w:p>
      <w:pPr>
        <w:pStyle w:val="Heading5"/>
      </w:pPr>
      <w:bookmarkStart w:id="867" w:name="_Toc148361174"/>
      <w:bookmarkStart w:id="868" w:name="_Toc117608127"/>
      <w:r>
        <w:rPr>
          <w:rStyle w:val="CharSectno"/>
        </w:rPr>
        <w:t>170</w:t>
      </w:r>
      <w:r>
        <w:t>.</w:t>
      </w:r>
      <w:r>
        <w:tab/>
        <w:t>When Court may transfer child protection proceeding</w:t>
      </w:r>
      <w:bookmarkEnd w:id="867"/>
      <w:bookmarkEnd w:id="868"/>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869" w:name="_Toc148361175"/>
      <w:bookmarkStart w:id="870" w:name="_Toc117608128"/>
      <w:r>
        <w:rPr>
          <w:rStyle w:val="CharSectno"/>
        </w:rPr>
        <w:t>171</w:t>
      </w:r>
      <w:r>
        <w:t>.</w:t>
      </w:r>
      <w:r>
        <w:tab/>
        <w:t>Service of application under s. 170</w:t>
      </w:r>
      <w:bookmarkEnd w:id="869"/>
      <w:bookmarkEnd w:id="870"/>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871" w:name="_Toc148361176"/>
      <w:bookmarkStart w:id="872" w:name="_Toc117608129"/>
      <w:r>
        <w:rPr>
          <w:rStyle w:val="CharSectno"/>
        </w:rPr>
        <w:t>172</w:t>
      </w:r>
      <w:r>
        <w:t>.</w:t>
      </w:r>
      <w:r>
        <w:tab/>
        <w:t>Court to have regard to certain matters</w:t>
      </w:r>
      <w:bookmarkEnd w:id="871"/>
      <w:bookmarkEnd w:id="872"/>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 and</w:t>
      </w:r>
    </w:p>
    <w:p>
      <w:pPr>
        <w:pStyle w:val="Indenta"/>
      </w:pPr>
      <w:r>
        <w:tab/>
        <w:t>(b)</w:t>
      </w:r>
      <w:r>
        <w:tab/>
        <w:t>the place where any of the matters giving rise to the proceeding in the Court arose; and</w:t>
      </w:r>
    </w:p>
    <w:p>
      <w:pPr>
        <w:pStyle w:val="Indenta"/>
      </w:pPr>
      <w:r>
        <w:tab/>
        <w:t>(c)</w:t>
      </w:r>
      <w:r>
        <w:tab/>
        <w:t>the place of residence, or likely place of residence, of the child, the child’s parents and any other people who are significant to the child; and</w:t>
      </w:r>
    </w:p>
    <w:p>
      <w:pPr>
        <w:pStyle w:val="Indenta"/>
      </w:pPr>
      <w:r>
        <w:tab/>
        <w:t>(d)</w:t>
      </w:r>
      <w:r>
        <w:tab/>
        <w:t>whether the CEO or an interstate officer is in the better position to exercise powers and responsibilities under a child protection order relating to the child; and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keepNext/>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spacing w:before="180"/>
      </w:pPr>
      <w:bookmarkStart w:id="873" w:name="_Toc148361177"/>
      <w:bookmarkStart w:id="874" w:name="_Toc117608130"/>
      <w:r>
        <w:rPr>
          <w:rStyle w:val="CharSectno"/>
        </w:rPr>
        <w:t>173</w:t>
      </w:r>
      <w:r>
        <w:t>.</w:t>
      </w:r>
      <w:r>
        <w:tab/>
        <w:t>Interim order</w:t>
      </w:r>
      <w:bookmarkEnd w:id="873"/>
      <w:bookmarkEnd w:id="874"/>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keepNext w:val="0"/>
        <w:keepLines w:val="0"/>
        <w:spacing w:before="180"/>
      </w:pPr>
      <w:bookmarkStart w:id="875" w:name="_Toc148361178"/>
      <w:bookmarkStart w:id="876" w:name="_Toc117608131"/>
      <w:r>
        <w:rPr>
          <w:rStyle w:val="CharSectno"/>
        </w:rPr>
        <w:t>174</w:t>
      </w:r>
      <w:r>
        <w:t>.</w:t>
      </w:r>
      <w:r>
        <w:tab/>
        <w:t>Appeals</w:t>
      </w:r>
      <w:bookmarkEnd w:id="875"/>
      <w:bookmarkEnd w:id="876"/>
    </w:p>
    <w:p>
      <w:pPr>
        <w:pStyle w:val="Subsection"/>
        <w:spacing w:before="12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877" w:name="_Toc148348751"/>
      <w:bookmarkStart w:id="878" w:name="_Toc148358535"/>
      <w:bookmarkStart w:id="879" w:name="_Toc148361179"/>
      <w:bookmarkStart w:id="880" w:name="_Toc117582794"/>
      <w:bookmarkStart w:id="881" w:name="_Toc117584608"/>
      <w:bookmarkStart w:id="882" w:name="_Toc117585778"/>
      <w:bookmarkStart w:id="883" w:name="_Toc117608132"/>
      <w:r>
        <w:rPr>
          <w:rStyle w:val="CharDivNo"/>
        </w:rPr>
        <w:t>Division 4</w:t>
      </w:r>
      <w:r>
        <w:t xml:space="preserve"> — </w:t>
      </w:r>
      <w:r>
        <w:rPr>
          <w:rStyle w:val="CharDivText"/>
        </w:rPr>
        <w:t>Registration</w:t>
      </w:r>
      <w:bookmarkEnd w:id="877"/>
      <w:bookmarkEnd w:id="878"/>
      <w:bookmarkEnd w:id="879"/>
      <w:bookmarkEnd w:id="880"/>
      <w:bookmarkEnd w:id="881"/>
      <w:bookmarkEnd w:id="882"/>
      <w:bookmarkEnd w:id="883"/>
    </w:p>
    <w:p>
      <w:pPr>
        <w:pStyle w:val="Heading5"/>
      </w:pPr>
      <w:bookmarkStart w:id="884" w:name="_Toc148361180"/>
      <w:bookmarkStart w:id="885" w:name="_Toc117608133"/>
      <w:r>
        <w:rPr>
          <w:rStyle w:val="CharSectno"/>
        </w:rPr>
        <w:t>175</w:t>
      </w:r>
      <w:r>
        <w:t>.</w:t>
      </w:r>
      <w:r>
        <w:tab/>
        <w:t>Filing interstate orders in Court</w:t>
      </w:r>
      <w:bookmarkEnd w:id="884"/>
      <w:bookmarkEnd w:id="885"/>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pPr>
      <w:bookmarkStart w:id="886" w:name="_Toc148361181"/>
      <w:bookmarkStart w:id="887" w:name="_Toc117608134"/>
      <w:r>
        <w:rPr>
          <w:rStyle w:val="CharSectno"/>
        </w:rPr>
        <w:t>176</w:t>
      </w:r>
      <w:r>
        <w:t>.</w:t>
      </w:r>
      <w:r>
        <w:tab/>
        <w:t>Registering interstate orders</w:t>
      </w:r>
      <w:bookmarkEnd w:id="886"/>
      <w:bookmarkEnd w:id="887"/>
    </w:p>
    <w:p>
      <w:pPr>
        <w:pStyle w:val="Subsection"/>
      </w:pPr>
      <w:r>
        <w:tab/>
      </w:r>
      <w:r>
        <w:tab/>
        <w:t>If the CEO files a copy of an order in the Court under section 175, the registrar of the Court must register the order.</w:t>
      </w:r>
    </w:p>
    <w:p>
      <w:pPr>
        <w:pStyle w:val="Heading5"/>
      </w:pPr>
      <w:bookmarkStart w:id="888" w:name="_Toc148361182"/>
      <w:bookmarkStart w:id="889" w:name="_Toc117608135"/>
      <w:r>
        <w:rPr>
          <w:rStyle w:val="CharSectno"/>
        </w:rPr>
        <w:t>177</w:t>
      </w:r>
      <w:r>
        <w:t>.</w:t>
      </w:r>
      <w:r>
        <w:tab/>
        <w:t>Notification by registrar of Court</w:t>
      </w:r>
      <w:bookmarkEnd w:id="888"/>
      <w:bookmarkEnd w:id="889"/>
    </w:p>
    <w:p>
      <w:pPr>
        <w:pStyle w:val="Subsection"/>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pPr>
      <w:bookmarkStart w:id="890" w:name="_Toc148361183"/>
      <w:bookmarkStart w:id="891" w:name="_Toc117608136"/>
      <w:r>
        <w:rPr>
          <w:rStyle w:val="CharSectno"/>
        </w:rPr>
        <w:t>178</w:t>
      </w:r>
      <w:r>
        <w:t>.</w:t>
      </w:r>
      <w:r>
        <w:tab/>
        <w:t>Effect of registration</w:t>
      </w:r>
      <w:bookmarkEnd w:id="890"/>
      <w:bookmarkEnd w:id="891"/>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892" w:name="_Toc148361184"/>
      <w:bookmarkStart w:id="893" w:name="_Toc117608137"/>
      <w:r>
        <w:rPr>
          <w:rStyle w:val="CharSectno"/>
        </w:rPr>
        <w:t>179</w:t>
      </w:r>
      <w:r>
        <w:t>.</w:t>
      </w:r>
      <w:r>
        <w:tab/>
        <w:t>Revocation of registration</w:t>
      </w:r>
      <w:bookmarkEnd w:id="892"/>
      <w:bookmarkEnd w:id="893"/>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894" w:name="_Toc148348757"/>
      <w:bookmarkStart w:id="895" w:name="_Toc148358541"/>
      <w:bookmarkStart w:id="896" w:name="_Toc148361185"/>
      <w:bookmarkStart w:id="897" w:name="_Toc117582800"/>
      <w:bookmarkStart w:id="898" w:name="_Toc117584614"/>
      <w:bookmarkStart w:id="899" w:name="_Toc117585784"/>
      <w:bookmarkStart w:id="900" w:name="_Toc117608138"/>
      <w:r>
        <w:rPr>
          <w:rStyle w:val="CharDivNo"/>
        </w:rPr>
        <w:t>Division 5</w:t>
      </w:r>
      <w:r>
        <w:t xml:space="preserve"> — </w:t>
      </w:r>
      <w:r>
        <w:rPr>
          <w:rStyle w:val="CharDivText"/>
        </w:rPr>
        <w:t>General</w:t>
      </w:r>
      <w:bookmarkEnd w:id="894"/>
      <w:bookmarkEnd w:id="895"/>
      <w:bookmarkEnd w:id="896"/>
      <w:bookmarkEnd w:id="897"/>
      <w:bookmarkEnd w:id="898"/>
      <w:bookmarkEnd w:id="899"/>
      <w:bookmarkEnd w:id="900"/>
    </w:p>
    <w:p>
      <w:pPr>
        <w:pStyle w:val="Heading5"/>
      </w:pPr>
      <w:bookmarkStart w:id="901" w:name="_Toc148361186"/>
      <w:bookmarkStart w:id="902" w:name="_Toc117608139"/>
      <w:r>
        <w:rPr>
          <w:rStyle w:val="CharSectno"/>
        </w:rPr>
        <w:t>180</w:t>
      </w:r>
      <w:r>
        <w:t>.</w:t>
      </w:r>
      <w:r>
        <w:tab/>
        <w:t>Legal representation of child</w:t>
      </w:r>
      <w:bookmarkEnd w:id="901"/>
      <w:bookmarkEnd w:id="902"/>
    </w:p>
    <w:p>
      <w:pPr>
        <w:pStyle w:val="Subsection"/>
      </w:pPr>
      <w:r>
        <w:tab/>
      </w:r>
      <w:r>
        <w:tab/>
        <w:t>Section 148 applies in relation to proceedings on an application for an order under section 164 or 170(1) as if those proceedings were protection proceedings.</w:t>
      </w:r>
    </w:p>
    <w:p>
      <w:pPr>
        <w:pStyle w:val="Heading5"/>
      </w:pPr>
      <w:bookmarkStart w:id="903" w:name="_Toc148361187"/>
      <w:bookmarkStart w:id="904" w:name="_Toc117608140"/>
      <w:r>
        <w:rPr>
          <w:rStyle w:val="CharSectno"/>
        </w:rPr>
        <w:t>181</w:t>
      </w:r>
      <w:r>
        <w:t>.</w:t>
      </w:r>
      <w:r>
        <w:tab/>
        <w:t>Effect of registration of transferred order</w:t>
      </w:r>
      <w:bookmarkEnd w:id="903"/>
      <w:bookmarkEnd w:id="904"/>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905" w:name="_Toc148361188"/>
      <w:bookmarkStart w:id="906" w:name="_Toc117608141"/>
      <w:r>
        <w:rPr>
          <w:rStyle w:val="CharSectno"/>
        </w:rPr>
        <w:t>182</w:t>
      </w:r>
      <w:r>
        <w:t>.</w:t>
      </w:r>
      <w:r>
        <w:tab/>
        <w:t>Transfer of Court file</w:t>
      </w:r>
      <w:bookmarkEnd w:id="905"/>
      <w:bookmarkEnd w:id="906"/>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907" w:name="_Toc148361189"/>
      <w:bookmarkStart w:id="908" w:name="_Toc117608142"/>
      <w:r>
        <w:rPr>
          <w:rStyle w:val="CharSectno"/>
        </w:rPr>
        <w:t>183</w:t>
      </w:r>
      <w:r>
        <w:t>.</w:t>
      </w:r>
      <w:r>
        <w:tab/>
        <w:t>Hearing and determination of transferred proceeding</w:t>
      </w:r>
      <w:bookmarkEnd w:id="907"/>
      <w:bookmarkEnd w:id="908"/>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909" w:name="_Toc148361190"/>
      <w:bookmarkStart w:id="910" w:name="_Toc117608143"/>
      <w:r>
        <w:rPr>
          <w:rStyle w:val="CharSectno"/>
        </w:rPr>
        <w:t>184</w:t>
      </w:r>
      <w:r>
        <w:t>.</w:t>
      </w:r>
      <w:r>
        <w:tab/>
        <w:t>Disclosure of information</w:t>
      </w:r>
      <w:bookmarkEnd w:id="909"/>
      <w:bookmarkEnd w:id="910"/>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911" w:name="_Toc148361191"/>
      <w:bookmarkStart w:id="912" w:name="_Toc117608144"/>
      <w:r>
        <w:rPr>
          <w:rStyle w:val="CharSectno"/>
        </w:rPr>
        <w:t>185</w:t>
      </w:r>
      <w:r>
        <w:t>.</w:t>
      </w:r>
      <w:r>
        <w:tab/>
        <w:t>Discretion of CEO to consent to transfer</w:t>
      </w:r>
      <w:bookmarkEnd w:id="911"/>
      <w:bookmarkEnd w:id="912"/>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keepNext/>
      </w:pPr>
      <w:r>
        <w:tab/>
        <w:t>(2)</w:t>
      </w:r>
      <w:r>
        <w:tab/>
        <w:t>If, under an interstate law, there is a proposal to transfer a child protection proceeding to the Court, the CEO may consent or refuse to consent to the transfer.</w:t>
      </w:r>
    </w:p>
    <w:p>
      <w:pPr>
        <w:pStyle w:val="Heading5"/>
      </w:pPr>
      <w:bookmarkStart w:id="913" w:name="_Toc148361192"/>
      <w:bookmarkStart w:id="914" w:name="_Toc117608145"/>
      <w:r>
        <w:rPr>
          <w:rStyle w:val="CharSectno"/>
        </w:rPr>
        <w:t>186</w:t>
      </w:r>
      <w:r>
        <w:t>.</w:t>
      </w:r>
      <w:r>
        <w:tab/>
        <w:t>Evidence of consent of relevant interstate officer</w:t>
      </w:r>
      <w:bookmarkEnd w:id="913"/>
      <w:bookmarkEnd w:id="914"/>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915" w:name="_Toc148361193"/>
      <w:bookmarkStart w:id="916" w:name="_Toc117608146"/>
      <w:r>
        <w:rPr>
          <w:rStyle w:val="CharSectno"/>
        </w:rPr>
        <w:t>187</w:t>
      </w:r>
      <w:r>
        <w:t>.</w:t>
      </w:r>
      <w:r>
        <w:tab/>
        <w:t>Offence to remove certain children from where they live</w:t>
      </w:r>
      <w:bookmarkEnd w:id="915"/>
      <w:bookmarkEnd w:id="916"/>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for this subsection: a fine of $24 000 and imprisonment for 2 years.</w:t>
      </w:r>
    </w:p>
    <w:p>
      <w:pPr>
        <w:pStyle w:val="Subsection"/>
        <w:keepNext/>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No. 49 of 2010 s. 85; No. 18 of 2021 s. 76.]</w:t>
      </w:r>
    </w:p>
    <w:p>
      <w:pPr>
        <w:pStyle w:val="Heading2"/>
      </w:pPr>
      <w:bookmarkStart w:id="917" w:name="_Toc148348766"/>
      <w:bookmarkStart w:id="918" w:name="_Toc148358550"/>
      <w:bookmarkStart w:id="919" w:name="_Toc148361194"/>
      <w:bookmarkStart w:id="920" w:name="_Toc117582809"/>
      <w:bookmarkStart w:id="921" w:name="_Toc117584623"/>
      <w:bookmarkStart w:id="922" w:name="_Toc117585793"/>
      <w:bookmarkStart w:id="923" w:name="_Toc117608147"/>
      <w:r>
        <w:rPr>
          <w:rStyle w:val="CharPartNo"/>
        </w:rPr>
        <w:t>Part 7</w:t>
      </w:r>
      <w:r>
        <w:rPr>
          <w:rStyle w:val="CharDivNo"/>
        </w:rPr>
        <w:t xml:space="preserve"> </w:t>
      </w:r>
      <w:r>
        <w:t>—</w:t>
      </w:r>
      <w:r>
        <w:rPr>
          <w:rStyle w:val="CharDivText"/>
        </w:rPr>
        <w:t xml:space="preserve"> </w:t>
      </w:r>
      <w:r>
        <w:rPr>
          <w:rStyle w:val="CharPartText"/>
        </w:rPr>
        <w:t>Employment of children</w:t>
      </w:r>
      <w:bookmarkEnd w:id="917"/>
      <w:bookmarkEnd w:id="918"/>
      <w:bookmarkEnd w:id="919"/>
      <w:bookmarkEnd w:id="920"/>
      <w:bookmarkEnd w:id="921"/>
      <w:bookmarkEnd w:id="922"/>
      <w:bookmarkEnd w:id="923"/>
    </w:p>
    <w:p>
      <w:pPr>
        <w:pStyle w:val="Heading5"/>
      </w:pPr>
      <w:bookmarkStart w:id="924" w:name="_Toc148361195"/>
      <w:bookmarkStart w:id="925" w:name="_Toc117608148"/>
      <w:r>
        <w:rPr>
          <w:rStyle w:val="CharSectno"/>
        </w:rPr>
        <w:t>188</w:t>
      </w:r>
      <w:r>
        <w:t>.</w:t>
      </w:r>
      <w:r>
        <w:tab/>
        <w:t>Terms used</w:t>
      </w:r>
      <w:bookmarkEnd w:id="924"/>
      <w:bookmarkEnd w:id="925"/>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in relation to a child, means a business, trade or occupation carried on by a member of the child’s family.</w:t>
      </w:r>
    </w:p>
    <w:p>
      <w:pPr>
        <w:pStyle w:val="Footnotesection"/>
      </w:pPr>
      <w:r>
        <w:tab/>
        <w:t>[Section 188 amended: No. 49 of 2010 s. 75; No. 18 of 2021 s. 68.]</w:t>
      </w:r>
    </w:p>
    <w:p>
      <w:pPr>
        <w:pStyle w:val="Heading5"/>
      </w:pPr>
      <w:bookmarkStart w:id="926" w:name="_Toc148361196"/>
      <w:bookmarkStart w:id="927" w:name="_Toc117608149"/>
      <w:r>
        <w:rPr>
          <w:rStyle w:val="CharSectno"/>
        </w:rPr>
        <w:t>189</w:t>
      </w:r>
      <w:r>
        <w:t>.</w:t>
      </w:r>
      <w:r>
        <w:tab/>
      </w:r>
      <w:r>
        <w:rPr>
          <w:i/>
        </w:rPr>
        <w:t>School Education Act 1999</w:t>
      </w:r>
      <w:r>
        <w:t xml:space="preserve"> not affected</w:t>
      </w:r>
      <w:bookmarkEnd w:id="926"/>
      <w:bookmarkEnd w:id="927"/>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PermNoteHeading"/>
      </w:pPr>
      <w:r>
        <w:tab/>
        <w:t>Note for this section:</w:t>
      </w:r>
    </w:p>
    <w:p>
      <w:pPr>
        <w:pStyle w:val="PermNoteText"/>
      </w:pPr>
      <w:r>
        <w:tab/>
      </w:r>
      <w:r>
        <w:tab/>
        <w:t xml:space="preserve">Section 29 of the </w:t>
      </w:r>
      <w:r>
        <w:rPr>
          <w:i/>
        </w:rPr>
        <w:t>School Education Act 1999</w:t>
      </w:r>
      <w:r>
        <w:t xml:space="preserve"> relates to the employment of children during school hours.</w:t>
      </w:r>
    </w:p>
    <w:p>
      <w:pPr>
        <w:pStyle w:val="Heading5"/>
      </w:pPr>
      <w:bookmarkStart w:id="928" w:name="_Toc148361197"/>
      <w:bookmarkStart w:id="929" w:name="_Toc117608150"/>
      <w:r>
        <w:rPr>
          <w:rStyle w:val="CharSectno"/>
        </w:rPr>
        <w:t>190</w:t>
      </w:r>
      <w:r>
        <w:t>.</w:t>
      </w:r>
      <w:r>
        <w:tab/>
        <w:t>Child under 15 not to be employed in business etc.</w:t>
      </w:r>
      <w:bookmarkEnd w:id="928"/>
      <w:bookmarkEnd w:id="929"/>
    </w:p>
    <w:p>
      <w:pPr>
        <w:pStyle w:val="Subsection"/>
      </w:pPr>
      <w:r>
        <w:tab/>
        <w:t>(1)</w:t>
      </w:r>
      <w:r>
        <w:tab/>
        <w:t>A person must not employ a child under 15 years of age in a business, trade or occupation carried on for profit.</w:t>
      </w:r>
    </w:p>
    <w:p>
      <w:pPr>
        <w:pStyle w:val="Penstart"/>
      </w:pPr>
      <w:r>
        <w:tab/>
        <w:t>Penalty for this subsection: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for this subsection: a fine of $24 000.</w:t>
      </w:r>
    </w:p>
    <w:p>
      <w:pPr>
        <w:pStyle w:val="Footnotesection"/>
      </w:pPr>
      <w:r>
        <w:tab/>
        <w:t>[Section 190 amended: No. 49 of 2010 s. 85; No. 18 of 2021 s. 76.]</w:t>
      </w:r>
    </w:p>
    <w:p>
      <w:pPr>
        <w:pStyle w:val="Heading5"/>
      </w:pPr>
      <w:bookmarkStart w:id="930" w:name="_Toc148361198"/>
      <w:bookmarkStart w:id="931" w:name="_Toc117608151"/>
      <w:r>
        <w:rPr>
          <w:rStyle w:val="CharSectno"/>
        </w:rPr>
        <w:t>191</w:t>
      </w:r>
      <w:r>
        <w:t>.</w:t>
      </w:r>
      <w:r>
        <w:tab/>
        <w:t>Exceptions to s. 190</w:t>
      </w:r>
      <w:bookmarkEnd w:id="930"/>
      <w:bookmarkEnd w:id="931"/>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932" w:name="_Toc148361199"/>
      <w:bookmarkStart w:id="933" w:name="_Toc117608152"/>
      <w:r>
        <w:rPr>
          <w:rStyle w:val="CharSectno"/>
        </w:rPr>
        <w:t>192</w:t>
      </w:r>
      <w:r>
        <w:t>.</w:t>
      </w:r>
      <w:r>
        <w:tab/>
        <w:t>Children not to be employed to perform in indecent manner etc.</w:t>
      </w:r>
      <w:bookmarkEnd w:id="932"/>
      <w:bookmarkEnd w:id="933"/>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child or a transgender or intersex child who identifies as female, the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Footnotesection"/>
      </w:pPr>
      <w:r>
        <w:tab/>
        <w:t>[Section 192 amended: No. 18 of 2021 s. 69.]</w:t>
      </w:r>
    </w:p>
    <w:p>
      <w:pPr>
        <w:pStyle w:val="Heading5"/>
      </w:pPr>
      <w:bookmarkStart w:id="934" w:name="_Toc148361200"/>
      <w:bookmarkStart w:id="935" w:name="_Toc117608153"/>
      <w:r>
        <w:rPr>
          <w:rStyle w:val="CharSectno"/>
        </w:rPr>
        <w:t>193</w:t>
      </w:r>
      <w:r>
        <w:t>.</w:t>
      </w:r>
      <w:r>
        <w:tab/>
        <w:t>CEO may prohibit or limit employment of child</w:t>
      </w:r>
      <w:bookmarkEnd w:id="934"/>
      <w:bookmarkEnd w:id="935"/>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keepNext/>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for this subsection: a fine of $36 000 and imprisonment for 3 years.</w:t>
      </w:r>
    </w:p>
    <w:p>
      <w:pPr>
        <w:pStyle w:val="Subsection"/>
      </w:pPr>
      <w:r>
        <w:tab/>
        <w:t>(6)</w:t>
      </w:r>
      <w:r>
        <w:tab/>
        <w:t>A parent of a child must not permit the child to be employed in contravention of a notice.</w:t>
      </w:r>
    </w:p>
    <w:p>
      <w:pPr>
        <w:pStyle w:val="Penstart"/>
      </w:pPr>
      <w:r>
        <w:tab/>
        <w:t>Penalty for this subsection: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No. 49 of 2010 s. 85; No. 18 of 2021 s. 76.]</w:t>
      </w:r>
    </w:p>
    <w:p>
      <w:pPr>
        <w:pStyle w:val="Heading5"/>
      </w:pPr>
      <w:bookmarkStart w:id="936" w:name="_Toc148361201"/>
      <w:bookmarkStart w:id="937" w:name="_Toc117608154"/>
      <w:r>
        <w:rPr>
          <w:rStyle w:val="CharSectno"/>
        </w:rPr>
        <w:t>194A</w:t>
      </w:r>
      <w:r>
        <w:t>.</w:t>
      </w:r>
      <w:r>
        <w:tab/>
        <w:t>CEO may prohibit or limit employment of children in particular business or place</w:t>
      </w:r>
      <w:bookmarkEnd w:id="936"/>
      <w:bookmarkEnd w:id="937"/>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keepNext/>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for this subsection: a fine of $6 000.</w:t>
      </w:r>
    </w:p>
    <w:p>
      <w:pPr>
        <w:pStyle w:val="Subsection"/>
      </w:pPr>
      <w:r>
        <w:tab/>
        <w:t>(4)</w:t>
      </w:r>
      <w:r>
        <w:tab/>
        <w:t>A person must not employ a child in contravention of a notice.</w:t>
      </w:r>
    </w:p>
    <w:p>
      <w:pPr>
        <w:pStyle w:val="Penstart"/>
      </w:pPr>
      <w:r>
        <w:tab/>
        <w:t>Penalty for this subsection: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No. 49 of 2010 s. 76; No. 18 of 2021 s. 76.]</w:t>
      </w:r>
    </w:p>
    <w:p>
      <w:pPr>
        <w:pStyle w:val="Heading5"/>
      </w:pPr>
      <w:bookmarkStart w:id="938" w:name="_Toc148361202"/>
      <w:bookmarkStart w:id="939" w:name="_Toc117608155"/>
      <w:r>
        <w:rPr>
          <w:rStyle w:val="CharSectno"/>
        </w:rPr>
        <w:t>194</w:t>
      </w:r>
      <w:r>
        <w:t>.</w:t>
      </w:r>
      <w:r>
        <w:tab/>
        <w:t>False information to employers etc.</w:t>
      </w:r>
      <w:bookmarkEnd w:id="938"/>
      <w:bookmarkEnd w:id="939"/>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No. 49 of 2010 s. 85.]</w:t>
      </w:r>
    </w:p>
    <w:p>
      <w:pPr>
        <w:pStyle w:val="Ednotesection"/>
      </w:pPr>
      <w:r>
        <w:t>[</w:t>
      </w:r>
      <w:r>
        <w:rPr>
          <w:b/>
        </w:rPr>
        <w:t>195.</w:t>
      </w:r>
      <w:r>
        <w:tab/>
        <w:t>Deleted: No. 18 of 2021 s. 70.]</w:t>
      </w:r>
    </w:p>
    <w:p>
      <w:pPr>
        <w:pStyle w:val="Heading5"/>
      </w:pPr>
      <w:bookmarkStart w:id="940" w:name="_Toc148361203"/>
      <w:bookmarkStart w:id="941" w:name="_Toc117608156"/>
      <w:r>
        <w:rPr>
          <w:rStyle w:val="CharSectno"/>
        </w:rPr>
        <w:t>196</w:t>
      </w:r>
      <w:r>
        <w:t>.</w:t>
      </w:r>
      <w:r>
        <w:tab/>
        <w:t>Role of industrial inspectors and industrial magistrate’s courts</w:t>
      </w:r>
      <w:bookmarkEnd w:id="940"/>
      <w:bookmarkEnd w:id="941"/>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No. 84 of 2004 s. 80; No. 49 of 2010 s. 78.]</w:t>
      </w:r>
    </w:p>
    <w:p>
      <w:pPr>
        <w:pStyle w:val="Ednotepart"/>
      </w:pPr>
      <w:r>
        <w:t>[Part 8 (s. 197</w:t>
      </w:r>
      <w:r>
        <w:noBreakHyphen/>
        <w:t>232) deleted: No. 19 of 2007 s. 65.]</w:t>
      </w:r>
    </w:p>
    <w:p>
      <w:pPr>
        <w:pStyle w:val="Heading2"/>
      </w:pPr>
      <w:bookmarkStart w:id="942" w:name="_Toc148348776"/>
      <w:bookmarkStart w:id="943" w:name="_Toc148358560"/>
      <w:bookmarkStart w:id="944" w:name="_Toc148361204"/>
      <w:bookmarkStart w:id="945" w:name="_Toc117582819"/>
      <w:bookmarkStart w:id="946" w:name="_Toc117584633"/>
      <w:bookmarkStart w:id="947" w:name="_Toc117585803"/>
      <w:bookmarkStart w:id="948" w:name="_Toc117608157"/>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942"/>
      <w:bookmarkEnd w:id="943"/>
      <w:bookmarkEnd w:id="944"/>
      <w:bookmarkEnd w:id="945"/>
      <w:bookmarkEnd w:id="946"/>
      <w:bookmarkEnd w:id="947"/>
      <w:bookmarkEnd w:id="948"/>
    </w:p>
    <w:p>
      <w:pPr>
        <w:pStyle w:val="Heading5"/>
      </w:pPr>
      <w:bookmarkStart w:id="949" w:name="_Toc148361205"/>
      <w:bookmarkStart w:id="950" w:name="_Toc117608158"/>
      <w:r>
        <w:rPr>
          <w:rStyle w:val="CharSectno"/>
        </w:rPr>
        <w:t>233</w:t>
      </w:r>
      <w:r>
        <w:t>.</w:t>
      </w:r>
      <w:r>
        <w:tab/>
        <w:t>CEO may provide financial or other assistance</w:t>
      </w:r>
      <w:bookmarkEnd w:id="949"/>
      <w:bookmarkEnd w:id="950"/>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951" w:name="_Toc148361206"/>
      <w:bookmarkStart w:id="952" w:name="_Toc117608159"/>
      <w:r>
        <w:rPr>
          <w:rStyle w:val="CharSectno"/>
        </w:rPr>
        <w:t>234</w:t>
      </w:r>
      <w:r>
        <w:t>.</w:t>
      </w:r>
      <w:r>
        <w:tab/>
        <w:t>CEO may assist with funeral expenses</w:t>
      </w:r>
      <w:bookmarkEnd w:id="951"/>
      <w:bookmarkEnd w:id="952"/>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953" w:name="_Toc148361207"/>
      <w:bookmarkStart w:id="954" w:name="_Toc117608160"/>
      <w:r>
        <w:rPr>
          <w:rStyle w:val="CharSectno"/>
        </w:rPr>
        <w:t>235</w:t>
      </w:r>
      <w:r>
        <w:t>.</w:t>
      </w:r>
      <w:r>
        <w:tab/>
        <w:t>Application for assistance</w:t>
      </w:r>
      <w:bookmarkEnd w:id="953"/>
      <w:bookmarkEnd w:id="954"/>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955" w:name="_Toc148361208"/>
      <w:bookmarkStart w:id="956" w:name="_Toc117608161"/>
      <w:r>
        <w:rPr>
          <w:rStyle w:val="CharSectno"/>
        </w:rPr>
        <w:t>236</w:t>
      </w:r>
      <w:r>
        <w:t>.</w:t>
      </w:r>
      <w:r>
        <w:tab/>
        <w:t>Recovery of overpayments in certain circumstances</w:t>
      </w:r>
      <w:bookmarkEnd w:id="955"/>
      <w:bookmarkEnd w:id="956"/>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957" w:name="_Toc148348781"/>
      <w:bookmarkStart w:id="958" w:name="_Toc148358565"/>
      <w:bookmarkStart w:id="959" w:name="_Toc148361209"/>
      <w:bookmarkStart w:id="960" w:name="_Toc117582824"/>
      <w:bookmarkStart w:id="961" w:name="_Toc117584638"/>
      <w:bookmarkStart w:id="962" w:name="_Toc117585808"/>
      <w:bookmarkStart w:id="963" w:name="_Toc117608162"/>
      <w:r>
        <w:rPr>
          <w:rStyle w:val="CharPartNo"/>
        </w:rPr>
        <w:t>Part 10</w:t>
      </w:r>
      <w:r>
        <w:rPr>
          <w:rStyle w:val="CharDivNo"/>
        </w:rPr>
        <w:t xml:space="preserve"> </w:t>
      </w:r>
      <w:r>
        <w:t>—</w:t>
      </w:r>
      <w:r>
        <w:rPr>
          <w:rStyle w:val="CharDivText"/>
        </w:rPr>
        <w:t xml:space="preserve"> </w:t>
      </w:r>
      <w:r>
        <w:rPr>
          <w:rStyle w:val="CharPartText"/>
        </w:rPr>
        <w:t>Confidentiality provisions</w:t>
      </w:r>
      <w:bookmarkEnd w:id="957"/>
      <w:bookmarkEnd w:id="958"/>
      <w:bookmarkEnd w:id="959"/>
      <w:bookmarkEnd w:id="960"/>
      <w:bookmarkEnd w:id="961"/>
      <w:bookmarkEnd w:id="962"/>
      <w:bookmarkEnd w:id="963"/>
    </w:p>
    <w:p>
      <w:pPr>
        <w:pStyle w:val="Heading5"/>
      </w:pPr>
      <w:bookmarkStart w:id="964" w:name="_Toc148361210"/>
      <w:bookmarkStart w:id="965" w:name="_Toc117608163"/>
      <w:r>
        <w:rPr>
          <w:rStyle w:val="CharSectno"/>
        </w:rPr>
        <w:t>237</w:t>
      </w:r>
      <w:r>
        <w:t>.</w:t>
      </w:r>
      <w:r>
        <w:tab/>
        <w:t>Restriction on publication of certain information or material</w:t>
      </w:r>
      <w:bookmarkEnd w:id="964"/>
      <w:bookmarkEnd w:id="965"/>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32(1)(d); or</w:t>
      </w:r>
    </w:p>
    <w:p>
      <w:pPr>
        <w:pStyle w:val="Indenta"/>
      </w:pPr>
      <w:r>
        <w:tab/>
        <w:t>(b)</w:t>
      </w:r>
      <w:r>
        <w:tab/>
        <w:t>a person who is or was a child the subject of a protection application or an application for an old order; or</w:t>
      </w:r>
    </w:p>
    <w:p>
      <w:pPr>
        <w:pStyle w:val="Indenta"/>
      </w:pPr>
      <w:r>
        <w:tab/>
        <w:t>(c)</w:t>
      </w:r>
      <w:r>
        <w:tab/>
        <w:t xml:space="preserve">a person who is or was a child the subject of a protection order or an old order; or </w:t>
      </w:r>
    </w:p>
    <w:p>
      <w:pPr>
        <w:pStyle w:val="Indenta"/>
      </w:pPr>
      <w:r>
        <w:tab/>
        <w:t>(d)</w:t>
      </w:r>
      <w:r>
        <w:tab/>
        <w:t>a person who is or was a responsible person under a responsible parenting agreement; or</w:t>
      </w:r>
    </w:p>
    <w:p>
      <w:pPr>
        <w:pStyle w:val="Indenta"/>
      </w:pPr>
      <w:r>
        <w:tab/>
        <w:t>(e)</w:t>
      </w:r>
      <w:r>
        <w:tab/>
        <w:t>a person who is or was a child the subject of a responsible parenting agreement.</w:t>
      </w:r>
    </w:p>
    <w:p>
      <w:pPr>
        <w:pStyle w:val="Penstart"/>
      </w:pPr>
      <w:r>
        <w:tab/>
        <w:t>Penalty for this subsection: a fine of $12 000 and imprisonment for one year.</w:t>
      </w:r>
    </w:p>
    <w:p>
      <w:pPr>
        <w:pStyle w:val="Subsection"/>
      </w:pPr>
      <w:r>
        <w:tab/>
        <w:t>(3)</w:t>
      </w:r>
      <w:r>
        <w:tab/>
        <w:t xml:space="preserve">If the identified person is under 18 years of age, written authorisation for the publication of information or material to which subsection (2) applies may be given by — </w:t>
      </w:r>
    </w:p>
    <w:p>
      <w:pPr>
        <w:pStyle w:val="Indenta"/>
      </w:pPr>
      <w:r>
        <w:tab/>
        <w:t>(a)</w:t>
      </w:r>
      <w:r>
        <w:tab/>
        <w:t>in the case of an identified person referred to in subsection (2)(a), (b) or (c) — the CEO; or</w:t>
      </w:r>
    </w:p>
    <w:p>
      <w:pPr>
        <w:pStyle w:val="Indenta"/>
      </w:pPr>
      <w:r>
        <w:tab/>
        <w:t>(b)</w:t>
      </w:r>
      <w:r>
        <w:tab/>
        <w:t xml:space="preserve">in the case of an identified person referred to in subsection (2)(d) or (e) — each authorised CEO (as defined in section 131A) who entered into the responsible parenting agreement. </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pPr>
      <w:r>
        <w:tab/>
        <w:t>(b)</w:t>
      </w:r>
      <w:r>
        <w:tab/>
        <w:t xml:space="preserve">if the identified person is dead or cannot be found after reasonable inquiries, by — </w:t>
      </w:r>
    </w:p>
    <w:p>
      <w:pPr>
        <w:pStyle w:val="Indenti"/>
      </w:pPr>
      <w:r>
        <w:tab/>
        <w:t>(i)</w:t>
      </w:r>
      <w:r>
        <w:tab/>
        <w:t>in the case of an identified person referred to in subsection (2)(a), (b) or (c) — the CEO; or</w:t>
      </w:r>
    </w:p>
    <w:p>
      <w:pPr>
        <w:pStyle w:val="Indenti"/>
      </w:pPr>
      <w:r>
        <w:tab/>
        <w:t>(ii)</w:t>
      </w:r>
      <w:r>
        <w:tab/>
        <w:t xml:space="preserve">in the case of an identified person referred to in subsection (2)(d) or (e) — each authorised CEO (as defined in section 131A) who entered into the responsible parenting agreement. </w:t>
      </w:r>
    </w:p>
    <w:p>
      <w:pPr>
        <w:pStyle w:val="Indenta"/>
        <w:spacing w:before="100"/>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No. 49 of 2010 s. 85; No. 23 of 2015 s. 8; No. 18 of 2021 s. 76.]</w:t>
      </w:r>
    </w:p>
    <w:p>
      <w:pPr>
        <w:pStyle w:val="Heading5"/>
        <w:spacing w:before="280"/>
      </w:pPr>
      <w:bookmarkStart w:id="966" w:name="_Toc148361211"/>
      <w:bookmarkStart w:id="967" w:name="_Toc117608164"/>
      <w:r>
        <w:rPr>
          <w:rStyle w:val="CharSectno"/>
        </w:rPr>
        <w:t>238</w:t>
      </w:r>
      <w:r>
        <w:t>.</w:t>
      </w:r>
      <w:r>
        <w:tab/>
        <w:t>Production of departmental records in legal proceedings</w:t>
      </w:r>
      <w:bookmarkEnd w:id="966"/>
      <w:bookmarkEnd w:id="967"/>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for this subsection: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for this subsection: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No. 35 of 2006 s. 203; No. 26 of 2008 s. 8; No. 49 of 2010 s. 85; No. 18 of 2021 s. 76.]</w:t>
      </w:r>
    </w:p>
    <w:p>
      <w:pPr>
        <w:pStyle w:val="Heading5"/>
      </w:pPr>
      <w:bookmarkStart w:id="968" w:name="_Toc148361212"/>
      <w:bookmarkStart w:id="969" w:name="_Toc117608165"/>
      <w:r>
        <w:rPr>
          <w:rStyle w:val="CharSectno"/>
        </w:rPr>
        <w:t>239</w:t>
      </w:r>
      <w:r>
        <w:t>.</w:t>
      </w:r>
      <w:r>
        <w:tab/>
        <w:t>Objection to disclosure of certain information during legal proceedings</w:t>
      </w:r>
      <w:bookmarkEnd w:id="968"/>
      <w:bookmarkEnd w:id="969"/>
    </w:p>
    <w:p>
      <w:pPr>
        <w:pStyle w:val="Subsection"/>
        <w:keepNext/>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member of a child’s family; or</w:t>
      </w:r>
    </w:p>
    <w:p>
      <w:pPr>
        <w:pStyle w:val="Indenta"/>
      </w:pPr>
      <w:r>
        <w:tab/>
        <w:t>(c)</w:t>
      </w:r>
      <w:r>
        <w:tab/>
        <w:t>it is information personal to a child, a member of a child’s family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Footnotesection"/>
      </w:pPr>
      <w:r>
        <w:tab/>
        <w:t>[Section 239 amended: No. 18 of 2021 s. 71.]</w:t>
      </w:r>
    </w:p>
    <w:p>
      <w:pPr>
        <w:pStyle w:val="Heading5"/>
      </w:pPr>
      <w:bookmarkStart w:id="970" w:name="_Toc148361213"/>
      <w:bookmarkStart w:id="971" w:name="_Toc117608166"/>
      <w:r>
        <w:rPr>
          <w:rStyle w:val="CharSectno"/>
        </w:rPr>
        <w:t>240</w:t>
      </w:r>
      <w:r>
        <w:t>.</w:t>
      </w:r>
      <w:r>
        <w:tab/>
        <w:t>Restrictions on disclosing notifier’s identity</w:t>
      </w:r>
      <w:bookmarkEnd w:id="970"/>
      <w:bookmarkEnd w:id="971"/>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keepNex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keepNext/>
      </w:pPr>
      <w:r>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pPr>
      <w:r>
        <w:tab/>
        <w:t>(iv)</w:t>
      </w:r>
      <w:r>
        <w:tab/>
        <w:t xml:space="preserve">for the purpose of, or in connection with, the prosecution of an offence under — </w:t>
      </w:r>
    </w:p>
    <w:p>
      <w:pPr>
        <w:pStyle w:val="IndentI0"/>
      </w:pPr>
      <w:r>
        <w:tab/>
        <w:t>(I)</w:t>
      </w:r>
      <w:r>
        <w:tab/>
        <w:t>this subsection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for this subsection: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No. 26 of 2008 s. 9; No. 49 of 2010 s. 79 and 85; No. 18 of 2021 s. 76.]</w:t>
      </w:r>
    </w:p>
    <w:p>
      <w:pPr>
        <w:pStyle w:val="Heading5"/>
      </w:pPr>
      <w:bookmarkStart w:id="972" w:name="_Toc148361214"/>
      <w:bookmarkStart w:id="973" w:name="_Toc117608167"/>
      <w:r>
        <w:rPr>
          <w:rStyle w:val="CharSectno"/>
        </w:rPr>
        <w:t>241</w:t>
      </w:r>
      <w:r>
        <w:t>.</w:t>
      </w:r>
      <w:r>
        <w:tab/>
        <w:t>Restrictions on disclosing information obtained under this Act</w:t>
      </w:r>
      <w:bookmarkEnd w:id="972"/>
      <w:bookmarkEnd w:id="973"/>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for this subsection: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No. 26 of 2008 s. 10; No. 49 of 2010 s. 85; No. 18 of 2021 s. 76.]</w:t>
      </w:r>
    </w:p>
    <w:p>
      <w:pPr>
        <w:pStyle w:val="Heading2"/>
      </w:pPr>
      <w:bookmarkStart w:id="974" w:name="_Toc148348787"/>
      <w:bookmarkStart w:id="975" w:name="_Toc148358571"/>
      <w:bookmarkStart w:id="976" w:name="_Toc148361215"/>
      <w:bookmarkStart w:id="977" w:name="_Toc117582830"/>
      <w:bookmarkStart w:id="978" w:name="_Toc117584644"/>
      <w:bookmarkStart w:id="979" w:name="_Toc117585814"/>
      <w:bookmarkStart w:id="980" w:name="_Toc117608168"/>
      <w:r>
        <w:rPr>
          <w:rStyle w:val="CharPartNo"/>
        </w:rPr>
        <w:t>Part 10A</w:t>
      </w:r>
      <w:r>
        <w:t> — </w:t>
      </w:r>
      <w:r>
        <w:rPr>
          <w:rStyle w:val="CharPartText"/>
        </w:rPr>
        <w:t>Enforcement</w:t>
      </w:r>
      <w:bookmarkEnd w:id="974"/>
      <w:bookmarkEnd w:id="975"/>
      <w:bookmarkEnd w:id="976"/>
      <w:bookmarkEnd w:id="977"/>
      <w:bookmarkEnd w:id="978"/>
      <w:bookmarkEnd w:id="979"/>
      <w:bookmarkEnd w:id="980"/>
    </w:p>
    <w:p>
      <w:pPr>
        <w:pStyle w:val="Footnoteheading"/>
      </w:pPr>
      <w:r>
        <w:tab/>
        <w:t>[Heading inserted: No. 18 of 2021 s. 72.]</w:t>
      </w:r>
    </w:p>
    <w:p>
      <w:pPr>
        <w:pStyle w:val="Heading3"/>
      </w:pPr>
      <w:bookmarkStart w:id="981" w:name="_Toc148348788"/>
      <w:bookmarkStart w:id="982" w:name="_Toc148358572"/>
      <w:bookmarkStart w:id="983" w:name="_Toc148361216"/>
      <w:bookmarkStart w:id="984" w:name="_Toc117582831"/>
      <w:bookmarkStart w:id="985" w:name="_Toc117584645"/>
      <w:bookmarkStart w:id="986" w:name="_Toc117585815"/>
      <w:bookmarkStart w:id="987" w:name="_Toc117608169"/>
      <w:r>
        <w:rPr>
          <w:rStyle w:val="CharDivNo"/>
        </w:rPr>
        <w:t>Division 1</w:t>
      </w:r>
      <w:r>
        <w:t> — </w:t>
      </w:r>
      <w:r>
        <w:rPr>
          <w:rStyle w:val="CharDivText"/>
        </w:rPr>
        <w:t>Preliminary</w:t>
      </w:r>
      <w:bookmarkEnd w:id="981"/>
      <w:bookmarkEnd w:id="982"/>
      <w:bookmarkEnd w:id="983"/>
      <w:bookmarkEnd w:id="984"/>
      <w:bookmarkEnd w:id="985"/>
      <w:bookmarkEnd w:id="986"/>
      <w:bookmarkEnd w:id="987"/>
    </w:p>
    <w:p>
      <w:pPr>
        <w:pStyle w:val="Footnoteheading"/>
      </w:pPr>
      <w:r>
        <w:tab/>
        <w:t>[Heading inserted: No. 18 of 2021 s. 72.]</w:t>
      </w:r>
    </w:p>
    <w:p>
      <w:pPr>
        <w:pStyle w:val="Heading5"/>
      </w:pPr>
      <w:bookmarkStart w:id="988" w:name="_Toc148361217"/>
      <w:bookmarkStart w:id="989" w:name="_Toc117608170"/>
      <w:r>
        <w:rPr>
          <w:rStyle w:val="CharSectno"/>
        </w:rPr>
        <w:t>241A</w:t>
      </w:r>
      <w:r>
        <w:t>.</w:t>
      </w:r>
      <w:r>
        <w:tab/>
        <w:t>Terms used</w:t>
      </w:r>
      <w:bookmarkEnd w:id="988"/>
      <w:bookmarkEnd w:id="989"/>
    </w:p>
    <w:p>
      <w:pPr>
        <w:pStyle w:val="Subsection"/>
      </w:pPr>
      <w:r>
        <w:tab/>
      </w:r>
      <w:r>
        <w:tab/>
        <w:t>In this Part —</w:t>
      </w:r>
    </w:p>
    <w:p>
      <w:pPr>
        <w:pStyle w:val="Defstart"/>
      </w:pPr>
      <w:r>
        <w:tab/>
      </w:r>
      <w:r>
        <w:rPr>
          <w:rStyle w:val="CharDefText"/>
        </w:rPr>
        <w:t>authorised purpose</w:t>
      </w:r>
      <w:r>
        <w:t xml:space="preserve"> means —</w:t>
      </w:r>
    </w:p>
    <w:p>
      <w:pPr>
        <w:pStyle w:val="Defpara"/>
      </w:pPr>
      <w:r>
        <w:tab/>
        <w:t>(a)</w:t>
      </w:r>
      <w:r>
        <w:tab/>
        <w:t>for an authorised officer — investigating a suspected offence under this Act; or</w:t>
      </w:r>
    </w:p>
    <w:p>
      <w:pPr>
        <w:pStyle w:val="Defpara"/>
      </w:pPr>
      <w:r>
        <w:tab/>
        <w:t>(b)</w:t>
      </w:r>
      <w:r>
        <w:tab/>
        <w:t>for an industrial inspector or an authorised officer designated under section 25 as an authorised officer for Part 7 — investigating a suspected offence under that Part or monitoring compliance with that Part;</w:t>
      </w:r>
    </w:p>
    <w:p>
      <w:pPr>
        <w:pStyle w:val="Defstart"/>
      </w:pPr>
      <w:r>
        <w:tab/>
      </w:r>
      <w:r>
        <w:rPr>
          <w:rStyle w:val="CharDefText"/>
        </w:rPr>
        <w:t>entry warrant</w:t>
      </w:r>
      <w:r>
        <w:t xml:space="preserve"> has the meaning given in section 241L;</w:t>
      </w:r>
    </w:p>
    <w:p>
      <w:pPr>
        <w:pStyle w:val="Defstart"/>
      </w:pPr>
      <w:r>
        <w:tab/>
      </w:r>
      <w:r>
        <w:rPr>
          <w:rStyle w:val="CharDefText"/>
        </w:rPr>
        <w:t>magistrate</w:t>
      </w:r>
      <w:r>
        <w:t xml:space="preserve"> means a magistrate of the Court or a magistrate of the Magistrates Court;</w:t>
      </w:r>
    </w:p>
    <w:p>
      <w:pPr>
        <w:pStyle w:val="Defstart"/>
      </w:pPr>
      <w:r>
        <w:tab/>
      </w:r>
      <w:r>
        <w:rPr>
          <w:rStyle w:val="CharDefText"/>
        </w:rPr>
        <w:t>record</w:t>
      </w:r>
      <w:r>
        <w:t xml:space="preserve"> means a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relevant record</w:t>
      </w:r>
      <w:r>
        <w:t xml:space="preserve"> means a record or document that — </w:t>
      </w:r>
    </w:p>
    <w:p>
      <w:pPr>
        <w:pStyle w:val="Defpara"/>
      </w:pPr>
      <w:r>
        <w:tab/>
        <w:t>(a)</w:t>
      </w:r>
      <w:r>
        <w:tab/>
        <w:t>is required to be kept under this Act; or</w:t>
      </w:r>
    </w:p>
    <w:p>
      <w:pPr>
        <w:pStyle w:val="Defpara"/>
      </w:pPr>
      <w:r>
        <w:tab/>
        <w:t>(b)</w:t>
      </w:r>
      <w:r>
        <w:tab/>
        <w:t>contains information that is or may be relevant to an offence under this Act.</w:t>
      </w:r>
    </w:p>
    <w:p>
      <w:pPr>
        <w:pStyle w:val="Footnotesection"/>
      </w:pPr>
      <w:r>
        <w:tab/>
        <w:t>[Section 241A inserted: No. 18 of 2021 s. 72.]</w:t>
      </w:r>
    </w:p>
    <w:p>
      <w:pPr>
        <w:pStyle w:val="Heading5"/>
      </w:pPr>
      <w:bookmarkStart w:id="990" w:name="_Toc148361218"/>
      <w:bookmarkStart w:id="991" w:name="_Toc117608171"/>
      <w:r>
        <w:rPr>
          <w:rStyle w:val="CharSectno"/>
        </w:rPr>
        <w:t>241B</w:t>
      </w:r>
      <w:r>
        <w:t>.</w:t>
      </w:r>
      <w:r>
        <w:tab/>
        <w:t>Application of Part</w:t>
      </w:r>
      <w:bookmarkEnd w:id="990"/>
      <w:bookmarkEnd w:id="991"/>
    </w:p>
    <w:p>
      <w:pPr>
        <w:pStyle w:val="Subsection"/>
      </w:pPr>
      <w:r>
        <w:tab/>
        <w:t>(1)</w:t>
      </w:r>
      <w:r>
        <w:tab/>
        <w:t xml:space="preserve">The powers conferred by this Part on an industrial inspector are in addition to, and do not limit, the powers conferred by the </w:t>
      </w:r>
      <w:r>
        <w:rPr>
          <w:i/>
        </w:rPr>
        <w:t>Industrial Relations Act 1979</w:t>
      </w:r>
      <w:r>
        <w:t>.</w:t>
      </w:r>
    </w:p>
    <w:p>
      <w:pPr>
        <w:pStyle w:val="Subsection"/>
      </w:pPr>
      <w:r>
        <w:tab/>
        <w:t>(2)</w:t>
      </w:r>
      <w:r>
        <w:tab/>
        <w:t xml:space="preserve">The powers conferred by this Part may be exercised in relation to a suspected offence under this Act, or other conduct, whether occurring before or after the commencement of the </w:t>
      </w:r>
      <w:r>
        <w:rPr>
          <w:i/>
        </w:rPr>
        <w:t xml:space="preserve">Children and Community Services Amendment Act 2021 </w:t>
      </w:r>
      <w:r>
        <w:t>section 72.</w:t>
      </w:r>
    </w:p>
    <w:p>
      <w:pPr>
        <w:pStyle w:val="Footnotesection"/>
      </w:pPr>
      <w:r>
        <w:tab/>
        <w:t>[Section 241B inserted: No. 18 of 2021 s. 72.]</w:t>
      </w:r>
    </w:p>
    <w:p>
      <w:pPr>
        <w:pStyle w:val="Heading3"/>
      </w:pPr>
      <w:bookmarkStart w:id="992" w:name="_Toc148348791"/>
      <w:bookmarkStart w:id="993" w:name="_Toc148358575"/>
      <w:bookmarkStart w:id="994" w:name="_Toc148361219"/>
      <w:bookmarkStart w:id="995" w:name="_Toc117582834"/>
      <w:bookmarkStart w:id="996" w:name="_Toc117584648"/>
      <w:bookmarkStart w:id="997" w:name="_Toc117585818"/>
      <w:bookmarkStart w:id="998" w:name="_Toc117608172"/>
      <w:r>
        <w:rPr>
          <w:rStyle w:val="CharDivNo"/>
        </w:rPr>
        <w:t>Division 2</w:t>
      </w:r>
      <w:r>
        <w:t> — </w:t>
      </w:r>
      <w:r>
        <w:rPr>
          <w:rStyle w:val="CharDivText"/>
        </w:rPr>
        <w:t>General powers</w:t>
      </w:r>
      <w:bookmarkEnd w:id="992"/>
      <w:bookmarkEnd w:id="993"/>
      <w:bookmarkEnd w:id="994"/>
      <w:bookmarkEnd w:id="995"/>
      <w:bookmarkEnd w:id="996"/>
      <w:bookmarkEnd w:id="997"/>
      <w:bookmarkEnd w:id="998"/>
    </w:p>
    <w:p>
      <w:pPr>
        <w:pStyle w:val="Footnoteheading"/>
      </w:pPr>
      <w:r>
        <w:tab/>
        <w:t>[Heading inserted: No. 18 of 2021 s. 72.]</w:t>
      </w:r>
    </w:p>
    <w:p>
      <w:pPr>
        <w:pStyle w:val="Heading5"/>
      </w:pPr>
      <w:bookmarkStart w:id="999" w:name="_Toc148361220"/>
      <w:bookmarkStart w:id="1000" w:name="_Toc117608173"/>
      <w:r>
        <w:rPr>
          <w:rStyle w:val="CharSectno"/>
        </w:rPr>
        <w:t>241C</w:t>
      </w:r>
      <w:r>
        <w:t>.</w:t>
      </w:r>
      <w:r>
        <w:tab/>
        <w:t>Entry to places</w:t>
      </w:r>
      <w:bookmarkEnd w:id="999"/>
      <w:bookmarkEnd w:id="1000"/>
    </w:p>
    <w:p>
      <w:pPr>
        <w:pStyle w:val="Subsection"/>
      </w:pPr>
      <w:r>
        <w:tab/>
        <w:t>(1)</w:t>
      </w:r>
      <w:r>
        <w:tab/>
        <w:t xml:space="preserve">An authorised officer or industrial inspector may, for an authorised purpose, enter a place if — </w:t>
      </w:r>
    </w:p>
    <w:p>
      <w:pPr>
        <w:pStyle w:val="Indenta"/>
      </w:pPr>
      <w:r>
        <w:tab/>
        <w:t>(a)</w:t>
      </w:r>
      <w:r>
        <w:tab/>
        <w:t>its occupier gives informed consent to the entry; or</w:t>
      </w:r>
    </w:p>
    <w:p>
      <w:pPr>
        <w:pStyle w:val="Indenta"/>
      </w:pPr>
      <w:r>
        <w:tab/>
        <w:t>(b)</w:t>
      </w:r>
      <w:r>
        <w:tab/>
        <w:t>the entry is authorised by an entry warrant.</w:t>
      </w:r>
    </w:p>
    <w:p>
      <w:pPr>
        <w:pStyle w:val="Subsection"/>
      </w:pPr>
      <w:r>
        <w:tab/>
        <w:t>(2)</w:t>
      </w:r>
      <w:r>
        <w:tab/>
        <w:t xml:space="preserve">An occupier gives informed consent to entry to a place if the occupier gives consent after being informed by an authorised officer or industrial inspector — </w:t>
      </w:r>
    </w:p>
    <w:p>
      <w:pPr>
        <w:pStyle w:val="Indenta"/>
      </w:pPr>
      <w:r>
        <w:tab/>
        <w:t>(a)</w:t>
      </w:r>
      <w:r>
        <w:tab/>
        <w:t>of the powers the officer or inspector wants to exercise in respect of the place; and</w:t>
      </w:r>
    </w:p>
    <w:p>
      <w:pPr>
        <w:pStyle w:val="Indenta"/>
      </w:pPr>
      <w:r>
        <w:tab/>
        <w:t>(b)</w:t>
      </w:r>
      <w:r>
        <w:tab/>
        <w:t>of the reasons why the officer or inspector wants to exercise those powers; and</w:t>
      </w:r>
    </w:p>
    <w:p>
      <w:pPr>
        <w:pStyle w:val="Indenta"/>
      </w:pPr>
      <w:r>
        <w:tab/>
        <w:t>(c)</w:t>
      </w:r>
      <w:r>
        <w:tab/>
        <w:t>that the occupier can refuse to consent to the officer or inspector entering the place.</w:t>
      </w:r>
    </w:p>
    <w:p>
      <w:pPr>
        <w:pStyle w:val="Subsection"/>
      </w:pPr>
      <w:r>
        <w:tab/>
        <w:t>(3)</w:t>
      </w:r>
      <w:r>
        <w:tab/>
        <w:t>To investigate a suspected offence under Part 7 or monitor compliance with that Part, an authorised officer or industrial inspector may, at any reasonable time, enter a place in which —</w:t>
      </w:r>
    </w:p>
    <w:p>
      <w:pPr>
        <w:pStyle w:val="Indenta"/>
      </w:pPr>
      <w:r>
        <w:tab/>
        <w:t>(a)</w:t>
      </w:r>
      <w:r>
        <w:tab/>
        <w:t>a child is employed; or</w:t>
      </w:r>
    </w:p>
    <w:p>
      <w:pPr>
        <w:pStyle w:val="Indenta"/>
      </w:pPr>
      <w:r>
        <w:tab/>
        <w:t>(b)</w:t>
      </w:r>
      <w:r>
        <w:tab/>
        <w:t>the officer or inspector believes on reasonable grounds a child is, or may in the future be, employed.</w:t>
      </w:r>
    </w:p>
    <w:p>
      <w:pPr>
        <w:pStyle w:val="Subsection"/>
      </w:pPr>
      <w:r>
        <w:tab/>
        <w:t>(4)</w:t>
      </w:r>
      <w:r>
        <w:tab/>
        <w:t>Entry to a place under subsection (3) may be without informed consent of its occupier or an entry warrant.</w:t>
      </w:r>
    </w:p>
    <w:p>
      <w:pPr>
        <w:pStyle w:val="Footnotesection"/>
      </w:pPr>
      <w:r>
        <w:tab/>
        <w:t>[Section 241C inserted: No. 18 of 2021 s. 72.]</w:t>
      </w:r>
    </w:p>
    <w:p>
      <w:pPr>
        <w:pStyle w:val="Heading5"/>
      </w:pPr>
      <w:bookmarkStart w:id="1001" w:name="_Toc148361221"/>
      <w:bookmarkStart w:id="1002" w:name="_Toc117608174"/>
      <w:r>
        <w:rPr>
          <w:rStyle w:val="CharSectno"/>
        </w:rPr>
        <w:t>241D</w:t>
      </w:r>
      <w:r>
        <w:t>.</w:t>
      </w:r>
      <w:r>
        <w:tab/>
        <w:t>Powers after entering place</w:t>
      </w:r>
      <w:bookmarkEnd w:id="1001"/>
      <w:bookmarkEnd w:id="1002"/>
    </w:p>
    <w:p>
      <w:pPr>
        <w:pStyle w:val="Subsection"/>
      </w:pPr>
      <w:r>
        <w:tab/>
      </w:r>
      <w:r>
        <w:tab/>
        <w:t xml:space="preserve">An authorised officer or industrial inspector who enters a place under section 241C may, for an authorised purpose,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measure, test, photograph or film any part of the place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that is or may afford evidence of an offence under this Act;</w:t>
      </w:r>
    </w:p>
    <w:p>
      <w:pPr>
        <w:pStyle w:val="Indenta"/>
      </w:pPr>
      <w:r>
        <w:tab/>
        <w:t>(h)</w:t>
      </w:r>
      <w:r>
        <w:tab/>
        <w:t>direct (orally or in writing) the occupier of the place, or a person at the place, to give the officer or inspector such assistance as the officer or inspector reasonably requires.</w:t>
      </w:r>
    </w:p>
    <w:p>
      <w:pPr>
        <w:pStyle w:val="Footnotesection"/>
      </w:pPr>
      <w:r>
        <w:tab/>
        <w:t>[Section 241D inserted: No. 18 of 2021 s. 72.]</w:t>
      </w:r>
    </w:p>
    <w:p>
      <w:pPr>
        <w:pStyle w:val="Heading5"/>
      </w:pPr>
      <w:bookmarkStart w:id="1003" w:name="_Toc148361222"/>
      <w:bookmarkStart w:id="1004" w:name="_Toc117608175"/>
      <w:r>
        <w:rPr>
          <w:rStyle w:val="CharSectno"/>
        </w:rPr>
        <w:t>241E</w:t>
      </w:r>
      <w:r>
        <w:t>.</w:t>
      </w:r>
      <w:r>
        <w:tab/>
        <w:t>Directions to provide information or documents</w:t>
      </w:r>
      <w:bookmarkEnd w:id="1003"/>
      <w:bookmarkEnd w:id="1004"/>
    </w:p>
    <w:p>
      <w:pPr>
        <w:pStyle w:val="Subsection"/>
        <w:keepNext/>
      </w:pPr>
      <w:r>
        <w:tab/>
        <w:t>(1)</w:t>
      </w:r>
      <w:r>
        <w:tab/>
        <w:t xml:space="preserve">An authorised officer or industrial inspector may, for an authorised purpose, do any of the following — </w:t>
      </w:r>
    </w:p>
    <w:p>
      <w:pPr>
        <w:pStyle w:val="Indenta"/>
        <w:keepNext/>
      </w:pPr>
      <w:r>
        <w:tab/>
        <w:t>(a)</w:t>
      </w:r>
      <w:r>
        <w:tab/>
        <w:t>direct a person — </w:t>
      </w:r>
    </w:p>
    <w:p>
      <w:pPr>
        <w:pStyle w:val="Indenti"/>
      </w:pPr>
      <w:r>
        <w:tab/>
        <w:t>(i)</w:t>
      </w:r>
      <w:r>
        <w:tab/>
        <w:t>to give information; or</w:t>
      </w:r>
    </w:p>
    <w:p>
      <w:pPr>
        <w:pStyle w:val="Indenti"/>
      </w:pPr>
      <w:r>
        <w:tab/>
        <w:t>(ii)</w:t>
      </w:r>
      <w:r>
        <w:tab/>
        <w:t>to answer a question put to the person;</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is to be given; and</w:t>
      </w:r>
    </w:p>
    <w:p>
      <w:pPr>
        <w:pStyle w:val="Indenta"/>
      </w:pPr>
      <w:r>
        <w:tab/>
        <w:t>(b)</w:t>
      </w:r>
      <w:r>
        <w:tab/>
        <w:t xml:space="preserve">may require that the information or answer — </w:t>
      </w:r>
    </w:p>
    <w:p>
      <w:pPr>
        <w:pStyle w:val="Indenti"/>
      </w:pPr>
      <w:r>
        <w:tab/>
        <w:t>(i)</w:t>
      </w:r>
      <w:r>
        <w:tab/>
        <w:t>be given orally or in writing; and</w:t>
      </w:r>
    </w:p>
    <w:p>
      <w:pPr>
        <w:pStyle w:val="Indenti"/>
      </w:pPr>
      <w:r>
        <w:tab/>
        <w:t>(ii)</w:t>
      </w:r>
      <w:r>
        <w:tab/>
        <w:t>be given at, or sent or delivered to, a place specified in the direction; and</w:t>
      </w:r>
    </w:p>
    <w:p>
      <w:pPr>
        <w:pStyle w:val="Indenti"/>
      </w:pPr>
      <w:r>
        <w:tab/>
        <w:t>(iii)</w:t>
      </w:r>
      <w:r>
        <w:tab/>
        <w:t>in the case of written information or a written answer, be sent or delivered by a means specified in the direction; and</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specify the time at or within which the record or document is to be produced; and</w:t>
      </w:r>
    </w:p>
    <w:p>
      <w:pPr>
        <w:pStyle w:val="Indenta"/>
      </w:pPr>
      <w:r>
        <w:tab/>
        <w:t>(b)</w:t>
      </w:r>
      <w:r>
        <w:tab/>
        <w:t xml:space="preserve">may require that the record or document be produced — </w:t>
      </w:r>
    </w:p>
    <w:p>
      <w:pPr>
        <w:pStyle w:val="Indenti"/>
      </w:pPr>
      <w:r>
        <w:tab/>
        <w:t>(i)</w:t>
      </w:r>
      <w:r>
        <w:tab/>
        <w:t>at a place specified in the direction; and</w:t>
      </w:r>
    </w:p>
    <w:p>
      <w:pPr>
        <w:pStyle w:val="Indenti"/>
      </w:pPr>
      <w:r>
        <w:tab/>
        <w:t>(ii)</w:t>
      </w:r>
      <w:r>
        <w:tab/>
        <w:t>by a means specified in the direction.</w:t>
      </w:r>
    </w:p>
    <w:p>
      <w:pPr>
        <w:pStyle w:val="Subsection"/>
      </w:pPr>
      <w:r>
        <w:tab/>
        <w:t>(4)</w:t>
      </w:r>
      <w:r>
        <w:tab/>
        <w:t>A person is not excused from complying with a direction under this section to give information, answer a question or produce a record or document on the ground that complying with the direction might tend to incriminate the person or render the person liable to a penalty.</w:t>
      </w:r>
    </w:p>
    <w:p>
      <w:pPr>
        <w:pStyle w:val="Subsection"/>
      </w:pPr>
      <w:r>
        <w:tab/>
        <w:t>(5)</w:t>
      </w:r>
      <w:r>
        <w:tab/>
        <w:t>However, any information or answer given by an individual in compliance with such a direction is not admissible in evidence against the individual in criminal or civil proceedings other than proceedings for perjury or for an offence under section 244.</w:t>
      </w:r>
    </w:p>
    <w:p>
      <w:pPr>
        <w:pStyle w:val="Subsection"/>
      </w:pPr>
      <w:r>
        <w:tab/>
        <w:t>(6)</w:t>
      </w:r>
      <w:r>
        <w:tab/>
        <w:t>In giving a direction to a person under this section, an authorised officer or industrial inspector must explain to the person that it is an offence to contravene the direction and the effect of subsections (4) and (5).</w:t>
      </w:r>
    </w:p>
    <w:p>
      <w:pPr>
        <w:pStyle w:val="Subsection"/>
      </w:pPr>
      <w:r>
        <w:tab/>
        <w:t>(7)</w:t>
      </w:r>
      <w:r>
        <w:tab/>
        <w:t>A direction under this section may be given orally or in writing.</w:t>
      </w:r>
    </w:p>
    <w:p>
      <w:pPr>
        <w:pStyle w:val="Footnotesection"/>
      </w:pPr>
      <w:r>
        <w:tab/>
        <w:t>[Section 241E inserted: No. 18 of 2021 s. 72.]</w:t>
      </w:r>
    </w:p>
    <w:p>
      <w:pPr>
        <w:pStyle w:val="Heading5"/>
      </w:pPr>
      <w:bookmarkStart w:id="1005" w:name="_Toc148361223"/>
      <w:bookmarkStart w:id="1006" w:name="_Toc117608176"/>
      <w:r>
        <w:rPr>
          <w:rStyle w:val="CharSectno"/>
        </w:rPr>
        <w:t>241F</w:t>
      </w:r>
      <w:r>
        <w:t>.</w:t>
      </w:r>
      <w:r>
        <w:tab/>
        <w:t>Additional powers for relevant records</w:t>
      </w:r>
      <w:bookmarkEnd w:id="1005"/>
      <w:bookmarkEnd w:id="1006"/>
    </w:p>
    <w:p>
      <w:pPr>
        <w:pStyle w:val="Subsection"/>
      </w:pPr>
      <w:r>
        <w:tab/>
      </w:r>
      <w:r>
        <w:tab/>
        <w:t xml:space="preserve">An authorised officer or industrial inspector may, for an authorised purpose, do any of the following — </w:t>
      </w:r>
    </w:p>
    <w:p>
      <w:pPr>
        <w:pStyle w:val="Indenta"/>
      </w:pPr>
      <w:r>
        <w:tab/>
        <w:t>(a)</w:t>
      </w:r>
      <w:r>
        <w:tab/>
        <w:t>operate a computer or other thing on which the officer or inspector suspects on reasonable grounds a relevant record is or may be stored or direct a person who has the custody or control of the computer or thing to do so;</w:t>
      </w:r>
    </w:p>
    <w:p>
      <w:pPr>
        <w:pStyle w:val="Indenta"/>
      </w:pPr>
      <w:r>
        <w:tab/>
        <w:t>(b)</w:t>
      </w:r>
      <w:r>
        <w:tab/>
        <w:t>direct (orally or in writing) a person who is or appears to be in control of a record or document that the officer or inspector suspects on reasonable grounds is a relevant record to give the officer or inspector a translation, code, password or other information necessary to gain access to or interpret and understand the record or document;</w:t>
      </w:r>
    </w:p>
    <w:p>
      <w:pPr>
        <w:pStyle w:val="Indenta"/>
      </w:pPr>
      <w:r>
        <w:tab/>
        <w:t>(c)</w:t>
      </w:r>
      <w:r>
        <w:tab/>
        <w:t>make a copy of or take an extract from, or download or print out, or photograph or film, a record or document that the officer or inspector suspects on reasonable grounds is a relevant record;</w:t>
      </w:r>
    </w:p>
    <w:p>
      <w:pPr>
        <w:pStyle w:val="Indenta"/>
      </w:pPr>
      <w:r>
        <w:tab/>
        <w:t>(d)</w:t>
      </w:r>
      <w:r>
        <w:tab/>
        <w:t>seize a record or document that the officer or inspector suspects on reasonable grounds is a relevant record and retain it for as long as is necessary for the purposes of this Act;</w:t>
      </w:r>
    </w:p>
    <w:p>
      <w:pPr>
        <w:pStyle w:val="Indenta"/>
      </w:pPr>
      <w:r>
        <w:tab/>
        <w:t>(e)</w:t>
      </w:r>
      <w:r>
        <w:tab/>
        <w:t>seize a computer or other thing on which the officer or inspector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Footnotesection"/>
      </w:pPr>
      <w:r>
        <w:tab/>
        <w:t>[Section 241F inserted: No. 18 of 2021 s. 72.]</w:t>
      </w:r>
    </w:p>
    <w:p>
      <w:pPr>
        <w:pStyle w:val="Heading5"/>
      </w:pPr>
      <w:bookmarkStart w:id="1007" w:name="_Toc148361224"/>
      <w:bookmarkStart w:id="1008" w:name="_Toc117608177"/>
      <w:r>
        <w:rPr>
          <w:rStyle w:val="CharSectno"/>
        </w:rPr>
        <w:t>241G</w:t>
      </w:r>
      <w:r>
        <w:t>.</w:t>
      </w:r>
      <w:r>
        <w:tab/>
        <w:t>Contravention of directions</w:t>
      </w:r>
      <w:bookmarkEnd w:id="1007"/>
      <w:bookmarkEnd w:id="1008"/>
      <w:r>
        <w:t xml:space="preserve"> </w:t>
      </w:r>
    </w:p>
    <w:p>
      <w:pPr>
        <w:pStyle w:val="Subsection"/>
      </w:pPr>
      <w:r>
        <w:tab/>
      </w:r>
      <w:r>
        <w:tab/>
        <w:t>A person who, without reasonable excuse, fails to comply with a direction given to the person under this Division commits an offence.</w:t>
      </w:r>
    </w:p>
    <w:p>
      <w:pPr>
        <w:pStyle w:val="Penstart"/>
      </w:pPr>
      <w:r>
        <w:tab/>
        <w:t>Penalty: a fine of $12 000.</w:t>
      </w:r>
    </w:p>
    <w:p>
      <w:pPr>
        <w:pStyle w:val="Footnotesection"/>
      </w:pPr>
      <w:r>
        <w:tab/>
        <w:t>[Section 241G inserted: No. 18 of 2021 s. 72.]</w:t>
      </w:r>
    </w:p>
    <w:p>
      <w:pPr>
        <w:pStyle w:val="Heading5"/>
      </w:pPr>
      <w:bookmarkStart w:id="1009" w:name="_Toc148361225"/>
      <w:bookmarkStart w:id="1010" w:name="_Toc117608178"/>
      <w:r>
        <w:rPr>
          <w:rStyle w:val="CharSectno"/>
        </w:rPr>
        <w:t>241H</w:t>
      </w:r>
      <w:r>
        <w:t>.</w:t>
      </w:r>
      <w:r>
        <w:tab/>
        <w:t>Exercise of power may be recorded</w:t>
      </w:r>
      <w:bookmarkEnd w:id="1009"/>
      <w:bookmarkEnd w:id="1010"/>
    </w:p>
    <w:p>
      <w:pPr>
        <w:pStyle w:val="Subsection"/>
      </w:pPr>
      <w:r>
        <w:tab/>
      </w:r>
      <w:r>
        <w:tab/>
        <w:t>An authorised officer or industrial inspector may record the exercise of a power under this Division, including by making an audiovisual recording.</w:t>
      </w:r>
    </w:p>
    <w:p>
      <w:pPr>
        <w:pStyle w:val="Footnotesection"/>
      </w:pPr>
      <w:r>
        <w:tab/>
        <w:t>[Section 241H inserted: No. 18 of 2021 s. 72.]</w:t>
      </w:r>
    </w:p>
    <w:p>
      <w:pPr>
        <w:pStyle w:val="Heading5"/>
      </w:pPr>
      <w:bookmarkStart w:id="1011" w:name="_Toc148361226"/>
      <w:bookmarkStart w:id="1012" w:name="_Toc117608179"/>
      <w:r>
        <w:rPr>
          <w:rStyle w:val="CharSectno"/>
        </w:rPr>
        <w:t>241I</w:t>
      </w:r>
      <w:r>
        <w:t>.</w:t>
      </w:r>
      <w:r>
        <w:tab/>
        <w:t>Assistance and use of force to exercise power</w:t>
      </w:r>
      <w:bookmarkEnd w:id="1011"/>
      <w:bookmarkEnd w:id="1012"/>
    </w:p>
    <w:p>
      <w:pPr>
        <w:pStyle w:val="Subsection"/>
      </w:pPr>
      <w:r>
        <w:tab/>
        <w:t>(1)</w:t>
      </w:r>
      <w:r>
        <w:tab/>
        <w:t>An authorised officer or industrial inspector exercising a power under this Division may authorise as many other people to assist in exercising the power as are reasonably necessary in the circumstances.</w:t>
      </w:r>
    </w:p>
    <w:p>
      <w:pPr>
        <w:pStyle w:val="Subsection"/>
      </w:pPr>
      <w:r>
        <w:tab/>
        <w:t>(2)</w:t>
      </w:r>
      <w:r>
        <w:tab/>
        <w:t>In exercising the power, an authorised officer or industrial inspector, and a person authorised under subsection (1) to assist the officer or inspector, may use force that is reasonably necessary in the circumstances.</w:t>
      </w:r>
    </w:p>
    <w:p>
      <w:pPr>
        <w:pStyle w:val="Footnotesection"/>
      </w:pPr>
      <w:r>
        <w:tab/>
        <w:t>[Section 241I inserted: No. 18 of 2021 s. 72.]</w:t>
      </w:r>
    </w:p>
    <w:p>
      <w:pPr>
        <w:pStyle w:val="Heading5"/>
      </w:pPr>
      <w:bookmarkStart w:id="1013" w:name="_Toc148361227"/>
      <w:bookmarkStart w:id="1014" w:name="_Toc117608180"/>
      <w:r>
        <w:rPr>
          <w:rStyle w:val="CharSectno"/>
        </w:rPr>
        <w:t>241J</w:t>
      </w:r>
      <w:r>
        <w:t>.</w:t>
      </w:r>
      <w:r>
        <w:tab/>
        <w:t>Procedure on seizing things</w:t>
      </w:r>
      <w:bookmarkEnd w:id="1013"/>
      <w:bookmarkEnd w:id="1014"/>
    </w:p>
    <w:p>
      <w:pPr>
        <w:pStyle w:val="Subsection"/>
      </w:pPr>
      <w:r>
        <w:tab/>
        <w:t>(1)</w:t>
      </w:r>
      <w:r>
        <w:tab/>
        <w:t>If an authorised officer or industrial inspector seizes any thing under this Division, the officer or inspector must give the person who was in possession of it a receipt for it in the approved form.</w:t>
      </w:r>
    </w:p>
    <w:p>
      <w:pPr>
        <w:pStyle w:val="Subsection"/>
      </w:pPr>
      <w:r>
        <w:tab/>
        <w:t>(2)</w:t>
      </w:r>
      <w:r>
        <w:tab/>
        <w:t>If an authorised officer or industrial inspector seizes any thing under this Division, the officer or inspector must, if practicable, allow a person who is otherwise entitled to possession of it to have reasonable access to it.</w:t>
      </w:r>
    </w:p>
    <w:p>
      <w:pPr>
        <w:pStyle w:val="Subsection"/>
      </w:pPr>
      <w:r>
        <w:tab/>
        <w:t>(3)</w:t>
      </w:r>
      <w:r>
        <w:tab/>
        <w:t>An authorised officer or industrial inspector who seizes any thing under this Division may take reasonable measures to prevent the thing being concealed, lost, damaged or destroyed.</w:t>
      </w:r>
    </w:p>
    <w:p>
      <w:pPr>
        <w:pStyle w:val="Subsection"/>
      </w:pPr>
      <w:r>
        <w:tab/>
        <w:t>(4)</w:t>
      </w:r>
      <w:r>
        <w:tab/>
        <w:t>If it is not practicable to move any thing that has been seized, an authorised officer or industrial inspector may do whatever is reasonably necessary to secure it where it is situated and to notify people that it is under seizure.</w:t>
      </w:r>
    </w:p>
    <w:p>
      <w:pPr>
        <w:pStyle w:val="Subsection"/>
      </w:pPr>
      <w:r>
        <w:tab/>
        <w:t>(5)</w:t>
      </w:r>
      <w:r>
        <w:tab/>
        <w:t>A person must not, without the approval of an authorised officer or industrial inspector, interfere or deal with any thing that the person knows, or ought reasonably to know, has been seized by an authorised officer or industrial inspector.</w:t>
      </w:r>
    </w:p>
    <w:p>
      <w:pPr>
        <w:pStyle w:val="Penstart"/>
      </w:pPr>
      <w:r>
        <w:tab/>
        <w:t>Penalty for this subsection: a fine of $12 000.</w:t>
      </w:r>
    </w:p>
    <w:p>
      <w:pPr>
        <w:pStyle w:val="Footnotesection"/>
      </w:pPr>
      <w:r>
        <w:tab/>
        <w:t>[Section 241J inserted: No. 18 of 2021 s. 72.]</w:t>
      </w:r>
    </w:p>
    <w:p>
      <w:pPr>
        <w:pStyle w:val="Heading5"/>
      </w:pPr>
      <w:bookmarkStart w:id="1015" w:name="_Toc148361228"/>
      <w:bookmarkStart w:id="1016" w:name="_Toc117608181"/>
      <w:r>
        <w:rPr>
          <w:rStyle w:val="CharSectno"/>
        </w:rPr>
        <w:t>241K</w:t>
      </w:r>
      <w:r>
        <w:t>.</w:t>
      </w:r>
      <w:r>
        <w:tab/>
        <w:t xml:space="preserve">Application of </w:t>
      </w:r>
      <w:r>
        <w:rPr>
          <w:i/>
        </w:rPr>
        <w:t>Criminal and Found Property Disposal Act 2006</w:t>
      </w:r>
      <w:bookmarkEnd w:id="1015"/>
      <w:bookmarkEnd w:id="1016"/>
    </w:p>
    <w:p>
      <w:pPr>
        <w:pStyle w:val="Subsection"/>
      </w:pPr>
      <w:r>
        <w:tab/>
        <w:t>(1)</w:t>
      </w:r>
      <w:r>
        <w:tab/>
        <w:t xml:space="preserve">The </w:t>
      </w:r>
      <w:r>
        <w:rPr>
          <w:i/>
        </w:rPr>
        <w:t>Criminal and Found Property Disposal Act 2006</w:t>
      </w:r>
      <w:r>
        <w:t xml:space="preserve"> applies to any thing that is seized under this Division.</w:t>
      </w:r>
    </w:p>
    <w:p>
      <w:pPr>
        <w:pStyle w:val="Subsection"/>
        <w:keepNext/>
      </w:pPr>
      <w:r>
        <w:tab/>
        <w:t>(2)</w:t>
      </w:r>
      <w:r>
        <w:tab/>
        <w:t xml:space="preserve">For the purposes of the </w:t>
      </w:r>
      <w:r>
        <w:rPr>
          <w:i/>
        </w:rPr>
        <w:t>Criminal and Found Property Disposal Act 2006</w:t>
      </w:r>
      <w:r>
        <w:t>, the Department is a prescribed agency.</w:t>
      </w:r>
    </w:p>
    <w:p>
      <w:pPr>
        <w:pStyle w:val="Footnotesection"/>
      </w:pPr>
      <w:r>
        <w:tab/>
        <w:t>[Section 241K inserted: No. 18 of 2021 s. 72.]</w:t>
      </w:r>
    </w:p>
    <w:p>
      <w:pPr>
        <w:pStyle w:val="Heading3"/>
      </w:pPr>
      <w:bookmarkStart w:id="1017" w:name="_Toc148348801"/>
      <w:bookmarkStart w:id="1018" w:name="_Toc148358585"/>
      <w:bookmarkStart w:id="1019" w:name="_Toc148361229"/>
      <w:bookmarkStart w:id="1020" w:name="_Toc117582844"/>
      <w:bookmarkStart w:id="1021" w:name="_Toc117584658"/>
      <w:bookmarkStart w:id="1022" w:name="_Toc117585828"/>
      <w:bookmarkStart w:id="1023" w:name="_Toc117608182"/>
      <w:r>
        <w:rPr>
          <w:rStyle w:val="CharDivNo"/>
        </w:rPr>
        <w:t>Division 3</w:t>
      </w:r>
      <w:r>
        <w:t> — </w:t>
      </w:r>
      <w:r>
        <w:rPr>
          <w:rStyle w:val="CharDivText"/>
        </w:rPr>
        <w:t>Entry warrants</w:t>
      </w:r>
      <w:bookmarkEnd w:id="1017"/>
      <w:bookmarkEnd w:id="1018"/>
      <w:bookmarkEnd w:id="1019"/>
      <w:bookmarkEnd w:id="1020"/>
      <w:bookmarkEnd w:id="1021"/>
      <w:bookmarkEnd w:id="1022"/>
      <w:bookmarkEnd w:id="1023"/>
    </w:p>
    <w:p>
      <w:pPr>
        <w:pStyle w:val="Footnoteheading"/>
        <w:keepNext/>
      </w:pPr>
      <w:r>
        <w:tab/>
        <w:t>[Heading inserted: No. 18 of 2021 s. 72.]</w:t>
      </w:r>
    </w:p>
    <w:p>
      <w:pPr>
        <w:pStyle w:val="Heading5"/>
      </w:pPr>
      <w:bookmarkStart w:id="1024" w:name="_Toc148361230"/>
      <w:bookmarkStart w:id="1025" w:name="_Toc117608183"/>
      <w:r>
        <w:rPr>
          <w:rStyle w:val="CharSectno"/>
        </w:rPr>
        <w:t>241L</w:t>
      </w:r>
      <w:r>
        <w:t>.</w:t>
      </w:r>
      <w:r>
        <w:tab/>
        <w:t>Application for entry warrant</w:t>
      </w:r>
      <w:bookmarkEnd w:id="1024"/>
      <w:bookmarkEnd w:id="1025"/>
    </w:p>
    <w:p>
      <w:pPr>
        <w:pStyle w:val="Subsection"/>
      </w:pPr>
      <w:r>
        <w:tab/>
        <w:t>(1)</w:t>
      </w:r>
      <w:r>
        <w:tab/>
        <w:t xml:space="preserve">An authorised officer or industrial inspector may apply to a magistrate for a warrant (an </w:t>
      </w:r>
      <w:r>
        <w:rPr>
          <w:rStyle w:val="CharDefText"/>
        </w:rPr>
        <w:t>entry warrant</w:t>
      </w:r>
      <w:r>
        <w:t>) authorising the entry of a place for an authorised purpose.</w:t>
      </w:r>
    </w:p>
    <w:p>
      <w:pPr>
        <w:pStyle w:val="Subsection"/>
      </w:pPr>
      <w:r>
        <w:tab/>
        <w:t>(2)</w:t>
      </w:r>
      <w:r>
        <w:tab/>
        <w:t>Subject to this section —</w:t>
      </w:r>
    </w:p>
    <w:p>
      <w:pPr>
        <w:pStyle w:val="Indenta"/>
      </w:pPr>
      <w:r>
        <w:tab/>
        <w:t>(a)</w:t>
      </w:r>
      <w:r>
        <w:tab/>
        <w:t>an application for an entry warrant must be in writing and include the information prescribed by the regulations; and</w:t>
      </w:r>
    </w:p>
    <w:p>
      <w:pPr>
        <w:pStyle w:val="Indenta"/>
      </w:pPr>
      <w:r>
        <w:tab/>
        <w:t>(b)</w:t>
      </w:r>
      <w:r>
        <w:tab/>
        <w:t>the grounds of the application must be verified by affidavit; and</w:t>
      </w:r>
    </w:p>
    <w:p>
      <w:pPr>
        <w:pStyle w:val="Indenta"/>
      </w:pPr>
      <w:r>
        <w:tab/>
        <w:t>(c)</w:t>
      </w:r>
      <w:r>
        <w:tab/>
        <w:t>the applicant must appear in person before the magistrate to provide information in support of the application on oath.</w:t>
      </w:r>
    </w:p>
    <w:p>
      <w:pPr>
        <w:pStyle w:val="Subsection"/>
      </w:pPr>
      <w:r>
        <w:tab/>
        <w:t>(3)</w:t>
      </w:r>
      <w:r>
        <w:tab/>
        <w:t>If the warrant is needed urgently and the applicant reasonably suspects that a magistrate is not available within a reasonable distance of the applicant, an application for an entry warrant may be made by remote communication.</w:t>
      </w:r>
    </w:p>
    <w:p>
      <w:pPr>
        <w:pStyle w:val="Subsection"/>
      </w:pPr>
      <w:r>
        <w:tab/>
        <w:t>(4)</w:t>
      </w:r>
      <w:r>
        <w:tab/>
        <w:t xml:space="preserve">A magistrate must reject an application for an entry warrant made by remote communication unless satisfied that — </w:t>
      </w:r>
    </w:p>
    <w:p>
      <w:pPr>
        <w:pStyle w:val="Indenta"/>
      </w:pPr>
      <w:r>
        <w:tab/>
        <w:t>(a)</w:t>
      </w:r>
      <w:r>
        <w:tab/>
        <w:t>the warrant is needed urgently; and</w:t>
      </w:r>
    </w:p>
    <w:p>
      <w:pPr>
        <w:pStyle w:val="Indenta"/>
      </w:pPr>
      <w:r>
        <w:tab/>
        <w:t>(b)</w:t>
      </w:r>
      <w:r>
        <w:tab/>
        <w:t>a magistrate is not available within a reasonable distance of the applicant.</w:t>
      </w:r>
    </w:p>
    <w:p>
      <w:pPr>
        <w:pStyle w:val="Subsection"/>
        <w:keepNext/>
      </w:pPr>
      <w:r>
        <w:tab/>
        <w:t>(5)</w:t>
      </w:r>
      <w:r>
        <w:tab/>
        <w:t xml:space="preserve">If an application for an entry warrant is made by remote communication and it is not practicable to send the magistrate written material — </w:t>
      </w:r>
    </w:p>
    <w:p>
      <w:pPr>
        <w:pStyle w:val="Indenta"/>
      </w:pPr>
      <w:r>
        <w:tab/>
        <w:t>(a)</w:t>
      </w:r>
      <w:r>
        <w:tab/>
        <w:t>the application may be made orally; and</w:t>
      </w:r>
    </w:p>
    <w:p>
      <w:pPr>
        <w:pStyle w:val="Indenta"/>
      </w:pPr>
      <w:r>
        <w:tab/>
        <w:t>(b)</w:t>
      </w:r>
      <w:r>
        <w:tab/>
        <w:t>the magistrate must make a written record of the application and information given in support of it; and</w:t>
      </w:r>
    </w:p>
    <w:p>
      <w:pPr>
        <w:pStyle w:val="Indenta"/>
      </w:pPr>
      <w:r>
        <w:tab/>
        <w:t>(c)</w:t>
      </w:r>
      <w:r>
        <w:tab/>
        <w:t>if the warrant is issued — the applicant must, as soon as practicable, send the magistrate an affidavit verifying the application and information given in support of it.</w:t>
      </w:r>
    </w:p>
    <w:p>
      <w:pPr>
        <w:pStyle w:val="Footnotesection"/>
      </w:pPr>
      <w:r>
        <w:tab/>
        <w:t>[Section 241L inserted: No. 18 of 2021 s. 72.]</w:t>
      </w:r>
    </w:p>
    <w:p>
      <w:pPr>
        <w:pStyle w:val="Heading5"/>
      </w:pPr>
      <w:bookmarkStart w:id="1026" w:name="_Toc148361231"/>
      <w:bookmarkStart w:id="1027" w:name="_Toc117608184"/>
      <w:r>
        <w:rPr>
          <w:rStyle w:val="CharSectno"/>
        </w:rPr>
        <w:t>241M</w:t>
      </w:r>
      <w:r>
        <w:t>.</w:t>
      </w:r>
      <w:r>
        <w:tab/>
        <w:t>Issue and content of entry warrant</w:t>
      </w:r>
      <w:bookmarkEnd w:id="1026"/>
      <w:bookmarkEnd w:id="1027"/>
    </w:p>
    <w:p>
      <w:pPr>
        <w:pStyle w:val="Subsection"/>
      </w:pPr>
      <w:r>
        <w:tab/>
        <w:t>(1)</w:t>
      </w:r>
      <w:r>
        <w:tab/>
        <w:t>On an application for an entry warrant, a magistrate may issue the warrant if satisfied that it is necessary for an authorised officer or industrial inspector to enter a place for an authorised purpose.</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authorised purpose for which entry to the place is required;</w:t>
      </w:r>
    </w:p>
    <w:p>
      <w:pPr>
        <w:pStyle w:val="Indenta"/>
      </w:pPr>
      <w:r>
        <w:tab/>
        <w:t>(c)</w:t>
      </w:r>
      <w:r>
        <w:tab/>
        <w:t>if the authorised purpose is investigating a suspected offence under this Act — the provision of the Act suspected of being contravened;</w:t>
      </w:r>
    </w:p>
    <w:p>
      <w:pPr>
        <w:pStyle w:val="Indenta"/>
      </w:pPr>
      <w:r>
        <w:tab/>
        <w:t>(d)</w:t>
      </w:r>
      <w:r>
        <w:tab/>
        <w:t>the period, not exceeding 14 days, during which it may be executed;</w:t>
      </w:r>
    </w:p>
    <w:p>
      <w:pPr>
        <w:pStyle w:val="Indenta"/>
      </w:pPr>
      <w:r>
        <w:tab/>
        <w:t>(e)</w:t>
      </w:r>
      <w:r>
        <w:tab/>
        <w:t>the name of the magistrate who issued it;</w:t>
      </w:r>
    </w:p>
    <w:p>
      <w:pPr>
        <w:pStyle w:val="Indenta"/>
      </w:pPr>
      <w:r>
        <w:tab/>
        <w:t>(f)</w:t>
      </w:r>
      <w:r>
        <w:tab/>
        <w:t>the date and time when it was issued.</w:t>
      </w:r>
    </w:p>
    <w:p>
      <w:pPr>
        <w:pStyle w:val="Subsection"/>
      </w:pPr>
      <w:r>
        <w:tab/>
        <w:t>(3)</w:t>
      </w:r>
      <w:r>
        <w:tab/>
        <w:t>An entry warrant must be in the form prescribed by the regulations.</w:t>
      </w:r>
    </w:p>
    <w:p>
      <w:pPr>
        <w:pStyle w:val="Subsection"/>
      </w:pPr>
      <w:r>
        <w:tab/>
        <w:t>(4)</w:t>
      </w:r>
      <w:r>
        <w:tab/>
        <w:t>If a magistrate issues an entry warrant on an application made by remote communication —</w:t>
      </w:r>
    </w:p>
    <w:p>
      <w:pPr>
        <w:pStyle w:val="Indenta"/>
      </w:pPr>
      <w:r>
        <w:tab/>
        <w:t>(a)</w:t>
      </w:r>
      <w:r>
        <w:tab/>
        <w:t>if it is practicable to send a copy of the original warrant to the applicant by remote communication, the magistrate must do so; or</w:t>
      </w:r>
    </w:p>
    <w:p>
      <w:pPr>
        <w:pStyle w:val="Indenta"/>
        <w:keepNext/>
      </w:pPr>
      <w:r>
        <w:tab/>
        <w:t>(b)</w:t>
      </w:r>
      <w:r>
        <w:tab/>
        <w:t xml:space="preserve">if that is not practicable — </w:t>
      </w:r>
    </w:p>
    <w:p>
      <w:pPr>
        <w:pStyle w:val="Indenti"/>
      </w:pPr>
      <w:r>
        <w:tab/>
        <w:t>(i)</w:t>
      </w:r>
      <w:r>
        <w:tab/>
        <w:t>the magistrate must provide the applicant by remote communication with the information that must be set out in the warrant; and</w:t>
      </w:r>
    </w:p>
    <w:p>
      <w:pPr>
        <w:pStyle w:val="Indenti"/>
      </w:pPr>
      <w:r>
        <w:tab/>
        <w:t>(ii)</w:t>
      </w:r>
      <w:r>
        <w:tab/>
        <w:t>the applicant must complete a form of warrant with the information received and give the magistrate a copy of the form as soon as practicable after doing so; and</w:t>
      </w:r>
    </w:p>
    <w:p>
      <w:pPr>
        <w:pStyle w:val="Indenti"/>
      </w:pPr>
      <w:r>
        <w:tab/>
        <w:t>(iii)</w:t>
      </w:r>
      <w:r>
        <w:tab/>
        <w:t>the magistrate must attach the copy of the form to the original warrant and any affidavit received from the applicant and make them available for collection by the applicant.</w:t>
      </w:r>
    </w:p>
    <w:p>
      <w:pPr>
        <w:pStyle w:val="Subsection"/>
      </w:pPr>
      <w:r>
        <w:tab/>
        <w:t>(5)</w:t>
      </w:r>
      <w:r>
        <w:tab/>
        <w:t>The copy of the original warrant sent, or the form of the warrant completed, under subsection (4) has the same force and effect as the original warrant.</w:t>
      </w:r>
    </w:p>
    <w:p>
      <w:pPr>
        <w:pStyle w:val="Footnotesection"/>
      </w:pPr>
      <w:r>
        <w:tab/>
        <w:t>[Section 241M inserted: No. 18 of 2021 s. 72.]</w:t>
      </w:r>
    </w:p>
    <w:p>
      <w:pPr>
        <w:pStyle w:val="Heading5"/>
      </w:pPr>
      <w:bookmarkStart w:id="1028" w:name="_Toc148361232"/>
      <w:bookmarkStart w:id="1029" w:name="_Toc117608185"/>
      <w:r>
        <w:rPr>
          <w:rStyle w:val="CharSectno"/>
        </w:rPr>
        <w:t>241N</w:t>
      </w:r>
      <w:r>
        <w:t>.</w:t>
      </w:r>
      <w:r>
        <w:tab/>
        <w:t>Refusal of entry warrant</w:t>
      </w:r>
      <w:bookmarkEnd w:id="1028"/>
      <w:bookmarkEnd w:id="1029"/>
    </w:p>
    <w:p>
      <w:pPr>
        <w:pStyle w:val="Subsection"/>
      </w:pPr>
      <w:r>
        <w:tab/>
      </w:r>
      <w:r>
        <w:tab/>
        <w:t>If a magistrate refuses to issue an entry warrant, the magistrate must record on the application, or the written record of the application, the fact of, the date and time of, and the reasons for, the refusal.</w:t>
      </w:r>
    </w:p>
    <w:p>
      <w:pPr>
        <w:pStyle w:val="Footnotesection"/>
      </w:pPr>
      <w:r>
        <w:tab/>
        <w:t>[Section 241N inserted: No. 18 of 2021 s. 72.]</w:t>
      </w:r>
    </w:p>
    <w:p>
      <w:pPr>
        <w:pStyle w:val="Heading5"/>
      </w:pPr>
      <w:bookmarkStart w:id="1030" w:name="_Toc148361233"/>
      <w:bookmarkStart w:id="1031" w:name="_Toc117608186"/>
      <w:r>
        <w:rPr>
          <w:rStyle w:val="CharSectno"/>
        </w:rPr>
        <w:t>241O</w:t>
      </w:r>
      <w:r>
        <w:t>.</w:t>
      </w:r>
      <w:r>
        <w:tab/>
        <w:t>Effect of entry warrant</w:t>
      </w:r>
      <w:bookmarkEnd w:id="1030"/>
      <w:bookmarkEnd w:id="1031"/>
    </w:p>
    <w:p>
      <w:pPr>
        <w:pStyle w:val="Subsection"/>
      </w:pPr>
      <w:r>
        <w:tab/>
        <w:t>(1)</w:t>
      </w:r>
      <w:r>
        <w:tab/>
        <w:t>An entry warrant comes into force when it is issued by a magistrate.</w:t>
      </w:r>
    </w:p>
    <w:p>
      <w:pPr>
        <w:pStyle w:val="Subsection"/>
      </w:pPr>
      <w:r>
        <w:tab/>
        <w:t>(2)</w:t>
      </w:r>
      <w:r>
        <w:tab/>
        <w:t>An entry warrant may be executed according to its terms by an authorised officer or industrial inspector entitled to enter the place for the authorised purpose specified in the warrant.</w:t>
      </w:r>
    </w:p>
    <w:p>
      <w:pPr>
        <w:pStyle w:val="Subsection"/>
        <w:keepNext/>
        <w:keepLines/>
      </w:pPr>
      <w:r>
        <w:tab/>
        <w:t>(3)</w:t>
      </w:r>
      <w:r>
        <w:tab/>
        <w:t>However, if an applicant for an entry warrant contravenes section 241L(5)(c) or 241M(4)(b)(ii), evidence obtained under the entry warrant is not admissible in proceedings in a court or tribunal.</w:t>
      </w:r>
    </w:p>
    <w:p>
      <w:pPr>
        <w:pStyle w:val="Footnotesection"/>
      </w:pPr>
      <w:r>
        <w:tab/>
        <w:t>[Section 241O inserted: No. 18 of 2021 s. 72.]</w:t>
      </w:r>
    </w:p>
    <w:p>
      <w:pPr>
        <w:pStyle w:val="Heading2"/>
      </w:pPr>
      <w:bookmarkStart w:id="1032" w:name="_Toc148348806"/>
      <w:bookmarkStart w:id="1033" w:name="_Toc148358590"/>
      <w:bookmarkStart w:id="1034" w:name="_Toc148361234"/>
      <w:bookmarkStart w:id="1035" w:name="_Toc117582849"/>
      <w:bookmarkStart w:id="1036" w:name="_Toc117584663"/>
      <w:bookmarkStart w:id="1037" w:name="_Toc117585833"/>
      <w:bookmarkStart w:id="1038" w:name="_Toc117608187"/>
      <w:r>
        <w:rPr>
          <w:rStyle w:val="CharPartNo"/>
        </w:rPr>
        <w:t>Part 11</w:t>
      </w:r>
      <w:r>
        <w:rPr>
          <w:rStyle w:val="CharDivNo"/>
        </w:rPr>
        <w:t> </w:t>
      </w:r>
      <w:r>
        <w:t>—</w:t>
      </w:r>
      <w:r>
        <w:rPr>
          <w:rStyle w:val="CharDivText"/>
        </w:rPr>
        <w:t> </w:t>
      </w:r>
      <w:r>
        <w:rPr>
          <w:rStyle w:val="CharPartText"/>
        </w:rPr>
        <w:t>Other matters</w:t>
      </w:r>
      <w:bookmarkEnd w:id="1032"/>
      <w:bookmarkEnd w:id="1033"/>
      <w:bookmarkEnd w:id="1034"/>
      <w:bookmarkEnd w:id="1035"/>
      <w:bookmarkEnd w:id="1036"/>
      <w:bookmarkEnd w:id="1037"/>
      <w:bookmarkEnd w:id="1038"/>
    </w:p>
    <w:p>
      <w:pPr>
        <w:pStyle w:val="Heading5"/>
        <w:spacing w:before="180"/>
      </w:pPr>
      <w:bookmarkStart w:id="1039" w:name="_Toc148361235"/>
      <w:bookmarkStart w:id="1040" w:name="_Toc117608188"/>
      <w:r>
        <w:rPr>
          <w:rStyle w:val="CharSectno"/>
        </w:rPr>
        <w:t>242A</w:t>
      </w:r>
      <w:r>
        <w:t>.</w:t>
      </w:r>
      <w:r>
        <w:tab/>
        <w:t>CEO to notify Ombudsman of certain deaths of children</w:t>
      </w:r>
      <w:bookmarkEnd w:id="1039"/>
      <w:bookmarkEnd w:id="1040"/>
    </w:p>
    <w:p>
      <w:pPr>
        <w:pStyle w:val="Subsection"/>
        <w:spacing w:before="120"/>
      </w:pPr>
      <w:r>
        <w:tab/>
        <w:t>(1)</w:t>
      </w:r>
      <w:r>
        <w:tab/>
        <w:t>In this section —</w:t>
      </w:r>
    </w:p>
    <w:p>
      <w:pPr>
        <w:pStyle w:val="Defstart"/>
        <w:spacing w:before="60"/>
      </w:pPr>
      <w:r>
        <w:rPr>
          <w:b/>
        </w:rPr>
        <w:tab/>
      </w:r>
      <w:r>
        <w:rPr>
          <w:rStyle w:val="CharDefText"/>
        </w:rPr>
        <w:t>Commissioner</w:t>
      </w:r>
      <w:r>
        <w:t xml:space="preserve"> has the meaning given in the </w:t>
      </w:r>
      <w:r>
        <w:rPr>
          <w:i/>
        </w:rPr>
        <w:t>Parliamentary Commissioner Act 1971</w:t>
      </w:r>
      <w:r>
        <w:t xml:space="preserve"> section 4;</w:t>
      </w:r>
    </w:p>
    <w:p>
      <w:pPr>
        <w:pStyle w:val="Defstart"/>
        <w:spacing w:before="60"/>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spacing w:before="120"/>
      </w:pPr>
      <w:r>
        <w:tab/>
        <w:t>(2)</w:t>
      </w:r>
      <w:r>
        <w:tab/>
        <w:t>The CEO must give the Commissioner written notice of any investigable death within 14 days after the date on which the Coroner notifies the CEO of the death.</w:t>
      </w:r>
    </w:p>
    <w:p>
      <w:pPr>
        <w:pStyle w:val="Subsection"/>
        <w:spacing w:before="120"/>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spacing w:before="80"/>
        <w:ind w:left="890" w:hanging="890"/>
      </w:pPr>
      <w:r>
        <w:tab/>
        <w:t>[Section 242A inserted: No. 10 of 2009 s. 11.]</w:t>
      </w:r>
    </w:p>
    <w:p>
      <w:pPr>
        <w:pStyle w:val="Heading5"/>
        <w:spacing w:before="180"/>
      </w:pPr>
      <w:bookmarkStart w:id="1041" w:name="_Toc148361236"/>
      <w:bookmarkStart w:id="1042" w:name="_Toc117608189"/>
      <w:r>
        <w:rPr>
          <w:rStyle w:val="CharSectno"/>
        </w:rPr>
        <w:t>242</w:t>
      </w:r>
      <w:r>
        <w:t>.</w:t>
      </w:r>
      <w:r>
        <w:tab/>
        <w:t>Obstruction</w:t>
      </w:r>
      <w:bookmarkEnd w:id="1041"/>
      <w:bookmarkEnd w:id="1042"/>
    </w:p>
    <w:p>
      <w:pPr>
        <w:pStyle w:val="Subsection"/>
        <w:spacing w:before="120"/>
      </w:pPr>
      <w:r>
        <w:tab/>
      </w:r>
      <w:r>
        <w:tab/>
        <w:t>A person must not obstruct or hinder a person who is performing or attempting to perform a function under this Act.</w:t>
      </w:r>
    </w:p>
    <w:p>
      <w:pPr>
        <w:pStyle w:val="Penstart"/>
        <w:spacing w:before="60"/>
      </w:pPr>
      <w:r>
        <w:tab/>
        <w:t>Penalty: a fine of $12 000 and imprisonment for one year.</w:t>
      </w:r>
    </w:p>
    <w:p>
      <w:pPr>
        <w:pStyle w:val="Footnotesection"/>
        <w:spacing w:before="80"/>
        <w:ind w:left="890" w:hanging="890"/>
      </w:pPr>
      <w:r>
        <w:tab/>
        <w:t>[Section 242 amended: No. 49 of 2010 s. 85.]</w:t>
      </w:r>
    </w:p>
    <w:p>
      <w:pPr>
        <w:pStyle w:val="Heading5"/>
        <w:keepLines w:val="0"/>
        <w:spacing w:before="180"/>
      </w:pPr>
      <w:bookmarkStart w:id="1043" w:name="_Toc148361237"/>
      <w:bookmarkStart w:id="1044" w:name="_Toc117608190"/>
      <w:r>
        <w:rPr>
          <w:rStyle w:val="CharSectno"/>
        </w:rPr>
        <w:t>243</w:t>
      </w:r>
      <w:r>
        <w:t>.</w:t>
      </w:r>
      <w:r>
        <w:tab/>
        <w:t>Impersonating assessor, authorised officer or industrial inspector</w:t>
      </w:r>
      <w:bookmarkEnd w:id="1043"/>
      <w:bookmarkEnd w:id="1044"/>
    </w:p>
    <w:p>
      <w:pPr>
        <w:pStyle w:val="Subsection"/>
        <w:keepNext/>
        <w:spacing w:before="120"/>
      </w:pPr>
      <w:r>
        <w:tab/>
      </w:r>
      <w:r>
        <w:tab/>
        <w:t>A person must not falsely represent, by words or conduct, that the person or another person is an assessor, authorised officer or industrial inspector.</w:t>
      </w:r>
    </w:p>
    <w:p>
      <w:pPr>
        <w:pStyle w:val="Penstart"/>
        <w:keepNext/>
      </w:pPr>
      <w:r>
        <w:tab/>
        <w:t>Penalty: a fine of $12 000 and imprisonment for one year.</w:t>
      </w:r>
    </w:p>
    <w:p>
      <w:pPr>
        <w:pStyle w:val="Footnotesection"/>
        <w:spacing w:before="60"/>
        <w:ind w:left="890" w:hanging="890"/>
      </w:pPr>
      <w:r>
        <w:tab/>
        <w:t>[Section 243 amended: No. 49 of 2010 s. 21 and 85; No. 18 of 2021 s. 73.]</w:t>
      </w:r>
    </w:p>
    <w:p>
      <w:pPr>
        <w:pStyle w:val="Heading5"/>
      </w:pPr>
      <w:bookmarkStart w:id="1045" w:name="_Toc148361238"/>
      <w:bookmarkStart w:id="1046" w:name="_Toc117608191"/>
      <w:r>
        <w:rPr>
          <w:rStyle w:val="CharSectno"/>
        </w:rPr>
        <w:t>244</w:t>
      </w:r>
      <w:r>
        <w:t>.</w:t>
      </w:r>
      <w:r>
        <w:tab/>
        <w:t>False information in applications etc.</w:t>
      </w:r>
      <w:bookmarkEnd w:id="1045"/>
      <w:bookmarkEnd w:id="1046"/>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No. 49 of 2010 s. 85.]</w:t>
      </w:r>
    </w:p>
    <w:p>
      <w:pPr>
        <w:pStyle w:val="Heading5"/>
        <w:rPr>
          <w:rStyle w:val="CharSectno"/>
        </w:rPr>
      </w:pPr>
      <w:bookmarkStart w:id="1047" w:name="_Toc148361239"/>
      <w:bookmarkStart w:id="1048" w:name="_Toc117608192"/>
      <w:r>
        <w:rPr>
          <w:rStyle w:val="CharSectno"/>
        </w:rPr>
        <w:t>245.</w:t>
      </w:r>
      <w:r>
        <w:rPr>
          <w:rStyle w:val="CharSectno"/>
        </w:rPr>
        <w:tab/>
        <w:t>Legal proceedings, commencement of</w:t>
      </w:r>
      <w:bookmarkEnd w:id="1047"/>
      <w:bookmarkEnd w:id="1048"/>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keepNext/>
      </w:pPr>
      <w:r>
        <w:tab/>
        <w:t>(3)</w:t>
      </w:r>
      <w:r>
        <w:tab/>
        <w:t>Subsection (1) does not limit the ability of a person to commence or conduct the prosecution of an offence if the person has authority at law to do so.</w:t>
      </w:r>
    </w:p>
    <w:p>
      <w:pPr>
        <w:pStyle w:val="Footnotesection"/>
      </w:pPr>
      <w:r>
        <w:tab/>
        <w:t>[Section 245 amended: No. 84 of 2004 s. 80.]</w:t>
      </w:r>
    </w:p>
    <w:p>
      <w:pPr>
        <w:pStyle w:val="Heading5"/>
      </w:pPr>
      <w:bookmarkStart w:id="1049" w:name="_Toc148361240"/>
      <w:bookmarkStart w:id="1050" w:name="_Toc117608193"/>
      <w:r>
        <w:rPr>
          <w:rStyle w:val="CharSectno"/>
        </w:rPr>
        <w:t>246</w:t>
      </w:r>
      <w:r>
        <w:t>.</w:t>
      </w:r>
      <w:r>
        <w:tab/>
        <w:t>Protection from liability for wrongdoing</w:t>
      </w:r>
      <w:bookmarkEnd w:id="1049"/>
      <w:bookmarkEnd w:id="1050"/>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authorised officer or industrial inspector, assists the officer or inspector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No. 49 of 2010 s. 80; No. 18 of 2021 s. 74.]</w:t>
      </w:r>
    </w:p>
    <w:p>
      <w:pPr>
        <w:pStyle w:val="Heading5"/>
      </w:pPr>
      <w:bookmarkStart w:id="1051" w:name="_Toc148361241"/>
      <w:bookmarkStart w:id="1052" w:name="_Toc117608194"/>
      <w:r>
        <w:rPr>
          <w:rStyle w:val="CharSectno"/>
        </w:rPr>
        <w:t>247</w:t>
      </w:r>
      <w:r>
        <w:t>.</w:t>
      </w:r>
      <w:r>
        <w:tab/>
        <w:t>Effect of provision requiring document to be given to particular person or child</w:t>
      </w:r>
      <w:bookmarkEnd w:id="1051"/>
      <w:bookmarkEnd w:id="1052"/>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keepNext/>
      </w:pPr>
      <w:r>
        <w:tab/>
        <w:t>(2)</w:t>
      </w:r>
      <w:r>
        <w:tab/>
        <w:t>Subsection (1) does not apply if the document is to be given to a party to protection proceedings.</w:t>
      </w:r>
    </w:p>
    <w:p>
      <w:pPr>
        <w:pStyle w:val="PermNoteHeading"/>
      </w:pPr>
      <w:r>
        <w:tab/>
        <w:t>Note for this subsection:</w:t>
      </w:r>
    </w:p>
    <w:p>
      <w:pPr>
        <w:pStyle w:val="PermNoteText"/>
      </w:pPr>
      <w:r>
        <w:tab/>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1053" w:name="_Toc148361242"/>
      <w:bookmarkStart w:id="1054" w:name="_Toc117608195"/>
      <w:r>
        <w:rPr>
          <w:rStyle w:val="CharSectno"/>
        </w:rPr>
        <w:t>248</w:t>
      </w:r>
      <w:r>
        <w:t>.</w:t>
      </w:r>
      <w:r>
        <w:tab/>
        <w:t>Regulations</w:t>
      </w:r>
      <w:bookmarkEnd w:id="1053"/>
      <w:bookmarkEnd w:id="105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1055" w:name="_Toc148361243"/>
      <w:bookmarkStart w:id="1056" w:name="_Toc117608196"/>
      <w:r>
        <w:rPr>
          <w:rStyle w:val="CharSectno"/>
        </w:rPr>
        <w:t>249</w:t>
      </w:r>
      <w:r>
        <w:t>.</w:t>
      </w:r>
      <w:r>
        <w:tab/>
        <w:t>Review of Act</w:t>
      </w:r>
      <w:bookmarkEnd w:id="1055"/>
      <w:bookmarkEnd w:id="1056"/>
    </w:p>
    <w:p>
      <w:pPr>
        <w:pStyle w:val="Subsection"/>
      </w:pPr>
      <w:r>
        <w:tab/>
        <w:t>(1)</w:t>
      </w:r>
      <w:r>
        <w:tab/>
        <w:t>The Minister must review the operation and effectiveness of this Act, and prepare a report based on the review —</w:t>
      </w:r>
    </w:p>
    <w:p>
      <w:pPr>
        <w:pStyle w:val="Indenta"/>
      </w:pPr>
      <w:r>
        <w:tab/>
        <w:t>(a)</w:t>
      </w:r>
      <w:r>
        <w:tab/>
        <w:t>as soon as practicable after the 5</w:t>
      </w:r>
      <w:r>
        <w:rPr>
          <w:vertAlign w:val="superscript"/>
        </w:rPr>
        <w:t>th</w:t>
      </w:r>
      <w:r>
        <w:t xml:space="preserve"> anniversary of the day on which the </w:t>
      </w:r>
      <w:r>
        <w:rPr>
          <w:i/>
        </w:rPr>
        <w:t xml:space="preserve">Children and Community Services Amendment Act 2021 </w:t>
      </w:r>
      <w:r>
        <w:t>section 75 comes into operation; and</w:t>
      </w:r>
    </w:p>
    <w:p>
      <w:pPr>
        <w:pStyle w:val="Indenta"/>
      </w:pPr>
      <w:r>
        <w:tab/>
        <w:t>(b)</w:t>
      </w:r>
      <w:r>
        <w:tab/>
        <w:t>after that, at intervals of not more than 5 years.</w:t>
      </w:r>
    </w:p>
    <w:p>
      <w:pPr>
        <w:pStyle w:val="Subsection"/>
        <w:keepNext/>
      </w:pPr>
      <w:r>
        <w:tab/>
        <w:t>(2)</w:t>
      </w:r>
      <w:r>
        <w:tab/>
        <w:t xml:space="preserve">Without limiting subsection (1), the first review under that subsection must address — </w:t>
      </w:r>
    </w:p>
    <w:p>
      <w:pPr>
        <w:pStyle w:val="Indenta"/>
      </w:pPr>
      <w:r>
        <w:tab/>
        <w:t>(a)</w:t>
      </w:r>
      <w:r>
        <w:tab/>
        <w:t>recommendations 4 and 11 set out in Report 44 of the Standing Committee on Legislation of the Legislative Council; and</w:t>
      </w:r>
    </w:p>
    <w:p>
      <w:pPr>
        <w:pStyle w:val="Indenta"/>
      </w:pPr>
      <w:r>
        <w:tab/>
        <w:t>(b)</w:t>
      </w:r>
      <w:r>
        <w:tab/>
        <w:t>the need for the continuation of section 241E(4) and (5).</w:t>
      </w:r>
    </w:p>
    <w:p>
      <w:pPr>
        <w:pStyle w:val="Subsection"/>
        <w:keepNext/>
      </w:pPr>
      <w:r>
        <w:tab/>
        <w:t>(3)</w:t>
      </w:r>
      <w:r>
        <w:tab/>
        <w:t>The Minister must cause the report to be laid before each House of Parliament as soon as practicable after it is prepared, but not later than 12 months after the 5</w:t>
      </w:r>
      <w:r>
        <w:rPr>
          <w:vertAlign w:val="superscript"/>
        </w:rPr>
        <w:t>th</w:t>
      </w:r>
      <w:r>
        <w:t> anniversary or the expiry of the period of 5 years, as the case may be.</w:t>
      </w:r>
    </w:p>
    <w:p>
      <w:pPr>
        <w:pStyle w:val="Footnotesection"/>
      </w:pPr>
      <w:r>
        <w:tab/>
        <w:t>[Section 249 inserted: No. 18 of 2021 s. 75.]</w:t>
      </w:r>
    </w:p>
    <w:p>
      <w:pPr>
        <w:pStyle w:val="Heading5"/>
      </w:pPr>
      <w:bookmarkStart w:id="1057" w:name="_Toc148361244"/>
      <w:bookmarkStart w:id="1058" w:name="_Toc117608197"/>
      <w:r>
        <w:rPr>
          <w:rStyle w:val="CharSectno"/>
        </w:rPr>
        <w:t>250</w:t>
      </w:r>
      <w:r>
        <w:t>.</w:t>
      </w:r>
      <w:r>
        <w:tab/>
        <w:t>Repeal, transitional and savings provisions</w:t>
      </w:r>
      <w:bookmarkEnd w:id="1057"/>
      <w:bookmarkEnd w:id="1058"/>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No. 49 of 2010 s. 82.]</w:t>
      </w:r>
    </w:p>
    <w:p>
      <w:pPr>
        <w:pStyle w:val="Ednotesection"/>
        <w:ind w:left="890" w:hanging="890"/>
      </w:pPr>
      <w:r>
        <w:t>[</w:t>
      </w:r>
      <w:r>
        <w:rPr>
          <w:b/>
          <w:bCs/>
        </w:rPr>
        <w:t>251.</w:t>
      </w:r>
      <w:r>
        <w:tab/>
        <w:t>Omitted under the Reprints Act 1984 s. 7(4)(e).]</w:t>
      </w:r>
    </w:p>
    <w:p>
      <w:pPr>
        <w:pStyle w:val="Ednotesection"/>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1059" w:name="_Toc148348817"/>
      <w:bookmarkStart w:id="1060" w:name="_Toc148358601"/>
      <w:bookmarkStart w:id="1061" w:name="_Toc148361245"/>
      <w:bookmarkStart w:id="1062" w:name="_Toc117582860"/>
      <w:bookmarkStart w:id="1063" w:name="_Toc117584674"/>
      <w:bookmarkStart w:id="1064" w:name="_Toc117585844"/>
      <w:bookmarkStart w:id="1065" w:name="_Toc117608198"/>
      <w:r>
        <w:rPr>
          <w:rStyle w:val="CharSchNo"/>
        </w:rPr>
        <w:t>Schedule 1</w:t>
      </w:r>
      <w:r>
        <w:t xml:space="preserve"> — </w:t>
      </w:r>
      <w:r>
        <w:rPr>
          <w:rStyle w:val="CharSchText"/>
        </w:rPr>
        <w:t>Transitional and savings provisions</w:t>
      </w:r>
      <w:bookmarkEnd w:id="1059"/>
      <w:bookmarkEnd w:id="1060"/>
      <w:bookmarkEnd w:id="1061"/>
      <w:bookmarkEnd w:id="1062"/>
      <w:bookmarkEnd w:id="1063"/>
      <w:bookmarkEnd w:id="1064"/>
      <w:bookmarkEnd w:id="1065"/>
    </w:p>
    <w:p>
      <w:pPr>
        <w:pStyle w:val="yShoulderClause"/>
      </w:pPr>
      <w:r>
        <w:t>[s. 250(3)]</w:t>
      </w:r>
    </w:p>
    <w:p>
      <w:pPr>
        <w:pStyle w:val="yHeading3"/>
      </w:pPr>
      <w:bookmarkStart w:id="1066" w:name="_Toc148348818"/>
      <w:bookmarkStart w:id="1067" w:name="_Toc148358602"/>
      <w:bookmarkStart w:id="1068" w:name="_Toc148361246"/>
      <w:bookmarkStart w:id="1069" w:name="_Toc117582861"/>
      <w:bookmarkStart w:id="1070" w:name="_Toc117584675"/>
      <w:bookmarkStart w:id="1071" w:name="_Toc117585845"/>
      <w:bookmarkStart w:id="1072" w:name="_Toc117608199"/>
      <w:r>
        <w:rPr>
          <w:rStyle w:val="CharSDivNo"/>
        </w:rPr>
        <w:t>Division 1</w:t>
      </w:r>
      <w:r>
        <w:t> — </w:t>
      </w:r>
      <w:r>
        <w:rPr>
          <w:rStyle w:val="CharSDivText"/>
        </w:rPr>
        <w:t>Introductory matters</w:t>
      </w:r>
      <w:bookmarkEnd w:id="1066"/>
      <w:bookmarkEnd w:id="1067"/>
      <w:bookmarkEnd w:id="1068"/>
      <w:bookmarkEnd w:id="1069"/>
      <w:bookmarkEnd w:id="1070"/>
      <w:bookmarkEnd w:id="1071"/>
      <w:bookmarkEnd w:id="1072"/>
    </w:p>
    <w:p>
      <w:pPr>
        <w:pStyle w:val="yHeading5"/>
      </w:pPr>
      <w:bookmarkStart w:id="1073" w:name="_Toc148361247"/>
      <w:bookmarkStart w:id="1074" w:name="_Toc117608200"/>
      <w:r>
        <w:rPr>
          <w:rStyle w:val="CharSClsNo"/>
        </w:rPr>
        <w:t>1</w:t>
      </w:r>
      <w:r>
        <w:t>.</w:t>
      </w:r>
      <w:r>
        <w:tab/>
        <w:t>Terms used</w:t>
      </w:r>
      <w:bookmarkEnd w:id="1073"/>
      <w:bookmarkEnd w:id="1074"/>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1075" w:name="_Toc148361248"/>
      <w:bookmarkStart w:id="1076" w:name="_Toc117608201"/>
      <w:r>
        <w:rPr>
          <w:rStyle w:val="CharSClsNo"/>
        </w:rPr>
        <w:t>2</w:t>
      </w:r>
      <w:r>
        <w:t>.</w:t>
      </w:r>
      <w:r>
        <w:tab/>
      </w:r>
      <w:r>
        <w:rPr>
          <w:i/>
          <w:iCs/>
        </w:rPr>
        <w:t xml:space="preserve">Interpretation Act 1984 </w:t>
      </w:r>
      <w:r>
        <w:t>not affected</w:t>
      </w:r>
      <w:bookmarkEnd w:id="1075"/>
      <w:bookmarkEnd w:id="1076"/>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1077" w:name="_Toc148348821"/>
      <w:bookmarkStart w:id="1078" w:name="_Toc148358605"/>
      <w:bookmarkStart w:id="1079" w:name="_Toc148361249"/>
      <w:bookmarkStart w:id="1080" w:name="_Toc117582864"/>
      <w:bookmarkStart w:id="1081" w:name="_Toc117584678"/>
      <w:bookmarkStart w:id="1082" w:name="_Toc117585848"/>
      <w:bookmarkStart w:id="1083" w:name="_Toc117608202"/>
      <w:r>
        <w:rPr>
          <w:rStyle w:val="CharSDivNo"/>
        </w:rPr>
        <w:t>Division 2 </w:t>
      </w:r>
      <w:r>
        <w:rPr>
          <w:b w:val="0"/>
        </w:rPr>
        <w:t>— </w:t>
      </w:r>
      <w:r>
        <w:rPr>
          <w:rStyle w:val="CharSDivText"/>
        </w:rPr>
        <w:t xml:space="preserve">Provisions related to repeal of </w:t>
      </w:r>
      <w:r>
        <w:rPr>
          <w:rStyle w:val="CharSDivText"/>
          <w:i/>
        </w:rPr>
        <w:t>Child Welfare Act 1947</w:t>
      </w:r>
      <w:bookmarkEnd w:id="1077"/>
      <w:bookmarkEnd w:id="1078"/>
      <w:bookmarkEnd w:id="1079"/>
      <w:bookmarkEnd w:id="1080"/>
      <w:bookmarkEnd w:id="1081"/>
      <w:bookmarkEnd w:id="1082"/>
      <w:bookmarkEnd w:id="1083"/>
    </w:p>
    <w:p>
      <w:pPr>
        <w:pStyle w:val="yHeading5"/>
      </w:pPr>
      <w:bookmarkStart w:id="1084" w:name="_Toc148361250"/>
      <w:bookmarkStart w:id="1085" w:name="_Toc117608203"/>
      <w:r>
        <w:rPr>
          <w:rStyle w:val="CharSClsNo"/>
        </w:rPr>
        <w:t>3</w:t>
      </w:r>
      <w:r>
        <w:t>.</w:t>
      </w:r>
      <w:r>
        <w:tab/>
        <w:t>Existing orders</w:t>
      </w:r>
      <w:bookmarkEnd w:id="1084"/>
      <w:bookmarkEnd w:id="1085"/>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1086" w:name="_Toc148361251"/>
      <w:bookmarkStart w:id="1087" w:name="_Toc117608204"/>
      <w:r>
        <w:rPr>
          <w:rStyle w:val="CharSClsNo"/>
        </w:rPr>
        <w:t>4</w:t>
      </w:r>
      <w:r>
        <w:t>.</w:t>
      </w:r>
      <w:r>
        <w:tab/>
        <w:t>Extended orders</w:t>
      </w:r>
      <w:bookmarkEnd w:id="1086"/>
      <w:bookmarkEnd w:id="1087"/>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1088" w:name="_Toc148361252"/>
      <w:bookmarkStart w:id="1089" w:name="_Toc117608205"/>
      <w:r>
        <w:rPr>
          <w:rStyle w:val="CharSClsNo"/>
        </w:rPr>
        <w:t>5</w:t>
      </w:r>
      <w:r>
        <w:rPr>
          <w:rStyle w:val="CharSectno"/>
        </w:rPr>
        <w:t>.</w:t>
      </w:r>
      <w:r>
        <w:rPr>
          <w:rStyle w:val="CharSectno"/>
        </w:rPr>
        <w:tab/>
      </w:r>
      <w:r>
        <w:t>Existing proceedings</w:t>
      </w:r>
      <w:bookmarkEnd w:id="1088"/>
      <w:bookmarkEnd w:id="1089"/>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1090" w:name="_Toc148361253"/>
      <w:bookmarkStart w:id="1091" w:name="_Toc117608206"/>
      <w:r>
        <w:rPr>
          <w:rStyle w:val="CharSClsNo"/>
        </w:rPr>
        <w:t>6</w:t>
      </w:r>
      <w:r>
        <w:t>.</w:t>
      </w:r>
      <w:r>
        <w:tab/>
        <w:t>Existing appeals</w:t>
      </w:r>
      <w:bookmarkEnd w:id="1090"/>
      <w:bookmarkEnd w:id="1091"/>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1092" w:name="_Toc148361254"/>
      <w:bookmarkStart w:id="1093" w:name="_Toc117608207"/>
      <w:r>
        <w:rPr>
          <w:rStyle w:val="CharSClsNo"/>
        </w:rPr>
        <w:t>7</w:t>
      </w:r>
      <w:r>
        <w:t>.</w:t>
      </w:r>
      <w:r>
        <w:tab/>
        <w:t>Records under s. 11</w:t>
      </w:r>
      <w:bookmarkEnd w:id="1092"/>
      <w:bookmarkEnd w:id="1093"/>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1094" w:name="_Toc148361255"/>
      <w:bookmarkStart w:id="1095" w:name="_Toc117608208"/>
      <w:r>
        <w:rPr>
          <w:rStyle w:val="CharSClsNo"/>
        </w:rPr>
        <w:t>8</w:t>
      </w:r>
      <w:r>
        <w:t>.</w:t>
      </w:r>
      <w:r>
        <w:tab/>
        <w:t>Operation of orders under s. 13 or 14</w:t>
      </w:r>
      <w:bookmarkEnd w:id="1094"/>
      <w:bookmarkEnd w:id="1095"/>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1096" w:name="_Toc148361256"/>
      <w:bookmarkStart w:id="1097" w:name="_Toc117608209"/>
      <w:r>
        <w:rPr>
          <w:rStyle w:val="CharSClsNo"/>
        </w:rPr>
        <w:t>9</w:t>
      </w:r>
      <w:r>
        <w:t>.</w:t>
      </w:r>
      <w:r>
        <w:tab/>
        <w:t>Children detained under s. 29(3a)</w:t>
      </w:r>
      <w:bookmarkEnd w:id="1096"/>
      <w:bookmarkEnd w:id="1097"/>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1098" w:name="_Toc148361257"/>
      <w:bookmarkStart w:id="1099" w:name="_Toc117608210"/>
      <w:r>
        <w:rPr>
          <w:rStyle w:val="CharSClsNo"/>
        </w:rPr>
        <w:t>10</w:t>
      </w:r>
      <w:r>
        <w:t>.</w:t>
      </w:r>
      <w:r>
        <w:tab/>
        <w:t>Orders under s. 40A</w:t>
      </w:r>
      <w:bookmarkEnd w:id="1098"/>
      <w:bookmarkEnd w:id="1099"/>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1100" w:name="_Toc148361258"/>
      <w:bookmarkStart w:id="1101" w:name="_Toc117608211"/>
      <w:r>
        <w:rPr>
          <w:rStyle w:val="CharSClsNo"/>
        </w:rPr>
        <w:t>11</w:t>
      </w:r>
      <w:r>
        <w:t>.</w:t>
      </w:r>
      <w:r>
        <w:tab/>
        <w:t>Applications under s. 47</w:t>
      </w:r>
      <w:bookmarkEnd w:id="1100"/>
      <w:bookmarkEnd w:id="1101"/>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1102" w:name="_Toc148361259"/>
      <w:bookmarkStart w:id="1103" w:name="_Toc117608212"/>
      <w:r>
        <w:rPr>
          <w:rStyle w:val="CharSClsNo"/>
        </w:rPr>
        <w:t>12.</w:t>
      </w:r>
      <w:r>
        <w:rPr>
          <w:rStyle w:val="CharSClsNo"/>
        </w:rPr>
        <w:tab/>
        <w:t>Notices under s. 107A or 107B</w:t>
      </w:r>
      <w:bookmarkEnd w:id="1102"/>
      <w:bookmarkEnd w:id="1103"/>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1104" w:name="_Toc148361260"/>
      <w:bookmarkStart w:id="1105" w:name="_Toc117608213"/>
      <w:r>
        <w:rPr>
          <w:rStyle w:val="CharSClsNo"/>
        </w:rPr>
        <w:t>13</w:t>
      </w:r>
      <w:r>
        <w:t>.</w:t>
      </w:r>
      <w:r>
        <w:tab/>
        <w:t>Warrants under s. 67</w:t>
      </w:r>
      <w:bookmarkEnd w:id="1104"/>
      <w:bookmarkEnd w:id="1105"/>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1106" w:name="_Toc148361261"/>
      <w:bookmarkStart w:id="1107" w:name="_Toc117608214"/>
      <w:r>
        <w:rPr>
          <w:rStyle w:val="CharSClsNo"/>
        </w:rPr>
        <w:t>14.</w:t>
      </w:r>
      <w:r>
        <w:rPr>
          <w:rStyle w:val="CharSClsNo"/>
        </w:rPr>
        <w:tab/>
        <w:t>Authorisations under s. 111 or 112</w:t>
      </w:r>
      <w:bookmarkEnd w:id="1106"/>
      <w:bookmarkEnd w:id="1107"/>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1108" w:name="_Toc148361262"/>
      <w:bookmarkStart w:id="1109" w:name="_Toc117608215"/>
      <w:r>
        <w:rPr>
          <w:rStyle w:val="CharSClsNo"/>
        </w:rPr>
        <w:t>15</w:t>
      </w:r>
      <w:r>
        <w:t>.</w:t>
      </w:r>
      <w:r>
        <w:tab/>
        <w:t>Orders and proceedings under Part VIIIA</w:t>
      </w:r>
      <w:bookmarkEnd w:id="1108"/>
      <w:bookmarkEnd w:id="1109"/>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1110" w:name="_Toc148361263"/>
      <w:bookmarkStart w:id="1111" w:name="_Toc117608216"/>
      <w:r>
        <w:rPr>
          <w:rStyle w:val="CharSClsNo"/>
        </w:rPr>
        <w:t>16</w:t>
      </w:r>
      <w:r>
        <w:t>.</w:t>
      </w:r>
      <w:r>
        <w:tab/>
        <w:t>Orders under s. 146A</w:t>
      </w:r>
      <w:bookmarkEnd w:id="1110"/>
      <w:bookmarkEnd w:id="1111"/>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1112" w:name="_Toc148348836"/>
      <w:bookmarkStart w:id="1113" w:name="_Toc148358620"/>
      <w:bookmarkStart w:id="1114" w:name="_Toc148361264"/>
      <w:bookmarkStart w:id="1115" w:name="_Toc117582879"/>
      <w:bookmarkStart w:id="1116" w:name="_Toc117584693"/>
      <w:bookmarkStart w:id="1117" w:name="_Toc117585863"/>
      <w:bookmarkStart w:id="1118" w:name="_Toc117608217"/>
      <w:r>
        <w:rPr>
          <w:rStyle w:val="CharSDivNo"/>
        </w:rPr>
        <w:t>Division 3</w:t>
      </w:r>
      <w:r>
        <w:rPr>
          <w:b w:val="0"/>
        </w:rPr>
        <w:t> — </w:t>
      </w:r>
      <w:r>
        <w:rPr>
          <w:rStyle w:val="CharSDivText"/>
        </w:rPr>
        <w:t xml:space="preserve">Provisions related to repeal of </w:t>
      </w:r>
      <w:r>
        <w:rPr>
          <w:rStyle w:val="CharSDivText"/>
          <w:i/>
        </w:rPr>
        <w:t>Community Services Act 1972</w:t>
      </w:r>
      <w:bookmarkEnd w:id="1112"/>
      <w:bookmarkEnd w:id="1113"/>
      <w:bookmarkEnd w:id="1114"/>
      <w:bookmarkEnd w:id="1115"/>
      <w:bookmarkEnd w:id="1116"/>
      <w:bookmarkEnd w:id="1117"/>
      <w:bookmarkEnd w:id="1118"/>
    </w:p>
    <w:p>
      <w:pPr>
        <w:pStyle w:val="yHeading5"/>
      </w:pPr>
      <w:bookmarkStart w:id="1119" w:name="_Toc148361265"/>
      <w:bookmarkStart w:id="1120" w:name="_Toc117608218"/>
      <w:r>
        <w:rPr>
          <w:rStyle w:val="CharSClsNo"/>
        </w:rPr>
        <w:t>17</w:t>
      </w:r>
      <w:r>
        <w:t>.</w:t>
      </w:r>
      <w:r>
        <w:tab/>
        <w:t>Status of Ministerial Body</w:t>
      </w:r>
      <w:bookmarkEnd w:id="1119"/>
      <w:bookmarkEnd w:id="1120"/>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1121" w:name="_Toc148361266"/>
      <w:bookmarkStart w:id="1122" w:name="_Toc117608219"/>
      <w:r>
        <w:rPr>
          <w:rStyle w:val="CharSClsNo"/>
        </w:rPr>
        <w:t>18</w:t>
      </w:r>
      <w:r>
        <w:t>.</w:t>
      </w:r>
      <w:r>
        <w:tab/>
        <w:t>Licences and permits under s. 17B</w:t>
      </w:r>
      <w:bookmarkEnd w:id="1121"/>
      <w:bookmarkEnd w:id="1122"/>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1123" w:name="_Toc148361267"/>
      <w:bookmarkStart w:id="1124" w:name="_Toc117608220"/>
      <w:r>
        <w:rPr>
          <w:rStyle w:val="CharSClsNo"/>
        </w:rPr>
        <w:t>19</w:t>
      </w:r>
      <w:r>
        <w:t>.</w:t>
      </w:r>
      <w:r>
        <w:tab/>
        <w:t>Applications under s. 17B</w:t>
      </w:r>
      <w:bookmarkEnd w:id="1123"/>
      <w:bookmarkEnd w:id="1124"/>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spacing w:before="240"/>
      </w:pPr>
      <w:bookmarkStart w:id="1125" w:name="_Toc148361268"/>
      <w:bookmarkStart w:id="1126" w:name="_Toc117608221"/>
      <w:r>
        <w:rPr>
          <w:rStyle w:val="CharSClsNo"/>
        </w:rPr>
        <w:t>20</w:t>
      </w:r>
      <w:r>
        <w:t>.</w:t>
      </w:r>
      <w:r>
        <w:tab/>
        <w:t>Appeals under s. 17C</w:t>
      </w:r>
      <w:bookmarkEnd w:id="1125"/>
      <w:bookmarkEnd w:id="1126"/>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spacing w:before="240"/>
      </w:pPr>
      <w:bookmarkStart w:id="1127" w:name="_Toc148361269"/>
      <w:bookmarkStart w:id="1128" w:name="_Toc117608222"/>
      <w:r>
        <w:rPr>
          <w:rStyle w:val="CharSClsNo"/>
        </w:rPr>
        <w:t>21</w:t>
      </w:r>
      <w:r>
        <w:t>.</w:t>
      </w:r>
      <w:r>
        <w:tab/>
        <w:t>Bodies established under s. 22</w:t>
      </w:r>
      <w:bookmarkEnd w:id="1127"/>
      <w:bookmarkEnd w:id="1128"/>
    </w:p>
    <w:p>
      <w:pPr>
        <w:pStyle w:val="y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1129" w:name="_Toc148348842"/>
      <w:bookmarkStart w:id="1130" w:name="_Toc148358626"/>
      <w:bookmarkStart w:id="1131" w:name="_Toc148361270"/>
      <w:bookmarkStart w:id="1132" w:name="_Toc117582885"/>
      <w:bookmarkStart w:id="1133" w:name="_Toc117584699"/>
      <w:bookmarkStart w:id="1134" w:name="_Toc117585869"/>
      <w:bookmarkStart w:id="1135" w:name="_Toc117608223"/>
      <w:r>
        <w:rPr>
          <w:rStyle w:val="CharSDivNo"/>
        </w:rPr>
        <w:t>Division 4</w:t>
      </w:r>
      <w:r>
        <w:rPr>
          <w:b w:val="0"/>
        </w:rPr>
        <w:t> — </w:t>
      </w:r>
      <w:r>
        <w:rPr>
          <w:rStyle w:val="CharSDivText"/>
        </w:rPr>
        <w:t xml:space="preserve">Provisions related to repeal of </w:t>
      </w:r>
      <w:r>
        <w:rPr>
          <w:rStyle w:val="CharSDivText"/>
          <w:i/>
        </w:rPr>
        <w:t>Welfare and Assistance Act 1961</w:t>
      </w:r>
      <w:bookmarkEnd w:id="1129"/>
      <w:bookmarkEnd w:id="1130"/>
      <w:bookmarkEnd w:id="1131"/>
      <w:bookmarkEnd w:id="1132"/>
      <w:bookmarkEnd w:id="1133"/>
      <w:bookmarkEnd w:id="1134"/>
      <w:bookmarkEnd w:id="1135"/>
    </w:p>
    <w:p>
      <w:pPr>
        <w:pStyle w:val="yHeading5"/>
        <w:spacing w:before="240"/>
      </w:pPr>
      <w:bookmarkStart w:id="1136" w:name="_Toc148361271"/>
      <w:bookmarkStart w:id="1137" w:name="_Toc117608224"/>
      <w:r>
        <w:rPr>
          <w:rStyle w:val="CharSClsNo"/>
        </w:rPr>
        <w:t>22</w:t>
      </w:r>
      <w:r>
        <w:t>.</w:t>
      </w:r>
      <w:r>
        <w:tab/>
        <w:t>Advances and grants of assistance</w:t>
      </w:r>
      <w:bookmarkEnd w:id="1136"/>
      <w:bookmarkEnd w:id="1137"/>
    </w:p>
    <w:p>
      <w:pPr>
        <w:pStyle w:val="ySubsection"/>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keepLines w:val="0"/>
        <w:spacing w:before="240"/>
      </w:pPr>
      <w:bookmarkStart w:id="1138" w:name="_Toc148361272"/>
      <w:bookmarkStart w:id="1139" w:name="_Toc117608225"/>
      <w:r>
        <w:rPr>
          <w:rStyle w:val="CharSClsNo"/>
        </w:rPr>
        <w:t>23</w:t>
      </w:r>
      <w:r>
        <w:t>.</w:t>
      </w:r>
      <w:r>
        <w:tab/>
        <w:t>Applications for assistance</w:t>
      </w:r>
      <w:bookmarkEnd w:id="1138"/>
      <w:bookmarkEnd w:id="1139"/>
    </w:p>
    <w:p>
      <w:pPr>
        <w:pStyle w:val="ySubsection"/>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1140" w:name="_Toc148348845"/>
      <w:bookmarkStart w:id="1141" w:name="_Toc148358629"/>
      <w:bookmarkStart w:id="1142" w:name="_Toc148361273"/>
      <w:bookmarkStart w:id="1143" w:name="_Toc117582888"/>
      <w:bookmarkStart w:id="1144" w:name="_Toc117584702"/>
      <w:bookmarkStart w:id="1145" w:name="_Toc117585872"/>
      <w:bookmarkStart w:id="1146" w:name="_Toc117608226"/>
      <w:r>
        <w:rPr>
          <w:rStyle w:val="CharSDivNo"/>
        </w:rPr>
        <w:t>Division 5</w:t>
      </w:r>
      <w:r>
        <w:rPr>
          <w:b w:val="0"/>
        </w:rPr>
        <w:t> — </w:t>
      </w:r>
      <w:r>
        <w:rPr>
          <w:rStyle w:val="CharSDivText"/>
        </w:rPr>
        <w:t>General provisions for transition to this Act</w:t>
      </w:r>
      <w:bookmarkEnd w:id="1140"/>
      <w:bookmarkEnd w:id="1141"/>
      <w:bookmarkEnd w:id="1142"/>
      <w:bookmarkEnd w:id="1143"/>
      <w:bookmarkEnd w:id="1144"/>
      <w:bookmarkEnd w:id="1145"/>
      <w:bookmarkEnd w:id="1146"/>
    </w:p>
    <w:p>
      <w:pPr>
        <w:pStyle w:val="yFootnoteheading"/>
      </w:pPr>
      <w:r>
        <w:tab/>
        <w:t>[Heading amended: No. 49 of 2010 s. 83(1).]</w:t>
      </w:r>
    </w:p>
    <w:p>
      <w:pPr>
        <w:pStyle w:val="yHeading5"/>
      </w:pPr>
      <w:bookmarkStart w:id="1147" w:name="_Toc148361274"/>
      <w:bookmarkStart w:id="1148" w:name="_Toc117608227"/>
      <w:r>
        <w:rPr>
          <w:rStyle w:val="CharSClsNo"/>
        </w:rPr>
        <w:t>24</w:t>
      </w:r>
      <w:r>
        <w:t>.</w:t>
      </w:r>
      <w:r>
        <w:tab/>
        <w:t>References to repealed Acts</w:t>
      </w:r>
      <w:bookmarkEnd w:id="1147"/>
      <w:bookmarkEnd w:id="1148"/>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1149" w:name="_Toc148361275"/>
      <w:bookmarkStart w:id="1150" w:name="_Toc117608228"/>
      <w:r>
        <w:rPr>
          <w:rStyle w:val="CharSClsNo"/>
        </w:rPr>
        <w:t>25</w:t>
      </w:r>
      <w:r>
        <w:t>.</w:t>
      </w:r>
      <w:r>
        <w:tab/>
        <w:t>Powers in relation to transitional matters</w:t>
      </w:r>
      <w:bookmarkEnd w:id="1149"/>
      <w:bookmarkEnd w:id="1150"/>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1151" w:name="_Toc148348848"/>
      <w:bookmarkStart w:id="1152" w:name="_Toc148358632"/>
      <w:bookmarkStart w:id="1153" w:name="_Toc148361276"/>
      <w:bookmarkStart w:id="1154" w:name="_Toc117582891"/>
      <w:bookmarkStart w:id="1155" w:name="_Toc117584705"/>
      <w:bookmarkStart w:id="1156" w:name="_Toc117585875"/>
      <w:bookmarkStart w:id="1157" w:name="_Toc117608229"/>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1151"/>
      <w:bookmarkEnd w:id="1152"/>
      <w:bookmarkEnd w:id="1153"/>
      <w:bookmarkEnd w:id="1154"/>
      <w:bookmarkEnd w:id="1155"/>
      <w:bookmarkEnd w:id="1156"/>
      <w:bookmarkEnd w:id="1157"/>
    </w:p>
    <w:p>
      <w:pPr>
        <w:pStyle w:val="yFootnoteheading"/>
      </w:pPr>
      <w:r>
        <w:tab/>
        <w:t>[Heading inserted: No. 49 of 2010 s. 83(2).]</w:t>
      </w:r>
    </w:p>
    <w:p>
      <w:pPr>
        <w:pStyle w:val="yHeading5"/>
      </w:pPr>
      <w:bookmarkStart w:id="1158" w:name="_Toc148361277"/>
      <w:bookmarkStart w:id="1159" w:name="_Toc117608230"/>
      <w:r>
        <w:rPr>
          <w:rStyle w:val="CharSClsNo"/>
        </w:rPr>
        <w:t>26</w:t>
      </w:r>
      <w:r>
        <w:t>.</w:t>
      </w:r>
      <w:r>
        <w:rPr>
          <w:b w:val="0"/>
        </w:rPr>
        <w:tab/>
      </w:r>
      <w:r>
        <w:t>Authorised officers</w:t>
      </w:r>
      <w:bookmarkEnd w:id="1158"/>
      <w:bookmarkEnd w:id="1159"/>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No. 49 of 2010 s. 83(2).]</w:t>
      </w:r>
    </w:p>
    <w:p>
      <w:pPr>
        <w:pStyle w:val="yHeading5"/>
      </w:pPr>
      <w:bookmarkStart w:id="1160" w:name="_Toc148361278"/>
      <w:bookmarkStart w:id="1161" w:name="_Toc117608231"/>
      <w:r>
        <w:rPr>
          <w:rStyle w:val="CharSClsNo"/>
        </w:rPr>
        <w:t>27</w:t>
      </w:r>
      <w:r>
        <w:t>.</w:t>
      </w:r>
      <w:r>
        <w:rPr>
          <w:b w:val="0"/>
        </w:rPr>
        <w:tab/>
      </w:r>
      <w:r>
        <w:t>Ministerial Body</w:t>
      </w:r>
      <w:bookmarkEnd w:id="1160"/>
      <w:bookmarkEnd w:id="1161"/>
    </w:p>
    <w:p>
      <w:pPr>
        <w:pStyle w:val="ySubsection"/>
        <w:keepNext/>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No. 49 of 2010 s. 83(2).]</w:t>
      </w:r>
    </w:p>
    <w:p>
      <w:pPr>
        <w:pStyle w:val="yHeading5"/>
        <w:spacing w:before="0"/>
      </w:pPr>
      <w:bookmarkStart w:id="1162" w:name="_Toc148361279"/>
      <w:bookmarkStart w:id="1163" w:name="_Toc117608232"/>
      <w:r>
        <w:rPr>
          <w:rStyle w:val="CharSClsNo"/>
        </w:rPr>
        <w:t>28</w:t>
      </w:r>
      <w:r>
        <w:t>.</w:t>
      </w:r>
      <w:r>
        <w:rPr>
          <w:b w:val="0"/>
        </w:rPr>
        <w:tab/>
      </w:r>
      <w:r>
        <w:t>Protection orders (enduring parental responsibility)</w:t>
      </w:r>
      <w:bookmarkEnd w:id="1162"/>
      <w:bookmarkEnd w:id="1163"/>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No. 49 of 2010 s. 83(2).]</w:t>
      </w:r>
    </w:p>
    <w:p>
      <w:pPr>
        <w:pStyle w:val="yHeading3"/>
        <w:rPr>
          <w:i/>
          <w:snapToGrid w:val="0"/>
        </w:rPr>
      </w:pPr>
      <w:bookmarkStart w:id="1164" w:name="_Toc148348852"/>
      <w:bookmarkStart w:id="1165" w:name="_Toc148358636"/>
      <w:bookmarkStart w:id="1166" w:name="_Toc148361280"/>
      <w:bookmarkStart w:id="1167" w:name="_Toc117582895"/>
      <w:bookmarkStart w:id="1168" w:name="_Toc117584709"/>
      <w:bookmarkStart w:id="1169" w:name="_Toc117585879"/>
      <w:bookmarkStart w:id="1170" w:name="_Toc117608233"/>
      <w:r>
        <w:rPr>
          <w:rStyle w:val="CharSDivNo"/>
        </w:rPr>
        <w:t>Division 7</w:t>
      </w:r>
      <w:r>
        <w:rPr>
          <w:b w:val="0"/>
        </w:rPr>
        <w:t> — </w:t>
      </w:r>
      <w:r>
        <w:rPr>
          <w:rStyle w:val="CharSDivText"/>
        </w:rPr>
        <w:t xml:space="preserve">Provisions for </w:t>
      </w:r>
      <w:r>
        <w:rPr>
          <w:rStyle w:val="CharSDivText"/>
          <w:i/>
        </w:rPr>
        <w:t>Children and Community Services Legislation Amendment and Repeal Act 2015</w:t>
      </w:r>
      <w:bookmarkEnd w:id="1164"/>
      <w:bookmarkEnd w:id="1165"/>
      <w:bookmarkEnd w:id="1166"/>
      <w:bookmarkEnd w:id="1167"/>
      <w:bookmarkEnd w:id="1168"/>
      <w:bookmarkEnd w:id="1169"/>
      <w:bookmarkEnd w:id="1170"/>
    </w:p>
    <w:p>
      <w:pPr>
        <w:pStyle w:val="yFootnoteheading"/>
        <w:rPr>
          <w:snapToGrid w:val="0"/>
        </w:rPr>
      </w:pPr>
      <w:r>
        <w:tab/>
        <w:t>[Heading inserted: No. 23 of 2015 s. 9.]</w:t>
      </w:r>
    </w:p>
    <w:p>
      <w:pPr>
        <w:pStyle w:val="yHeading5"/>
      </w:pPr>
      <w:bookmarkStart w:id="1171" w:name="_Toc148361281"/>
      <w:bookmarkStart w:id="1172" w:name="_Toc117608234"/>
      <w:r>
        <w:rPr>
          <w:rStyle w:val="CharSClsNo"/>
        </w:rPr>
        <w:t>29</w:t>
      </w:r>
      <w:r>
        <w:t>.</w:t>
      </w:r>
      <w:r>
        <w:tab/>
        <w:t>Terms used</w:t>
      </w:r>
      <w:bookmarkEnd w:id="1171"/>
      <w:bookmarkEnd w:id="1172"/>
    </w:p>
    <w:p>
      <w:pPr>
        <w:pStyle w:val="ySubsection"/>
      </w:pPr>
      <w:r>
        <w:tab/>
      </w:r>
      <w:r>
        <w:tab/>
        <w:t xml:space="preserve">In this Division — </w:t>
      </w:r>
    </w:p>
    <w:p>
      <w:pPr>
        <w:pStyle w:val="yDefstart"/>
      </w:pPr>
      <w:r>
        <w:tab/>
      </w:r>
      <w:r>
        <w:rPr>
          <w:rStyle w:val="CharDefText"/>
        </w:rPr>
        <w:t>authorised officer (Child Protection)</w:t>
      </w:r>
      <w:r>
        <w:t xml:space="preserve"> means a person designated under the PSR Act section 35 as an authorised officer by the CEO (Child Protection) (as defined in the PSR Act section 3);</w:t>
      </w:r>
    </w:p>
    <w:p>
      <w:pPr>
        <w:pStyle w:val="yDefstart"/>
      </w:pPr>
      <w:r>
        <w:tab/>
      </w:r>
      <w:r>
        <w:rPr>
          <w:rStyle w:val="CharDefText"/>
        </w:rPr>
        <w:t>authorised officer (Education)</w:t>
      </w:r>
      <w:r>
        <w:t xml:space="preserve"> means a person designated under the PSR Act section 35 as an authorised officer by the CEO (Education) (as defined in the PSR Act section 3);</w:t>
      </w:r>
    </w:p>
    <w:p>
      <w:pPr>
        <w:pStyle w:val="yDefstart"/>
      </w:pPr>
      <w:r>
        <w:tab/>
      </w:r>
      <w:r>
        <w:rPr>
          <w:rStyle w:val="CharDefText"/>
        </w:rPr>
        <w:t>CEO (Education)</w:t>
      </w:r>
      <w:r>
        <w:t xml:space="preserve">, except in the definition of </w:t>
      </w:r>
      <w:r>
        <w:rPr>
          <w:b/>
          <w:i/>
        </w:rPr>
        <w:t>authorised officer (Education)</w:t>
      </w:r>
      <w:r>
        <w:t>, has the meaning given in section 131A;</w:t>
      </w:r>
    </w:p>
    <w:p>
      <w:pPr>
        <w:pStyle w:val="yDefstart"/>
      </w:pPr>
      <w:r>
        <w:tab/>
      </w:r>
      <w:r>
        <w:rPr>
          <w:rStyle w:val="CharDefText"/>
        </w:rPr>
        <w:t>commencement day</w:t>
      </w:r>
      <w:r>
        <w:t xml:space="preserve"> means the day on which the </w:t>
      </w:r>
      <w:r>
        <w:rPr>
          <w:i/>
        </w:rPr>
        <w:t>Children and Community Services Legislation Amendment and Repeal Act 2015</w:t>
      </w:r>
      <w:r>
        <w:t xml:space="preserve"> section 7 comes into operation;</w:t>
      </w:r>
    </w:p>
    <w:p>
      <w:pPr>
        <w:pStyle w:val="yDefstart"/>
      </w:pPr>
      <w:r>
        <w:tab/>
      </w:r>
      <w:r>
        <w:rPr>
          <w:rStyle w:val="CharDefText"/>
        </w:rPr>
        <w:t>departmental parenting agreement</w:t>
      </w:r>
      <w:r>
        <w:t xml:space="preserve"> means an agreement — </w:t>
      </w:r>
    </w:p>
    <w:p>
      <w:pPr>
        <w:pStyle w:val="yDefpara"/>
      </w:pPr>
      <w:r>
        <w:tab/>
        <w:t>(a)</w:t>
      </w:r>
      <w:r>
        <w:tab/>
        <w:t>that is about one or more of the matters referred to in section 131E; and</w:t>
      </w:r>
    </w:p>
    <w:p>
      <w:pPr>
        <w:pStyle w:val="yDefpara"/>
      </w:pPr>
      <w:r>
        <w:tab/>
        <w:t>(b)</w:t>
      </w:r>
      <w:r>
        <w:tab/>
        <w:t>that is not a PSR Act parenting agreement; and</w:t>
      </w:r>
    </w:p>
    <w:p>
      <w:pPr>
        <w:pStyle w:val="yDefpara"/>
      </w:pPr>
      <w:r>
        <w:tab/>
        <w:t>(c)</w:t>
      </w:r>
      <w:r>
        <w:tab/>
        <w:t>that was entered into by an officer before commencement day; and</w:t>
      </w:r>
    </w:p>
    <w:p>
      <w:pPr>
        <w:pStyle w:val="yDefpara"/>
      </w:pPr>
      <w:r>
        <w:tab/>
        <w:t>(d)</w:t>
      </w:r>
      <w:r>
        <w:tab/>
        <w:t>that covers a period that had not expired immediately before commencement day; and</w:t>
      </w:r>
    </w:p>
    <w:p>
      <w:pPr>
        <w:pStyle w:val="yDefpara"/>
      </w:pPr>
      <w:r>
        <w:tab/>
        <w:t>(e)</w:t>
      </w:r>
      <w:r>
        <w:tab/>
        <w:t xml:space="preserve">to which either or both of the following descriptions apply — </w:t>
      </w:r>
    </w:p>
    <w:p>
      <w:pPr>
        <w:pStyle w:val="yDefsubpara"/>
      </w:pPr>
      <w:r>
        <w:tab/>
        <w:t>(i)</w:t>
      </w:r>
      <w:r>
        <w:tab/>
        <w:t>the agreement relates to a child who has reached 15 years of age but has not reached 18 years of age;</w:t>
      </w:r>
    </w:p>
    <w:p>
      <w:pPr>
        <w:pStyle w:val="yDefsubpara"/>
      </w:pPr>
      <w:r>
        <w:tab/>
        <w:t>(ii)</w:t>
      </w:r>
      <w:r>
        <w:tab/>
        <w:t>the agreement was entered into by an adult, other than a parent of the child, with whom the child to whom the agreement relates usually lives and who provides day</w:t>
      </w:r>
      <w:r>
        <w:noBreakHyphen/>
        <w:t>to</w:t>
      </w:r>
      <w:r>
        <w:noBreakHyphen/>
        <w:t>day care for the child;</w:t>
      </w:r>
    </w:p>
    <w:p>
      <w:pPr>
        <w:pStyle w:val="yDefstart"/>
      </w:pPr>
      <w:r>
        <w:tab/>
      </w:r>
      <w:r>
        <w:rPr>
          <w:rStyle w:val="CharDefText"/>
        </w:rPr>
        <w:t>PSR Act</w:t>
      </w:r>
      <w:r>
        <w:t xml:space="preserve"> means the </w:t>
      </w:r>
      <w:r>
        <w:rPr>
          <w:i/>
        </w:rPr>
        <w:t>Parental Support and Responsibility Act 2008</w:t>
      </w:r>
      <w:r>
        <w:t xml:space="preserve"> as in force immediately before commencement day;</w:t>
      </w:r>
    </w:p>
    <w:p>
      <w:pPr>
        <w:pStyle w:val="yDefstart"/>
      </w:pPr>
      <w:r>
        <w:tab/>
      </w:r>
      <w:r>
        <w:rPr>
          <w:rStyle w:val="CharDefText"/>
        </w:rPr>
        <w:t>PSR Act parenting agreement</w:t>
      </w:r>
      <w:r>
        <w:t xml:space="preserve"> means a responsible parenting agreement that — </w:t>
      </w:r>
    </w:p>
    <w:p>
      <w:pPr>
        <w:pStyle w:val="yDefpara"/>
      </w:pPr>
      <w:r>
        <w:tab/>
        <w:t>(a)</w:t>
      </w:r>
      <w:r>
        <w:tab/>
        <w:t xml:space="preserve">was entered into under the </w:t>
      </w:r>
      <w:r>
        <w:rPr>
          <w:i/>
        </w:rPr>
        <w:t>Parental Support and Responsibility Act 2008</w:t>
      </w:r>
      <w:r>
        <w:t xml:space="preserve"> before commencement day; and</w:t>
      </w:r>
    </w:p>
    <w:p>
      <w:pPr>
        <w:pStyle w:val="yDefpara"/>
      </w:pPr>
      <w:r>
        <w:tab/>
        <w:t>(b)</w:t>
      </w:r>
      <w:r>
        <w:tab/>
        <w:t>covers a period that had not expired immediately before commencement day.</w:t>
      </w:r>
    </w:p>
    <w:p>
      <w:pPr>
        <w:pStyle w:val="yFootnotesection"/>
      </w:pPr>
      <w:r>
        <w:tab/>
        <w:t>[Clause 29 inserted: No. 23 of 2015 s. 9.]</w:t>
      </w:r>
    </w:p>
    <w:p>
      <w:pPr>
        <w:pStyle w:val="yHeading5"/>
      </w:pPr>
      <w:bookmarkStart w:id="1173" w:name="_Toc148361282"/>
      <w:bookmarkStart w:id="1174" w:name="_Toc117608235"/>
      <w:r>
        <w:rPr>
          <w:rStyle w:val="CharSClsNo"/>
        </w:rPr>
        <w:t>30</w:t>
      </w:r>
      <w:r>
        <w:t>.</w:t>
      </w:r>
      <w:r>
        <w:tab/>
        <w:t>PSR Act parenting agreements</w:t>
      </w:r>
      <w:bookmarkEnd w:id="1173"/>
      <w:bookmarkEnd w:id="1174"/>
    </w:p>
    <w:p>
      <w:pPr>
        <w:pStyle w:val="ySubsection"/>
      </w:pPr>
      <w:r>
        <w:tab/>
        <w:t>(1)</w:t>
      </w:r>
      <w:r>
        <w:tab/>
        <w:t xml:space="preserve">On and after commencement day — </w:t>
      </w:r>
    </w:p>
    <w:p>
      <w:pPr>
        <w:pStyle w:val="yIndenta"/>
      </w:pPr>
      <w:r>
        <w:tab/>
        <w:t>(a)</w:t>
      </w:r>
      <w:r>
        <w:tab/>
        <w:t>a PSR Act parenting agreement entered into by an authorised officer (Child Protection) is to be taken to be a responsible parenting agreement entered into by the CEO under section 131D; and</w:t>
      </w:r>
    </w:p>
    <w:p>
      <w:pPr>
        <w:pStyle w:val="yIndenta"/>
      </w:pPr>
      <w:r>
        <w:tab/>
        <w:t>(b)</w:t>
      </w:r>
      <w:r>
        <w:tab/>
        <w:t>a reference in a PSR Act parenting agreement referred to in paragraph (a) to the authorised officer (Child Protection) who entered into the agreement is to be taken to be a reference to the CEO.</w:t>
      </w:r>
    </w:p>
    <w:p>
      <w:pPr>
        <w:pStyle w:val="ySubsection"/>
      </w:pPr>
      <w:r>
        <w:tab/>
        <w:t>(2)</w:t>
      </w:r>
      <w:r>
        <w:tab/>
        <w:t xml:space="preserve">On and after commencement day — </w:t>
      </w:r>
    </w:p>
    <w:p>
      <w:pPr>
        <w:pStyle w:val="yIndenta"/>
      </w:pPr>
      <w:r>
        <w:tab/>
        <w:t>(a)</w:t>
      </w:r>
      <w:r>
        <w:tab/>
        <w:t>a PSR Act parenting agreement entered into by an authorised officer (Education) is to be taken to be a responsible parenting agreement entered into by the CEO (Education) under section 131D; and</w:t>
      </w:r>
    </w:p>
    <w:p>
      <w:pPr>
        <w:pStyle w:val="yIndenta"/>
      </w:pPr>
      <w:r>
        <w:tab/>
        <w:t>(b)</w:t>
      </w:r>
      <w:r>
        <w:tab/>
        <w:t>a reference in a PSR Act parenting agreement referred to in paragraph (a) to the authorised officer (Education) who entered into the agreement is to be taken to be a reference to the CEO (Education).</w:t>
      </w:r>
    </w:p>
    <w:p>
      <w:pPr>
        <w:pStyle w:val="yFootnotesection"/>
      </w:pPr>
      <w:r>
        <w:tab/>
        <w:t>[Clause 30 inserted: No. 23 of 2015 s. 9.]</w:t>
      </w:r>
    </w:p>
    <w:p>
      <w:pPr>
        <w:pStyle w:val="yHeading5"/>
      </w:pPr>
      <w:bookmarkStart w:id="1175" w:name="_Toc148361283"/>
      <w:bookmarkStart w:id="1176" w:name="_Toc117608236"/>
      <w:r>
        <w:rPr>
          <w:rStyle w:val="CharSClsNo"/>
        </w:rPr>
        <w:t>31</w:t>
      </w:r>
      <w:r>
        <w:t>.</w:t>
      </w:r>
      <w:r>
        <w:tab/>
        <w:t>Departmental parenting agreements</w:t>
      </w:r>
      <w:bookmarkEnd w:id="1175"/>
      <w:bookmarkEnd w:id="1176"/>
    </w:p>
    <w:p>
      <w:pPr>
        <w:pStyle w:val="ySubsection"/>
      </w:pPr>
      <w:r>
        <w:tab/>
      </w:r>
      <w:r>
        <w:tab/>
        <w:t xml:space="preserve">On and after commencement day — </w:t>
      </w:r>
    </w:p>
    <w:p>
      <w:pPr>
        <w:pStyle w:val="yIndenta"/>
      </w:pPr>
      <w:r>
        <w:tab/>
        <w:t>(a)</w:t>
      </w:r>
      <w:r>
        <w:tab/>
        <w:t>a departmental parenting agreement is to be taken to be a responsible parenting agreement entered into by the CEO under section 131D; and</w:t>
      </w:r>
    </w:p>
    <w:p>
      <w:pPr>
        <w:pStyle w:val="yIndenta"/>
      </w:pPr>
      <w:r>
        <w:tab/>
        <w:t>(b)</w:t>
      </w:r>
      <w:r>
        <w:tab/>
        <w:t>a reference in a departmental parenting agreement to the officer who entered into the agreement is to be taken to be a reference to the CEO.</w:t>
      </w:r>
    </w:p>
    <w:p>
      <w:pPr>
        <w:pStyle w:val="yFootnotesection"/>
      </w:pPr>
      <w:r>
        <w:tab/>
        <w:t>[Clause 31 inserted: No. 23 of 2015 s. 9.]</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544" w:gutter="0"/>
          <w:cols w:space="720"/>
          <w:noEndnote/>
          <w:docGrid w:linePitch="326"/>
        </w:sectPr>
      </w:pPr>
    </w:p>
    <w:p>
      <w:pPr>
        <w:pStyle w:val="nHeading2"/>
      </w:pPr>
      <w:bookmarkStart w:id="1178" w:name="_Toc148348856"/>
      <w:bookmarkStart w:id="1179" w:name="_Toc148358640"/>
      <w:bookmarkStart w:id="1180" w:name="_Toc148361284"/>
      <w:bookmarkStart w:id="1181" w:name="_Toc117582899"/>
      <w:bookmarkStart w:id="1182" w:name="_Toc117584713"/>
      <w:bookmarkStart w:id="1183" w:name="_Toc117585883"/>
      <w:bookmarkStart w:id="1184" w:name="_Toc117608237"/>
      <w:r>
        <w:t>Notes</w:t>
      </w:r>
      <w:bookmarkEnd w:id="1178"/>
      <w:bookmarkEnd w:id="1179"/>
      <w:bookmarkEnd w:id="1180"/>
      <w:bookmarkEnd w:id="1181"/>
      <w:bookmarkEnd w:id="1182"/>
      <w:bookmarkEnd w:id="1183"/>
      <w:bookmarkEnd w:id="1184"/>
    </w:p>
    <w:p>
      <w:pPr>
        <w:pStyle w:val="nStatement"/>
      </w:pPr>
      <w:r>
        <w:t xml:space="preserve">This is a compilation of the </w:t>
      </w:r>
      <w:r>
        <w:rPr>
          <w:i/>
          <w:noProof/>
        </w:rPr>
        <w:t>Children and Community Services 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185" w:name="_Toc148361285"/>
      <w:bookmarkStart w:id="1186" w:name="_Toc117608238"/>
      <w:r>
        <w:t>Compilation table</w:t>
      </w:r>
      <w:bookmarkEnd w:id="1185"/>
      <w:bookmarkEnd w:id="1186"/>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8" w:space="0" w:color="auto"/>
            </w:tcBorders>
          </w:tcPr>
          <w:p>
            <w:pPr>
              <w:pStyle w:val="nTable"/>
              <w:spacing w:after="40"/>
            </w:pPr>
            <w:r>
              <w:rPr>
                <w:i/>
                <w:snapToGrid w:val="0"/>
              </w:rPr>
              <w:t>Children and Community Services Act 2004</w:t>
            </w:r>
          </w:p>
        </w:tc>
        <w:tc>
          <w:tcPr>
            <w:tcW w:w="1134" w:type="dxa"/>
            <w:tcBorders>
              <w:top w:val="single" w:sz="8" w:space="0" w:color="auto"/>
            </w:tcBorders>
          </w:tcPr>
          <w:p>
            <w:pPr>
              <w:pStyle w:val="nTable"/>
              <w:spacing w:after="40"/>
            </w:pPr>
            <w:r>
              <w:t>34 of 2004</w:t>
            </w:r>
          </w:p>
        </w:tc>
        <w:tc>
          <w:tcPr>
            <w:tcW w:w="1134" w:type="dxa"/>
            <w:tcBorders>
              <w:top w:val="single" w:sz="8" w:space="0" w:color="auto"/>
            </w:tcBorders>
          </w:tcPr>
          <w:p>
            <w:pPr>
              <w:pStyle w:val="nTable"/>
              <w:spacing w:after="40"/>
            </w:pPr>
            <w:r>
              <w:t>20 Oct 2004</w:t>
            </w:r>
          </w:p>
        </w:tc>
        <w:tc>
          <w:tcPr>
            <w:tcW w:w="2552" w:type="dxa"/>
            <w:tcBorders>
              <w:top w:val="single" w:sz="8" w:space="0" w:color="auto"/>
            </w:tcBorders>
          </w:tcPr>
          <w:p>
            <w:pPr>
              <w:pStyle w:val="nTable"/>
              <w:spacing w:after="40"/>
            </w:pPr>
            <w:r>
              <w:t>s. 1 and 2: 20 Oct 2004;</w:t>
            </w:r>
            <w:r>
              <w:br/>
              <w:t xml:space="preserve">s. 3 and 102: 22 Jan 2005 (see s. 2 and </w:t>
            </w:r>
            <w:r>
              <w:rPr>
                <w:i/>
              </w:rPr>
              <w:t>Gazette</w:t>
            </w:r>
            <w:r>
              <w:t xml:space="preserve"> 21 Jan 2005 p. 257);</w:t>
            </w:r>
            <w:r>
              <w:br/>
              <w:t xml:space="preserve">Act other than s. 1-3 and 102 and Sch. 2 cl. 9(2) and 25: 1 Mar 2006 (see s. 2 and </w:t>
            </w:r>
            <w:r>
              <w:rPr>
                <w:i/>
              </w:rPr>
              <w:t>Gazette</w:t>
            </w:r>
            <w:r>
              <w:t xml:space="preserve"> 14 Feb 2006 p. 695);</w:t>
            </w:r>
            <w:r>
              <w:br/>
              <w:t xml:space="preserve">Sch. 2 cl. 9(2): 11 Mar 2006 (see s. 2 and </w:t>
            </w:r>
            <w:r>
              <w:rPr>
                <w:i/>
                <w:iCs/>
              </w:rPr>
              <w:t>Gazette</w:t>
            </w:r>
            <w:r>
              <w:t xml:space="preserve"> 10 Mar 2006 p. 987);</w:t>
            </w:r>
            <w:r>
              <w:br/>
              <w:t>Sch. 2 cl. 25 deleted by No. 8 of 2009 s. 32(4)</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Cs/>
                <w:snapToGrid w:val="0"/>
              </w:rPr>
            </w:pPr>
            <w:r>
              <w:rPr>
                <w:i/>
              </w:rPr>
              <w:t xml:space="preserve">Working with Children (Criminal Record Checking) Act 2004 </w:t>
            </w:r>
            <w:r>
              <w:rPr>
                <w:iCs/>
              </w:rPr>
              <w:t>Pt. 5</w:t>
            </w:r>
          </w:p>
        </w:tc>
        <w:tc>
          <w:tcPr>
            <w:tcW w:w="1134" w:type="dxa"/>
          </w:tcPr>
          <w:p>
            <w:pPr>
              <w:pStyle w:val="nTable"/>
              <w:spacing w:after="40"/>
            </w:pPr>
            <w:r>
              <w:t>65 of 2004</w:t>
            </w:r>
          </w:p>
        </w:tc>
        <w:tc>
          <w:tcPr>
            <w:tcW w:w="1134" w:type="dxa"/>
          </w:tcPr>
          <w:p>
            <w:pPr>
              <w:pStyle w:val="nTable"/>
              <w:spacing w:after="40"/>
            </w:pPr>
            <w:r>
              <w:t>8 Dec 2004</w:t>
            </w:r>
          </w:p>
        </w:tc>
        <w:tc>
          <w:tcPr>
            <w:tcW w:w="2552" w:type="dxa"/>
          </w:tcPr>
          <w:p>
            <w:pPr>
              <w:pStyle w:val="nTable"/>
              <w:spacing w:after="40"/>
            </w:pPr>
            <w:r>
              <w:t>Pt. 5 other than s.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color w:val="000000"/>
              </w:rPr>
              <w:t xml:space="preserve">Criminal Procedure and Appeals (Consequential and Other Provisions) Act 2004 </w:t>
            </w:r>
            <w:r>
              <w:rPr>
                <w:color w:val="000000"/>
              </w:rPr>
              <w:t>s. 80 and 85(4)</w:t>
            </w:r>
          </w:p>
        </w:tc>
        <w:tc>
          <w:tcPr>
            <w:tcW w:w="1134" w:type="dxa"/>
          </w:tcPr>
          <w:p>
            <w:pPr>
              <w:pStyle w:val="nTable"/>
              <w:spacing w:after="40"/>
            </w:pPr>
            <w:r>
              <w:rPr>
                <w:color w:val="000000"/>
              </w:rPr>
              <w:t>84 of 2004</w:t>
            </w:r>
          </w:p>
        </w:tc>
        <w:tc>
          <w:tcPr>
            <w:tcW w:w="1134" w:type="dxa"/>
          </w:tcPr>
          <w:p>
            <w:pPr>
              <w:pStyle w:val="nTable"/>
              <w:spacing w:after="40"/>
            </w:pPr>
            <w:r>
              <w:rPr>
                <w:color w:val="000000"/>
              </w:rPr>
              <w:t>16 Dec 2004</w:t>
            </w:r>
          </w:p>
        </w:tc>
        <w:tc>
          <w:tcPr>
            <w:tcW w:w="2552" w:type="dxa"/>
          </w:tcPr>
          <w:p>
            <w:pPr>
              <w:pStyle w:val="nTable"/>
              <w:spacing w:after="40"/>
            </w:pPr>
            <w:r>
              <w:rPr>
                <w:color w:val="000000"/>
              </w:rPr>
              <w:t xml:space="preserve">2 May 2005 (see s. 2 and </w:t>
            </w:r>
            <w:r>
              <w:rPr>
                <w:i/>
                <w:iCs/>
                <w:color w:val="000000"/>
              </w:rPr>
              <w:t xml:space="preserve">Gazette </w:t>
            </w:r>
            <w:r>
              <w:rPr>
                <w:color w:val="000000"/>
              </w:rPr>
              <w:t xml:space="preserve">31 Dec 2004 p. 7129 (correction in </w:t>
            </w:r>
            <w:r>
              <w:rPr>
                <w:i/>
                <w:iCs/>
                <w:color w:val="000000"/>
              </w:rPr>
              <w:t xml:space="preserve">Gazette </w:t>
            </w:r>
            <w:r>
              <w:rPr>
                <w:color w:val="000000"/>
              </w:rPr>
              <w:t>7 Jan 2005 p. 53))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color w:val="000000"/>
              </w:rPr>
            </w:pPr>
            <w:r>
              <w:rPr>
                <w:i/>
                <w:color w:val="000000"/>
              </w:rPr>
              <w:t>Family Legislation Amendment Act 2006</w:t>
            </w:r>
            <w:r>
              <w:rPr>
                <w:color w:val="000000"/>
              </w:rPr>
              <w:t xml:space="preserve"> Pt. 6 Div. 1</w:t>
            </w:r>
          </w:p>
        </w:tc>
        <w:tc>
          <w:tcPr>
            <w:tcW w:w="1134" w:type="dxa"/>
          </w:tcPr>
          <w:p>
            <w:pPr>
              <w:pStyle w:val="nTable"/>
              <w:spacing w:after="40"/>
              <w:rPr>
                <w:color w:val="000000"/>
              </w:rPr>
            </w:pPr>
            <w:r>
              <w:rPr>
                <w:color w:val="000000"/>
              </w:rPr>
              <w:t>35 of 2006</w:t>
            </w:r>
          </w:p>
        </w:tc>
        <w:tc>
          <w:tcPr>
            <w:tcW w:w="1134" w:type="dxa"/>
          </w:tcPr>
          <w:p>
            <w:pPr>
              <w:pStyle w:val="nTable"/>
              <w:spacing w:after="40"/>
              <w:rPr>
                <w:color w:val="000000"/>
              </w:rPr>
            </w:pPr>
            <w:r>
              <w:rPr>
                <w:color w:val="000000"/>
              </w:rPr>
              <w:t>4 Jul 2006</w:t>
            </w:r>
          </w:p>
        </w:tc>
        <w:tc>
          <w:tcPr>
            <w:tcW w:w="2552" w:type="dxa"/>
          </w:tcPr>
          <w:p>
            <w:pPr>
              <w:pStyle w:val="nTable"/>
              <w:spacing w:after="40"/>
              <w:rPr>
                <w:color w:val="000000"/>
              </w:rPr>
            </w:pPr>
            <w:r>
              <w:rPr>
                <w:color w:val="000000"/>
              </w:rPr>
              <w:t xml:space="preserve">15 Jul 2006 (see s. 2 and </w:t>
            </w:r>
            <w:r>
              <w:rPr>
                <w:i/>
                <w:color w:val="000000"/>
              </w:rPr>
              <w:t>Gazette</w:t>
            </w:r>
            <w:r>
              <w:rPr>
                <w:color w:val="000000"/>
              </w:rPr>
              <w:t xml:space="preserve"> 14 Jul 2006 p. 2559)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color w:val="000000"/>
              </w:rPr>
            </w:pPr>
            <w:r>
              <w:rPr>
                <w:i/>
                <w:snapToGrid w:val="0"/>
              </w:rPr>
              <w:t>Child Care Services Act 2007</w:t>
            </w:r>
            <w:r>
              <w:rPr>
                <w:iCs/>
                <w:snapToGrid w:val="0"/>
              </w:rPr>
              <w:t xml:space="preserve"> Pt. 7 Div. 1</w:t>
            </w:r>
            <w:r>
              <w:rPr>
                <w:iCs/>
                <w:snapToGrid w:val="0"/>
                <w:vertAlign w:val="superscript"/>
              </w:rPr>
              <w:t xml:space="preserve"> 2</w:t>
            </w:r>
          </w:p>
        </w:tc>
        <w:tc>
          <w:tcPr>
            <w:tcW w:w="1134" w:type="dxa"/>
          </w:tcPr>
          <w:p>
            <w:pPr>
              <w:pStyle w:val="nTable"/>
              <w:spacing w:after="40"/>
              <w:rPr>
                <w:color w:val="000000"/>
              </w:rPr>
            </w:pPr>
            <w:r>
              <w:rPr>
                <w:color w:val="000000"/>
              </w:rPr>
              <w:t>19 of 2007</w:t>
            </w:r>
          </w:p>
        </w:tc>
        <w:tc>
          <w:tcPr>
            <w:tcW w:w="1134" w:type="dxa"/>
          </w:tcPr>
          <w:p>
            <w:pPr>
              <w:pStyle w:val="nTable"/>
              <w:spacing w:after="40"/>
              <w:rPr>
                <w:color w:val="000000"/>
              </w:rPr>
            </w:pPr>
            <w:r>
              <w:rPr>
                <w:color w:val="000000"/>
              </w:rPr>
              <w:t>3 Jul 2007</w:t>
            </w:r>
          </w:p>
        </w:tc>
        <w:tc>
          <w:tcPr>
            <w:tcW w:w="2552" w:type="dxa"/>
          </w:tcPr>
          <w:p>
            <w:pPr>
              <w:pStyle w:val="nTable"/>
              <w:spacing w:after="40"/>
              <w:rPr>
                <w:color w:val="000000"/>
              </w:rPr>
            </w:pPr>
            <w:r>
              <w:rPr>
                <w:color w:val="000000"/>
              </w:rPr>
              <w:t xml:space="preserve">10 Aug 2007 (see s. 2(b) and </w:t>
            </w:r>
            <w:r>
              <w:rPr>
                <w:i/>
                <w:iCs/>
                <w:color w:val="000000"/>
              </w:rPr>
              <w:t>Gazette</w:t>
            </w:r>
            <w:r>
              <w:rPr>
                <w:color w:val="000000"/>
              </w:rPr>
              <w:t xml:space="preserve"> 9 Aug 2007 p. 4071)</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rPr>
                <w:color w:val="000000"/>
              </w:rPr>
            </w:pPr>
            <w:r>
              <w:rPr>
                <w:b/>
                <w:bCs/>
                <w:color w:val="000000"/>
              </w:rPr>
              <w:t xml:space="preserve">Reprint 1:  The </w:t>
            </w:r>
            <w:r>
              <w:rPr>
                <w:b/>
                <w:bCs/>
                <w:i/>
                <w:snapToGrid w:val="0"/>
              </w:rPr>
              <w:t>Children and Community Services Act 2004</w:t>
            </w:r>
            <w:r>
              <w:rPr>
                <w:b/>
                <w:bCs/>
                <w:color w:val="000000"/>
              </w:rPr>
              <w:t xml:space="preserve"> as at 4 Apr 2008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iCs/>
                <w:snapToGrid w:val="0"/>
              </w:rPr>
              <w:t>Legal Profession Act 2008</w:t>
            </w:r>
            <w:r>
              <w:rPr>
                <w:i/>
                <w:snapToGrid w:val="0"/>
              </w:rPr>
              <w:t xml:space="preserve"> </w:t>
            </w:r>
            <w:r>
              <w:rPr>
                <w:iCs/>
                <w:snapToGrid w:val="0"/>
              </w:rPr>
              <w:t>s. 642</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color w:val="000000"/>
                <w:spacing w:val="-2"/>
              </w:rPr>
              <w:t xml:space="preserve">1 Mar 2009 (see s. 2(b) and </w:t>
            </w:r>
            <w:r>
              <w:rPr>
                <w:i/>
                <w:iCs/>
                <w:snapToGrid w:val="0"/>
                <w:color w:val="000000"/>
                <w:spacing w:val="-2"/>
              </w:rPr>
              <w:t xml:space="preserve">Gazette </w:t>
            </w:r>
            <w:r>
              <w:rPr>
                <w:snapToGrid w:val="0"/>
                <w:color w:val="000000"/>
                <w:spacing w:val="-2"/>
              </w:rPr>
              <w:t>27 Feb 2009 p. 511)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snapToGrid w:val="0"/>
              </w:rPr>
              <w:t>Children and Community Services Amendment (Reporting Sexual Abuse of Children) Act 2008</w:t>
            </w:r>
            <w:r>
              <w:rPr>
                <w:iCs/>
                <w:snapToGrid w:val="0"/>
              </w:rPr>
              <w:t xml:space="preserve"> s. 4</w:t>
            </w:r>
            <w:r>
              <w:rPr>
                <w:iCs/>
                <w:snapToGrid w:val="0"/>
              </w:rPr>
              <w:noBreakHyphen/>
              <w:t>11</w:t>
            </w:r>
          </w:p>
        </w:tc>
        <w:tc>
          <w:tcPr>
            <w:tcW w:w="1134" w:type="dxa"/>
          </w:tcPr>
          <w:p>
            <w:pPr>
              <w:pStyle w:val="nTable"/>
              <w:keepNext/>
              <w:spacing w:after="40"/>
              <w:rPr>
                <w:color w:val="000000"/>
              </w:rPr>
            </w:pPr>
            <w:r>
              <w:t>26 of 2008</w:t>
            </w:r>
          </w:p>
        </w:tc>
        <w:tc>
          <w:tcPr>
            <w:tcW w:w="1134" w:type="dxa"/>
          </w:tcPr>
          <w:p>
            <w:pPr>
              <w:pStyle w:val="nTable"/>
              <w:keepNext/>
              <w:spacing w:after="40"/>
              <w:rPr>
                <w:color w:val="000000"/>
              </w:rPr>
            </w:pPr>
            <w:r>
              <w:t>19 Jun 2008</w:t>
            </w:r>
          </w:p>
        </w:tc>
        <w:tc>
          <w:tcPr>
            <w:tcW w:w="2552" w:type="dxa"/>
          </w:tcPr>
          <w:p>
            <w:pPr>
              <w:pStyle w:val="nTable"/>
              <w:keepNext/>
              <w:spacing w:after="40"/>
              <w:rPr>
                <w:color w:val="000000"/>
              </w:rPr>
            </w:pPr>
            <w:r>
              <w:t xml:space="preserve">1 Jan 2009 (see s. 2(b) and </w:t>
            </w:r>
            <w:r>
              <w:rPr>
                <w:i/>
                <w:iCs/>
              </w:rPr>
              <w:t>Gazette</w:t>
            </w:r>
            <w:r>
              <w:t xml:space="preserve"> 9 Dec 2008 p. 5107)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iCs/>
                <w:snapToGrid w:val="0"/>
              </w:rPr>
            </w:pPr>
            <w:r>
              <w:rPr>
                <w:i/>
                <w:snapToGrid w:val="0"/>
              </w:rPr>
              <w:t xml:space="preserve">Surrogacy Act 2008 </w:t>
            </w:r>
            <w:r>
              <w:rPr>
                <w:snapToGrid w:val="0"/>
              </w:rPr>
              <w:t>Pt. 4 Div. 2</w:t>
            </w:r>
          </w:p>
        </w:tc>
        <w:tc>
          <w:tcPr>
            <w:tcW w:w="1134" w:type="dxa"/>
          </w:tcPr>
          <w:p>
            <w:pPr>
              <w:pStyle w:val="nTable"/>
              <w:spacing w:after="40"/>
              <w:rPr>
                <w:snapToGrid w:val="0"/>
              </w:rPr>
            </w:pPr>
            <w:r>
              <w:t>47 of 2008</w:t>
            </w:r>
          </w:p>
        </w:tc>
        <w:tc>
          <w:tcPr>
            <w:tcW w:w="1134" w:type="dxa"/>
          </w:tcPr>
          <w:p>
            <w:pPr>
              <w:pStyle w:val="nTable"/>
              <w:spacing w:after="40"/>
              <w:rPr>
                <w:snapToGrid w:val="0"/>
              </w:rPr>
            </w:pPr>
            <w:r>
              <w:t>10 Dec 2008</w:t>
            </w:r>
          </w:p>
        </w:tc>
        <w:tc>
          <w:tcPr>
            <w:tcW w:w="2552" w:type="dxa"/>
          </w:tcPr>
          <w:p>
            <w:pPr>
              <w:pStyle w:val="nTable"/>
              <w:spacing w:after="40"/>
              <w:rPr>
                <w:snapToGrid w:val="0"/>
                <w:color w:val="000000"/>
                <w:spacing w:val="-2"/>
              </w:rPr>
            </w:pPr>
            <w:r>
              <w:t xml:space="preserve">1 Mar 2009 (see s. 2(b) and </w:t>
            </w:r>
            <w:r>
              <w:rPr>
                <w:i/>
                <w:iCs/>
              </w:rPr>
              <w:t xml:space="preserve">Gazette </w:t>
            </w:r>
            <w:r>
              <w:t>27 Feb 2009 p. 512)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Statutes (Repeals and Miscellaneous Amendments) Act 2009</w:t>
            </w:r>
            <w:r>
              <w:rPr>
                <w:iCs/>
              </w:rPr>
              <w:t xml:space="preserve"> s. 32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Parliamentary Commissioner Amendment Act 2009</w:t>
            </w:r>
            <w:r>
              <w:rPr>
                <w:iCs/>
              </w:rPr>
              <w:t xml:space="preserve"> s. 11</w:t>
            </w:r>
          </w:p>
        </w:tc>
        <w:tc>
          <w:tcPr>
            <w:tcW w:w="1134" w:type="dxa"/>
          </w:tcPr>
          <w:p>
            <w:pPr>
              <w:pStyle w:val="nTable"/>
              <w:spacing w:after="40"/>
            </w:pPr>
            <w:r>
              <w:t>10 of 2009</w:t>
            </w:r>
          </w:p>
        </w:tc>
        <w:tc>
          <w:tcPr>
            <w:tcW w:w="1134" w:type="dxa"/>
          </w:tcPr>
          <w:p>
            <w:pPr>
              <w:pStyle w:val="nTable"/>
              <w:spacing w:after="40"/>
            </w:pPr>
            <w:r>
              <w:t>29 Jun 2009</w:t>
            </w:r>
          </w:p>
        </w:tc>
        <w:tc>
          <w:tcPr>
            <w:tcW w:w="2552" w:type="dxa"/>
          </w:tcPr>
          <w:p>
            <w:pPr>
              <w:pStyle w:val="nTable"/>
              <w:spacing w:after="40"/>
            </w:pPr>
            <w:r>
              <w:t>30 Jun 2009 (see s. 2(b))</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pPr>
            <w:r>
              <w:rPr>
                <w:b/>
                <w:bCs/>
                <w:color w:val="000000"/>
              </w:rPr>
              <w:t xml:space="preserve">Reprint 2:  The </w:t>
            </w:r>
            <w:r>
              <w:rPr>
                <w:b/>
                <w:bCs/>
                <w:i/>
                <w:snapToGrid w:val="0"/>
              </w:rPr>
              <w:t>Children and Community Services Act 2004</w:t>
            </w:r>
            <w:r>
              <w:rPr>
                <w:b/>
                <w:bCs/>
                <w:color w:val="000000"/>
              </w:rPr>
              <w:t xml:space="preserve"> as at 27 Nov 2009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snapToGrid w:val="0"/>
              </w:rPr>
              <w:t xml:space="preserve">Health Practitioner Regulation National Law (WA) Act 2010 </w:t>
            </w:r>
            <w:r>
              <w:rPr>
                <w:iCs/>
                <w:snapToGrid w:val="0"/>
              </w:rPr>
              <w:t>Pt. 5 Div. 8</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iCs/>
                <w:snapToGrid w:val="0"/>
              </w:rPr>
              <w:t>Children and Community Services Amendment Act 2010</w:t>
            </w:r>
            <w:r>
              <w:rPr>
                <w:snapToGrid w:val="0"/>
              </w:rPr>
              <w:t xml:space="preserve"> Pt. 2 Div. 1 and Pt. 3-5</w:t>
            </w:r>
          </w:p>
        </w:tc>
        <w:tc>
          <w:tcPr>
            <w:tcW w:w="1134" w:type="dxa"/>
            <w:shd w:val="clear" w:color="auto" w:fill="auto"/>
          </w:tcPr>
          <w:p>
            <w:pPr>
              <w:pStyle w:val="nTable"/>
              <w:spacing w:after="40"/>
              <w:rPr>
                <w:snapToGrid w:val="0"/>
              </w:rPr>
            </w:pPr>
            <w:r>
              <w:rPr>
                <w:snapToGrid w:val="0"/>
              </w:rPr>
              <w:t>49 of 2010</w:t>
            </w:r>
          </w:p>
        </w:tc>
        <w:tc>
          <w:tcPr>
            <w:tcW w:w="1134" w:type="dxa"/>
            <w:shd w:val="clear" w:color="auto" w:fill="auto"/>
          </w:tcPr>
          <w:p>
            <w:pPr>
              <w:pStyle w:val="nTable"/>
              <w:spacing w:after="40"/>
              <w:rPr>
                <w:snapToGrid w:val="0"/>
              </w:rPr>
            </w:pPr>
            <w:r>
              <w:rPr>
                <w:snapToGrid w:val="0"/>
              </w:rPr>
              <w:t>24 Nov 2010</w:t>
            </w:r>
          </w:p>
        </w:tc>
        <w:tc>
          <w:tcPr>
            <w:tcW w:w="2552" w:type="dxa"/>
            <w:shd w:val="clear" w:color="auto" w:fill="auto"/>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blPrEx>
          <w:tblBorders>
            <w:top w:val="none" w:sz="0" w:space="0" w:color="auto"/>
            <w:bottom w:val="none" w:sz="0" w:space="0" w:color="auto"/>
            <w:insideH w:val="none" w:sz="0" w:space="0" w:color="auto"/>
          </w:tblBorders>
        </w:tblPrEx>
        <w:trPr>
          <w:cantSplit/>
        </w:trPr>
        <w:tc>
          <w:tcPr>
            <w:tcW w:w="7093" w:type="dxa"/>
            <w:gridSpan w:val="4"/>
            <w:shd w:val="clear" w:color="auto" w:fill="auto"/>
          </w:tcPr>
          <w:p>
            <w:pPr>
              <w:pStyle w:val="nTable"/>
              <w:spacing w:after="40"/>
              <w:rPr>
                <w:snapToGrid w:val="0"/>
              </w:rPr>
            </w:pPr>
            <w:r>
              <w:rPr>
                <w:b/>
                <w:bCs/>
                <w:color w:val="000000"/>
              </w:rPr>
              <w:t xml:space="preserve">Reprint 3:  The </w:t>
            </w:r>
            <w:r>
              <w:rPr>
                <w:b/>
                <w:bCs/>
                <w:i/>
                <w:snapToGrid w:val="0"/>
              </w:rPr>
              <w:t>Children and Community Services Act 2004</w:t>
            </w:r>
            <w:r>
              <w:rPr>
                <w:b/>
                <w:bCs/>
                <w:color w:val="000000"/>
              </w:rPr>
              <w:t xml:space="preserve"> as at 4 Mar 2011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Road Traffic Legislation Amendment Act 2012 </w:t>
            </w:r>
            <w:r>
              <w:rPr>
                <w:snapToGrid w:val="0"/>
              </w:rPr>
              <w:t>Pt. 4 Div. 6</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pPr>
            <w:r>
              <w:t>21 May 2012</w:t>
            </w:r>
          </w:p>
        </w:tc>
        <w:tc>
          <w:tcPr>
            <w:tcW w:w="2552" w:type="dxa"/>
            <w:shd w:val="clear" w:color="auto" w:fill="auto"/>
          </w:tcPr>
          <w:p>
            <w:pPr>
              <w:pStyle w:val="nTable"/>
              <w:spacing w:after="40"/>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 xml:space="preserve">Education and Care Services National Law (WA) Act 2012 </w:t>
            </w:r>
            <w:r>
              <w:rPr>
                <w:snapToGrid w:val="0"/>
              </w:rPr>
              <w:t>Pt. 4 Div. 2 </w:t>
            </w:r>
          </w:p>
        </w:tc>
        <w:tc>
          <w:tcPr>
            <w:tcW w:w="1134" w:type="dxa"/>
            <w:shd w:val="clear" w:color="auto" w:fill="auto"/>
          </w:tcPr>
          <w:p>
            <w:pPr>
              <w:pStyle w:val="nTable"/>
              <w:spacing w:after="40"/>
              <w:rPr>
                <w:snapToGrid w:val="0"/>
              </w:rPr>
            </w:pPr>
            <w:r>
              <w:rPr>
                <w:snapToGrid w:val="0"/>
              </w:rPr>
              <w:t>11 of 2012</w:t>
            </w:r>
          </w:p>
        </w:tc>
        <w:tc>
          <w:tcPr>
            <w:tcW w:w="1134" w:type="dxa"/>
            <w:shd w:val="clear" w:color="auto" w:fill="auto"/>
          </w:tcPr>
          <w:p>
            <w:pPr>
              <w:pStyle w:val="nTable"/>
              <w:spacing w:after="40"/>
              <w:rPr>
                <w:snapToGrid w:val="0"/>
              </w:rPr>
            </w:pPr>
            <w:r>
              <w:t>20 Jun 2012</w:t>
            </w:r>
          </w:p>
        </w:tc>
        <w:tc>
          <w:tcPr>
            <w:tcW w:w="2552" w:type="dxa"/>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Teacher Registration Act 2012</w:t>
            </w:r>
            <w:r>
              <w:rPr>
                <w:snapToGrid w:val="0"/>
              </w:rPr>
              <w:t xml:space="preserve"> s. 163</w:t>
            </w:r>
          </w:p>
        </w:tc>
        <w:tc>
          <w:tcPr>
            <w:tcW w:w="1134" w:type="dxa"/>
            <w:shd w:val="clear" w:color="auto" w:fill="auto"/>
          </w:tcPr>
          <w:p>
            <w:pPr>
              <w:pStyle w:val="nTable"/>
              <w:spacing w:after="40"/>
              <w:rPr>
                <w:snapToGrid w:val="0"/>
              </w:rPr>
            </w:pPr>
            <w:r>
              <w:rPr>
                <w:snapToGrid w:val="0"/>
              </w:rPr>
              <w:t>16 of 2012</w:t>
            </w:r>
          </w:p>
        </w:tc>
        <w:tc>
          <w:tcPr>
            <w:tcW w:w="1134" w:type="dxa"/>
            <w:shd w:val="clear" w:color="auto" w:fill="auto"/>
          </w:tcPr>
          <w:p>
            <w:pPr>
              <w:pStyle w:val="nTable"/>
              <w:spacing w:after="40"/>
            </w:pPr>
            <w:r>
              <w:t>3 Jul 2012</w:t>
            </w:r>
          </w:p>
        </w:tc>
        <w:tc>
          <w:tcPr>
            <w:tcW w:w="2552" w:type="dxa"/>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Statutes (Repeals and Minor Amendments) Act 2014</w:t>
            </w:r>
            <w:r>
              <w:rPr>
                <w:snapToGrid w:val="0"/>
              </w:rPr>
              <w:t xml:space="preserve"> s. 18</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pPr>
            <w:r>
              <w:t>2 Jul 2014</w:t>
            </w:r>
          </w:p>
        </w:tc>
        <w:tc>
          <w:tcPr>
            <w:tcW w:w="2552"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Declared Places (Mentally Impaired Accused) Act 2015</w:t>
            </w:r>
            <w:r>
              <w:rPr>
                <w:snapToGrid w:val="0"/>
              </w:rPr>
              <w:t xml:space="preserve"> s. 82</w:t>
            </w:r>
          </w:p>
        </w:tc>
        <w:tc>
          <w:tcPr>
            <w:tcW w:w="1134"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2"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none" w:sz="0" w:space="0" w:color="auto"/>
            <w:bottom w:val="none" w:sz="0" w:space="0" w:color="auto"/>
            <w:insideH w:val="none" w:sz="0" w:space="0" w:color="auto"/>
          </w:tblBorders>
        </w:tblPrEx>
        <w:trPr>
          <w:cantSplit/>
        </w:trPr>
        <w:tc>
          <w:tcPr>
            <w:tcW w:w="7093" w:type="dxa"/>
            <w:gridSpan w:val="4"/>
            <w:shd w:val="clear" w:color="auto" w:fill="auto"/>
          </w:tcPr>
          <w:p>
            <w:pPr>
              <w:pStyle w:val="nTable"/>
              <w:spacing w:after="40"/>
              <w:rPr>
                <w:snapToGrid w:val="0"/>
              </w:rPr>
            </w:pPr>
            <w:r>
              <w:rPr>
                <w:b/>
                <w:bCs/>
                <w:color w:val="000000"/>
              </w:rPr>
              <w:t xml:space="preserve">Reprint 4:  The </w:t>
            </w:r>
            <w:r>
              <w:rPr>
                <w:b/>
                <w:bCs/>
                <w:i/>
                <w:snapToGrid w:val="0"/>
              </w:rPr>
              <w:t>Children and Community Services Act 2004</w:t>
            </w:r>
            <w:r>
              <w:rPr>
                <w:b/>
                <w:bCs/>
                <w:color w:val="000000"/>
              </w:rPr>
              <w:t xml:space="preserve"> as at 10 Jul 2015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Children and Community Services Legislation Amendment and Repeal Act 2015 </w:t>
            </w:r>
            <w:r>
              <w:rPr>
                <w:snapToGrid w:val="0"/>
              </w:rPr>
              <w:t>Pt. 2 Div. 1 and Pt. 3</w:t>
            </w:r>
          </w:p>
        </w:tc>
        <w:tc>
          <w:tcPr>
            <w:tcW w:w="1134" w:type="dxa"/>
            <w:shd w:val="clear" w:color="auto" w:fill="auto"/>
          </w:tcPr>
          <w:p>
            <w:pPr>
              <w:pStyle w:val="nTable"/>
              <w:spacing w:after="40"/>
              <w:rPr>
                <w:snapToGrid w:val="0"/>
              </w:rPr>
            </w:pPr>
            <w:r>
              <w:rPr>
                <w:snapToGrid w:val="0"/>
              </w:rPr>
              <w:t>23 of 2015</w:t>
            </w:r>
          </w:p>
        </w:tc>
        <w:tc>
          <w:tcPr>
            <w:tcW w:w="1134" w:type="dxa"/>
            <w:shd w:val="clear" w:color="auto" w:fill="auto"/>
          </w:tcPr>
          <w:p>
            <w:pPr>
              <w:pStyle w:val="nTable"/>
              <w:spacing w:after="40"/>
            </w:pPr>
            <w:r>
              <w:rPr>
                <w:snapToGrid w:val="0"/>
              </w:rPr>
              <w:t>17 Sep 2015</w:t>
            </w:r>
          </w:p>
        </w:tc>
        <w:tc>
          <w:tcPr>
            <w:tcW w:w="2552"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3 Div. 6</w:t>
            </w:r>
          </w:p>
        </w:tc>
        <w:tc>
          <w:tcPr>
            <w:tcW w:w="1134" w:type="dxa"/>
            <w:shd w:val="clear" w:color="auto" w:fill="auto"/>
          </w:tcPr>
          <w:p>
            <w:pPr>
              <w:pStyle w:val="nTable"/>
              <w:spacing w:after="40"/>
              <w:rPr>
                <w:snapToGrid w:val="0"/>
              </w:rPr>
            </w:pPr>
            <w:r>
              <w:t>26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Restraining Orders and Related Legislation Amendment (Family Violence) Act 2016 </w:t>
            </w:r>
            <w:r>
              <w:rPr>
                <w:snapToGrid w:val="0"/>
              </w:rPr>
              <w:t>Pt. 3 Div. 2</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rPr>
              <w:t>Health Practitioner Regulation National Law (WA) Amendment Act 2018</w:t>
            </w:r>
            <w:r>
              <w:t xml:space="preserve"> s. 102</w:t>
            </w:r>
          </w:p>
        </w:tc>
        <w:tc>
          <w:tcPr>
            <w:tcW w:w="1134" w:type="dxa"/>
            <w:shd w:val="clear" w:color="auto" w:fill="auto"/>
          </w:tcPr>
          <w:p>
            <w:pPr>
              <w:pStyle w:val="nTable"/>
              <w:spacing w:after="40"/>
            </w:pPr>
            <w:r>
              <w:t>4 of 2018</w:t>
            </w:r>
          </w:p>
        </w:tc>
        <w:tc>
          <w:tcPr>
            <w:tcW w:w="1134" w:type="dxa"/>
            <w:shd w:val="clear" w:color="auto" w:fill="auto"/>
          </w:tcPr>
          <w:p>
            <w:pPr>
              <w:pStyle w:val="nTable"/>
              <w:spacing w:after="40"/>
            </w:pPr>
            <w:r>
              <w:t>19 Apr 2018</w:t>
            </w:r>
          </w:p>
        </w:tc>
        <w:tc>
          <w:tcPr>
            <w:tcW w:w="2552" w:type="dxa"/>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rPr>
          <w:cantSplit/>
        </w:trPr>
        <w:tc>
          <w:tcPr>
            <w:tcW w:w="7093" w:type="dxa"/>
            <w:gridSpan w:val="4"/>
            <w:tcBorders>
              <w:top w:val="nil"/>
              <w:bottom w:val="nil"/>
            </w:tcBorders>
            <w:shd w:val="clear" w:color="auto" w:fill="auto"/>
          </w:tcPr>
          <w:p>
            <w:pPr>
              <w:pStyle w:val="nTable"/>
              <w:spacing w:after="40"/>
            </w:pPr>
            <w:r>
              <w:rPr>
                <w:b/>
              </w:rPr>
              <w:t xml:space="preserve">Reprint 5: The </w:t>
            </w:r>
            <w:r>
              <w:rPr>
                <w:b/>
                <w:i/>
                <w:noProof/>
              </w:rPr>
              <w:t>Children and Community Services Act 2004</w:t>
            </w:r>
            <w:r>
              <w:rPr>
                <w:b/>
              </w:rPr>
              <w:t xml:space="preserve"> as at 22 Mar 2019</w:t>
            </w:r>
            <w:r>
              <w:t xml:space="preserve"> (includes amendments listed above)</w:t>
            </w:r>
          </w:p>
        </w:tc>
      </w:tr>
      <w:tr>
        <w:tc>
          <w:tcPr>
            <w:tcW w:w="2273" w:type="dxa"/>
            <w:tcBorders>
              <w:top w:val="nil"/>
              <w:bottom w:val="nil"/>
            </w:tcBorders>
          </w:tcPr>
          <w:p>
            <w:pPr>
              <w:pStyle w:val="nTable"/>
              <w:spacing w:after="40"/>
            </w:pPr>
            <w:r>
              <w:rPr>
                <w:i/>
              </w:rPr>
              <w:t>High Risk Serious Offenders Act 2020</w:t>
            </w:r>
            <w:r>
              <w:t xml:space="preserve"> s. 121</w:t>
            </w:r>
          </w:p>
        </w:tc>
        <w:tc>
          <w:tcPr>
            <w:tcW w:w="1134" w:type="dxa"/>
            <w:tcBorders>
              <w:top w:val="nil"/>
              <w:bottom w:val="nil"/>
            </w:tcBorders>
          </w:tcPr>
          <w:p>
            <w:pPr>
              <w:pStyle w:val="nTable"/>
              <w:spacing w:after="40"/>
            </w:pPr>
            <w:r>
              <w:t>29 of 2020</w:t>
            </w:r>
          </w:p>
        </w:tc>
        <w:tc>
          <w:tcPr>
            <w:tcW w:w="1134" w:type="dxa"/>
            <w:tcBorders>
              <w:top w:val="nil"/>
              <w:bottom w:val="nil"/>
            </w:tcBorders>
          </w:tcPr>
          <w:p>
            <w:pPr>
              <w:pStyle w:val="nTable"/>
              <w:spacing w:after="40"/>
            </w:pPr>
            <w:r>
              <w:t>9 Jul 2020</w:t>
            </w:r>
          </w:p>
        </w:tc>
        <w:tc>
          <w:tcPr>
            <w:tcW w:w="2552" w:type="dxa"/>
            <w:tcBorders>
              <w:top w:val="nil"/>
              <w:bottom w:val="nil"/>
            </w:tcBorders>
          </w:tcPr>
          <w:p>
            <w:pPr>
              <w:pStyle w:val="nTable"/>
              <w:spacing w:after="40"/>
            </w:pPr>
            <w:r>
              <w:t>26 Aug 2020 (see s. 2(1)(c) and SL 2020/131 cl. 2)</w:t>
            </w:r>
          </w:p>
        </w:tc>
      </w:tr>
      <w:tr>
        <w:tc>
          <w:tcPr>
            <w:tcW w:w="2273" w:type="dxa"/>
            <w:tcBorders>
              <w:top w:val="nil"/>
              <w:bottom w:val="nil"/>
            </w:tcBorders>
          </w:tcPr>
          <w:p>
            <w:pPr>
              <w:pStyle w:val="nTable"/>
              <w:spacing w:after="40"/>
              <w:rPr>
                <w:i/>
              </w:rPr>
            </w:pPr>
            <w:r>
              <w:rPr>
                <w:i/>
              </w:rPr>
              <w:t>Children and Community Services Amendment Act 2021</w:t>
            </w:r>
            <w:r>
              <w:t xml:space="preserve"> (other than s. 15, 32, 39, 40, 52(1), (2), (4)</w:t>
            </w:r>
            <w:r>
              <w:noBreakHyphen/>
              <w:t>(7), (10)-(16) and (20) and 53(2)-(4) and (6)-(9))</w:t>
            </w:r>
          </w:p>
        </w:tc>
        <w:tc>
          <w:tcPr>
            <w:tcW w:w="1134" w:type="dxa"/>
            <w:tcBorders>
              <w:top w:val="nil"/>
              <w:bottom w:val="nil"/>
            </w:tcBorders>
          </w:tcPr>
          <w:p>
            <w:pPr>
              <w:pStyle w:val="nTable"/>
              <w:spacing w:after="40"/>
            </w:pPr>
            <w:r>
              <w:t>18 of 2021</w:t>
            </w:r>
          </w:p>
        </w:tc>
        <w:tc>
          <w:tcPr>
            <w:tcW w:w="1134" w:type="dxa"/>
            <w:tcBorders>
              <w:top w:val="nil"/>
              <w:bottom w:val="nil"/>
            </w:tcBorders>
          </w:tcPr>
          <w:p>
            <w:pPr>
              <w:pStyle w:val="nTable"/>
              <w:spacing w:after="40"/>
            </w:pPr>
            <w:r>
              <w:t>19 Oct 2021</w:t>
            </w:r>
          </w:p>
        </w:tc>
        <w:tc>
          <w:tcPr>
            <w:tcW w:w="2552" w:type="dxa"/>
            <w:tcBorders>
              <w:top w:val="nil"/>
              <w:bottom w:val="nil"/>
            </w:tcBorders>
          </w:tcPr>
          <w:p>
            <w:pPr>
              <w:pStyle w:val="nTable"/>
              <w:spacing w:after="40"/>
            </w:pPr>
            <w:r>
              <w:t>s. 1 and 2: 19 Oct 2021 (see s. 2(a));</w:t>
            </w:r>
            <w:r>
              <w:br/>
              <w:t>Act other than s. 1, 2, 15, 32, 39, 40 and 52</w:t>
            </w:r>
            <w:r>
              <w:noBreakHyphen/>
              <w:t>54: 1 May 2022 (see s. 2(b) and (c) and SL 2022/50 cl. 2)</w:t>
            </w:r>
            <w:r>
              <w:br/>
              <w:t>s. 52(3), (8), (9) and (17)-(19), 53(1), (5), (10) and (11) and 54: 1 Nov 2022 (see s. 2(c) and SL 2022/167 cl. 2)</w:t>
            </w:r>
          </w:p>
        </w:tc>
      </w:tr>
      <w:tr>
        <w:tc>
          <w:tcPr>
            <w:tcW w:w="2273" w:type="dxa"/>
            <w:tcBorders>
              <w:top w:val="nil"/>
              <w:bottom w:val="nil"/>
            </w:tcBorders>
          </w:tcPr>
          <w:p>
            <w:pPr>
              <w:pStyle w:val="nTable"/>
              <w:spacing w:after="40"/>
              <w:rPr>
                <w:i/>
              </w:rPr>
            </w:pPr>
            <w:r>
              <w:rPr>
                <w:i/>
              </w:rPr>
              <w:t>Legal Profession Uniform Law Application Act 2022</w:t>
            </w:r>
            <w:r>
              <w:t xml:space="preserve"> Pt. 17 Div. 2</w:t>
            </w:r>
          </w:p>
        </w:tc>
        <w:tc>
          <w:tcPr>
            <w:tcW w:w="1134" w:type="dxa"/>
            <w:tcBorders>
              <w:top w:val="nil"/>
              <w:bottom w:val="nil"/>
            </w:tcBorders>
          </w:tcPr>
          <w:p>
            <w:pPr>
              <w:pStyle w:val="nTable"/>
              <w:spacing w:after="40"/>
            </w:pPr>
            <w:r>
              <w:t>9 of 2022</w:t>
            </w:r>
          </w:p>
        </w:tc>
        <w:tc>
          <w:tcPr>
            <w:tcW w:w="1134" w:type="dxa"/>
            <w:tcBorders>
              <w:top w:val="nil"/>
              <w:bottom w:val="nil"/>
            </w:tcBorders>
          </w:tcPr>
          <w:p>
            <w:pPr>
              <w:pStyle w:val="nTable"/>
              <w:spacing w:after="40"/>
            </w:pPr>
            <w:r>
              <w:t>14 Apr 2022</w:t>
            </w:r>
          </w:p>
        </w:tc>
        <w:tc>
          <w:tcPr>
            <w:tcW w:w="2552" w:type="dxa"/>
            <w:tcBorders>
              <w:top w:val="nil"/>
              <w:bottom w:val="nil"/>
            </w:tcBorders>
          </w:tcPr>
          <w:p>
            <w:pPr>
              <w:pStyle w:val="nTable"/>
              <w:spacing w:after="40"/>
            </w:pPr>
            <w:r>
              <w:rPr>
                <w:snapToGrid w:val="0"/>
              </w:rPr>
              <w:t>1 Jul 2022 (see s. 2(c) and SL 2022/113 cl. 2)</w:t>
            </w:r>
          </w:p>
        </w:tc>
      </w:tr>
      <w:tr>
        <w:trPr>
          <w:ins w:id="1187" w:author="Master Repository Process" w:date="2023-10-17T15:18:00Z"/>
        </w:trPr>
        <w:tc>
          <w:tcPr>
            <w:tcW w:w="2273" w:type="dxa"/>
            <w:tcBorders>
              <w:top w:val="nil"/>
            </w:tcBorders>
          </w:tcPr>
          <w:p>
            <w:pPr>
              <w:pStyle w:val="nTable"/>
              <w:spacing w:after="40"/>
              <w:rPr>
                <w:ins w:id="1188" w:author="Master Repository Process" w:date="2023-10-17T15:18:00Z"/>
                <w:i/>
              </w:rPr>
            </w:pPr>
            <w:ins w:id="1189" w:author="Master Repository Process" w:date="2023-10-17T15:18:00Z">
              <w:r>
                <w:rPr>
                  <w:i/>
                </w:rPr>
                <w:t>Firearms Amendment Act 2022</w:t>
              </w:r>
              <w:r>
                <w:t xml:space="preserve"> s. 82</w:t>
              </w:r>
            </w:ins>
          </w:p>
        </w:tc>
        <w:tc>
          <w:tcPr>
            <w:tcW w:w="1134" w:type="dxa"/>
            <w:tcBorders>
              <w:top w:val="nil"/>
            </w:tcBorders>
          </w:tcPr>
          <w:p>
            <w:pPr>
              <w:pStyle w:val="nTable"/>
              <w:spacing w:after="40"/>
              <w:rPr>
                <w:ins w:id="1190" w:author="Master Repository Process" w:date="2023-10-17T15:18:00Z"/>
              </w:rPr>
            </w:pPr>
            <w:ins w:id="1191" w:author="Master Repository Process" w:date="2023-10-17T15:18:00Z">
              <w:r>
                <w:t>13 of 2022</w:t>
              </w:r>
            </w:ins>
          </w:p>
        </w:tc>
        <w:tc>
          <w:tcPr>
            <w:tcW w:w="1134" w:type="dxa"/>
            <w:tcBorders>
              <w:top w:val="nil"/>
            </w:tcBorders>
          </w:tcPr>
          <w:p>
            <w:pPr>
              <w:pStyle w:val="nTable"/>
              <w:spacing w:after="40"/>
              <w:rPr>
                <w:ins w:id="1192" w:author="Master Repository Process" w:date="2023-10-17T15:18:00Z"/>
              </w:rPr>
            </w:pPr>
            <w:ins w:id="1193" w:author="Master Repository Process" w:date="2023-10-17T15:18:00Z">
              <w:r>
                <w:t>18 May 2022</w:t>
              </w:r>
            </w:ins>
          </w:p>
        </w:tc>
        <w:tc>
          <w:tcPr>
            <w:tcW w:w="2552" w:type="dxa"/>
            <w:tcBorders>
              <w:top w:val="nil"/>
            </w:tcBorders>
          </w:tcPr>
          <w:p>
            <w:pPr>
              <w:pStyle w:val="nTable"/>
              <w:spacing w:after="40"/>
              <w:rPr>
                <w:ins w:id="1194" w:author="Master Repository Process" w:date="2023-10-17T15:18:00Z"/>
                <w:snapToGrid w:val="0"/>
              </w:rPr>
            </w:pPr>
            <w:ins w:id="1195" w:author="Master Repository Process" w:date="2023-10-17T15:18:00Z">
              <w:r>
                <w:rPr>
                  <w:snapToGrid w:val="0"/>
                </w:rPr>
                <w:t>19 Nov 2022 (see s. 2(c) and SL 2022/186 cl. 2)</w:t>
              </w:r>
            </w:ins>
          </w:p>
        </w:tc>
      </w:tr>
    </w:tbl>
    <w:p>
      <w:pPr>
        <w:pStyle w:val="nHeading3"/>
      </w:pPr>
      <w:bookmarkStart w:id="1196" w:name="_Toc148361286"/>
      <w:bookmarkStart w:id="1197" w:name="_Toc117608239"/>
      <w:r>
        <w:t>Uncommenced provisions table</w:t>
      </w:r>
      <w:bookmarkEnd w:id="1196"/>
      <w:bookmarkEnd w:id="119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pPr>
            <w:r>
              <w:rPr>
                <w:i/>
              </w:rPr>
              <w:t>Children and Community Services Amendment Act 2021</w:t>
            </w:r>
            <w:r>
              <w:t xml:space="preserve"> s. 15, 32, 39, 40, 52(1), (2), (4)-(7), (10)-(16) and (20) and 53(2</w:t>
            </w:r>
            <w:del w:id="1198" w:author="Master Repository Process" w:date="2023-10-17T15:18:00Z">
              <w:r>
                <w:delText>)-(</w:delText>
              </w:r>
            </w:del>
            <w:ins w:id="1199" w:author="Master Repository Process" w:date="2023-10-17T15:18:00Z">
              <w:r>
                <w:t>)</w:t>
              </w:r>
              <w:r>
                <w:noBreakHyphen/>
                <w:t>(</w:t>
              </w:r>
            </w:ins>
            <w:r>
              <w:t>4) and</w:t>
            </w:r>
            <w:del w:id="1200" w:author="Master Repository Process" w:date="2023-10-17T15:18:00Z">
              <w:r>
                <w:delText xml:space="preserve"> </w:delText>
              </w:r>
            </w:del>
            <w:ins w:id="1201" w:author="Master Repository Process" w:date="2023-10-17T15:18:00Z">
              <w:r>
                <w:t> </w:t>
              </w:r>
            </w:ins>
            <w:r>
              <w:t>(6</w:t>
            </w:r>
            <w:del w:id="1202" w:author="Master Repository Process" w:date="2023-10-17T15:18:00Z">
              <w:r>
                <w:delText>)-(</w:delText>
              </w:r>
            </w:del>
            <w:ins w:id="1203" w:author="Master Repository Process" w:date="2023-10-17T15:18:00Z">
              <w:r>
                <w:t>)</w:t>
              </w:r>
              <w:r>
                <w:noBreakHyphen/>
                <w:t>(</w:t>
              </w:r>
            </w:ins>
            <w:r>
              <w:t>9)</w:t>
            </w:r>
          </w:p>
        </w:tc>
        <w:tc>
          <w:tcPr>
            <w:tcW w:w="1134" w:type="dxa"/>
            <w:tcBorders>
              <w:bottom w:val="single" w:sz="4" w:space="0" w:color="auto"/>
            </w:tcBorders>
          </w:tcPr>
          <w:p>
            <w:pPr>
              <w:pStyle w:val="nTable"/>
              <w:spacing w:after="40"/>
            </w:pPr>
            <w:r>
              <w:t>18 of 2021</w:t>
            </w:r>
          </w:p>
        </w:tc>
        <w:tc>
          <w:tcPr>
            <w:tcW w:w="1134" w:type="dxa"/>
            <w:tcBorders>
              <w:bottom w:val="single" w:sz="4" w:space="0" w:color="auto"/>
            </w:tcBorders>
          </w:tcPr>
          <w:p>
            <w:pPr>
              <w:pStyle w:val="nTable"/>
              <w:spacing w:after="40"/>
            </w:pPr>
            <w:r>
              <w:t>19 Oct 2021</w:t>
            </w:r>
          </w:p>
        </w:tc>
        <w:tc>
          <w:tcPr>
            <w:tcW w:w="2552" w:type="dxa"/>
            <w:tcBorders>
              <w:bottom w:val="single" w:sz="4" w:space="0" w:color="auto"/>
            </w:tcBorders>
          </w:tcPr>
          <w:p>
            <w:pPr>
              <w:pStyle w:val="nTable"/>
            </w:pPr>
            <w:del w:id="1204" w:author="Master Repository Process" w:date="2023-10-17T15:18:00Z">
              <w:r>
                <w:delText>To be proclaimed (see s. 2(c))</w:delText>
              </w:r>
            </w:del>
            <w:ins w:id="1205" w:author="Master Repository Process" w:date="2023-10-17T15:18:00Z">
              <w:r>
                <w:t xml:space="preserve">s. 52(1), (4), (10), (11) and (13) and 53(2), (3) and (6): 1 Nov 2023 (see s. 2(c) and SL 2023/153 cl. 2); </w:t>
              </w:r>
              <w:r>
                <w:br/>
                <w:t>s. 15, 32, 39, 40, 52(2), (5)-(7), (12), (14)-(16) and (20) and 53(4) and (7)-(9): to be proclaimed (see s. 2(c))</w:t>
              </w:r>
            </w:ins>
          </w:p>
        </w:tc>
      </w:tr>
      <w:tr>
        <w:trPr>
          <w:del w:id="1206" w:author="Master Repository Process" w:date="2023-10-17T15:18:00Z"/>
        </w:trPr>
        <w:tc>
          <w:tcPr>
            <w:tcW w:w="2268" w:type="dxa"/>
            <w:tcBorders>
              <w:top w:val="nil"/>
            </w:tcBorders>
          </w:tcPr>
          <w:p>
            <w:pPr>
              <w:pStyle w:val="nTable"/>
              <w:spacing w:after="40"/>
              <w:rPr>
                <w:del w:id="1207" w:author="Master Repository Process" w:date="2023-10-17T15:18:00Z"/>
              </w:rPr>
            </w:pPr>
            <w:del w:id="1208" w:author="Master Repository Process" w:date="2023-10-17T15:18:00Z">
              <w:r>
                <w:rPr>
                  <w:i/>
                </w:rPr>
                <w:delText>Firearms Amendment Act 2022</w:delText>
              </w:r>
              <w:r>
                <w:delText xml:space="preserve"> s. 82</w:delText>
              </w:r>
            </w:del>
          </w:p>
        </w:tc>
        <w:tc>
          <w:tcPr>
            <w:tcW w:w="1134" w:type="dxa"/>
            <w:tcBorders>
              <w:top w:val="nil"/>
            </w:tcBorders>
          </w:tcPr>
          <w:p>
            <w:pPr>
              <w:pStyle w:val="nTable"/>
              <w:spacing w:after="40"/>
              <w:rPr>
                <w:del w:id="1209" w:author="Master Repository Process" w:date="2023-10-17T15:18:00Z"/>
              </w:rPr>
            </w:pPr>
            <w:del w:id="1210" w:author="Master Repository Process" w:date="2023-10-17T15:18:00Z">
              <w:r>
                <w:delText>13 of 2022</w:delText>
              </w:r>
            </w:del>
          </w:p>
        </w:tc>
        <w:tc>
          <w:tcPr>
            <w:tcW w:w="1134" w:type="dxa"/>
            <w:tcBorders>
              <w:top w:val="nil"/>
            </w:tcBorders>
          </w:tcPr>
          <w:p>
            <w:pPr>
              <w:pStyle w:val="nTable"/>
              <w:spacing w:after="40"/>
              <w:rPr>
                <w:del w:id="1211" w:author="Master Repository Process" w:date="2023-10-17T15:18:00Z"/>
              </w:rPr>
            </w:pPr>
            <w:del w:id="1212" w:author="Master Repository Process" w:date="2023-10-17T15:18:00Z">
              <w:r>
                <w:delText>18 May 2022</w:delText>
              </w:r>
            </w:del>
          </w:p>
        </w:tc>
        <w:tc>
          <w:tcPr>
            <w:tcW w:w="2552" w:type="dxa"/>
            <w:tcBorders>
              <w:top w:val="nil"/>
            </w:tcBorders>
          </w:tcPr>
          <w:p>
            <w:pPr>
              <w:pStyle w:val="nTable"/>
              <w:spacing w:after="40"/>
              <w:rPr>
                <w:del w:id="1213" w:author="Master Repository Process" w:date="2023-10-17T15:18:00Z"/>
              </w:rPr>
            </w:pPr>
            <w:del w:id="1214" w:author="Master Repository Process" w:date="2023-10-17T15:18:00Z">
              <w:r>
                <w:delText>To be proclaimed (see s. 2(c))</w:delText>
              </w:r>
            </w:del>
          </w:p>
        </w:tc>
      </w:tr>
    </w:tbl>
    <w:p>
      <w:pPr>
        <w:pStyle w:val="nHeading3"/>
      </w:pPr>
      <w:bookmarkStart w:id="1215" w:name="_Toc148361287"/>
      <w:bookmarkStart w:id="1216" w:name="_Toc117608240"/>
      <w:r>
        <w:t>Other notes</w:t>
      </w:r>
      <w:bookmarkEnd w:id="1215"/>
      <w:bookmarkEnd w:id="1216"/>
    </w:p>
    <w:p>
      <w:pPr>
        <w:pStyle w:val="nNote"/>
        <w:spacing w:before="160"/>
      </w:pPr>
      <w:r>
        <w:rPr>
          <w:vertAlign w:val="superscript"/>
        </w:rPr>
        <w:t>1</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Note"/>
        <w:spacing w:before="120"/>
      </w:pPr>
      <w:r>
        <w:rPr>
          <w:vertAlign w:val="superscript"/>
        </w:rPr>
        <w:t>2</w:t>
      </w:r>
      <w:r>
        <w:tab/>
      </w:r>
      <w:r>
        <w:rPr>
          <w:snapToGrid w:val="0"/>
        </w:rPr>
        <w:t>The</w:t>
      </w:r>
      <w:r>
        <w:t xml:space="preserve"> </w:t>
      </w:r>
      <w:r>
        <w:rPr>
          <w:i/>
          <w:iCs/>
        </w:rPr>
        <w:t>Child Care Services Act 2007</w:t>
      </w:r>
      <w:r>
        <w:t xml:space="preserve"> Pt. 6 contains transitional provisions relating to the repealed Pt. 8 of this Act.</w:t>
      </w:r>
    </w:p>
    <w:p/>
    <w:p>
      <w:pPr>
        <w:sectPr>
          <w:headerReference w:type="even" r:id="rId25"/>
          <w:headerReference w:type="default" r:id="rId26"/>
          <w:pgSz w:w="11907" w:h="16840" w:code="9"/>
          <w:pgMar w:top="2376" w:right="2405" w:bottom="3542" w:left="2405" w:header="706" w:footer="3544"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17" w:name="Compilation"/>
    <w:bookmarkEnd w:id="12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18" w:name="Coversheet"/>
    <w:bookmarkEnd w:id="12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92"/>
      <w:gridCol w:w="5871"/>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rPr>
        <w:jc w:val="center"/>
      </w:trP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rPr>
        <w:jc w:val="center"/>
      </w:trP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832"/>
      <w:gridCol w:w="143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77" w:name="Schedule"/>
    <w:bookmarkEnd w:id="117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12A7AFB"/>
    <w:multiLevelType w:val="multilevel"/>
    <w:tmpl w:val="6934729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016113230"/>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 w:name="WAFER_20150630144027" w:val="RemoveTocBookmarks,RunningHeaders"/>
    <w:docVar w:name="WAFER_20150630144027_GUID" w:val="a059ee88-d49d-4f35-b82a-d0964de1bb31"/>
    <w:docVar w:name="WAFER_20150630144055" w:val="RemoveTocBookmarks"/>
    <w:docVar w:name="WAFER_20150630144055_GUID" w:val="77cd6623-abac-485b-966f-cee04ea03c43"/>
    <w:docVar w:name="WAFER_20150630144127" w:val="RemoveTocBookmarks,RemoveUnusedBookmarks,RemoveLanguageTags,UsedStyles,ResetPageSize"/>
    <w:docVar w:name="WAFER_20150630144127_GUID" w:val="164d6615-42fe-47df-a600-1bbe4ac9d3ef"/>
    <w:docVar w:name="WAFER_20150630144230" w:val="RemoveTocBookmarks"/>
    <w:docVar w:name="WAFER_20150630144230_GUID" w:val="0619691a-a021-4e47-b1a8-081d3620a3e6"/>
    <w:docVar w:name="WAFER_20150630144256" w:val="RemoveTocBookmarks,RunningHeaders"/>
    <w:docVar w:name="WAFER_20150630144256_GUID" w:val="13f50e24-3340-4b24-b628-f6f7eceae8b7"/>
    <w:docVar w:name="WAFER_20150630144338" w:val="RemoveTocBookmarks,RemoveUnusedBookmarks,RemoveLanguageTags,UsedStyles,ResetPageSize,RemoveCustomizations"/>
    <w:docVar w:name="WAFER_20150630144338_GUID" w:val="9e6982b5-bf42-4fae-a9d1-768d4bba801a"/>
    <w:docVar w:name="WAFER_20150630144403" w:val="RemoveTocBookmarks,RemoveLanguageTags,RemoveTrackChanges,RunningHeaders"/>
    <w:docVar w:name="WAFER_20150630144403_GUID" w:val="d948078c-d2de-4d62-a419-8d4dace5bb8b"/>
    <w:docVar w:name="WAFER_20150921141719" w:val="RemoveTocBookmarks,RemoveUnusedBookmarks,RemoveLanguageTags,UsedStyles,ResetPageSize"/>
    <w:docVar w:name="WAFER_20150921141719_GUID" w:val="b42169d4-c597-4420-ab32-0358a78de33e"/>
    <w:docVar w:name="WAFER_20151102113702" w:val="UpdateStyles"/>
    <w:docVar w:name="WAFER_20151102113702_GUID" w:val="e035d347-506d-4bea-a818-e179a01e63d5"/>
    <w:docVar w:name="WAFER_20151103171336" w:val="UpdateStyles"/>
    <w:docVar w:name="WAFER_20151103171336_GUID" w:val="8f28be51-8cca-46ad-bce5-e2bcd5688ec7"/>
    <w:docVar w:name="WAFER_20151103171544" w:val="UsedStyles"/>
    <w:docVar w:name="WAFER_20151103171544_GUID" w:val="f859bbf8-52c8-4a62-9f53-b2357c8265ec"/>
    <w:docVar w:name="WAFER_20151109154227" w:val="UpdateStyles,UsedStyles"/>
    <w:docVar w:name="WAFER_20151109154227_GUID" w:val="89fc8e07-2aa1-4f54-9f27-f0ef2b722045"/>
    <w:docVar w:name="WAFER_20161130112738" w:val="RemoveTocBookmarks,RemoveUnusedBookmarks,RemoveLanguageTags,UsedStyles,ResetPageSize"/>
    <w:docVar w:name="WAFER_20161130112738_GUID" w:val="5e356e4d-00bf-4fd3-a3d7-f5fe14ec17f2"/>
    <w:docVar w:name="WAFER_20181214120515" w:val="RemoveTocBookmarks,RemoveUnusedBookmarks,RemoveLanguageTags,UsedStyles,ResetPageSize,RemoveCustomizations"/>
    <w:docVar w:name="WAFER_20181214120515_GUID" w:val="b0d21d04-0d48-461c-954a-2bec4719ae52"/>
    <w:docVar w:name="WAFER_20190122121239" w:val="RemoveTocBookmarks,RemoveUnusedBookmarks,RemoveLanguageTags,UsedStyles,RemoveTrackChanges"/>
    <w:docVar w:name="WAFER_20190122121239_GUID" w:val="2c6ffc5a-7a3b-4270-bf76-2f4112bfbb3f"/>
    <w:docVar w:name="WAFER_20190122121305" w:val="RemoveTocBookmarks,RemoveLanguageTags,RemoveTrackChanges,RunningHeaders"/>
    <w:docVar w:name="WAFER_20190122121305_GUID" w:val="550d3e25-be01-493b-a7f0-994727d1d937"/>
    <w:docVar w:name="WAFER_20200710090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822_GUID" w:val="c2d14687-011b-4366-8468-eddfb5f19ffa"/>
    <w:docVar w:name="WAFER_20200812110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0513_GUID" w:val="51181400-f2c4-4404-a3a7-5386fcbf118f"/>
    <w:docVar w:name="WAFER_20200826090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0220_GUID" w:val="f6bf207f-24da-429f-ad6c-4a8a5505fe25"/>
    <w:docVar w:name="WAFER_2021102011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115643_GUID" w:val="2160a10e-5c76-4a8d-8e19-f248d60ea2c8"/>
    <w:docVar w:name="WAFER_202204071343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34310_GUID" w:val="78bb5138-0cfa-484b-ac92-2720e36b21e5"/>
    <w:docVar w:name="WAFER_202204191029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9102920_GUID" w:val="b21f2b86-b90b-44fc-8ece-de0c5c7b3494"/>
    <w:docVar w:name="WAFER_202204221306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2130650_GUID" w:val="4d369c73-5757-46ad-a461-47e3ee14c97a"/>
    <w:docVar w:name="WAFER_202204261036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6103605_GUID" w:val="2d07a8de-1f58-4130-acd7-12df75c6fc3a"/>
    <w:docVar w:name="WAFER_202205191334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19133450_GUID" w:val="debf8fd7-479f-4104-aae6-6df70c181eb2"/>
    <w:docVar w:name="WAFER_202206281113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11327_GUID" w:val="2b34b562-fd3e-4b37-9265-e0b271c485b6"/>
    <w:docVar w:name="WAFER_202210181131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13113_GUID" w:val="5e821d3a-a07c-46c4-9a50-0f3b59cf7a7a"/>
    <w:docVar w:name="WAFER_202210250922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5092213_GUID" w:val="1c826a43-e7d8-4728-a5e6-0b942950fc02"/>
    <w:docVar w:name="WAFER_202211151442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44206_GUID" w:val="33db4799-91a7-4a1d-9f8f-1c1af304f129"/>
    <w:docVar w:name="WAFER_202310161132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16113230_GUID" w:val="469fd82b-9587-4115-b529-344fe732a3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582E2E8-F427-4F7F-87D5-463355F1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02634">
      <w:bodyDiv w:val="1"/>
      <w:marLeft w:val="0"/>
      <w:marRight w:val="0"/>
      <w:marTop w:val="0"/>
      <w:marBottom w:val="0"/>
      <w:divBdr>
        <w:top w:val="none" w:sz="0" w:space="0" w:color="auto"/>
        <w:left w:val="none" w:sz="0" w:space="0" w:color="auto"/>
        <w:bottom w:val="none" w:sz="0" w:space="0" w:color="auto"/>
        <w:right w:val="none" w:sz="0" w:space="0" w:color="auto"/>
      </w:divBdr>
    </w:div>
    <w:div w:id="125584948">
      <w:bodyDiv w:val="1"/>
      <w:marLeft w:val="0"/>
      <w:marRight w:val="0"/>
      <w:marTop w:val="0"/>
      <w:marBottom w:val="0"/>
      <w:divBdr>
        <w:top w:val="none" w:sz="0" w:space="0" w:color="auto"/>
        <w:left w:val="none" w:sz="0" w:space="0" w:color="auto"/>
        <w:bottom w:val="none" w:sz="0" w:space="0" w:color="auto"/>
        <w:right w:val="none" w:sz="0" w:space="0" w:color="auto"/>
      </w:divBdr>
    </w:div>
    <w:div w:id="175777769">
      <w:bodyDiv w:val="1"/>
      <w:marLeft w:val="0"/>
      <w:marRight w:val="0"/>
      <w:marTop w:val="0"/>
      <w:marBottom w:val="0"/>
      <w:divBdr>
        <w:top w:val="none" w:sz="0" w:space="0" w:color="auto"/>
        <w:left w:val="none" w:sz="0" w:space="0" w:color="auto"/>
        <w:bottom w:val="none" w:sz="0" w:space="0" w:color="auto"/>
        <w:right w:val="none" w:sz="0" w:space="0" w:color="auto"/>
      </w:divBdr>
    </w:div>
    <w:div w:id="262422825">
      <w:bodyDiv w:val="1"/>
      <w:marLeft w:val="0"/>
      <w:marRight w:val="0"/>
      <w:marTop w:val="0"/>
      <w:marBottom w:val="0"/>
      <w:divBdr>
        <w:top w:val="none" w:sz="0" w:space="0" w:color="auto"/>
        <w:left w:val="none" w:sz="0" w:space="0" w:color="auto"/>
        <w:bottom w:val="none" w:sz="0" w:space="0" w:color="auto"/>
        <w:right w:val="none" w:sz="0" w:space="0" w:color="auto"/>
      </w:divBdr>
    </w:div>
    <w:div w:id="271980551">
      <w:bodyDiv w:val="1"/>
      <w:marLeft w:val="0"/>
      <w:marRight w:val="0"/>
      <w:marTop w:val="0"/>
      <w:marBottom w:val="0"/>
      <w:divBdr>
        <w:top w:val="none" w:sz="0" w:space="0" w:color="auto"/>
        <w:left w:val="none" w:sz="0" w:space="0" w:color="auto"/>
        <w:bottom w:val="none" w:sz="0" w:space="0" w:color="auto"/>
        <w:right w:val="none" w:sz="0" w:space="0" w:color="auto"/>
      </w:divBdr>
    </w:div>
    <w:div w:id="372193161">
      <w:bodyDiv w:val="1"/>
      <w:marLeft w:val="0"/>
      <w:marRight w:val="0"/>
      <w:marTop w:val="0"/>
      <w:marBottom w:val="0"/>
      <w:divBdr>
        <w:top w:val="none" w:sz="0" w:space="0" w:color="auto"/>
        <w:left w:val="none" w:sz="0" w:space="0" w:color="auto"/>
        <w:bottom w:val="none" w:sz="0" w:space="0" w:color="auto"/>
        <w:right w:val="none" w:sz="0" w:space="0" w:color="auto"/>
      </w:divBdr>
    </w:div>
    <w:div w:id="401878259">
      <w:bodyDiv w:val="1"/>
      <w:marLeft w:val="0"/>
      <w:marRight w:val="0"/>
      <w:marTop w:val="0"/>
      <w:marBottom w:val="0"/>
      <w:divBdr>
        <w:top w:val="none" w:sz="0" w:space="0" w:color="auto"/>
        <w:left w:val="none" w:sz="0" w:space="0" w:color="auto"/>
        <w:bottom w:val="none" w:sz="0" w:space="0" w:color="auto"/>
        <w:right w:val="none" w:sz="0" w:space="0" w:color="auto"/>
      </w:divBdr>
    </w:div>
    <w:div w:id="508063456">
      <w:bodyDiv w:val="1"/>
      <w:marLeft w:val="0"/>
      <w:marRight w:val="0"/>
      <w:marTop w:val="0"/>
      <w:marBottom w:val="0"/>
      <w:divBdr>
        <w:top w:val="none" w:sz="0" w:space="0" w:color="auto"/>
        <w:left w:val="none" w:sz="0" w:space="0" w:color="auto"/>
        <w:bottom w:val="none" w:sz="0" w:space="0" w:color="auto"/>
        <w:right w:val="none" w:sz="0" w:space="0" w:color="auto"/>
      </w:divBdr>
    </w:div>
    <w:div w:id="655913631">
      <w:bodyDiv w:val="1"/>
      <w:marLeft w:val="0"/>
      <w:marRight w:val="0"/>
      <w:marTop w:val="0"/>
      <w:marBottom w:val="0"/>
      <w:divBdr>
        <w:top w:val="none" w:sz="0" w:space="0" w:color="auto"/>
        <w:left w:val="none" w:sz="0" w:space="0" w:color="auto"/>
        <w:bottom w:val="none" w:sz="0" w:space="0" w:color="auto"/>
        <w:right w:val="none" w:sz="0" w:space="0" w:color="auto"/>
      </w:divBdr>
    </w:div>
    <w:div w:id="677387535">
      <w:bodyDiv w:val="1"/>
      <w:marLeft w:val="0"/>
      <w:marRight w:val="0"/>
      <w:marTop w:val="0"/>
      <w:marBottom w:val="0"/>
      <w:divBdr>
        <w:top w:val="none" w:sz="0" w:space="0" w:color="auto"/>
        <w:left w:val="none" w:sz="0" w:space="0" w:color="auto"/>
        <w:bottom w:val="none" w:sz="0" w:space="0" w:color="auto"/>
        <w:right w:val="none" w:sz="0" w:space="0" w:color="auto"/>
      </w:divBdr>
    </w:div>
    <w:div w:id="709182234">
      <w:bodyDiv w:val="1"/>
      <w:marLeft w:val="0"/>
      <w:marRight w:val="0"/>
      <w:marTop w:val="0"/>
      <w:marBottom w:val="0"/>
      <w:divBdr>
        <w:top w:val="none" w:sz="0" w:space="0" w:color="auto"/>
        <w:left w:val="none" w:sz="0" w:space="0" w:color="auto"/>
        <w:bottom w:val="none" w:sz="0" w:space="0" w:color="auto"/>
        <w:right w:val="none" w:sz="0" w:space="0" w:color="auto"/>
      </w:divBdr>
    </w:div>
    <w:div w:id="793250537">
      <w:bodyDiv w:val="1"/>
      <w:marLeft w:val="0"/>
      <w:marRight w:val="0"/>
      <w:marTop w:val="0"/>
      <w:marBottom w:val="0"/>
      <w:divBdr>
        <w:top w:val="none" w:sz="0" w:space="0" w:color="auto"/>
        <w:left w:val="none" w:sz="0" w:space="0" w:color="auto"/>
        <w:bottom w:val="none" w:sz="0" w:space="0" w:color="auto"/>
        <w:right w:val="none" w:sz="0" w:space="0" w:color="auto"/>
      </w:divBdr>
    </w:div>
    <w:div w:id="829760807">
      <w:bodyDiv w:val="1"/>
      <w:marLeft w:val="0"/>
      <w:marRight w:val="0"/>
      <w:marTop w:val="0"/>
      <w:marBottom w:val="0"/>
      <w:divBdr>
        <w:top w:val="none" w:sz="0" w:space="0" w:color="auto"/>
        <w:left w:val="none" w:sz="0" w:space="0" w:color="auto"/>
        <w:bottom w:val="none" w:sz="0" w:space="0" w:color="auto"/>
        <w:right w:val="none" w:sz="0" w:space="0" w:color="auto"/>
      </w:divBdr>
    </w:div>
    <w:div w:id="829826844">
      <w:bodyDiv w:val="1"/>
      <w:marLeft w:val="0"/>
      <w:marRight w:val="0"/>
      <w:marTop w:val="0"/>
      <w:marBottom w:val="0"/>
      <w:divBdr>
        <w:top w:val="none" w:sz="0" w:space="0" w:color="auto"/>
        <w:left w:val="none" w:sz="0" w:space="0" w:color="auto"/>
        <w:bottom w:val="none" w:sz="0" w:space="0" w:color="auto"/>
        <w:right w:val="none" w:sz="0" w:space="0" w:color="auto"/>
      </w:divBdr>
    </w:div>
    <w:div w:id="855652219">
      <w:bodyDiv w:val="1"/>
      <w:marLeft w:val="0"/>
      <w:marRight w:val="0"/>
      <w:marTop w:val="0"/>
      <w:marBottom w:val="0"/>
      <w:divBdr>
        <w:top w:val="none" w:sz="0" w:space="0" w:color="auto"/>
        <w:left w:val="none" w:sz="0" w:space="0" w:color="auto"/>
        <w:bottom w:val="none" w:sz="0" w:space="0" w:color="auto"/>
        <w:right w:val="none" w:sz="0" w:space="0" w:color="auto"/>
      </w:divBdr>
    </w:div>
    <w:div w:id="879171017">
      <w:bodyDiv w:val="1"/>
      <w:marLeft w:val="0"/>
      <w:marRight w:val="0"/>
      <w:marTop w:val="0"/>
      <w:marBottom w:val="0"/>
      <w:divBdr>
        <w:top w:val="none" w:sz="0" w:space="0" w:color="auto"/>
        <w:left w:val="none" w:sz="0" w:space="0" w:color="auto"/>
        <w:bottom w:val="none" w:sz="0" w:space="0" w:color="auto"/>
        <w:right w:val="none" w:sz="0" w:space="0" w:color="auto"/>
      </w:divBdr>
    </w:div>
    <w:div w:id="956377335">
      <w:bodyDiv w:val="1"/>
      <w:marLeft w:val="0"/>
      <w:marRight w:val="0"/>
      <w:marTop w:val="0"/>
      <w:marBottom w:val="0"/>
      <w:divBdr>
        <w:top w:val="none" w:sz="0" w:space="0" w:color="auto"/>
        <w:left w:val="none" w:sz="0" w:space="0" w:color="auto"/>
        <w:bottom w:val="none" w:sz="0" w:space="0" w:color="auto"/>
        <w:right w:val="none" w:sz="0" w:space="0" w:color="auto"/>
      </w:divBdr>
    </w:div>
    <w:div w:id="992492711">
      <w:bodyDiv w:val="1"/>
      <w:marLeft w:val="0"/>
      <w:marRight w:val="0"/>
      <w:marTop w:val="0"/>
      <w:marBottom w:val="0"/>
      <w:divBdr>
        <w:top w:val="none" w:sz="0" w:space="0" w:color="auto"/>
        <w:left w:val="none" w:sz="0" w:space="0" w:color="auto"/>
        <w:bottom w:val="none" w:sz="0" w:space="0" w:color="auto"/>
        <w:right w:val="none" w:sz="0" w:space="0" w:color="auto"/>
      </w:divBdr>
    </w:div>
    <w:div w:id="1020281914">
      <w:bodyDiv w:val="1"/>
      <w:marLeft w:val="0"/>
      <w:marRight w:val="0"/>
      <w:marTop w:val="0"/>
      <w:marBottom w:val="0"/>
      <w:divBdr>
        <w:top w:val="none" w:sz="0" w:space="0" w:color="auto"/>
        <w:left w:val="none" w:sz="0" w:space="0" w:color="auto"/>
        <w:bottom w:val="none" w:sz="0" w:space="0" w:color="auto"/>
        <w:right w:val="none" w:sz="0" w:space="0" w:color="auto"/>
      </w:divBdr>
    </w:div>
    <w:div w:id="1075325691">
      <w:bodyDiv w:val="1"/>
      <w:marLeft w:val="0"/>
      <w:marRight w:val="0"/>
      <w:marTop w:val="0"/>
      <w:marBottom w:val="0"/>
      <w:divBdr>
        <w:top w:val="none" w:sz="0" w:space="0" w:color="auto"/>
        <w:left w:val="none" w:sz="0" w:space="0" w:color="auto"/>
        <w:bottom w:val="none" w:sz="0" w:space="0" w:color="auto"/>
        <w:right w:val="none" w:sz="0" w:space="0" w:color="auto"/>
      </w:divBdr>
    </w:div>
    <w:div w:id="1164856216">
      <w:bodyDiv w:val="1"/>
      <w:marLeft w:val="0"/>
      <w:marRight w:val="0"/>
      <w:marTop w:val="0"/>
      <w:marBottom w:val="0"/>
      <w:divBdr>
        <w:top w:val="none" w:sz="0" w:space="0" w:color="auto"/>
        <w:left w:val="none" w:sz="0" w:space="0" w:color="auto"/>
        <w:bottom w:val="none" w:sz="0" w:space="0" w:color="auto"/>
        <w:right w:val="none" w:sz="0" w:space="0" w:color="auto"/>
      </w:divBdr>
    </w:div>
    <w:div w:id="1174606249">
      <w:bodyDiv w:val="1"/>
      <w:marLeft w:val="0"/>
      <w:marRight w:val="0"/>
      <w:marTop w:val="0"/>
      <w:marBottom w:val="0"/>
      <w:divBdr>
        <w:top w:val="none" w:sz="0" w:space="0" w:color="auto"/>
        <w:left w:val="none" w:sz="0" w:space="0" w:color="auto"/>
        <w:bottom w:val="none" w:sz="0" w:space="0" w:color="auto"/>
        <w:right w:val="none" w:sz="0" w:space="0" w:color="auto"/>
      </w:divBdr>
    </w:div>
    <w:div w:id="1251701017">
      <w:bodyDiv w:val="1"/>
      <w:marLeft w:val="0"/>
      <w:marRight w:val="0"/>
      <w:marTop w:val="0"/>
      <w:marBottom w:val="0"/>
      <w:divBdr>
        <w:top w:val="none" w:sz="0" w:space="0" w:color="auto"/>
        <w:left w:val="none" w:sz="0" w:space="0" w:color="auto"/>
        <w:bottom w:val="none" w:sz="0" w:space="0" w:color="auto"/>
        <w:right w:val="none" w:sz="0" w:space="0" w:color="auto"/>
      </w:divBdr>
    </w:div>
    <w:div w:id="1412002075">
      <w:bodyDiv w:val="1"/>
      <w:marLeft w:val="0"/>
      <w:marRight w:val="0"/>
      <w:marTop w:val="0"/>
      <w:marBottom w:val="0"/>
      <w:divBdr>
        <w:top w:val="none" w:sz="0" w:space="0" w:color="auto"/>
        <w:left w:val="none" w:sz="0" w:space="0" w:color="auto"/>
        <w:bottom w:val="none" w:sz="0" w:space="0" w:color="auto"/>
        <w:right w:val="none" w:sz="0" w:space="0" w:color="auto"/>
      </w:divBdr>
    </w:div>
    <w:div w:id="1428766990">
      <w:bodyDiv w:val="1"/>
      <w:marLeft w:val="0"/>
      <w:marRight w:val="0"/>
      <w:marTop w:val="0"/>
      <w:marBottom w:val="0"/>
      <w:divBdr>
        <w:top w:val="none" w:sz="0" w:space="0" w:color="auto"/>
        <w:left w:val="none" w:sz="0" w:space="0" w:color="auto"/>
        <w:bottom w:val="none" w:sz="0" w:space="0" w:color="auto"/>
        <w:right w:val="none" w:sz="0" w:space="0" w:color="auto"/>
      </w:divBdr>
    </w:div>
    <w:div w:id="1494251458">
      <w:bodyDiv w:val="1"/>
      <w:marLeft w:val="0"/>
      <w:marRight w:val="0"/>
      <w:marTop w:val="0"/>
      <w:marBottom w:val="0"/>
      <w:divBdr>
        <w:top w:val="none" w:sz="0" w:space="0" w:color="auto"/>
        <w:left w:val="none" w:sz="0" w:space="0" w:color="auto"/>
        <w:bottom w:val="none" w:sz="0" w:space="0" w:color="auto"/>
        <w:right w:val="none" w:sz="0" w:space="0" w:color="auto"/>
      </w:divBdr>
    </w:div>
    <w:div w:id="1497379137">
      <w:bodyDiv w:val="1"/>
      <w:marLeft w:val="0"/>
      <w:marRight w:val="0"/>
      <w:marTop w:val="0"/>
      <w:marBottom w:val="0"/>
      <w:divBdr>
        <w:top w:val="none" w:sz="0" w:space="0" w:color="auto"/>
        <w:left w:val="none" w:sz="0" w:space="0" w:color="auto"/>
        <w:bottom w:val="none" w:sz="0" w:space="0" w:color="auto"/>
        <w:right w:val="none" w:sz="0" w:space="0" w:color="auto"/>
      </w:divBdr>
    </w:div>
    <w:div w:id="1727485737">
      <w:bodyDiv w:val="1"/>
      <w:marLeft w:val="0"/>
      <w:marRight w:val="0"/>
      <w:marTop w:val="0"/>
      <w:marBottom w:val="0"/>
      <w:divBdr>
        <w:top w:val="none" w:sz="0" w:space="0" w:color="auto"/>
        <w:left w:val="none" w:sz="0" w:space="0" w:color="auto"/>
        <w:bottom w:val="none" w:sz="0" w:space="0" w:color="auto"/>
        <w:right w:val="none" w:sz="0" w:space="0" w:color="auto"/>
      </w:divBdr>
    </w:div>
    <w:div w:id="1877278856">
      <w:bodyDiv w:val="1"/>
      <w:marLeft w:val="0"/>
      <w:marRight w:val="0"/>
      <w:marTop w:val="0"/>
      <w:marBottom w:val="0"/>
      <w:divBdr>
        <w:top w:val="none" w:sz="0" w:space="0" w:color="auto"/>
        <w:left w:val="none" w:sz="0" w:space="0" w:color="auto"/>
        <w:bottom w:val="none" w:sz="0" w:space="0" w:color="auto"/>
        <w:right w:val="none" w:sz="0" w:space="0" w:color="auto"/>
      </w:divBdr>
    </w:div>
    <w:div w:id="2062361269">
      <w:bodyDiv w:val="1"/>
      <w:marLeft w:val="0"/>
      <w:marRight w:val="0"/>
      <w:marTop w:val="0"/>
      <w:marBottom w:val="0"/>
      <w:divBdr>
        <w:top w:val="none" w:sz="0" w:space="0" w:color="auto"/>
        <w:left w:val="none" w:sz="0" w:space="0" w:color="auto"/>
        <w:bottom w:val="none" w:sz="0" w:space="0" w:color="auto"/>
        <w:right w:val="none" w:sz="0" w:space="0" w:color="auto"/>
      </w:divBdr>
    </w:div>
    <w:div w:id="206571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81753-2715-46FC-83C2-D28F16A3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54723</Words>
  <Characters>258842</Characters>
  <Application>Microsoft Office Word</Application>
  <DocSecurity>0</DocSecurity>
  <Lines>6995</Lines>
  <Paragraphs>4020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309545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05-i0-00 - 05-j0-01</dc:title>
  <dc:subject/>
  <dc:creator/>
  <cp:keywords/>
  <dc:description/>
  <cp:lastModifiedBy>Master Repository Process</cp:lastModifiedBy>
  <cp:revision>2</cp:revision>
  <cp:lastPrinted>2019-02-28T03:27:00Z</cp:lastPrinted>
  <dcterms:created xsi:type="dcterms:W3CDTF">2023-10-17T07:18:00Z</dcterms:created>
  <dcterms:modified xsi:type="dcterms:W3CDTF">2023-10-17T07:18:00Z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edAsAt">
    <vt:filetime>2019-03-21T16:00:00Z</vt:filetime>
  </property>
  <property fmtid="{D5CDD505-2E9C-101B-9397-08002B2CF9AE}" pid="6" name="ReprintNo">
    <vt:lpwstr>5</vt:lpwstr>
  </property>
  <property fmtid="{D5CDD505-2E9C-101B-9397-08002B2CF9AE}" pid="7" name="CommencementDate">
    <vt:lpwstr>20221119</vt:lpwstr>
  </property>
  <property fmtid="{D5CDD505-2E9C-101B-9397-08002B2CF9AE}" pid="8" name="FromSuffix">
    <vt:lpwstr>05-i0-00</vt:lpwstr>
  </property>
  <property fmtid="{D5CDD505-2E9C-101B-9397-08002B2CF9AE}" pid="9" name="FromAsAtDate">
    <vt:lpwstr>01 Nov 2022</vt:lpwstr>
  </property>
  <property fmtid="{D5CDD505-2E9C-101B-9397-08002B2CF9AE}" pid="10" name="ToSuffix">
    <vt:lpwstr>05-j0-01</vt:lpwstr>
  </property>
  <property fmtid="{D5CDD505-2E9C-101B-9397-08002B2CF9AE}" pid="11" name="ToAsAtDate">
    <vt:lpwstr>19 Nov 2022</vt:lpwstr>
  </property>
</Properties>
</file>