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2023</w:t>
      </w:r>
      <w:r>
        <w:fldChar w:fldCharType="end"/>
      </w:r>
      <w:r>
        <w:t xml:space="preserve">, </w:t>
      </w:r>
      <w:r>
        <w:fldChar w:fldCharType="begin"/>
      </w:r>
      <w:r>
        <w:instrText xml:space="preserve"> DocProperty FromSuffix </w:instrText>
      </w:r>
      <w:r>
        <w:fldChar w:fldCharType="separate"/>
      </w:r>
      <w:r>
        <w:t>04-u0-01</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04-v0-01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155165348"/>
      <w:bookmarkStart w:id="3" w:name="_Toc155165047"/>
      <w:r>
        <w:rPr>
          <w:rStyle w:val="CharPartNo"/>
        </w:rPr>
        <w:t>Part 1</w:t>
      </w:r>
      <w:r>
        <w:rPr>
          <w:rStyle w:val="CharDivNo"/>
        </w:rPr>
        <w:t> </w:t>
      </w:r>
      <w:r>
        <w:t>—</w:t>
      </w:r>
      <w:r>
        <w:rPr>
          <w:rStyle w:val="CharDivText"/>
        </w:rPr>
        <w:t> </w:t>
      </w:r>
      <w:r>
        <w:rPr>
          <w:rStyle w:val="CharPartText"/>
        </w:rPr>
        <w:t>Preliminary</w:t>
      </w:r>
      <w:bookmarkEnd w:id="2"/>
      <w:bookmarkEnd w:id="3"/>
    </w:p>
    <w:p>
      <w:pPr>
        <w:pStyle w:val="Heading5"/>
        <w:spacing w:before="240"/>
        <w:rPr>
          <w:snapToGrid w:val="0"/>
        </w:rPr>
      </w:pPr>
      <w:bookmarkStart w:id="4" w:name="_Toc155165349"/>
      <w:bookmarkStart w:id="5" w:name="_Toc155165048"/>
      <w:r>
        <w:rPr>
          <w:rStyle w:val="CharSectno"/>
        </w:rPr>
        <w:t>1</w:t>
      </w:r>
      <w:r>
        <w:rPr>
          <w:snapToGrid w:val="0"/>
        </w:rPr>
        <w:t>.</w:t>
      </w:r>
      <w:r>
        <w:rPr>
          <w:snapToGrid w:val="0"/>
        </w:rPr>
        <w:tab/>
        <w:t>Short title</w:t>
      </w:r>
      <w:bookmarkEnd w:id="4"/>
      <w:bookmarkEnd w:id="5"/>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6" w:name="_Toc155165350"/>
      <w:bookmarkStart w:id="7" w:name="_Toc155165049"/>
      <w:r>
        <w:rPr>
          <w:rStyle w:val="CharSectno"/>
        </w:rPr>
        <w:t>2</w:t>
      </w:r>
      <w:r>
        <w:t>.</w:t>
      </w:r>
      <w:r>
        <w:tab/>
        <w:t>Commencement</w:t>
      </w:r>
      <w:bookmarkEnd w:id="6"/>
      <w:bookmarkEnd w:id="7"/>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8" w:name="_Toc155165351"/>
      <w:bookmarkStart w:id="9" w:name="_Toc155165050"/>
      <w:r>
        <w:rPr>
          <w:rStyle w:val="CharSectno"/>
        </w:rPr>
        <w:t>3</w:t>
      </w:r>
      <w:r>
        <w:t>.</w:t>
      </w:r>
      <w:r>
        <w:tab/>
        <w:t>Purposes and interpretation of this Act</w:t>
      </w:r>
      <w:bookmarkEnd w:id="8"/>
      <w:bookmarkEnd w:id="9"/>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0" w:name="_Toc155165352"/>
      <w:bookmarkStart w:id="11" w:name="_Toc155165051"/>
      <w:r>
        <w:rPr>
          <w:rStyle w:val="CharSectno"/>
        </w:rPr>
        <w:t>4</w:t>
      </w:r>
      <w:r>
        <w:t>.</w:t>
      </w:r>
      <w:r>
        <w:tab/>
        <w:t>Terms used</w:t>
      </w:r>
      <w:bookmarkEnd w:id="10"/>
      <w:bookmarkEnd w:id="11"/>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keepNex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rPr>
          <w:del w:id="12" w:author="Master Repository Process" w:date="2024-01-03T09:10:00Z"/>
        </w:rPr>
      </w:pPr>
      <w:del w:id="13" w:author="Master Repository Process" w:date="2024-01-03T09:10:00Z">
        <w:r>
          <w:tab/>
        </w:r>
        <w:r>
          <w:rPr>
            <w:rStyle w:val="CharDefText"/>
          </w:rPr>
          <w:delText>LAA Department</w:delText>
        </w:r>
        <w:r>
          <w:delText xml:space="preserve"> means the department principally assisting in the administration of the </w:delText>
        </w:r>
        <w:r>
          <w:rPr>
            <w:i/>
          </w:rPr>
          <w:delText>Land Administration Act 1997</w:delText>
        </w:r>
        <w:r>
          <w:delText>;</w:delText>
        </w:r>
      </w:del>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or the Swan Valley Planning Scheme that has effect under the </w:t>
      </w:r>
      <w:r>
        <w:rPr>
          <w:i/>
        </w:rPr>
        <w:t>Swan Valley Planning Act 2020</w:t>
      </w:r>
      <w:r>
        <w:t xml:space="preserve">, and includes — </w:t>
      </w:r>
    </w:p>
    <w:p>
      <w:pPr>
        <w:pStyle w:val="Indenta"/>
      </w:pPr>
      <w:r>
        <w:tab/>
        <w:t>(a)</w:t>
      </w:r>
      <w:r>
        <w:tab/>
        <w:t xml:space="preserve">in the case of a local planning scheme, region planning scheme or improvement scheme that has effect under this Act — 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keepNext/>
      </w:pPr>
      <w:r>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ins w:id="14" w:author="Master Repository Process" w:date="2024-01-03T09:10:00Z">
        <w:r>
          <w:t xml:space="preserve"> section 2</w:t>
        </w:r>
      </w:ins>
      <w:r>
        <w:t>;</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keepLines/>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Next/>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57; No. 9 of 2022 s. 424</w:t>
      </w:r>
      <w:ins w:id="15" w:author="Master Repository Process" w:date="2024-01-03T09:10:00Z">
        <w:r>
          <w:t>; No. 4 of 2023 s. 143</w:t>
        </w:r>
      </w:ins>
      <w:r>
        <w:t>.]</w:t>
      </w:r>
    </w:p>
    <w:p>
      <w:pPr>
        <w:pStyle w:val="Heading5"/>
        <w:spacing w:before="180"/>
      </w:pPr>
      <w:bookmarkStart w:id="16" w:name="_Toc155165353"/>
      <w:bookmarkStart w:id="17" w:name="_Toc155165052"/>
      <w:r>
        <w:rPr>
          <w:rStyle w:val="CharSectno"/>
        </w:rPr>
        <w:t>5</w:t>
      </w:r>
      <w:r>
        <w:t>.</w:t>
      </w:r>
      <w:r>
        <w:tab/>
        <w:t>Crown bound</w:t>
      </w:r>
      <w:bookmarkEnd w:id="16"/>
      <w:bookmarkEnd w:id="17"/>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8" w:name="_Toc155165354"/>
      <w:bookmarkStart w:id="19" w:name="_Toc155165053"/>
      <w:r>
        <w:rPr>
          <w:rStyle w:val="CharSectno"/>
        </w:rPr>
        <w:t>6</w:t>
      </w:r>
      <w:r>
        <w:t>.</w:t>
      </w:r>
      <w:r>
        <w:tab/>
        <w:t>Act does not interfere with public works</w:t>
      </w:r>
      <w:bookmarkEnd w:id="18"/>
      <w:bookmarkEnd w:id="19"/>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keepNext/>
      </w:pPr>
      <w:r>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20" w:name="_Toc155165355"/>
      <w:bookmarkStart w:id="21" w:name="_Toc155165054"/>
      <w:r>
        <w:rPr>
          <w:rStyle w:val="CharPartNo"/>
        </w:rPr>
        <w:t>Part 2</w:t>
      </w:r>
      <w:r>
        <w:t> — </w:t>
      </w:r>
      <w:r>
        <w:rPr>
          <w:rStyle w:val="CharPartText"/>
        </w:rPr>
        <w:t>The Western Australian Planning Commission</w:t>
      </w:r>
      <w:bookmarkEnd w:id="20"/>
      <w:bookmarkEnd w:id="21"/>
    </w:p>
    <w:p>
      <w:pPr>
        <w:pStyle w:val="Heading3"/>
      </w:pPr>
      <w:bookmarkStart w:id="22" w:name="_Toc155165356"/>
      <w:bookmarkStart w:id="23" w:name="_Toc155165055"/>
      <w:r>
        <w:rPr>
          <w:rStyle w:val="CharDivNo"/>
        </w:rPr>
        <w:t>Division 1</w:t>
      </w:r>
      <w:r>
        <w:t> — </w:t>
      </w:r>
      <w:r>
        <w:rPr>
          <w:rStyle w:val="CharDivText"/>
        </w:rPr>
        <w:t>Establishment and management</w:t>
      </w:r>
      <w:bookmarkEnd w:id="22"/>
      <w:bookmarkEnd w:id="23"/>
    </w:p>
    <w:p>
      <w:pPr>
        <w:pStyle w:val="Heading5"/>
      </w:pPr>
      <w:bookmarkStart w:id="24" w:name="_Toc155165357"/>
      <w:bookmarkStart w:id="25" w:name="_Toc155165056"/>
      <w:r>
        <w:rPr>
          <w:rStyle w:val="CharSectno"/>
        </w:rPr>
        <w:t>7</w:t>
      </w:r>
      <w:r>
        <w:t>.</w:t>
      </w:r>
      <w:r>
        <w:tab/>
        <w:t>Commission established</w:t>
      </w:r>
      <w:bookmarkEnd w:id="24"/>
      <w:bookmarkEnd w:id="25"/>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6" w:name="_Toc155165358"/>
      <w:bookmarkStart w:id="27" w:name="_Toc155165057"/>
      <w:r>
        <w:rPr>
          <w:rStyle w:val="CharSectno"/>
        </w:rPr>
        <w:t>8</w:t>
      </w:r>
      <w:r>
        <w:t>.</w:t>
      </w:r>
      <w:r>
        <w:tab/>
        <w:t>Status</w:t>
      </w:r>
      <w:bookmarkEnd w:id="26"/>
      <w:bookmarkEnd w:id="27"/>
    </w:p>
    <w:p>
      <w:pPr>
        <w:pStyle w:val="Subsection"/>
      </w:pPr>
      <w:r>
        <w:tab/>
      </w:r>
      <w:r>
        <w:tab/>
        <w:t>The Commission is an agent of the State and has the status, immunities and privileges of the State.</w:t>
      </w:r>
    </w:p>
    <w:p>
      <w:pPr>
        <w:pStyle w:val="Heading5"/>
      </w:pPr>
      <w:bookmarkStart w:id="28" w:name="_Toc155165359"/>
      <w:bookmarkStart w:id="29" w:name="_Toc155165058"/>
      <w:r>
        <w:rPr>
          <w:rStyle w:val="CharSectno"/>
        </w:rPr>
        <w:t>9</w:t>
      </w:r>
      <w:r>
        <w:t>.</w:t>
      </w:r>
      <w:r>
        <w:tab/>
        <w:t>Board of management</w:t>
      </w:r>
      <w:bookmarkEnd w:id="28"/>
      <w:bookmarkEnd w:id="29"/>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30" w:name="_Toc155165360"/>
      <w:bookmarkStart w:id="31" w:name="_Toc155165059"/>
      <w:r>
        <w:rPr>
          <w:rStyle w:val="CharSectno"/>
        </w:rPr>
        <w:t>10</w:t>
      </w:r>
      <w:r>
        <w:t>.</w:t>
      </w:r>
      <w:r>
        <w:tab/>
        <w:t>Membership of board</w:t>
      </w:r>
      <w:bookmarkEnd w:id="30"/>
      <w:bookmarkEnd w:id="31"/>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keepNext/>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Pr>
      <w:bookmarkStart w:id="32" w:name="_Toc155165361"/>
      <w:bookmarkStart w:id="33" w:name="_Toc155165060"/>
      <w:r>
        <w:rPr>
          <w:rStyle w:val="CharSectno"/>
        </w:rPr>
        <w:t>11</w:t>
      </w:r>
      <w:r>
        <w:t>.</w:t>
      </w:r>
      <w:r>
        <w:tab/>
        <w:t>Associate members of board, for regions</w:t>
      </w:r>
      <w:bookmarkEnd w:id="32"/>
      <w:bookmarkEnd w:id="33"/>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34" w:name="_Toc155165362"/>
      <w:bookmarkStart w:id="35" w:name="_Toc155165061"/>
      <w:r>
        <w:rPr>
          <w:rStyle w:val="CharSectno"/>
        </w:rPr>
        <w:t>12</w:t>
      </w:r>
      <w:r>
        <w:t>.</w:t>
      </w:r>
      <w:r>
        <w:tab/>
        <w:t>Board’s constitution and proceedings (Sch. 1)</w:t>
      </w:r>
      <w:bookmarkEnd w:id="34"/>
      <w:bookmarkEnd w:id="35"/>
    </w:p>
    <w:p>
      <w:pPr>
        <w:pStyle w:val="Subsection"/>
        <w:spacing w:before="120"/>
      </w:pPr>
      <w:r>
        <w:tab/>
      </w:r>
      <w:r>
        <w:tab/>
        <w:t>Schedule 1 has effect.</w:t>
      </w:r>
    </w:p>
    <w:p>
      <w:pPr>
        <w:pStyle w:val="Heading5"/>
      </w:pPr>
      <w:bookmarkStart w:id="36" w:name="_Toc155165363"/>
      <w:bookmarkStart w:id="37" w:name="_Toc155165062"/>
      <w:r>
        <w:rPr>
          <w:rStyle w:val="CharSectno"/>
        </w:rPr>
        <w:t>13</w:t>
      </w:r>
      <w:r>
        <w:t>.</w:t>
      </w:r>
      <w:r>
        <w:tab/>
        <w:t>Remuneration and allowances</w:t>
      </w:r>
      <w:bookmarkEnd w:id="36"/>
      <w:bookmarkEnd w:id="37"/>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pPr>
      <w:bookmarkStart w:id="38" w:name="_Toc155165364"/>
      <w:bookmarkStart w:id="39" w:name="_Toc155165063"/>
      <w:r>
        <w:rPr>
          <w:rStyle w:val="CharDivNo"/>
        </w:rPr>
        <w:t>Division 2</w:t>
      </w:r>
      <w:r>
        <w:t> — </w:t>
      </w:r>
      <w:r>
        <w:rPr>
          <w:rStyle w:val="CharDivText"/>
        </w:rPr>
        <w:t>Functions and powers</w:t>
      </w:r>
      <w:bookmarkEnd w:id="38"/>
      <w:bookmarkEnd w:id="39"/>
    </w:p>
    <w:p>
      <w:pPr>
        <w:pStyle w:val="Heading5"/>
        <w:spacing w:before="180"/>
      </w:pPr>
      <w:bookmarkStart w:id="40" w:name="_Toc155165365"/>
      <w:bookmarkStart w:id="41" w:name="_Toc155165064"/>
      <w:r>
        <w:rPr>
          <w:rStyle w:val="CharSectno"/>
        </w:rPr>
        <w:t>14</w:t>
      </w:r>
      <w:r>
        <w:t>.</w:t>
      </w:r>
      <w:r>
        <w:tab/>
        <w:t>Functions</w:t>
      </w:r>
      <w:bookmarkEnd w:id="40"/>
      <w:bookmarkEnd w:id="41"/>
    </w:p>
    <w:p>
      <w:pPr>
        <w:pStyle w:val="Subsection"/>
        <w:keepNext/>
        <w:spacing w:before="120"/>
      </w:pPr>
      <w:r>
        <w:tab/>
      </w:r>
      <w:r>
        <w:tab/>
        <w:t xml:space="preserve">The functions of the Commission are — </w:t>
      </w:r>
    </w:p>
    <w:p>
      <w:pPr>
        <w:pStyle w:val="Indenta"/>
        <w:keepNext/>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keepNext/>
      </w:pPr>
      <w:r>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42" w:name="_Toc155165366"/>
      <w:bookmarkStart w:id="43" w:name="_Toc155165065"/>
      <w:r>
        <w:rPr>
          <w:rStyle w:val="CharSectno"/>
        </w:rPr>
        <w:t>15</w:t>
      </w:r>
      <w:r>
        <w:t>.</w:t>
      </w:r>
      <w:r>
        <w:tab/>
        <w:t>Powers</w:t>
      </w:r>
      <w:bookmarkEnd w:id="42"/>
      <w:bookmarkEnd w:id="43"/>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44" w:name="_Toc155165367"/>
      <w:bookmarkStart w:id="45" w:name="_Toc155165066"/>
      <w:r>
        <w:rPr>
          <w:rStyle w:val="CharSectno"/>
        </w:rPr>
        <w:t>16</w:t>
      </w:r>
      <w:r>
        <w:t>.</w:t>
      </w:r>
      <w:r>
        <w:tab/>
        <w:t>Delegation by Commission</w:t>
      </w:r>
      <w:bookmarkEnd w:id="44"/>
      <w:bookmarkEnd w:id="45"/>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46" w:name="_Toc155165368"/>
      <w:bookmarkStart w:id="47" w:name="_Toc155165067"/>
      <w:r>
        <w:rPr>
          <w:rStyle w:val="CharSectno"/>
        </w:rPr>
        <w:t>17</w:t>
      </w:r>
      <w:r>
        <w:t>.</w:t>
      </w:r>
      <w:r>
        <w:tab/>
        <w:t>Minister may give Commission directions</w:t>
      </w:r>
      <w:bookmarkEnd w:id="46"/>
      <w:bookmarkEnd w:id="47"/>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51(1), 51(2), 52(2), 62A(1), 63(1) or 67(1).</w:t>
      </w:r>
    </w:p>
    <w:p>
      <w:pPr>
        <w:pStyle w:val="Footnotesection"/>
      </w:pPr>
      <w:r>
        <w:tab/>
        <w:t>[Section 17 amended: No. 77 of 2006 Sch. 1 cl. 127(2); No. 26 of 2020 s. 21.]</w:t>
      </w:r>
    </w:p>
    <w:p>
      <w:pPr>
        <w:pStyle w:val="Heading5"/>
      </w:pPr>
      <w:bookmarkStart w:id="48" w:name="_Toc155165369"/>
      <w:bookmarkStart w:id="49" w:name="_Toc155165068"/>
      <w:r>
        <w:rPr>
          <w:rStyle w:val="CharSectno"/>
        </w:rPr>
        <w:t>18</w:t>
      </w:r>
      <w:r>
        <w:t>.</w:t>
      </w:r>
      <w:r>
        <w:tab/>
        <w:t>Minister to have access to information</w:t>
      </w:r>
      <w:bookmarkEnd w:id="48"/>
      <w:bookmarkEnd w:id="49"/>
    </w:p>
    <w:p>
      <w:pPr>
        <w:pStyle w:val="Subsection"/>
        <w:keepNext/>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50" w:name="_Toc155165370"/>
      <w:bookmarkStart w:id="51" w:name="_Toc155165069"/>
      <w:r>
        <w:rPr>
          <w:rStyle w:val="CharSectno"/>
        </w:rPr>
        <w:t>19</w:t>
      </w:r>
      <w:r>
        <w:t>.</w:t>
      </w:r>
      <w:r>
        <w:tab/>
        <w:t>Committees (Sch. 2)</w:t>
      </w:r>
      <w:bookmarkEnd w:id="50"/>
      <w:bookmarkEnd w:id="51"/>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52" w:name="_Toc155165371"/>
      <w:bookmarkStart w:id="53" w:name="_Toc155165070"/>
      <w:r>
        <w:rPr>
          <w:rStyle w:val="CharSectno"/>
        </w:rPr>
        <w:t>20</w:t>
      </w:r>
      <w:r>
        <w:t>.</w:t>
      </w:r>
      <w:r>
        <w:tab/>
        <w:t>Fees for Commission’s services</w:t>
      </w:r>
      <w:bookmarkEnd w:id="52"/>
      <w:bookmarkEnd w:id="53"/>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54" w:name="_Toc155165372"/>
      <w:bookmarkStart w:id="55" w:name="_Toc155165071"/>
      <w:r>
        <w:rPr>
          <w:rStyle w:val="CharDivNo"/>
        </w:rPr>
        <w:t>Division 3</w:t>
      </w:r>
      <w:r>
        <w:t> — </w:t>
      </w:r>
      <w:r>
        <w:rPr>
          <w:rStyle w:val="CharDivText"/>
        </w:rPr>
        <w:t>Administration</w:t>
      </w:r>
      <w:bookmarkEnd w:id="54"/>
      <w:bookmarkEnd w:id="55"/>
    </w:p>
    <w:p>
      <w:pPr>
        <w:pStyle w:val="Heading5"/>
      </w:pPr>
      <w:bookmarkStart w:id="56" w:name="_Toc155165373"/>
      <w:bookmarkStart w:id="57" w:name="_Toc155165072"/>
      <w:r>
        <w:rPr>
          <w:rStyle w:val="CharSectno"/>
        </w:rPr>
        <w:t>21</w:t>
      </w:r>
      <w:r>
        <w:t>.</w:t>
      </w:r>
      <w:r>
        <w:tab/>
        <w:t>Secretary</w:t>
      </w:r>
      <w:bookmarkEnd w:id="56"/>
      <w:bookmarkEnd w:id="57"/>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58" w:name="_Toc155165374"/>
      <w:bookmarkStart w:id="59" w:name="_Toc155165073"/>
      <w:r>
        <w:rPr>
          <w:rStyle w:val="CharSectno"/>
        </w:rPr>
        <w:t>22</w:t>
      </w:r>
      <w:r>
        <w:t>.</w:t>
      </w:r>
      <w:r>
        <w:tab/>
        <w:t>Staff</w:t>
      </w:r>
      <w:bookmarkEnd w:id="58"/>
      <w:bookmarkEnd w:id="5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60" w:name="_Toc155165375"/>
      <w:bookmarkStart w:id="61" w:name="_Toc155165074"/>
      <w:r>
        <w:rPr>
          <w:rStyle w:val="CharSectno"/>
        </w:rPr>
        <w:t>23</w:t>
      </w:r>
      <w:r>
        <w:t>.</w:t>
      </w:r>
      <w:r>
        <w:tab/>
        <w:t>Use of staff and facilities of public authorities</w:t>
      </w:r>
      <w:bookmarkEnd w:id="60"/>
      <w:bookmarkEnd w:id="61"/>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62" w:name="_Toc155165376"/>
      <w:bookmarkStart w:id="63" w:name="_Toc155165075"/>
      <w:r>
        <w:rPr>
          <w:rStyle w:val="CharDivNo"/>
        </w:rPr>
        <w:t>Division 4</w:t>
      </w:r>
      <w:r>
        <w:t> — </w:t>
      </w:r>
      <w:r>
        <w:rPr>
          <w:rStyle w:val="CharDivText"/>
        </w:rPr>
        <w:t>Miscellaneous</w:t>
      </w:r>
      <w:bookmarkEnd w:id="62"/>
      <w:bookmarkEnd w:id="63"/>
    </w:p>
    <w:p>
      <w:pPr>
        <w:pStyle w:val="Heading5"/>
      </w:pPr>
      <w:bookmarkStart w:id="64" w:name="_Toc155165377"/>
      <w:bookmarkStart w:id="65" w:name="_Toc155165076"/>
      <w:r>
        <w:rPr>
          <w:rStyle w:val="CharSectno"/>
        </w:rPr>
        <w:t>24</w:t>
      </w:r>
      <w:r>
        <w:t>.</w:t>
      </w:r>
      <w:r>
        <w:tab/>
        <w:t>Execution of documents</w:t>
      </w:r>
      <w:bookmarkEnd w:id="64"/>
      <w:bookmarkEnd w:id="65"/>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66" w:name="_Toc155165378"/>
      <w:bookmarkStart w:id="67" w:name="_Toc155165077"/>
      <w:r>
        <w:rPr>
          <w:rStyle w:val="CharPartNo"/>
        </w:rPr>
        <w:t>Part 3</w:t>
      </w:r>
      <w:r>
        <w:rPr>
          <w:rStyle w:val="CharDivNo"/>
        </w:rPr>
        <w:t> </w:t>
      </w:r>
      <w:r>
        <w:t>—</w:t>
      </w:r>
      <w:r>
        <w:rPr>
          <w:rStyle w:val="CharDivText"/>
        </w:rPr>
        <w:t> </w:t>
      </w:r>
      <w:r>
        <w:rPr>
          <w:rStyle w:val="CharPartText"/>
        </w:rPr>
        <w:t>State planning policies</w:t>
      </w:r>
      <w:bookmarkEnd w:id="66"/>
      <w:bookmarkEnd w:id="67"/>
    </w:p>
    <w:p>
      <w:pPr>
        <w:pStyle w:val="Heading5"/>
      </w:pPr>
      <w:bookmarkStart w:id="68" w:name="_Toc155165379"/>
      <w:bookmarkStart w:id="69" w:name="_Toc155165078"/>
      <w:r>
        <w:rPr>
          <w:rStyle w:val="CharSectno"/>
        </w:rPr>
        <w:t>25</w:t>
      </w:r>
      <w:r>
        <w:t>.</w:t>
      </w:r>
      <w:r>
        <w:tab/>
        <w:t>Statements of planning policy under repealed Act, effect of</w:t>
      </w:r>
      <w:bookmarkEnd w:id="68"/>
      <w:bookmarkEnd w:id="69"/>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70" w:name="_Toc155165380"/>
      <w:bookmarkStart w:id="71" w:name="_Toc155165079"/>
      <w:r>
        <w:rPr>
          <w:rStyle w:val="CharSectno"/>
        </w:rPr>
        <w:t>26</w:t>
      </w:r>
      <w:r>
        <w:t>.</w:t>
      </w:r>
      <w:r>
        <w:tab/>
        <w:t>State planning policies, preparation and content of</w:t>
      </w:r>
      <w:bookmarkEnd w:id="70"/>
      <w:bookmarkEnd w:id="71"/>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72" w:name="_Toc155165381"/>
      <w:bookmarkStart w:id="73" w:name="_Toc155165080"/>
      <w:r>
        <w:rPr>
          <w:rStyle w:val="CharSectno"/>
        </w:rPr>
        <w:t>27</w:t>
      </w:r>
      <w:r>
        <w:t>.</w:t>
      </w:r>
      <w:r>
        <w:tab/>
        <w:t>Matters to be considered when preparing State planning policy</w:t>
      </w:r>
      <w:bookmarkEnd w:id="72"/>
      <w:bookmarkEnd w:id="73"/>
    </w:p>
    <w:p>
      <w:pPr>
        <w:pStyle w:val="Subsection"/>
        <w:keepNext/>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74" w:name="_Toc155165382"/>
      <w:bookmarkStart w:id="75" w:name="_Toc155165081"/>
      <w:r>
        <w:rPr>
          <w:rStyle w:val="CharSectno"/>
        </w:rPr>
        <w:t>28</w:t>
      </w:r>
      <w:r>
        <w:t>.</w:t>
      </w:r>
      <w:r>
        <w:tab/>
        <w:t>Consultation on and public notice of proposed State planning policy</w:t>
      </w:r>
      <w:bookmarkEnd w:id="74"/>
      <w:bookmarkEnd w:id="75"/>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76" w:name="_Toc155165383"/>
      <w:bookmarkStart w:id="77" w:name="_Toc155165082"/>
      <w:r>
        <w:rPr>
          <w:rStyle w:val="CharSectno"/>
        </w:rPr>
        <w:t>29</w:t>
      </w:r>
      <w:r>
        <w:t>.</w:t>
      </w:r>
      <w:r>
        <w:tab/>
        <w:t>Approval of Governor</w:t>
      </w:r>
      <w:bookmarkEnd w:id="76"/>
      <w:bookmarkEnd w:id="77"/>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78" w:name="_Toc155165384"/>
      <w:bookmarkStart w:id="79" w:name="_Toc155165083"/>
      <w:r>
        <w:rPr>
          <w:rStyle w:val="CharSectno"/>
        </w:rPr>
        <w:t>30</w:t>
      </w:r>
      <w:r>
        <w:t>.</w:t>
      </w:r>
      <w:r>
        <w:tab/>
        <w:t>Publicising approved State planning policy</w:t>
      </w:r>
      <w:bookmarkEnd w:id="78"/>
      <w:bookmarkEnd w:id="79"/>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80" w:name="_Toc155165385"/>
      <w:bookmarkStart w:id="81" w:name="_Toc155165084"/>
      <w:r>
        <w:rPr>
          <w:rStyle w:val="CharSectno"/>
        </w:rPr>
        <w:t>31</w:t>
      </w:r>
      <w:r>
        <w:t>.</w:t>
      </w:r>
      <w:r>
        <w:tab/>
        <w:t>Amending or repealing State planning policy</w:t>
      </w:r>
      <w:bookmarkEnd w:id="80"/>
      <w:bookmarkEnd w:id="81"/>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82" w:name="_Toc155165386"/>
      <w:bookmarkStart w:id="83" w:name="_Toc155165085"/>
      <w:r>
        <w:rPr>
          <w:rStyle w:val="CharSectno"/>
        </w:rPr>
        <w:t>32</w:t>
      </w:r>
      <w:r>
        <w:t>.</w:t>
      </w:r>
      <w:r>
        <w:tab/>
        <w:t>Environmental review</w:t>
      </w:r>
      <w:bookmarkEnd w:id="82"/>
      <w:bookmarkEnd w:id="83"/>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84" w:name="_Toc155165387"/>
      <w:bookmarkStart w:id="85" w:name="_Toc155165086"/>
      <w:r>
        <w:rPr>
          <w:rStyle w:val="CharPartNo"/>
        </w:rPr>
        <w:t>Part 4</w:t>
      </w:r>
      <w:r>
        <w:t> — </w:t>
      </w:r>
      <w:r>
        <w:rPr>
          <w:rStyle w:val="CharPartText"/>
        </w:rPr>
        <w:t>Region planning schemes</w:t>
      </w:r>
      <w:bookmarkEnd w:id="84"/>
      <w:bookmarkEnd w:id="85"/>
    </w:p>
    <w:p>
      <w:pPr>
        <w:pStyle w:val="Heading3"/>
        <w:spacing w:before="220"/>
      </w:pPr>
      <w:bookmarkStart w:id="86" w:name="_Toc155165388"/>
      <w:bookmarkStart w:id="87" w:name="_Toc155165087"/>
      <w:r>
        <w:rPr>
          <w:rStyle w:val="CharDivNo"/>
        </w:rPr>
        <w:t>Division 1</w:t>
      </w:r>
      <w:r>
        <w:t> — </w:t>
      </w:r>
      <w:r>
        <w:rPr>
          <w:rStyle w:val="CharDivText"/>
        </w:rPr>
        <w:t>Continuation and formulation of region planning schemes</w:t>
      </w:r>
      <w:bookmarkEnd w:id="86"/>
      <w:bookmarkEnd w:id="87"/>
    </w:p>
    <w:p>
      <w:pPr>
        <w:pStyle w:val="Heading5"/>
        <w:spacing w:before="180"/>
      </w:pPr>
      <w:bookmarkStart w:id="88" w:name="_Toc155165389"/>
      <w:bookmarkStart w:id="89" w:name="_Toc155165088"/>
      <w:r>
        <w:rPr>
          <w:rStyle w:val="CharSectno"/>
        </w:rPr>
        <w:t>33</w:t>
      </w:r>
      <w:r>
        <w:t>.</w:t>
      </w:r>
      <w:r>
        <w:tab/>
        <w:t>Schemes under repealed Act, effect of</w:t>
      </w:r>
      <w:bookmarkEnd w:id="88"/>
      <w:bookmarkEnd w:id="89"/>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90" w:name="_Toc155165390"/>
      <w:bookmarkStart w:id="91" w:name="_Toc155165089"/>
      <w:r>
        <w:rPr>
          <w:rStyle w:val="CharSectno"/>
        </w:rPr>
        <w:t>34</w:t>
      </w:r>
      <w:r>
        <w:t>.</w:t>
      </w:r>
      <w:r>
        <w:tab/>
        <w:t>Region planning schemes, preparation and content of</w:t>
      </w:r>
      <w:bookmarkEnd w:id="90"/>
      <w:bookmarkEnd w:id="91"/>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spacing w:before="180"/>
      </w:pPr>
      <w:bookmarkStart w:id="92" w:name="_Toc155165391"/>
      <w:bookmarkStart w:id="93" w:name="_Toc155165090"/>
      <w:r>
        <w:rPr>
          <w:rStyle w:val="CharSectno"/>
        </w:rPr>
        <w:t>35</w:t>
      </w:r>
      <w:r>
        <w:t>.</w:t>
      </w:r>
      <w:r>
        <w:tab/>
        <w:t>Commission may resolve to prepare or amend region planning scheme</w:t>
      </w:r>
      <w:bookmarkEnd w:id="92"/>
      <w:bookmarkEnd w:id="93"/>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94" w:name="_Toc155165392"/>
      <w:bookmarkStart w:id="95" w:name="_Toc155165091"/>
      <w:r>
        <w:rPr>
          <w:rStyle w:val="CharSectno"/>
        </w:rPr>
        <w:t>36</w:t>
      </w:r>
      <w:r>
        <w:t>.</w:t>
      </w:r>
      <w:r>
        <w:tab/>
        <w:t>Restrictions on making or amending region planning scheme for metropolitan region</w:t>
      </w:r>
      <w:bookmarkEnd w:id="94"/>
      <w:bookmarkEnd w:id="9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96" w:name="_Toc155165393"/>
      <w:bookmarkStart w:id="97" w:name="_Toc155165092"/>
      <w:r>
        <w:rPr>
          <w:rStyle w:val="CharSectno"/>
        </w:rPr>
        <w:t>37</w:t>
      </w:r>
      <w:r>
        <w:t>.</w:t>
      </w:r>
      <w:r>
        <w:tab/>
        <w:t>Region planning scheme may be amended or repealed</w:t>
      </w:r>
      <w:bookmarkEnd w:id="96"/>
      <w:bookmarkEnd w:id="97"/>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98" w:name="_Toc155165394"/>
      <w:bookmarkStart w:id="99" w:name="_Toc155165093"/>
      <w:r>
        <w:rPr>
          <w:rStyle w:val="CharDivNo"/>
        </w:rPr>
        <w:t>Division 2</w:t>
      </w:r>
      <w:r>
        <w:t> — </w:t>
      </w:r>
      <w:r>
        <w:rPr>
          <w:rStyle w:val="CharDivText"/>
        </w:rPr>
        <w:t>Relevant considerations in preparation or amendment of region planning scheme or amendment and requirement to advertise</w:t>
      </w:r>
      <w:bookmarkEnd w:id="98"/>
      <w:bookmarkEnd w:id="99"/>
    </w:p>
    <w:p>
      <w:pPr>
        <w:pStyle w:val="Footnoteheading"/>
      </w:pPr>
      <w:r>
        <w:tab/>
        <w:t>[Heading inserted: No. 26 of 2020 s. 22.]</w:t>
      </w:r>
    </w:p>
    <w:p>
      <w:pPr>
        <w:pStyle w:val="Heading5"/>
      </w:pPr>
      <w:bookmarkStart w:id="100" w:name="_Toc155165395"/>
      <w:bookmarkStart w:id="101" w:name="_Toc155165094"/>
      <w:r>
        <w:rPr>
          <w:rStyle w:val="CharSectno"/>
        </w:rPr>
        <w:t>38</w:t>
      </w:r>
      <w:r>
        <w:t>.</w:t>
      </w:r>
      <w:r>
        <w:tab/>
        <w:t>Referral of proposed scheme or amendment to EPA</w:t>
      </w:r>
      <w:bookmarkEnd w:id="100"/>
      <w:bookmarkEnd w:id="101"/>
    </w:p>
    <w:p>
      <w:pPr>
        <w:pStyle w:val="Subsection"/>
      </w:pPr>
      <w:r>
        <w:tab/>
        <w:t>(1)</w:t>
      </w:r>
      <w:r>
        <w:tab/>
        <w:t xml:space="preserve">As soon as practicable after preparing a proposed region planning scheme or a proposed amendment to a region planning scheme, the Commission must refer the proposed scheme or amendment to the EPA by giving to the EPA — </w:t>
      </w:r>
    </w:p>
    <w:p>
      <w:pPr>
        <w:pStyle w:val="Indenta"/>
      </w:pPr>
      <w:r>
        <w:tab/>
        <w:t>(a)</w:t>
      </w:r>
      <w:r>
        <w:tab/>
        <w:t>a copy of the proposed scheme or amendment; and</w:t>
      </w:r>
    </w:p>
    <w:p>
      <w:pPr>
        <w:pStyle w:val="Indenta"/>
      </w:pPr>
      <w:r>
        <w:tab/>
        <w:t>(b)</w:t>
      </w:r>
      <w:r>
        <w:tab/>
        <w:t>any other written information about the proposed scheme or amendment that is necessary to enable the EPA to comply with the EP Act section 48A in relation to the proposed scheme or amendment.</w:t>
      </w:r>
    </w:p>
    <w:p>
      <w:pPr>
        <w:pStyle w:val="Subsection"/>
      </w:pPr>
      <w:r>
        <w:tab/>
        <w:t>(2)</w:t>
      </w:r>
      <w:r>
        <w:tab/>
        <w:t>Subsection (1) applies to a proposed amendment to a region planning scheme whether or not the amendment constitutes a substantial alteration to the scheme.</w:t>
      </w:r>
    </w:p>
    <w:p>
      <w:pPr>
        <w:pStyle w:val="Subsection"/>
      </w:pPr>
      <w:r>
        <w:tab/>
        <w:t>(3)</w:t>
      </w:r>
      <w:r>
        <w:tab/>
        <w:t>Despite subsections (1) and (2), a proposed region planning scheme or amendment to a region planning scheme of a class prescribed by regulations under the EP Act section 48AAA(2) is not required to be referred to the EPA.</w:t>
      </w:r>
    </w:p>
    <w:p>
      <w:pPr>
        <w:pStyle w:val="Footnotesection"/>
      </w:pPr>
      <w:r>
        <w:tab/>
        <w:t>[Section 38 inserted: No. 26 of 2020 s. 23.]</w:t>
      </w:r>
    </w:p>
    <w:p>
      <w:pPr>
        <w:pStyle w:val="Heading5"/>
        <w:keepLines w:val="0"/>
        <w:spacing w:before="180"/>
      </w:pPr>
      <w:bookmarkStart w:id="102" w:name="_Toc155165396"/>
      <w:bookmarkStart w:id="103" w:name="_Toc155165095"/>
      <w:r>
        <w:rPr>
          <w:rStyle w:val="CharSectno"/>
        </w:rPr>
        <w:t>39</w:t>
      </w:r>
      <w:r>
        <w:t>.</w:t>
      </w:r>
      <w:r>
        <w:tab/>
        <w:t>Environmental review of proposed scheme or amendment</w:t>
      </w:r>
      <w:bookmarkEnd w:id="102"/>
      <w:bookmarkEnd w:id="103"/>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referred to the EPA under section 38,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advertise the proposed region planning scheme or amendment under section 43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Footnotesection"/>
      </w:pPr>
      <w:r>
        <w:tab/>
        <w:t>[Section 39 amended: No. 26 of 2020 s. 24.]</w:t>
      </w:r>
    </w:p>
    <w:p>
      <w:pPr>
        <w:pStyle w:val="Ednotesection"/>
      </w:pPr>
      <w:r>
        <w:t>[</w:t>
      </w:r>
      <w:r>
        <w:rPr>
          <w:b/>
        </w:rPr>
        <w:t>40.</w:t>
      </w:r>
      <w:r>
        <w:tab/>
        <w:t>Deleted: No. 45 of 2020 s. 64.]</w:t>
      </w:r>
    </w:p>
    <w:p>
      <w:pPr>
        <w:pStyle w:val="Ednotedivision"/>
      </w:pPr>
      <w:r>
        <w:t>[Division 3 heading deleted: No. 26 of 2020 s. 26.]</w:t>
      </w:r>
    </w:p>
    <w:p>
      <w:pPr>
        <w:pStyle w:val="Ednotesection"/>
      </w:pPr>
      <w:r>
        <w:t>[</w:t>
      </w:r>
      <w:r>
        <w:rPr>
          <w:b/>
        </w:rPr>
        <w:t>41, 42.</w:t>
      </w:r>
      <w:r>
        <w:tab/>
        <w:t>Deleted: No. 26 of 2020 s. 27.]</w:t>
      </w:r>
    </w:p>
    <w:p>
      <w:pPr>
        <w:pStyle w:val="Heading5"/>
      </w:pPr>
      <w:bookmarkStart w:id="104" w:name="_Toc155165397"/>
      <w:bookmarkStart w:id="105" w:name="_Toc155165096"/>
      <w:r>
        <w:rPr>
          <w:rStyle w:val="CharSectno"/>
        </w:rPr>
        <w:t>43</w:t>
      </w:r>
      <w:r>
        <w:t>.</w:t>
      </w:r>
      <w:r>
        <w:tab/>
        <w:t>Advertising proposed scheme or amendment</w:t>
      </w:r>
      <w:bookmarkEnd w:id="104"/>
      <w:bookmarkEnd w:id="105"/>
    </w:p>
    <w:p>
      <w:pPr>
        <w:pStyle w:val="Subsection"/>
      </w:pPr>
      <w:r>
        <w:tab/>
      </w:r>
      <w:r>
        <w:tab/>
        <w:t xml:space="preserve">After preparing a proposed region planning scheme or a proposed amendment to a region planning scheme, and complying with sections 38 and 39 (if applicable) in relation to the proposed scheme or amendment, the Commission must, in accordance with the regulations — </w:t>
      </w:r>
    </w:p>
    <w:p>
      <w:pPr>
        <w:pStyle w:val="Indenta"/>
      </w:pPr>
      <w:r>
        <w:tab/>
        <w:t>(a)</w:t>
      </w:r>
      <w:r>
        <w:tab/>
        <w:t>advertise the proposed scheme or amendment for public inspection; and</w:t>
      </w:r>
    </w:p>
    <w:p>
      <w:pPr>
        <w:pStyle w:val="Indenta"/>
      </w:pPr>
      <w:r>
        <w:tab/>
        <w:t>(b)</w:t>
      </w:r>
      <w:r>
        <w:tab/>
        <w:t>consider public submissions made on the proposed scheme or amendment.</w:t>
      </w:r>
    </w:p>
    <w:p>
      <w:pPr>
        <w:pStyle w:val="Footnotesection"/>
      </w:pPr>
      <w:r>
        <w:tab/>
        <w:t>[Section 43 inserted: No. 26 of 2020 s. 27.]</w:t>
      </w:r>
    </w:p>
    <w:p>
      <w:pPr>
        <w:pStyle w:val="Ednotesection"/>
      </w:pPr>
      <w:r>
        <w:t>[</w:t>
      </w:r>
      <w:r>
        <w:rPr>
          <w:b/>
        </w:rPr>
        <w:t>44.</w:t>
      </w:r>
      <w:r>
        <w:tab/>
        <w:t>Deleted: No. 26 of 2020 s. 27.]</w:t>
      </w:r>
    </w:p>
    <w:p>
      <w:pPr>
        <w:pStyle w:val="Heading5"/>
      </w:pPr>
      <w:bookmarkStart w:id="106" w:name="_Toc155165398"/>
      <w:bookmarkStart w:id="107" w:name="_Toc155165097"/>
      <w:r>
        <w:rPr>
          <w:rStyle w:val="CharSectno"/>
        </w:rPr>
        <w:t>45</w:t>
      </w:r>
      <w:r>
        <w:t>.</w:t>
      </w:r>
      <w:r>
        <w:tab/>
        <w:t>Commission’s duties if proposed scheme or amendment is to be assessed under EP Act</w:t>
      </w:r>
      <w:bookmarkEnd w:id="106"/>
      <w:bookmarkEnd w:id="107"/>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a proposed scheme or proposed amendment referred to the EPA under section 38 should be assessed by the EPA under Part IV Division 3 of the EP Act, the Commission is to — </w:t>
      </w:r>
    </w:p>
    <w:p>
      <w:pPr>
        <w:pStyle w:val="Indenta"/>
      </w:pPr>
      <w:r>
        <w:tab/>
        <w:t>(a)</w:t>
      </w:r>
      <w:r>
        <w:tab/>
        <w:t xml:space="preserve">as soon as practicable, but in any event within 7 days after the expiry of the period during which the proposed scheme or proposed amendment is advertised under section 43, transmit to the EPA a copy of each submission — </w:t>
      </w:r>
    </w:p>
    <w:p>
      <w:pPr>
        <w:pStyle w:val="Indenti"/>
      </w:pPr>
      <w:r>
        <w:tab/>
        <w:t>(i)</w:t>
      </w:r>
      <w:r>
        <w:tab/>
        <w:t>made during that period; and</w:t>
      </w:r>
    </w:p>
    <w:p>
      <w:pPr>
        <w:pStyle w:val="Indenti"/>
      </w:pPr>
      <w:r>
        <w:tab/>
        <w:t>(ii)</w:t>
      </w:r>
      <w:r>
        <w:tab/>
        <w:t>relating wholly or in part to environmental issues raised by the proposed scheme or proposed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raised by the submissions referred to in paragraph (a) and received within that period.</w:t>
      </w:r>
    </w:p>
    <w:p>
      <w:pPr>
        <w:pStyle w:val="Footnotesection"/>
      </w:pPr>
      <w:r>
        <w:tab/>
        <w:t>[Section 45 amended: No. 26 of 2020 s. 28.]</w:t>
      </w:r>
    </w:p>
    <w:p>
      <w:pPr>
        <w:pStyle w:val="Ednotesection"/>
      </w:pPr>
      <w:r>
        <w:t>[</w:t>
      </w:r>
      <w:r>
        <w:rPr>
          <w:b/>
        </w:rPr>
        <w:t>46.</w:t>
      </w:r>
      <w:r>
        <w:tab/>
        <w:t>Deleted: No. 26 of 2020 s. 29.]</w:t>
      </w:r>
    </w:p>
    <w:p>
      <w:pPr>
        <w:pStyle w:val="Ednotesection"/>
      </w:pPr>
      <w:r>
        <w:t>[</w:t>
      </w:r>
      <w:r>
        <w:rPr>
          <w:b/>
        </w:rPr>
        <w:t>47.</w:t>
      </w:r>
      <w:r>
        <w:tab/>
        <w:t>Deleted: No. 45 of 2020 s. 65.]</w:t>
      </w:r>
    </w:p>
    <w:p>
      <w:pPr>
        <w:pStyle w:val="Heading3"/>
      </w:pPr>
      <w:bookmarkStart w:id="108" w:name="_Toc155165399"/>
      <w:bookmarkStart w:id="109" w:name="_Toc155165098"/>
      <w:r>
        <w:rPr>
          <w:rStyle w:val="CharDivNo"/>
        </w:rPr>
        <w:t>Division 3</w:t>
      </w:r>
      <w:r>
        <w:t xml:space="preserve"> — </w:t>
      </w:r>
      <w:r>
        <w:rPr>
          <w:rStyle w:val="CharDivText"/>
        </w:rPr>
        <w:t>Submission and approval of region planning schemes or amendment other than minor amendments</w:t>
      </w:r>
      <w:bookmarkEnd w:id="108"/>
      <w:bookmarkEnd w:id="109"/>
    </w:p>
    <w:p>
      <w:pPr>
        <w:pStyle w:val="Footnoteheading"/>
      </w:pPr>
      <w:r>
        <w:tab/>
        <w:t>[Heading inserted: No. 26 of 2020 s. 31.]</w:t>
      </w:r>
    </w:p>
    <w:p>
      <w:pPr>
        <w:pStyle w:val="Heading5"/>
      </w:pPr>
      <w:bookmarkStart w:id="110" w:name="_Toc155165400"/>
      <w:bookmarkStart w:id="111" w:name="_Toc155165099"/>
      <w:r>
        <w:rPr>
          <w:rStyle w:val="CharSectno"/>
        </w:rPr>
        <w:t>47A</w:t>
      </w:r>
      <w:r>
        <w:t>.</w:t>
      </w:r>
      <w:r>
        <w:tab/>
        <w:t>Region planning scheme or non</w:t>
      </w:r>
      <w:r>
        <w:noBreakHyphen/>
        <w:t>minor amendment to be submitted and approved under this Division</w:t>
      </w:r>
      <w:bookmarkEnd w:id="110"/>
      <w:bookmarkEnd w:id="111"/>
    </w:p>
    <w:p>
      <w:pPr>
        <w:pStyle w:val="Subsection"/>
      </w:pPr>
      <w:r>
        <w:tab/>
      </w:r>
      <w:r>
        <w:tab/>
        <w:t>A proposed region planning scheme, or a proposed amendment to a region planning scheme (other than a proposed amendment to be submitted and approved under Division 4), must be submitted and approved in accordance with this Division.</w:t>
      </w:r>
    </w:p>
    <w:p>
      <w:pPr>
        <w:pStyle w:val="Footnotesection"/>
      </w:pPr>
      <w:r>
        <w:tab/>
        <w:t>[Section 47A inserted: No. 26 of 2020 s. 32.]</w:t>
      </w:r>
    </w:p>
    <w:p>
      <w:pPr>
        <w:pStyle w:val="Heading5"/>
      </w:pPr>
      <w:bookmarkStart w:id="112" w:name="_Toc155165401"/>
      <w:bookmarkStart w:id="113" w:name="_Toc155165100"/>
      <w:r>
        <w:rPr>
          <w:rStyle w:val="CharSectno"/>
        </w:rPr>
        <w:t>48</w:t>
      </w:r>
      <w:r>
        <w:t>.</w:t>
      </w:r>
      <w:r>
        <w:tab/>
        <w:t>Proposed scheme or amendment and public submissions to be submitted to Minister</w:t>
      </w:r>
      <w:bookmarkEnd w:id="112"/>
      <w:bookmarkEnd w:id="113"/>
    </w:p>
    <w:p>
      <w:pPr>
        <w:pStyle w:val="Subsection"/>
      </w:pPr>
      <w:r>
        <w:tab/>
      </w:r>
      <w:r>
        <w:tab/>
        <w:t xml:space="preserve">After complying with the applicable requirements of Division 2 in relation to a proposed region planning scheme or a proposed amendment to a region planning scheme, the Commission, unless the proposed scheme or amendment has been withdrawn under section 62A, is to submit to the Minister — </w:t>
      </w:r>
    </w:p>
    <w:p>
      <w:pPr>
        <w:pStyle w:val="Indenta"/>
      </w:pPr>
      <w:r>
        <w:tab/>
        <w:t>(a)</w:t>
      </w:r>
      <w:r>
        <w:tab/>
        <w:t>the proposed scheme or amendment, with the modifications, if any, the Commission thinks fit to make, including as a result of public submissions made under regulations made for the purposes of section 43; and</w:t>
      </w:r>
    </w:p>
    <w:p>
      <w:pPr>
        <w:pStyle w:val="Indenta"/>
      </w:pPr>
      <w:r>
        <w:tab/>
        <w:t>(b)</w:t>
      </w:r>
      <w:r>
        <w:tab/>
        <w:t>a copy of each of those submissions; and</w:t>
      </w:r>
    </w:p>
    <w:p>
      <w:pPr>
        <w:pStyle w:val="Indenta"/>
      </w:pPr>
      <w:r>
        <w:tab/>
        <w:t>(c)</w:t>
      </w:r>
      <w:r>
        <w:tab/>
        <w:t>a report by the Commission on those submissions.</w:t>
      </w:r>
    </w:p>
    <w:p>
      <w:pPr>
        <w:pStyle w:val="Footnotesection"/>
      </w:pPr>
      <w:r>
        <w:tab/>
        <w:t>[Section 48 inserted: No. 26 of 2020 s. 33.]</w:t>
      </w:r>
    </w:p>
    <w:p>
      <w:pPr>
        <w:pStyle w:val="Ednotesection"/>
      </w:pPr>
      <w:r>
        <w:t>[</w:t>
      </w:r>
      <w:r>
        <w:rPr>
          <w:b/>
        </w:rPr>
        <w:t>49.</w:t>
      </w:r>
      <w:r>
        <w:tab/>
        <w:t>Deleted: No. 26 of 2020 s. 33.]</w:t>
      </w:r>
    </w:p>
    <w:p>
      <w:pPr>
        <w:pStyle w:val="Heading5"/>
      </w:pPr>
      <w:bookmarkStart w:id="114" w:name="_Toc155165402"/>
      <w:bookmarkStart w:id="115" w:name="_Toc155165101"/>
      <w:r>
        <w:rPr>
          <w:rStyle w:val="CharSectno"/>
        </w:rPr>
        <w:t>50</w:t>
      </w:r>
      <w:r>
        <w:t>.</w:t>
      </w:r>
      <w:r>
        <w:tab/>
        <w:t>When Minister may submit proposed scheme or amendment for Governor’s approval</w:t>
      </w:r>
      <w:bookmarkEnd w:id="114"/>
      <w:bookmarkEnd w:id="115"/>
    </w:p>
    <w:p>
      <w:pPr>
        <w:pStyle w:val="Subsection"/>
        <w:keepNext/>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16" w:name="_Toc155165403"/>
      <w:bookmarkStart w:id="117" w:name="_Toc155165102"/>
      <w:r>
        <w:rPr>
          <w:rStyle w:val="CharSectno"/>
        </w:rPr>
        <w:t>51</w:t>
      </w:r>
      <w:r>
        <w:t>.</w:t>
      </w:r>
      <w:r>
        <w:tab/>
        <w:t>Minister may direct proposed scheme or amendment to be republicised</w:t>
      </w:r>
      <w:bookmarkEnd w:id="116"/>
      <w:bookmarkEnd w:id="117"/>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advertise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Footnotesection"/>
      </w:pPr>
      <w:r>
        <w:tab/>
        <w:t>[Section 51 amended: No. 26 of 2020 s. 34.]</w:t>
      </w:r>
    </w:p>
    <w:p>
      <w:pPr>
        <w:pStyle w:val="Heading5"/>
      </w:pPr>
      <w:bookmarkStart w:id="118" w:name="_Toc155165404"/>
      <w:bookmarkStart w:id="119" w:name="_Toc155165103"/>
      <w:r>
        <w:rPr>
          <w:rStyle w:val="CharSectno"/>
        </w:rPr>
        <w:t>52</w:t>
      </w:r>
      <w:r>
        <w:t>.</w:t>
      </w:r>
      <w:r>
        <w:tab/>
        <w:t>Modifications to proposed scheme or amendment, procedure on</w:t>
      </w:r>
      <w:bookmarkEnd w:id="118"/>
      <w:bookmarkEnd w:id="119"/>
    </w:p>
    <w:p>
      <w:pPr>
        <w:pStyle w:val="Subsection"/>
        <w:keepNext/>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the regulations.</w:t>
      </w:r>
    </w:p>
    <w:p>
      <w:pPr>
        <w:pStyle w:val="Ednotesubsection"/>
      </w:pPr>
      <w:r>
        <w:tab/>
        <w:t>[(3)</w:t>
      </w:r>
      <w:r>
        <w:tab/>
        <w:t>deleted]</w:t>
      </w:r>
    </w:p>
    <w:p>
      <w:pPr>
        <w:pStyle w:val="Footnotesection"/>
      </w:pPr>
      <w:r>
        <w:tab/>
        <w:t>[Section 52 amended: No. 26 of 2020 s. 35.]</w:t>
      </w:r>
    </w:p>
    <w:p>
      <w:pPr>
        <w:pStyle w:val="Heading5"/>
        <w:spacing w:before="240"/>
      </w:pPr>
      <w:bookmarkStart w:id="120" w:name="_Toc155165405"/>
      <w:bookmarkStart w:id="121" w:name="_Toc155165104"/>
      <w:r>
        <w:rPr>
          <w:rStyle w:val="CharSectno"/>
        </w:rPr>
        <w:t>53</w:t>
      </w:r>
      <w:r>
        <w:t>.</w:t>
      </w:r>
      <w:r>
        <w:tab/>
        <w:t>Approval of Governor</w:t>
      </w:r>
      <w:bookmarkEnd w:id="120"/>
      <w:bookmarkEnd w:id="121"/>
    </w:p>
    <w:p>
      <w:pPr>
        <w:pStyle w:val="Subsection"/>
      </w:pPr>
      <w:r>
        <w:tab/>
        <w:t>(1)</w:t>
      </w:r>
      <w:r>
        <w:tab/>
        <w:t>If the Minister has not withdrawn the scheme or amendment under section 62A,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Footnotesection"/>
      </w:pPr>
      <w:r>
        <w:tab/>
        <w:t>[Section 53 amended: No. 26 of 2020 s. 36.]</w:t>
      </w:r>
    </w:p>
    <w:p>
      <w:pPr>
        <w:pStyle w:val="Heading5"/>
      </w:pPr>
      <w:bookmarkStart w:id="122" w:name="_Toc155165406"/>
      <w:bookmarkStart w:id="123" w:name="_Toc155165105"/>
      <w:r>
        <w:rPr>
          <w:rStyle w:val="CharSectno"/>
        </w:rPr>
        <w:t>54</w:t>
      </w:r>
      <w:r>
        <w:t>.</w:t>
      </w:r>
      <w:r>
        <w:tab/>
        <w:t>Publicising approved scheme or amendment</w:t>
      </w:r>
      <w:bookmarkEnd w:id="122"/>
      <w:bookmarkEnd w:id="123"/>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24" w:name="_Toc155165407"/>
      <w:bookmarkStart w:id="125" w:name="_Toc155165106"/>
      <w:r>
        <w:rPr>
          <w:rStyle w:val="CharSectno"/>
        </w:rPr>
        <w:t>55</w:t>
      </w:r>
      <w:r>
        <w:t>.</w:t>
      </w:r>
      <w:r>
        <w:tab/>
        <w:t>Revoking approval of scheme or amendment</w:t>
      </w:r>
      <w:bookmarkEnd w:id="124"/>
      <w:bookmarkEnd w:id="125"/>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26" w:name="_Toc155165408"/>
      <w:bookmarkStart w:id="127" w:name="_Toc155165107"/>
      <w:r>
        <w:rPr>
          <w:rStyle w:val="CharSectno"/>
        </w:rPr>
        <w:t>56</w:t>
      </w:r>
      <w:r>
        <w:t>.</w:t>
      </w:r>
      <w:r>
        <w:tab/>
        <w:t>Parliament may disallow scheme or amendment</w:t>
      </w:r>
      <w:bookmarkEnd w:id="126"/>
      <w:bookmarkEnd w:id="127"/>
    </w:p>
    <w:p>
      <w:pPr>
        <w:pStyle w:val="Subsection"/>
        <w:keepNext/>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28" w:name="_Toc155165409"/>
      <w:bookmarkStart w:id="129" w:name="_Toc155165108"/>
      <w:r>
        <w:rPr>
          <w:rStyle w:val="CharDivNo"/>
        </w:rPr>
        <w:t>Division 4</w:t>
      </w:r>
      <w:r>
        <w:t> — </w:t>
      </w:r>
      <w:r>
        <w:rPr>
          <w:rStyle w:val="CharDivText"/>
        </w:rPr>
        <w:t>Submission and approval of minor amendments to region planning schemes</w:t>
      </w:r>
      <w:bookmarkEnd w:id="128"/>
      <w:bookmarkEnd w:id="129"/>
    </w:p>
    <w:p>
      <w:pPr>
        <w:pStyle w:val="Footnoteheading"/>
      </w:pPr>
      <w:r>
        <w:tab/>
        <w:t>[Heading inserted: No. 26 of 2020 s. 37.]</w:t>
      </w:r>
    </w:p>
    <w:p>
      <w:pPr>
        <w:pStyle w:val="Heading5"/>
      </w:pPr>
      <w:bookmarkStart w:id="130" w:name="_Toc155165410"/>
      <w:bookmarkStart w:id="131" w:name="_Toc155165109"/>
      <w:r>
        <w:rPr>
          <w:rStyle w:val="CharSectno"/>
        </w:rPr>
        <w:t>56A</w:t>
      </w:r>
      <w:r>
        <w:t>.</w:t>
      </w:r>
      <w:r>
        <w:tab/>
        <w:t>Term used: minor region planning scheme amendment</w:t>
      </w:r>
      <w:bookmarkEnd w:id="130"/>
      <w:bookmarkEnd w:id="131"/>
    </w:p>
    <w:p>
      <w:pPr>
        <w:pStyle w:val="Subsection"/>
      </w:pPr>
      <w:r>
        <w:tab/>
      </w:r>
      <w:r>
        <w:tab/>
        <w:t xml:space="preserve">In this Division — </w:t>
      </w:r>
    </w:p>
    <w:p>
      <w:pPr>
        <w:pStyle w:val="Defstart"/>
      </w:pPr>
      <w:r>
        <w:tab/>
      </w:r>
      <w:r>
        <w:rPr>
          <w:rStyle w:val="CharDefText"/>
        </w:rPr>
        <w:t>minor region planning scheme amendment</w:t>
      </w:r>
      <w:r>
        <w:t xml:space="preserve"> means an amendment to a region planning scheme that does not, in the opinion of the Commission, constitute a substantial alteration to the region planning scheme.</w:t>
      </w:r>
    </w:p>
    <w:p>
      <w:pPr>
        <w:pStyle w:val="Footnotesection"/>
      </w:pPr>
      <w:r>
        <w:tab/>
        <w:t>[Section 56A inserted: No. 26 of 2020 s. 38.]</w:t>
      </w:r>
    </w:p>
    <w:p>
      <w:pPr>
        <w:pStyle w:val="Heading5"/>
      </w:pPr>
      <w:bookmarkStart w:id="132" w:name="_Toc155165411"/>
      <w:bookmarkStart w:id="133" w:name="_Toc155165110"/>
      <w:r>
        <w:rPr>
          <w:rStyle w:val="CharSectno"/>
        </w:rPr>
        <w:t>57</w:t>
      </w:r>
      <w:r>
        <w:t>.</w:t>
      </w:r>
      <w:r>
        <w:tab/>
        <w:t>Proposed minor amendment may be submitted and approved under this Division</w:t>
      </w:r>
      <w:bookmarkEnd w:id="132"/>
      <w:bookmarkEnd w:id="133"/>
    </w:p>
    <w:p>
      <w:pPr>
        <w:pStyle w:val="Subsection"/>
      </w:pPr>
      <w:r>
        <w:tab/>
        <w:t>(1)</w:t>
      </w:r>
      <w:r>
        <w:tab/>
        <w:t xml:space="preserve">A proposed minor region planning scheme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68; No. 26 of 2020 s. 39.]</w:t>
      </w:r>
    </w:p>
    <w:p>
      <w:pPr>
        <w:pStyle w:val="Ednotesection"/>
      </w:pPr>
      <w:r>
        <w:t>[</w:t>
      </w:r>
      <w:r>
        <w:rPr>
          <w:b/>
        </w:rPr>
        <w:t>58-60.</w:t>
      </w:r>
      <w:r>
        <w:tab/>
        <w:t>Deleted: No. 26 of 2020 s. 40.]</w:t>
      </w:r>
    </w:p>
    <w:p>
      <w:pPr>
        <w:pStyle w:val="Heading5"/>
      </w:pPr>
      <w:bookmarkStart w:id="134" w:name="_Toc155165412"/>
      <w:bookmarkStart w:id="135" w:name="_Toc155165111"/>
      <w:r>
        <w:rPr>
          <w:rStyle w:val="CharSectno"/>
        </w:rPr>
        <w:t>61</w:t>
      </w:r>
      <w:r>
        <w:t>.</w:t>
      </w:r>
      <w:r>
        <w:tab/>
        <w:t>Minister not to approve proposed minor amendment in some cases</w:t>
      </w:r>
      <w:bookmarkEnd w:id="134"/>
      <w:bookmarkEnd w:id="135"/>
    </w:p>
    <w:p>
      <w:pPr>
        <w:pStyle w:val="Subsection"/>
        <w:keepNext/>
      </w:pPr>
      <w:r>
        <w:tab/>
      </w:r>
      <w:r>
        <w:tab/>
        <w:t xml:space="preserve">The Minister is not to approve under section 62(1) a proposed minor region planning scheme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Footnotesection"/>
      </w:pPr>
      <w:r>
        <w:tab/>
        <w:t>[Section 61 amended: No. 26 of 2020 s. 41.]</w:t>
      </w:r>
    </w:p>
    <w:p>
      <w:pPr>
        <w:pStyle w:val="Heading5"/>
      </w:pPr>
      <w:bookmarkStart w:id="136" w:name="_Toc155165413"/>
      <w:bookmarkStart w:id="137" w:name="_Toc155165112"/>
      <w:r>
        <w:rPr>
          <w:rStyle w:val="CharSectno"/>
        </w:rPr>
        <w:t>62</w:t>
      </w:r>
      <w:r>
        <w:t>.</w:t>
      </w:r>
      <w:r>
        <w:tab/>
        <w:t>Minister may approve or decline to approve minor amendment</w:t>
      </w:r>
      <w:bookmarkEnd w:id="136"/>
      <w:bookmarkEnd w:id="137"/>
    </w:p>
    <w:p>
      <w:pPr>
        <w:pStyle w:val="Subsection"/>
      </w:pPr>
      <w:r>
        <w:tab/>
        <w:t>(1A)</w:t>
      </w:r>
      <w:r>
        <w:tab/>
        <w:t xml:space="preserve">After complying with the applicable requirements of Division 2 in relation to a proposed minor region planning scheme amendment, the Commission must, unless the proposed amendment has been withdrawn under section 62A, submit to the Minister — </w:t>
      </w:r>
    </w:p>
    <w:p>
      <w:pPr>
        <w:pStyle w:val="Indenta"/>
      </w:pPr>
      <w:r>
        <w:tab/>
        <w:t>(a)</w:t>
      </w:r>
      <w:r>
        <w:tab/>
        <w:t>the proposed amendment; and</w:t>
      </w:r>
    </w:p>
    <w:p>
      <w:pPr>
        <w:pStyle w:val="Indenta"/>
      </w:pPr>
      <w:r>
        <w:tab/>
        <w:t>(b)</w:t>
      </w:r>
      <w:r>
        <w:tab/>
        <w:t>a report and recommendation on the proposed amendment.</w:t>
      </w:r>
    </w:p>
    <w:p>
      <w:pPr>
        <w:pStyle w:val="Subsection"/>
      </w:pPr>
      <w:r>
        <w:tab/>
        <w:t>(1)</w:t>
      </w:r>
      <w:r>
        <w:tab/>
        <w:t xml:space="preserve">The Minister may, if a proposed minor region planning scheme amendment is submitted under this section — </w:t>
      </w:r>
    </w:p>
    <w:p>
      <w:pPr>
        <w:pStyle w:val="Indenta"/>
      </w:pPr>
      <w:r>
        <w:tab/>
        <w:t>(a)</w:t>
      </w:r>
      <w:r>
        <w:tab/>
        <w:t>approve the amendment; or</w:t>
      </w:r>
    </w:p>
    <w:p>
      <w:pPr>
        <w:pStyle w:val="Indenta"/>
      </w:pPr>
      <w:r>
        <w:tab/>
        <w:t>(b)</w:t>
      </w:r>
      <w:r>
        <w:tab/>
        <w:t>require the Commission to modify the amendment in such manner as the Minister specifies before the amendment is resubmitted for the Minister’s approval under this subsection; or</w:t>
      </w:r>
    </w:p>
    <w:p>
      <w:pPr>
        <w:pStyle w:val="Indenta"/>
      </w:pPr>
      <w:r>
        <w:tab/>
        <w:t>(c)</w:t>
      </w:r>
      <w:r>
        <w:tab/>
        <w:t>refuse to approve the amendment.</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has effect on publication under subsection (2) as if it were enacted by this Act.</w:t>
      </w:r>
    </w:p>
    <w:p>
      <w:pPr>
        <w:pStyle w:val="Footnotesection"/>
      </w:pPr>
      <w:r>
        <w:tab/>
        <w:t>[Section 62 amended: No. 26 of 2020 s. 42.]</w:t>
      </w:r>
    </w:p>
    <w:p>
      <w:pPr>
        <w:pStyle w:val="Heading3"/>
      </w:pPr>
      <w:bookmarkStart w:id="138" w:name="_Toc155165414"/>
      <w:bookmarkStart w:id="139" w:name="_Toc155165113"/>
      <w:r>
        <w:rPr>
          <w:rStyle w:val="CharDivNo"/>
        </w:rPr>
        <w:t>Division 4A</w:t>
      </w:r>
      <w:r>
        <w:t> — </w:t>
      </w:r>
      <w:r>
        <w:rPr>
          <w:rStyle w:val="CharDivText"/>
        </w:rPr>
        <w:t>Withdrawal of region planning scheme or amendment</w:t>
      </w:r>
      <w:bookmarkEnd w:id="138"/>
      <w:bookmarkEnd w:id="139"/>
    </w:p>
    <w:p>
      <w:pPr>
        <w:pStyle w:val="Footnoteheading"/>
      </w:pPr>
      <w:r>
        <w:tab/>
        <w:t>[Heading inserted: No. 26 of 2020 s. 43.]</w:t>
      </w:r>
    </w:p>
    <w:p>
      <w:pPr>
        <w:pStyle w:val="Heading5"/>
      </w:pPr>
      <w:bookmarkStart w:id="140" w:name="_Toc155165415"/>
      <w:bookmarkStart w:id="141" w:name="_Toc155165114"/>
      <w:r>
        <w:rPr>
          <w:rStyle w:val="CharSectno"/>
        </w:rPr>
        <w:t>62A</w:t>
      </w:r>
      <w:r>
        <w:t>.</w:t>
      </w:r>
      <w:r>
        <w:tab/>
        <w:t>Minister may withdraw or direct withdrawal of proposed scheme or amendment</w:t>
      </w:r>
      <w:bookmarkEnd w:id="140"/>
      <w:bookmarkEnd w:id="141"/>
    </w:p>
    <w:p>
      <w:pPr>
        <w:pStyle w:val="Subsection"/>
      </w:pPr>
      <w:r>
        <w:tab/>
        <w:t>(1)</w:t>
      </w:r>
      <w:r>
        <w:tab/>
        <w:t>The Minister may, if the Minister considers it appropriate, withdraw, or direct the Commission to withdraw, a proposed region planning scheme or proposed amendment to a region planning scheme at any time before the proposed scheme or amendment is presented to the Governor under section 53(1) or submitted to the Minister under section 62.</w:t>
      </w:r>
    </w:p>
    <w:p>
      <w:pPr>
        <w:pStyle w:val="Subsection"/>
      </w:pPr>
      <w:r>
        <w:tab/>
        <w:t>(2)</w:t>
      </w:r>
      <w:r>
        <w:tab/>
        <w:t xml:space="preserve">The Minister must cause notice of the withdrawal of a proposed region planning scheme or amendment under subsection (1) to be published in the </w:t>
      </w:r>
      <w:r>
        <w:rPr>
          <w:i/>
        </w:rPr>
        <w:t>Gazette</w:t>
      </w:r>
      <w:r>
        <w:t>.</w:t>
      </w:r>
    </w:p>
    <w:p>
      <w:pPr>
        <w:pStyle w:val="Footnotesection"/>
      </w:pPr>
      <w:r>
        <w:tab/>
        <w:t>[Section 62A inserted: No. 26 of 2020 s. 43.]</w:t>
      </w:r>
    </w:p>
    <w:p>
      <w:pPr>
        <w:pStyle w:val="Heading3"/>
      </w:pPr>
      <w:bookmarkStart w:id="142" w:name="_Toc155165416"/>
      <w:bookmarkStart w:id="143" w:name="_Toc155165115"/>
      <w:r>
        <w:rPr>
          <w:rStyle w:val="CharDivNo"/>
        </w:rPr>
        <w:t>Division 5</w:t>
      </w:r>
      <w:r>
        <w:t> — </w:t>
      </w:r>
      <w:r>
        <w:rPr>
          <w:rStyle w:val="CharDivText"/>
        </w:rPr>
        <w:t>Consolidation of region planning scheme</w:t>
      </w:r>
      <w:bookmarkEnd w:id="142"/>
      <w:bookmarkEnd w:id="143"/>
    </w:p>
    <w:p>
      <w:pPr>
        <w:pStyle w:val="Heading5"/>
      </w:pPr>
      <w:bookmarkStart w:id="144" w:name="_Toc155165417"/>
      <w:bookmarkStart w:id="145" w:name="_Toc155165116"/>
      <w:r>
        <w:rPr>
          <w:rStyle w:val="CharSectno"/>
        </w:rPr>
        <w:t>63</w:t>
      </w:r>
      <w:r>
        <w:t>.</w:t>
      </w:r>
      <w:r>
        <w:tab/>
        <w:t>Minister may direct consolidation</w:t>
      </w:r>
      <w:bookmarkEnd w:id="144"/>
      <w:bookmarkEnd w:id="145"/>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46" w:name="_Toc155165418"/>
      <w:bookmarkStart w:id="147" w:name="_Toc155165117"/>
      <w:r>
        <w:rPr>
          <w:rStyle w:val="CharSectno"/>
        </w:rPr>
        <w:t>64</w:t>
      </w:r>
      <w:r>
        <w:t>.</w:t>
      </w:r>
      <w:r>
        <w:tab/>
        <w:t>Maps, plans, diagrams may be added or substituted</w:t>
      </w:r>
      <w:bookmarkEnd w:id="146"/>
      <w:bookmarkEnd w:id="147"/>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Lines w:val="0"/>
      </w:pPr>
      <w:bookmarkStart w:id="148" w:name="_Toc155165419"/>
      <w:bookmarkStart w:id="149" w:name="_Toc155165118"/>
      <w:r>
        <w:rPr>
          <w:rStyle w:val="CharSectno"/>
        </w:rPr>
        <w:t>65</w:t>
      </w:r>
      <w:r>
        <w:t>.</w:t>
      </w:r>
      <w:r>
        <w:tab/>
        <w:t>Certification and delivery of consolidation</w:t>
      </w:r>
      <w:bookmarkEnd w:id="148"/>
      <w:bookmarkEnd w:id="149"/>
    </w:p>
    <w:p>
      <w:pPr>
        <w:pStyle w:val="Subsection"/>
        <w:keepNext/>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50" w:name="_Toc155165420"/>
      <w:bookmarkStart w:id="151" w:name="_Toc155165119"/>
      <w:r>
        <w:rPr>
          <w:rStyle w:val="CharSectno"/>
        </w:rPr>
        <w:t>66</w:t>
      </w:r>
      <w:r>
        <w:t>.</w:t>
      </w:r>
      <w:r>
        <w:tab/>
        <w:t>Proof of consolidation</w:t>
      </w:r>
      <w:bookmarkEnd w:id="150"/>
      <w:bookmarkEnd w:id="151"/>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52" w:name="_Toc155165421"/>
      <w:bookmarkStart w:id="153" w:name="_Toc155165120"/>
      <w:r>
        <w:rPr>
          <w:rStyle w:val="CharSectno"/>
        </w:rPr>
        <w:t>67</w:t>
      </w:r>
      <w:r>
        <w:t>.</w:t>
      </w:r>
      <w:r>
        <w:tab/>
        <w:t>Consolidation of portion of region planning scheme</w:t>
      </w:r>
      <w:bookmarkEnd w:id="152"/>
      <w:bookmarkEnd w:id="153"/>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54" w:name="_Toc155165422"/>
      <w:bookmarkStart w:id="155" w:name="_Toc155165121"/>
      <w:r>
        <w:rPr>
          <w:rStyle w:val="CharPartNo"/>
        </w:rPr>
        <w:t>Part 5</w:t>
      </w:r>
      <w:r>
        <w:t> — </w:t>
      </w:r>
      <w:r>
        <w:rPr>
          <w:rStyle w:val="CharPartText"/>
        </w:rPr>
        <w:t>Local planning schemes</w:t>
      </w:r>
      <w:bookmarkEnd w:id="154"/>
      <w:bookmarkEnd w:id="155"/>
    </w:p>
    <w:p>
      <w:pPr>
        <w:pStyle w:val="Heading3"/>
      </w:pPr>
      <w:bookmarkStart w:id="156" w:name="_Toc155165423"/>
      <w:bookmarkStart w:id="157" w:name="_Toc155165122"/>
      <w:r>
        <w:rPr>
          <w:rStyle w:val="CharDivNo"/>
        </w:rPr>
        <w:t>Division 1</w:t>
      </w:r>
      <w:r>
        <w:t> — </w:t>
      </w:r>
      <w:r>
        <w:rPr>
          <w:rStyle w:val="CharDivText"/>
        </w:rPr>
        <w:t>Continuation and formulation of local planning schemes</w:t>
      </w:r>
      <w:bookmarkEnd w:id="156"/>
      <w:bookmarkEnd w:id="157"/>
    </w:p>
    <w:p>
      <w:pPr>
        <w:pStyle w:val="Heading5"/>
      </w:pPr>
      <w:bookmarkStart w:id="158" w:name="_Toc155165424"/>
      <w:bookmarkStart w:id="159" w:name="_Toc155165123"/>
      <w:r>
        <w:rPr>
          <w:rStyle w:val="CharSectno"/>
        </w:rPr>
        <w:t>68</w:t>
      </w:r>
      <w:r>
        <w:t>.</w:t>
      </w:r>
      <w:r>
        <w:tab/>
        <w:t>Town planning schemes under repealed Act, effect of</w:t>
      </w:r>
      <w:bookmarkEnd w:id="158"/>
      <w:bookmarkEnd w:id="159"/>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160" w:name="_Toc155165425"/>
      <w:bookmarkStart w:id="161" w:name="_Toc155165124"/>
      <w:r>
        <w:rPr>
          <w:rStyle w:val="CharSectno"/>
        </w:rPr>
        <w:t>69</w:t>
      </w:r>
      <w:r>
        <w:t>.</w:t>
      </w:r>
      <w:r>
        <w:tab/>
        <w:t>General objects of schemes</w:t>
      </w:r>
      <w:bookmarkEnd w:id="160"/>
      <w:bookmarkEnd w:id="161"/>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162" w:name="_Toc155165426"/>
      <w:bookmarkStart w:id="163" w:name="_Toc155165125"/>
      <w:r>
        <w:rPr>
          <w:rStyle w:val="CharSectno"/>
        </w:rPr>
        <w:t>70</w:t>
      </w:r>
      <w:r>
        <w:t>.</w:t>
      </w:r>
      <w:r>
        <w:tab/>
        <w:t>Scheme may be made for land outside scheme or be concurrent with another scheme</w:t>
      </w:r>
      <w:bookmarkEnd w:id="162"/>
      <w:bookmarkEnd w:id="163"/>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64" w:name="_Toc155165427"/>
      <w:bookmarkStart w:id="165" w:name="_Toc155165126"/>
      <w:r>
        <w:rPr>
          <w:rStyle w:val="CharSectno"/>
        </w:rPr>
        <w:t>71</w:t>
      </w:r>
      <w:r>
        <w:t>.</w:t>
      </w:r>
      <w:r>
        <w:tab/>
        <w:t>Scheme not to apply to redevelopment area or Swan Valley</w:t>
      </w:r>
      <w:bookmarkEnd w:id="164"/>
      <w:bookmarkEnd w:id="165"/>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166" w:name="_Toc155165428"/>
      <w:bookmarkStart w:id="167" w:name="_Toc155165127"/>
      <w:r>
        <w:rPr>
          <w:rStyle w:val="CharSectno"/>
        </w:rPr>
        <w:t>72</w:t>
      </w:r>
      <w:r>
        <w:t>.</w:t>
      </w:r>
      <w:r>
        <w:tab/>
        <w:t>Local government may prepare or adopt scheme</w:t>
      </w:r>
      <w:bookmarkEnd w:id="166"/>
      <w:bookmarkEnd w:id="167"/>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68" w:name="_Toc155165429"/>
      <w:bookmarkStart w:id="169" w:name="_Toc155165128"/>
      <w:r>
        <w:rPr>
          <w:rStyle w:val="CharSectno"/>
        </w:rPr>
        <w:t>73</w:t>
      </w:r>
      <w:r>
        <w:t>.</w:t>
      </w:r>
      <w:r>
        <w:tab/>
        <w:t>Contents of scheme</w:t>
      </w:r>
      <w:bookmarkEnd w:id="168"/>
      <w:bookmarkEnd w:id="169"/>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170" w:name="_Toc155165430"/>
      <w:bookmarkStart w:id="171" w:name="_Toc155165129"/>
      <w:r>
        <w:rPr>
          <w:rStyle w:val="CharSectno"/>
        </w:rPr>
        <w:t>74</w:t>
      </w:r>
      <w:r>
        <w:t>.</w:t>
      </w:r>
      <w:r>
        <w:tab/>
        <w:t>Repealing scheme</w:t>
      </w:r>
      <w:bookmarkEnd w:id="170"/>
      <w:bookmarkEnd w:id="171"/>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72" w:name="_Toc155165431"/>
      <w:bookmarkStart w:id="173" w:name="_Toc155165130"/>
      <w:r>
        <w:rPr>
          <w:rStyle w:val="CharSectno"/>
        </w:rPr>
        <w:t>75</w:t>
      </w:r>
      <w:r>
        <w:t>.</w:t>
      </w:r>
      <w:r>
        <w:tab/>
        <w:t>Amending scheme</w:t>
      </w:r>
      <w:bookmarkEnd w:id="172"/>
      <w:bookmarkEnd w:id="173"/>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74" w:name="_Toc155165432"/>
      <w:bookmarkStart w:id="175" w:name="_Toc155165131"/>
      <w:r>
        <w:rPr>
          <w:rStyle w:val="CharDivNo"/>
        </w:rPr>
        <w:t>Division 2</w:t>
      </w:r>
      <w:r>
        <w:t> — </w:t>
      </w:r>
      <w:r>
        <w:rPr>
          <w:rStyle w:val="CharDivText"/>
        </w:rPr>
        <w:t>Minister’s powers in relation to local planning schemes</w:t>
      </w:r>
      <w:bookmarkEnd w:id="174"/>
      <w:bookmarkEnd w:id="175"/>
    </w:p>
    <w:p>
      <w:pPr>
        <w:pStyle w:val="Heading5"/>
        <w:spacing w:before="180"/>
      </w:pPr>
      <w:bookmarkStart w:id="176" w:name="_Toc155165433"/>
      <w:bookmarkStart w:id="177" w:name="_Toc155165132"/>
      <w:r>
        <w:rPr>
          <w:rStyle w:val="CharSectno"/>
        </w:rPr>
        <w:t>76</w:t>
      </w:r>
      <w:r>
        <w:t>.</w:t>
      </w:r>
      <w:r>
        <w:tab/>
        <w:t>Minister may order local government to prepare or adopt scheme or amendment</w:t>
      </w:r>
      <w:bookmarkEnd w:id="176"/>
      <w:bookmarkEnd w:id="177"/>
    </w:p>
    <w:p>
      <w:pPr>
        <w:pStyle w:val="Subsection"/>
      </w:pPr>
      <w:r>
        <w:tab/>
        <w:t>(1A)</w:t>
      </w:r>
      <w:r>
        <w:tab/>
        <w:t xml:space="preserve">Subsection (1) applies if the Minister is satisfied on any representation that a local government — </w:t>
      </w:r>
    </w:p>
    <w:p>
      <w:pPr>
        <w:pStyle w:val="Indenta"/>
      </w:pPr>
      <w:r>
        <w:tab/>
        <w:t>(a)</w:t>
      </w:r>
      <w:r>
        <w:tab/>
        <w:t>has failed to prepare a local planning scheme, or an amendment to a local planning scheme, where one ought to be prepared; or</w:t>
      </w:r>
    </w:p>
    <w:p>
      <w:pPr>
        <w:pStyle w:val="Indenta"/>
      </w:pPr>
      <w:r>
        <w:tab/>
        <w:t>(b)</w:t>
      </w:r>
      <w:r>
        <w:tab/>
        <w:t>has failed to adopt a local planning scheme, or an amendment to a local planning scheme, where one ought to be adopted; or</w:t>
      </w:r>
    </w:p>
    <w:p>
      <w:pPr>
        <w:pStyle w:val="Indenta"/>
      </w:pPr>
      <w:r>
        <w:tab/>
        <w:t>(c)</w:t>
      </w:r>
      <w:r>
        <w:tab/>
        <w:t>has failed to take a requisite step for getting approval for a local planning scheme, or an amendment to a local planning scheme, that has been prepared or adopted by the local government where that step ought to be taken; or</w:t>
      </w:r>
    </w:p>
    <w:p>
      <w:pPr>
        <w:pStyle w:val="Indenta"/>
      </w:pPr>
      <w:r>
        <w:tab/>
        <w:t>(d)</w:t>
      </w:r>
      <w:r>
        <w:tab/>
        <w:t>without limiting paragraph (c), has failed to give effect to any decision of the Minister under section 87(2)(b).</w:t>
      </w:r>
    </w:p>
    <w:p>
      <w:pPr>
        <w:pStyle w:val="Subsection"/>
      </w:pPr>
      <w:r>
        <w:tab/>
        <w:t>(1)</w:t>
      </w:r>
      <w:r>
        <w:tab/>
        <w:t xml:space="preserve">The Minister may order the local government, within such time as is specified in the order, as the case requires — </w:t>
      </w:r>
    </w:p>
    <w:p>
      <w:pPr>
        <w:pStyle w:val="Indenta"/>
      </w:pPr>
      <w:r>
        <w:tab/>
        <w:t>(a)</w:t>
      </w:r>
      <w:r>
        <w:tab/>
        <w:t>to prepare and submit to the Minister a local planning scheme or an amendment to a local planning scheme; or</w:t>
      </w:r>
    </w:p>
    <w:p>
      <w:pPr>
        <w:pStyle w:val="Indenta"/>
      </w:pPr>
      <w:r>
        <w:tab/>
        <w:t>(b)</w:t>
      </w:r>
      <w:r>
        <w:tab/>
        <w:t>to adopt and submit to the Minister a local planning scheme or an amendment to a local planning scheme; or</w:t>
      </w:r>
    </w:p>
    <w:p>
      <w:pPr>
        <w:pStyle w:val="Indenta"/>
      </w:pPr>
      <w:r>
        <w:tab/>
        <w:t>(c)</w:t>
      </w:r>
      <w:r>
        <w:tab/>
        <w:t>to take the requisite step referred to in subsection (1A)(c); or</w:t>
      </w:r>
    </w:p>
    <w:p>
      <w:pPr>
        <w:pStyle w:val="Indenta"/>
      </w:pPr>
      <w:r>
        <w:tab/>
        <w:t>(d)</w:t>
      </w:r>
      <w:r>
        <w:tab/>
        <w:t>to give effect to the decision referred to in subsection (1A)(d).</w:t>
      </w:r>
    </w:p>
    <w:p>
      <w:pPr>
        <w:pStyle w:val="Subsection"/>
        <w:spacing w:before="120"/>
      </w:pPr>
      <w:r>
        <w:tab/>
        <w:t>(2)</w:t>
      </w:r>
      <w:r>
        <w:tab/>
        <w:t>If the representation under subsection (1A)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No. 26 of 2020 s. 44.] </w:t>
      </w:r>
    </w:p>
    <w:p>
      <w:pPr>
        <w:pStyle w:val="Heading5"/>
      </w:pPr>
      <w:bookmarkStart w:id="178" w:name="_Toc155165434"/>
      <w:bookmarkStart w:id="179" w:name="_Toc155165133"/>
      <w:r>
        <w:rPr>
          <w:rStyle w:val="CharSectno"/>
        </w:rPr>
        <w:t>77A</w:t>
      </w:r>
      <w:r>
        <w:t>.</w:t>
      </w:r>
      <w:r>
        <w:tab/>
        <w:t>Minister may order local government to amend scheme to be consistent with State planning policy</w:t>
      </w:r>
      <w:bookmarkEnd w:id="178"/>
      <w:bookmarkEnd w:id="179"/>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keepNext/>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180" w:name="_Toc155165435"/>
      <w:bookmarkStart w:id="181" w:name="_Toc155165134"/>
      <w:r>
        <w:rPr>
          <w:rStyle w:val="CharDivNo"/>
        </w:rPr>
        <w:t>Division 3</w:t>
      </w:r>
      <w:r>
        <w:t> — </w:t>
      </w:r>
      <w:r>
        <w:rPr>
          <w:rStyle w:val="CharDivText"/>
        </w:rPr>
        <w:t>Relevant considerations in preparation or amendment of local planning scheme</w:t>
      </w:r>
      <w:bookmarkEnd w:id="180"/>
      <w:bookmarkEnd w:id="181"/>
    </w:p>
    <w:p>
      <w:pPr>
        <w:pStyle w:val="Heading5"/>
        <w:spacing w:before="180"/>
      </w:pPr>
      <w:bookmarkStart w:id="182" w:name="_Toc155165436"/>
      <w:bookmarkStart w:id="183" w:name="_Toc155165135"/>
      <w:r>
        <w:rPr>
          <w:rStyle w:val="CharSectno"/>
        </w:rPr>
        <w:t>77</w:t>
      </w:r>
      <w:r>
        <w:t>.</w:t>
      </w:r>
      <w:r>
        <w:tab/>
        <w:t>State planning policies, effect of on scheme</w:t>
      </w:r>
      <w:bookmarkEnd w:id="182"/>
      <w:bookmarkEnd w:id="183"/>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184" w:name="_Toc155165437"/>
      <w:bookmarkStart w:id="185" w:name="_Toc155165136"/>
      <w:r>
        <w:rPr>
          <w:rStyle w:val="CharSectno"/>
        </w:rPr>
        <w:t>79</w:t>
      </w:r>
      <w:r>
        <w:t>.</w:t>
      </w:r>
      <w:r>
        <w:tab/>
        <w:t>Heritage Council’s advice to be sought in some cases</w:t>
      </w:r>
      <w:bookmarkEnd w:id="184"/>
      <w:bookmarkEnd w:id="185"/>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186" w:name="_Toc155165438"/>
      <w:bookmarkStart w:id="187" w:name="_Toc155165137"/>
      <w:r>
        <w:rPr>
          <w:rStyle w:val="CharSectno"/>
        </w:rPr>
        <w:t>80</w:t>
      </w:r>
      <w:r>
        <w:t>.</w:t>
      </w:r>
      <w:r>
        <w:tab/>
        <w:t>Swan and Canning Rivers management programme, effect of</w:t>
      </w:r>
      <w:bookmarkEnd w:id="186"/>
      <w:bookmarkEnd w:id="187"/>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188" w:name="_Toc155165439"/>
      <w:bookmarkStart w:id="189" w:name="_Toc155165138"/>
      <w:r>
        <w:rPr>
          <w:rStyle w:val="CharSectno"/>
        </w:rPr>
        <w:t>81</w:t>
      </w:r>
      <w:r>
        <w:t>.</w:t>
      </w:r>
      <w:r>
        <w:tab/>
        <w:t>Referral of proposed scheme or amendment to EPA</w:t>
      </w:r>
      <w:bookmarkEnd w:id="188"/>
      <w:bookmarkEnd w:id="189"/>
    </w:p>
    <w:p>
      <w:pPr>
        <w:pStyle w:val="Subsection"/>
      </w:pPr>
      <w:r>
        <w:tab/>
        <w:t>(1)</w:t>
      </w:r>
      <w:r>
        <w:tab/>
        <w:t xml:space="preserve">As soon as practicable after preparing, or resolving to adopt, a proposed local planning scheme or a proposed amendment to a local planning scheme, a local government must refer the proposed scheme or amendment to the EPA by giving to the EPA — </w:t>
      </w:r>
    </w:p>
    <w:p>
      <w:pPr>
        <w:pStyle w:val="Indenta"/>
      </w:pPr>
      <w:r>
        <w:tab/>
        <w:t>(a)</w:t>
      </w:r>
      <w:r>
        <w:tab/>
        <w:t>a copy of the proposed scheme or amendment; and</w:t>
      </w:r>
    </w:p>
    <w:p>
      <w:pPr>
        <w:pStyle w:val="Indenta"/>
      </w:pPr>
      <w:r>
        <w:tab/>
        <w:t>(b)</w:t>
      </w:r>
      <w:r>
        <w:tab/>
        <w:t>any other written information about the proposed scheme or amendment that is necessary to enable the EPA to comply with the EP Act section 48A in relation to the proposed scheme or amendment.</w:t>
      </w:r>
    </w:p>
    <w:p>
      <w:pPr>
        <w:pStyle w:val="Subsection"/>
      </w:pPr>
      <w:r>
        <w:tab/>
        <w:t>(2)</w:t>
      </w:r>
      <w:r>
        <w:tab/>
        <w:t>Despite subsection (1), a proposed local planning scheme or amendment to a local planning scheme of a class prescribed by regulations under the EP Act section 48AAA(2) is not required to be referred to the EPA.</w:t>
      </w:r>
    </w:p>
    <w:p>
      <w:pPr>
        <w:pStyle w:val="Footnotesection"/>
      </w:pPr>
      <w:r>
        <w:tab/>
        <w:t>[Section 81 inserted: No. 26 of 2020 s. 45.]</w:t>
      </w:r>
    </w:p>
    <w:p>
      <w:pPr>
        <w:pStyle w:val="Heading5"/>
        <w:spacing w:before="180"/>
      </w:pPr>
      <w:bookmarkStart w:id="190" w:name="_Toc155165440"/>
      <w:bookmarkStart w:id="191" w:name="_Toc155165139"/>
      <w:r>
        <w:rPr>
          <w:rStyle w:val="CharSectno"/>
        </w:rPr>
        <w:t>82</w:t>
      </w:r>
      <w:r>
        <w:t>.</w:t>
      </w:r>
      <w:r>
        <w:tab/>
        <w:t>Environmental review, when required etc.</w:t>
      </w:r>
      <w:bookmarkEnd w:id="190"/>
      <w:bookmarkEnd w:id="191"/>
    </w:p>
    <w:p>
      <w:pPr>
        <w:pStyle w:val="Subsection"/>
      </w:pPr>
      <w:r>
        <w:tab/>
        <w:t>(1)</w:t>
      </w:r>
      <w:r>
        <w:tab/>
        <w:t>When the EPA has acted under section 48C(1)(a) of the EP Act in relation to a proposed local planning scheme or a proposed amendment to a local planning scheme referred to the EPA under section 81,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keepLines/>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Footnotesection"/>
      </w:pPr>
      <w:r>
        <w:tab/>
        <w:t>[Section 82 amended: No. 26 of 2020 s. 46.]</w:t>
      </w:r>
    </w:p>
    <w:p>
      <w:pPr>
        <w:pStyle w:val="Heading5"/>
        <w:spacing w:before="180"/>
      </w:pPr>
      <w:bookmarkStart w:id="192" w:name="_Toc155165441"/>
      <w:bookmarkStart w:id="193" w:name="_Toc155165140"/>
      <w:r>
        <w:rPr>
          <w:rStyle w:val="CharSectno"/>
        </w:rPr>
        <w:t>83</w:t>
      </w:r>
      <w:r>
        <w:t>.</w:t>
      </w:r>
      <w:r>
        <w:tab/>
        <w:t>Consultation requirements</w:t>
      </w:r>
      <w:bookmarkEnd w:id="192"/>
      <w:bookmarkEnd w:id="193"/>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94" w:name="_Toc155165442"/>
      <w:bookmarkStart w:id="195" w:name="_Toc155165141"/>
      <w:r>
        <w:rPr>
          <w:rStyle w:val="CharDivNo"/>
        </w:rPr>
        <w:t>Division 4</w:t>
      </w:r>
      <w:r>
        <w:t> — </w:t>
      </w:r>
      <w:r>
        <w:rPr>
          <w:rStyle w:val="CharDivText"/>
        </w:rPr>
        <w:t>Advertisement and approval</w:t>
      </w:r>
      <w:bookmarkEnd w:id="194"/>
      <w:bookmarkEnd w:id="195"/>
    </w:p>
    <w:p>
      <w:pPr>
        <w:pStyle w:val="Heading5"/>
      </w:pPr>
      <w:bookmarkStart w:id="196" w:name="_Toc155165443"/>
      <w:bookmarkStart w:id="197" w:name="_Toc155165142"/>
      <w:r>
        <w:rPr>
          <w:rStyle w:val="CharSectno"/>
        </w:rPr>
        <w:t>83A</w:t>
      </w:r>
      <w:r>
        <w:t>.</w:t>
      </w:r>
      <w:r>
        <w:tab/>
        <w:t>Proposed scheme or amendment to be submitted to Minister for approval to advertise</w:t>
      </w:r>
      <w:bookmarkEnd w:id="196"/>
      <w:bookmarkEnd w:id="197"/>
    </w:p>
    <w:p>
      <w:pPr>
        <w:pStyle w:val="Subsection"/>
      </w:pPr>
      <w:r>
        <w:tab/>
        <w:t>(1)</w:t>
      </w:r>
      <w:r>
        <w:tab/>
        <w:t>After preparing, or resolving to adopt, a proposed local planning scheme or a proposed amendment to a local planning scheme, and complying with sections 81 and 82 (if applicable) in relation to the proposed scheme or amendment, a local government must submit the proposed scheme or amendment to the Minister.</w:t>
      </w:r>
    </w:p>
    <w:p>
      <w:pPr>
        <w:pStyle w:val="Subsection"/>
      </w:pPr>
      <w:r>
        <w:tab/>
        <w:t>(2)</w:t>
      </w:r>
      <w:r>
        <w:tab/>
        <w:t xml:space="preserve">The Minister may — </w:t>
      </w:r>
    </w:p>
    <w:p>
      <w:pPr>
        <w:pStyle w:val="Indenta"/>
      </w:pPr>
      <w:r>
        <w:tab/>
        <w:t>(a)</w:t>
      </w:r>
      <w:r>
        <w:tab/>
        <w:t>approve the proposed scheme or amendment for advertising under section 84; or</w:t>
      </w:r>
    </w:p>
    <w:p>
      <w:pPr>
        <w:pStyle w:val="Indenta"/>
      </w:pPr>
      <w:r>
        <w:tab/>
        <w:t>(b)</w:t>
      </w:r>
      <w:r>
        <w:tab/>
        <w:t>require the local government to modify the proposed scheme or amendment in such manner as the Minister specifies and to resubmit the proposed scheme or amendment to the Minister under subsection (1); or</w:t>
      </w:r>
    </w:p>
    <w:p>
      <w:pPr>
        <w:pStyle w:val="Indenta"/>
      </w:pPr>
      <w:r>
        <w:tab/>
        <w:t>(c)</w:t>
      </w:r>
      <w:r>
        <w:tab/>
        <w:t>refuse approval for the proposed scheme or amendment to be advertised under section 84.</w:t>
      </w:r>
    </w:p>
    <w:p>
      <w:pPr>
        <w:pStyle w:val="Subsection"/>
      </w:pPr>
      <w:r>
        <w:tab/>
        <w:t>(3)</w:t>
      </w:r>
      <w:r>
        <w:tab/>
        <w:t>A requirement under subsection (2)(b) may include a requirement that sections 81 and 82 (if applicable) be complied with again in relation to the modified scheme or amendment.</w:t>
      </w:r>
    </w:p>
    <w:p>
      <w:pPr>
        <w:pStyle w:val="Subsection"/>
      </w:pPr>
      <w:r>
        <w:tab/>
        <w:t>(4)</w:t>
      </w:r>
      <w:r>
        <w:tab/>
        <w:t>If approval is refused under subsection (2)(c), the local government cannot proceed with the proposed scheme or amendment.</w:t>
      </w:r>
    </w:p>
    <w:p>
      <w:pPr>
        <w:pStyle w:val="Footnotesection"/>
      </w:pPr>
      <w:r>
        <w:tab/>
        <w:t>[Section 83A inserted: No. 26 of 2020 s. 47.]</w:t>
      </w:r>
    </w:p>
    <w:p>
      <w:pPr>
        <w:pStyle w:val="Heading5"/>
      </w:pPr>
      <w:bookmarkStart w:id="198" w:name="_Toc155165444"/>
      <w:bookmarkStart w:id="199" w:name="_Toc155165143"/>
      <w:r>
        <w:rPr>
          <w:rStyle w:val="CharSectno"/>
        </w:rPr>
        <w:t>84</w:t>
      </w:r>
      <w:r>
        <w:t>.</w:t>
      </w:r>
      <w:r>
        <w:tab/>
        <w:t>Advertising proposed scheme or amendment</w:t>
      </w:r>
      <w:bookmarkEnd w:id="198"/>
      <w:bookmarkEnd w:id="199"/>
    </w:p>
    <w:p>
      <w:pPr>
        <w:pStyle w:val="Subsection"/>
      </w:pPr>
      <w:r>
        <w:tab/>
      </w:r>
      <w:r>
        <w:tab/>
        <w:t xml:space="preserve">If under section 83A(2)(a) the Minister approves a proposed local planning scheme, or a proposed amendment to a local planning scheme, for advertising under this section, the local government must, in accordance with the regulations — </w:t>
      </w:r>
    </w:p>
    <w:p>
      <w:pPr>
        <w:pStyle w:val="Indenta"/>
      </w:pPr>
      <w:r>
        <w:tab/>
        <w:t>(a)</w:t>
      </w:r>
      <w:r>
        <w:tab/>
        <w:t>advertise the proposed scheme or amendment for public inspection; and</w:t>
      </w:r>
    </w:p>
    <w:p>
      <w:pPr>
        <w:pStyle w:val="Indenta"/>
      </w:pPr>
      <w:r>
        <w:tab/>
        <w:t>(b)</w:t>
      </w:r>
      <w:r>
        <w:tab/>
        <w:t>consider public submissions on the proposed scheme or amendment.</w:t>
      </w:r>
    </w:p>
    <w:p>
      <w:pPr>
        <w:pStyle w:val="Footnotesection"/>
      </w:pPr>
      <w:r>
        <w:tab/>
        <w:t>[Section 84 inserted: No. 26 of 2020 s. 47.]</w:t>
      </w:r>
    </w:p>
    <w:p>
      <w:pPr>
        <w:pStyle w:val="Heading5"/>
        <w:keepNext w:val="0"/>
        <w:keepLines w:val="0"/>
        <w:spacing w:before="180"/>
      </w:pPr>
      <w:bookmarkStart w:id="200" w:name="_Toc155165445"/>
      <w:bookmarkStart w:id="201" w:name="_Toc155165144"/>
      <w:r>
        <w:rPr>
          <w:rStyle w:val="CharSectno"/>
        </w:rPr>
        <w:t>85</w:t>
      </w:r>
      <w:r>
        <w:t>.</w:t>
      </w:r>
      <w:r>
        <w:tab/>
        <w:t>Local government’s duties if proposed scheme or amendment to be assessed under EP Act</w:t>
      </w:r>
      <w:bookmarkEnd w:id="200"/>
      <w:bookmarkEnd w:id="201"/>
    </w:p>
    <w:p>
      <w:pPr>
        <w:pStyle w:val="Subsection"/>
        <w:widowControl w:val="0"/>
        <w:spacing w:before="120"/>
      </w:pPr>
      <w:r>
        <w:tab/>
        <w:t>(1)</w:t>
      </w:r>
      <w:r>
        <w:tab/>
        <w:t xml:space="preserve">When a local government has been informed under section 48A(1)(b)(i) of the EP Act that a proposed local planning scheme or amendment referred to the EPA under section 81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Footnotesection"/>
      </w:pPr>
      <w:r>
        <w:tab/>
        <w:t>[Section 85 amended: No. 26 of 2020 s. 48.]</w:t>
      </w:r>
    </w:p>
    <w:p>
      <w:pPr>
        <w:pStyle w:val="Heading5"/>
        <w:spacing w:before="160"/>
      </w:pPr>
      <w:bookmarkStart w:id="202" w:name="_Toc155165446"/>
      <w:bookmarkStart w:id="203" w:name="_Toc155165145"/>
      <w:r>
        <w:rPr>
          <w:rStyle w:val="CharSectno"/>
        </w:rPr>
        <w:t>86</w:t>
      </w:r>
      <w:r>
        <w:t>.</w:t>
      </w:r>
      <w:r>
        <w:tab/>
        <w:t>Minister not to approve proposed scheme or amendment in some cases</w:t>
      </w:r>
      <w:bookmarkEnd w:id="202"/>
      <w:bookmarkEnd w:id="203"/>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204" w:name="_Toc155165447"/>
      <w:bookmarkStart w:id="205" w:name="_Toc155165146"/>
      <w:r>
        <w:rPr>
          <w:rStyle w:val="CharSectno"/>
        </w:rPr>
        <w:t>87</w:t>
      </w:r>
      <w:r>
        <w:t>.</w:t>
      </w:r>
      <w:r>
        <w:tab/>
        <w:t>Approving and publicising scheme or amendment</w:t>
      </w:r>
      <w:bookmarkEnd w:id="204"/>
      <w:bookmarkEnd w:id="205"/>
    </w:p>
    <w:p>
      <w:pPr>
        <w:pStyle w:val="Subsection"/>
      </w:pPr>
      <w:r>
        <w:tab/>
        <w:t>(1)</w:t>
      </w:r>
      <w:r>
        <w:tab/>
        <w:t>Subject to section 83, after advertisement under section 84 and compliance with sections 85 and 86 (if applicable),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No. 26 of 2020 s. 49.] </w:t>
      </w:r>
    </w:p>
    <w:p>
      <w:pPr>
        <w:pStyle w:val="Heading3"/>
      </w:pPr>
      <w:bookmarkStart w:id="206" w:name="_Toc155165448"/>
      <w:bookmarkStart w:id="207" w:name="_Toc155165147"/>
      <w:r>
        <w:rPr>
          <w:rStyle w:val="CharDivNo"/>
        </w:rPr>
        <w:t>Division 5</w:t>
      </w:r>
      <w:r>
        <w:t> — </w:t>
      </w:r>
      <w:r>
        <w:rPr>
          <w:rStyle w:val="CharDivText"/>
        </w:rPr>
        <w:t>Review of local planning schemes</w:t>
      </w:r>
      <w:bookmarkEnd w:id="206"/>
      <w:bookmarkEnd w:id="207"/>
    </w:p>
    <w:p>
      <w:pPr>
        <w:pStyle w:val="Heading5"/>
      </w:pPr>
      <w:bookmarkStart w:id="208" w:name="_Toc155165449"/>
      <w:bookmarkStart w:id="209" w:name="_Toc155165148"/>
      <w:r>
        <w:rPr>
          <w:rStyle w:val="CharSectno"/>
        </w:rPr>
        <w:t>88</w:t>
      </w:r>
      <w:r>
        <w:t>.</w:t>
      </w:r>
      <w:r>
        <w:tab/>
        <w:t>Consolidated scheme, when to be prepared</w:t>
      </w:r>
      <w:bookmarkEnd w:id="208"/>
      <w:bookmarkEnd w:id="209"/>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210" w:name="_Toc155165450"/>
      <w:bookmarkStart w:id="211" w:name="_Toc155165149"/>
      <w:r>
        <w:rPr>
          <w:rStyle w:val="CharSectno"/>
        </w:rPr>
        <w:t>89</w:t>
      </w:r>
      <w:r>
        <w:t>.</w:t>
      </w:r>
      <w:r>
        <w:tab/>
        <w:t>Consolidated scheme, public submissions to be sought on</w:t>
      </w:r>
      <w:bookmarkEnd w:id="210"/>
      <w:bookmarkEnd w:id="211"/>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212" w:name="_Toc155165451"/>
      <w:bookmarkStart w:id="213" w:name="_Toc155165150"/>
      <w:r>
        <w:rPr>
          <w:rStyle w:val="CharSectno"/>
        </w:rPr>
        <w:t>90</w:t>
      </w:r>
      <w:r>
        <w:t>.</w:t>
      </w:r>
      <w:r>
        <w:tab/>
        <w:t>Consolidated scheme, report on operation of required</w:t>
      </w:r>
      <w:bookmarkEnd w:id="212"/>
      <w:bookmarkEnd w:id="213"/>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214" w:name="_Toc155165452"/>
      <w:bookmarkStart w:id="215" w:name="_Toc155165151"/>
      <w:r>
        <w:rPr>
          <w:rStyle w:val="CharSectno"/>
        </w:rPr>
        <w:t>91</w:t>
      </w:r>
      <w:r>
        <w:t>.</w:t>
      </w:r>
      <w:r>
        <w:tab/>
        <w:t>Procedure if s. 90 report does not recommend change to scheme</w:t>
      </w:r>
      <w:bookmarkEnd w:id="214"/>
      <w:bookmarkEnd w:id="215"/>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216" w:name="_Toc155165453"/>
      <w:bookmarkStart w:id="217" w:name="_Toc155165152"/>
      <w:r>
        <w:rPr>
          <w:rStyle w:val="CharSectno"/>
        </w:rPr>
        <w:t>92</w:t>
      </w:r>
      <w:r>
        <w:t>.</w:t>
      </w:r>
      <w:r>
        <w:tab/>
        <w:t>Procedure if s. 90 report recommends change to scheme</w:t>
      </w:r>
      <w:bookmarkEnd w:id="216"/>
      <w:bookmarkEnd w:id="217"/>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218" w:name="_Toc155165454"/>
      <w:bookmarkStart w:id="219" w:name="_Toc155165153"/>
      <w:r>
        <w:rPr>
          <w:rStyle w:val="CharSectno"/>
        </w:rPr>
        <w:t>93</w:t>
      </w:r>
      <w:r>
        <w:t>.</w:t>
      </w:r>
      <w:r>
        <w:tab/>
        <w:t>Consolidated scheme, effect of publication of</w:t>
      </w:r>
      <w:bookmarkEnd w:id="218"/>
      <w:bookmarkEnd w:id="21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220" w:name="_Toc155165455"/>
      <w:bookmarkStart w:id="221" w:name="_Toc155165154"/>
      <w:r>
        <w:rPr>
          <w:rStyle w:val="CharSectno"/>
        </w:rPr>
        <w:t>94</w:t>
      </w:r>
      <w:r>
        <w:t>.</w:t>
      </w:r>
      <w:r>
        <w:tab/>
        <w:t>Procedure if new scheme prepared following s. 90 report</w:t>
      </w:r>
      <w:bookmarkEnd w:id="220"/>
      <w:bookmarkEnd w:id="221"/>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222" w:name="_Toc155165456"/>
      <w:bookmarkStart w:id="223" w:name="_Toc155165155"/>
      <w:r>
        <w:rPr>
          <w:rStyle w:val="CharSectno"/>
        </w:rPr>
        <w:t>95</w:t>
      </w:r>
      <w:r>
        <w:t>.</w:t>
      </w:r>
      <w:r>
        <w:tab/>
        <w:t>Procedure if scheme repealed following s. 90 report</w:t>
      </w:r>
      <w:bookmarkEnd w:id="222"/>
      <w:bookmarkEnd w:id="223"/>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224" w:name="_Toc155165457"/>
      <w:bookmarkStart w:id="225" w:name="_Toc155165156"/>
      <w:r>
        <w:rPr>
          <w:rStyle w:val="CharSectno"/>
        </w:rPr>
        <w:t>96</w:t>
      </w:r>
      <w:r>
        <w:t>.</w:t>
      </w:r>
      <w:r>
        <w:tab/>
        <w:t>Consolidation of 2 or more schemes, when this Div. applies to</w:t>
      </w:r>
      <w:bookmarkEnd w:id="224"/>
      <w:bookmarkEnd w:id="225"/>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226" w:name="_Toc155165458"/>
      <w:bookmarkStart w:id="227" w:name="_Toc155165157"/>
      <w:r>
        <w:rPr>
          <w:rStyle w:val="CharDivNo"/>
        </w:rPr>
        <w:t>Division 6</w:t>
      </w:r>
      <w:r>
        <w:t> — </w:t>
      </w:r>
      <w:r>
        <w:rPr>
          <w:rStyle w:val="CharDivText"/>
        </w:rPr>
        <w:t>Crown land</w:t>
      </w:r>
      <w:bookmarkEnd w:id="226"/>
      <w:bookmarkEnd w:id="227"/>
    </w:p>
    <w:p>
      <w:pPr>
        <w:pStyle w:val="Heading5"/>
        <w:spacing w:before="180"/>
      </w:pPr>
      <w:bookmarkStart w:id="228" w:name="_Toc155165459"/>
      <w:bookmarkStart w:id="229" w:name="_Toc155165158"/>
      <w:r>
        <w:rPr>
          <w:rStyle w:val="CharSectno"/>
        </w:rPr>
        <w:t>97</w:t>
      </w:r>
      <w:r>
        <w:t>.</w:t>
      </w:r>
      <w:r>
        <w:tab/>
        <w:t>Schemes for Crown lands</w:t>
      </w:r>
      <w:bookmarkEnd w:id="228"/>
      <w:bookmarkEnd w:id="229"/>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230" w:name="_Toc155165460"/>
      <w:bookmarkStart w:id="231" w:name="_Toc155165159"/>
      <w:r>
        <w:rPr>
          <w:rStyle w:val="CharPartNo"/>
        </w:rPr>
        <w:t>Part 6</w:t>
      </w:r>
      <w:r>
        <w:t> — </w:t>
      </w:r>
      <w:r>
        <w:rPr>
          <w:rStyle w:val="CharPartText"/>
        </w:rPr>
        <w:t>Interim development orders</w:t>
      </w:r>
      <w:bookmarkEnd w:id="230"/>
      <w:bookmarkEnd w:id="231"/>
    </w:p>
    <w:p>
      <w:pPr>
        <w:pStyle w:val="Heading3"/>
      </w:pPr>
      <w:bookmarkStart w:id="232" w:name="_Toc155165461"/>
      <w:bookmarkStart w:id="233" w:name="_Toc155165160"/>
      <w:r>
        <w:rPr>
          <w:rStyle w:val="CharDivNo"/>
        </w:rPr>
        <w:t>Division 1</w:t>
      </w:r>
      <w:r>
        <w:t> — </w:t>
      </w:r>
      <w:r>
        <w:rPr>
          <w:rStyle w:val="CharDivText"/>
        </w:rPr>
        <w:t>Regional interim development orders</w:t>
      </w:r>
      <w:bookmarkEnd w:id="232"/>
      <w:bookmarkEnd w:id="233"/>
    </w:p>
    <w:p>
      <w:pPr>
        <w:pStyle w:val="Heading5"/>
      </w:pPr>
      <w:bookmarkStart w:id="234" w:name="_Toc155165462"/>
      <w:bookmarkStart w:id="235" w:name="_Toc155165161"/>
      <w:r>
        <w:rPr>
          <w:rStyle w:val="CharSectno"/>
        </w:rPr>
        <w:t>98</w:t>
      </w:r>
      <w:r>
        <w:t>.</w:t>
      </w:r>
      <w:r>
        <w:tab/>
        <w:t>Making and purpose of order</w:t>
      </w:r>
      <w:bookmarkEnd w:id="234"/>
      <w:bookmarkEnd w:id="235"/>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236" w:name="_Toc155165463"/>
      <w:bookmarkStart w:id="237" w:name="_Toc155165162"/>
      <w:r>
        <w:rPr>
          <w:rStyle w:val="CharSectno"/>
        </w:rPr>
        <w:t>99</w:t>
      </w:r>
      <w:r>
        <w:t>.</w:t>
      </w:r>
      <w:r>
        <w:tab/>
        <w:t>Contents of order</w:t>
      </w:r>
      <w:bookmarkEnd w:id="236"/>
      <w:bookmarkEnd w:id="237"/>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238" w:name="_Toc155165464"/>
      <w:bookmarkStart w:id="239" w:name="_Toc155165163"/>
      <w:r>
        <w:rPr>
          <w:rStyle w:val="CharSectno"/>
        </w:rPr>
        <w:t>100</w:t>
      </w:r>
      <w:r>
        <w:t>.</w:t>
      </w:r>
      <w:r>
        <w:tab/>
        <w:t>Commission to consult local government on some development applications</w:t>
      </w:r>
      <w:bookmarkEnd w:id="238"/>
      <w:bookmarkEnd w:id="23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240" w:name="_Toc155165465"/>
      <w:bookmarkStart w:id="241" w:name="_Toc155165164"/>
      <w:r>
        <w:rPr>
          <w:rStyle w:val="CharSectno"/>
        </w:rPr>
        <w:t>101</w:t>
      </w:r>
      <w:r>
        <w:t>.</w:t>
      </w:r>
      <w:r>
        <w:tab/>
        <w:t>Restrictions on power to grant development approval</w:t>
      </w:r>
      <w:bookmarkEnd w:id="240"/>
      <w:bookmarkEnd w:id="241"/>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242" w:name="_Toc155165466"/>
      <w:bookmarkStart w:id="243" w:name="_Toc155165165"/>
      <w:r>
        <w:rPr>
          <w:rStyle w:val="CharDivNo"/>
        </w:rPr>
        <w:t>Division 2</w:t>
      </w:r>
      <w:r>
        <w:t> — </w:t>
      </w:r>
      <w:r>
        <w:rPr>
          <w:rStyle w:val="CharDivText"/>
        </w:rPr>
        <w:t>Local interim development orders</w:t>
      </w:r>
      <w:bookmarkEnd w:id="242"/>
      <w:bookmarkEnd w:id="243"/>
    </w:p>
    <w:p>
      <w:pPr>
        <w:pStyle w:val="Heading5"/>
      </w:pPr>
      <w:bookmarkStart w:id="244" w:name="_Toc155165467"/>
      <w:bookmarkStart w:id="245" w:name="_Toc155165166"/>
      <w:r>
        <w:rPr>
          <w:rStyle w:val="CharSectno"/>
        </w:rPr>
        <w:t>102</w:t>
      </w:r>
      <w:r>
        <w:t>.</w:t>
      </w:r>
      <w:r>
        <w:tab/>
        <w:t>Making and purpose of order</w:t>
      </w:r>
      <w:bookmarkEnd w:id="244"/>
      <w:bookmarkEnd w:id="245"/>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246" w:name="_Toc155165468"/>
      <w:bookmarkStart w:id="247" w:name="_Toc155165167"/>
      <w:r>
        <w:rPr>
          <w:rStyle w:val="CharSectno"/>
        </w:rPr>
        <w:t>103</w:t>
      </w:r>
      <w:r>
        <w:t>.</w:t>
      </w:r>
      <w:r>
        <w:tab/>
        <w:t>Contents of order</w:t>
      </w:r>
      <w:bookmarkEnd w:id="246"/>
      <w:bookmarkEnd w:id="247"/>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keepNext/>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248" w:name="_Toc155165469"/>
      <w:bookmarkStart w:id="249" w:name="_Toc155165168"/>
      <w:r>
        <w:rPr>
          <w:rStyle w:val="CharDivNo"/>
        </w:rPr>
        <w:t>Division 3</w:t>
      </w:r>
      <w:r>
        <w:t> — </w:t>
      </w:r>
      <w:r>
        <w:rPr>
          <w:rStyle w:val="CharDivText"/>
        </w:rPr>
        <w:t>Provisions applying to regional and local interim development orders</w:t>
      </w:r>
      <w:bookmarkEnd w:id="248"/>
      <w:bookmarkEnd w:id="249"/>
    </w:p>
    <w:p>
      <w:pPr>
        <w:pStyle w:val="Heading5"/>
      </w:pPr>
      <w:bookmarkStart w:id="250" w:name="_Toc155165470"/>
      <w:bookmarkStart w:id="251" w:name="_Toc155165169"/>
      <w:r>
        <w:rPr>
          <w:rStyle w:val="CharSectno"/>
        </w:rPr>
        <w:t>104</w:t>
      </w:r>
      <w:r>
        <w:t>.</w:t>
      </w:r>
      <w:r>
        <w:tab/>
        <w:t>Consultation requirements</w:t>
      </w:r>
      <w:bookmarkEnd w:id="250"/>
      <w:bookmarkEnd w:id="251"/>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252" w:name="_Toc155165471"/>
      <w:bookmarkStart w:id="253" w:name="_Toc155165170"/>
      <w:r>
        <w:rPr>
          <w:rStyle w:val="CharSectno"/>
        </w:rPr>
        <w:t>105</w:t>
      </w:r>
      <w:r>
        <w:t>.</w:t>
      </w:r>
      <w:r>
        <w:tab/>
        <w:t>Publicising interim development order</w:t>
      </w:r>
      <w:bookmarkEnd w:id="252"/>
      <w:bookmarkEnd w:id="253"/>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254" w:name="_Toc155165472"/>
      <w:bookmarkStart w:id="255" w:name="_Toc155165171"/>
      <w:r>
        <w:rPr>
          <w:rStyle w:val="CharSectno"/>
        </w:rPr>
        <w:t>106</w:t>
      </w:r>
      <w:r>
        <w:t>.</w:t>
      </w:r>
      <w:r>
        <w:tab/>
        <w:t>Administration of interim development order</w:t>
      </w:r>
      <w:bookmarkEnd w:id="254"/>
      <w:bookmarkEnd w:id="255"/>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256" w:name="_Toc155165473"/>
      <w:bookmarkStart w:id="257" w:name="_Toc155165172"/>
      <w:r>
        <w:rPr>
          <w:rStyle w:val="CharSectno"/>
        </w:rPr>
        <w:t>107</w:t>
      </w:r>
      <w:r>
        <w:t>.</w:t>
      </w:r>
      <w:r>
        <w:tab/>
        <w:t>Effect and duration of interim development order</w:t>
      </w:r>
      <w:bookmarkEnd w:id="256"/>
      <w:bookmarkEnd w:id="257"/>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258" w:name="_Toc155165474"/>
      <w:bookmarkStart w:id="259" w:name="_Toc155165173"/>
      <w:r>
        <w:rPr>
          <w:rStyle w:val="CharSectno"/>
        </w:rPr>
        <w:t>108</w:t>
      </w:r>
      <w:r>
        <w:t>.</w:t>
      </w:r>
      <w:r>
        <w:tab/>
        <w:t>Existing lawful development not affected</w:t>
      </w:r>
      <w:bookmarkEnd w:id="258"/>
      <w:bookmarkEnd w:id="25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260" w:name="_Toc155165475"/>
      <w:bookmarkStart w:id="261" w:name="_Toc155165174"/>
      <w:r>
        <w:rPr>
          <w:rStyle w:val="CharSectno"/>
        </w:rPr>
        <w:t>109</w:t>
      </w:r>
      <w:r>
        <w:t>.</w:t>
      </w:r>
      <w:r>
        <w:tab/>
        <w:t>Amending interim development order</w:t>
      </w:r>
      <w:bookmarkEnd w:id="260"/>
      <w:bookmarkEnd w:id="261"/>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262" w:name="_Toc155165476"/>
      <w:bookmarkStart w:id="263" w:name="_Toc155165175"/>
      <w:r>
        <w:rPr>
          <w:rStyle w:val="CharSectno"/>
        </w:rPr>
        <w:t>110</w:t>
      </w:r>
      <w:r>
        <w:t>.</w:t>
      </w:r>
      <w:r>
        <w:tab/>
        <w:t>Revoking interim development order</w:t>
      </w:r>
      <w:bookmarkEnd w:id="262"/>
      <w:bookmarkEnd w:id="263"/>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264" w:name="_Toc155165477"/>
      <w:bookmarkStart w:id="265" w:name="_Toc155165176"/>
      <w:r>
        <w:rPr>
          <w:rStyle w:val="CharSectno"/>
        </w:rPr>
        <w:t>111</w:t>
      </w:r>
      <w:r>
        <w:t>.</w:t>
      </w:r>
      <w:r>
        <w:tab/>
        <w:t>Non</w:t>
      </w:r>
      <w:r>
        <w:noBreakHyphen/>
        <w:t>conforming development by local government or public authority, procedure for</w:t>
      </w:r>
      <w:bookmarkEnd w:id="264"/>
      <w:bookmarkEnd w:id="265"/>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266" w:name="_Toc155165478"/>
      <w:bookmarkStart w:id="267" w:name="_Toc155165177"/>
      <w:r>
        <w:rPr>
          <w:rStyle w:val="CharPartNo"/>
        </w:rPr>
        <w:t>Part 7</w:t>
      </w:r>
      <w:r>
        <w:rPr>
          <w:rStyle w:val="CharDivNo"/>
        </w:rPr>
        <w:t> </w:t>
      </w:r>
      <w:r>
        <w:t>—</w:t>
      </w:r>
      <w:r>
        <w:rPr>
          <w:rStyle w:val="CharDivText"/>
        </w:rPr>
        <w:t> </w:t>
      </w:r>
      <w:r>
        <w:rPr>
          <w:rStyle w:val="CharPartText"/>
        </w:rPr>
        <w:t>Planning control areas</w:t>
      </w:r>
      <w:bookmarkEnd w:id="266"/>
      <w:bookmarkEnd w:id="267"/>
    </w:p>
    <w:p>
      <w:pPr>
        <w:pStyle w:val="Heading5"/>
      </w:pPr>
      <w:bookmarkStart w:id="268" w:name="_Toc155165479"/>
      <w:bookmarkStart w:id="269" w:name="_Toc155165178"/>
      <w:r>
        <w:rPr>
          <w:rStyle w:val="CharSectno"/>
        </w:rPr>
        <w:t>112</w:t>
      </w:r>
      <w:r>
        <w:t>.</w:t>
      </w:r>
      <w:r>
        <w:tab/>
        <w:t>Declaration of planning control areas</w:t>
      </w:r>
      <w:bookmarkEnd w:id="268"/>
      <w:bookmarkEnd w:id="269"/>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keepNext/>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 No. 45 of 2020 s. 71.]</w:t>
      </w:r>
    </w:p>
    <w:p>
      <w:pPr>
        <w:pStyle w:val="Heading5"/>
      </w:pPr>
      <w:bookmarkStart w:id="270" w:name="_Toc155165480"/>
      <w:bookmarkStart w:id="271" w:name="_Toc155165179"/>
      <w:r>
        <w:rPr>
          <w:rStyle w:val="CharSectno"/>
        </w:rPr>
        <w:t>113</w:t>
      </w:r>
      <w:r>
        <w:t>.</w:t>
      </w:r>
      <w:r>
        <w:tab/>
        <w:t>Amending or revoking s. 112 declaration</w:t>
      </w:r>
      <w:bookmarkEnd w:id="270"/>
      <w:bookmarkEnd w:id="271"/>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272" w:name="_Toc155165481"/>
      <w:bookmarkStart w:id="273" w:name="_Toc155165180"/>
      <w:r>
        <w:rPr>
          <w:rStyle w:val="CharSectno"/>
        </w:rPr>
        <w:t>114</w:t>
      </w:r>
      <w:r>
        <w:t>.</w:t>
      </w:r>
      <w:r>
        <w:tab/>
        <w:t>Duration of s. 112 declaration</w:t>
      </w:r>
      <w:bookmarkEnd w:id="272"/>
      <w:bookmarkEnd w:id="273"/>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274" w:name="_Toc155165482"/>
      <w:bookmarkStart w:id="275" w:name="_Toc155165181"/>
      <w:r>
        <w:rPr>
          <w:rStyle w:val="CharSectno"/>
        </w:rPr>
        <w:t>115</w:t>
      </w:r>
      <w:r>
        <w:t>.</w:t>
      </w:r>
      <w:r>
        <w:tab/>
        <w:t>Development in planning control area, applying for approval of</w:t>
      </w:r>
      <w:bookmarkEnd w:id="274"/>
      <w:bookmarkEnd w:id="275"/>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276" w:name="_Toc155165483"/>
      <w:bookmarkStart w:id="277" w:name="_Toc155165182"/>
      <w:r>
        <w:rPr>
          <w:rStyle w:val="CharSectno"/>
        </w:rPr>
        <w:t>116</w:t>
      </w:r>
      <w:r>
        <w:t>.</w:t>
      </w:r>
      <w:r>
        <w:tab/>
        <w:t>Commission may approve or refuse s. 115 application</w:t>
      </w:r>
      <w:bookmarkEnd w:id="276"/>
      <w:bookmarkEnd w:id="277"/>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278" w:name="_Toc155165484"/>
      <w:bookmarkStart w:id="279" w:name="_Toc155165183"/>
      <w:r>
        <w:rPr>
          <w:rStyle w:val="CharSectno"/>
        </w:rPr>
        <w:t>117</w:t>
      </w:r>
      <w:r>
        <w:t>.</w:t>
      </w:r>
      <w:r>
        <w:tab/>
        <w:t>Commission may revoke approval if development does not conform with it</w:t>
      </w:r>
      <w:bookmarkEnd w:id="278"/>
      <w:bookmarkEnd w:id="279"/>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280" w:name="_Toc155165485"/>
      <w:bookmarkStart w:id="281" w:name="_Toc155165184"/>
      <w:r>
        <w:rPr>
          <w:rStyle w:val="CharSectno"/>
        </w:rPr>
        <w:t>118</w:t>
      </w:r>
      <w:r>
        <w:t>.</w:t>
      </w:r>
      <w:r>
        <w:tab/>
        <w:t>Existing lawful development not affected</w:t>
      </w:r>
      <w:bookmarkEnd w:id="280"/>
      <w:bookmarkEnd w:id="281"/>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282" w:name="_Toc155165486"/>
      <w:bookmarkStart w:id="283" w:name="_Toc155165185"/>
      <w:r>
        <w:rPr>
          <w:rStyle w:val="CharPartNo"/>
        </w:rPr>
        <w:t>Part 8</w:t>
      </w:r>
      <w:r>
        <w:rPr>
          <w:b w:val="0"/>
        </w:rPr>
        <w:t> </w:t>
      </w:r>
      <w:r>
        <w:t>—</w:t>
      </w:r>
      <w:r>
        <w:rPr>
          <w:b w:val="0"/>
        </w:rPr>
        <w:t> </w:t>
      </w:r>
      <w:r>
        <w:rPr>
          <w:rStyle w:val="CharPartText"/>
        </w:rPr>
        <w:t>Improvement plans and schemes</w:t>
      </w:r>
      <w:bookmarkEnd w:id="282"/>
      <w:bookmarkEnd w:id="283"/>
    </w:p>
    <w:p>
      <w:pPr>
        <w:pStyle w:val="Footnoteheading"/>
      </w:pPr>
      <w:r>
        <w:tab/>
        <w:t>[Heading inserted: No. 28 of 2010 s. 9.]</w:t>
      </w:r>
    </w:p>
    <w:p>
      <w:pPr>
        <w:pStyle w:val="Heading3"/>
      </w:pPr>
      <w:bookmarkStart w:id="284" w:name="_Toc155165487"/>
      <w:bookmarkStart w:id="285" w:name="_Toc155165186"/>
      <w:r>
        <w:rPr>
          <w:rStyle w:val="CharDivNo"/>
        </w:rPr>
        <w:t>Division 1</w:t>
      </w:r>
      <w:r>
        <w:t> — </w:t>
      </w:r>
      <w:r>
        <w:rPr>
          <w:rStyle w:val="CharDivText"/>
        </w:rPr>
        <w:t>Improvement plans</w:t>
      </w:r>
      <w:bookmarkEnd w:id="284"/>
      <w:bookmarkEnd w:id="285"/>
    </w:p>
    <w:p>
      <w:pPr>
        <w:pStyle w:val="Footnoteheading"/>
      </w:pPr>
      <w:r>
        <w:tab/>
        <w:t>[Heading inserted: No. 28 of 2010 s. 9.]</w:t>
      </w:r>
    </w:p>
    <w:p>
      <w:pPr>
        <w:pStyle w:val="Heading5"/>
      </w:pPr>
      <w:bookmarkStart w:id="286" w:name="_Toc155165488"/>
      <w:bookmarkStart w:id="287" w:name="_Toc155165187"/>
      <w:r>
        <w:rPr>
          <w:rStyle w:val="CharSectno"/>
        </w:rPr>
        <w:t>119</w:t>
      </w:r>
      <w:r>
        <w:t>.</w:t>
      </w:r>
      <w:r>
        <w:tab/>
        <w:t>Preparing and making improvement plan</w:t>
      </w:r>
      <w:bookmarkEnd w:id="286"/>
      <w:bookmarkEnd w:id="287"/>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288" w:name="_Toc155165489"/>
      <w:bookmarkStart w:id="289" w:name="_Toc155165188"/>
      <w:r>
        <w:rPr>
          <w:rStyle w:val="CharSectno"/>
        </w:rPr>
        <w:t>120</w:t>
      </w:r>
      <w:r>
        <w:t>.</w:t>
      </w:r>
      <w:r>
        <w:tab/>
        <w:t>Amending or revoking improvement plan</w:t>
      </w:r>
      <w:bookmarkEnd w:id="288"/>
      <w:bookmarkEnd w:id="289"/>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290" w:name="_Toc155165490"/>
      <w:bookmarkStart w:id="291" w:name="_Toc155165189"/>
      <w:r>
        <w:rPr>
          <w:rStyle w:val="CharSectno"/>
        </w:rPr>
        <w:t>121</w:t>
      </w:r>
      <w:r>
        <w:t>.</w:t>
      </w:r>
      <w:r>
        <w:tab/>
        <w:t>Commission’s powers as to land under improvement plan</w:t>
      </w:r>
      <w:bookmarkEnd w:id="290"/>
      <w:bookmarkEnd w:id="291"/>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292" w:name="_Toc155165491"/>
      <w:bookmarkStart w:id="293" w:name="_Toc155165190"/>
      <w:r>
        <w:rPr>
          <w:rStyle w:val="CharDivNo"/>
        </w:rPr>
        <w:t>Division 2</w:t>
      </w:r>
      <w:r>
        <w:t> — </w:t>
      </w:r>
      <w:r>
        <w:rPr>
          <w:rStyle w:val="CharDivText"/>
        </w:rPr>
        <w:t>Improvement schemes</w:t>
      </w:r>
      <w:bookmarkEnd w:id="292"/>
      <w:bookmarkEnd w:id="293"/>
    </w:p>
    <w:p>
      <w:pPr>
        <w:pStyle w:val="Footnoteheading"/>
        <w:keepNext/>
        <w:keepLines/>
      </w:pPr>
      <w:r>
        <w:tab/>
        <w:t>[Heading inserted: No. 28 of 2010 s. 11.]</w:t>
      </w:r>
    </w:p>
    <w:p>
      <w:pPr>
        <w:pStyle w:val="Heading5"/>
        <w:spacing w:before="180"/>
      </w:pPr>
      <w:bookmarkStart w:id="294" w:name="_Toc155165492"/>
      <w:bookmarkStart w:id="295" w:name="_Toc155165191"/>
      <w:r>
        <w:rPr>
          <w:rStyle w:val="CharSectno"/>
        </w:rPr>
        <w:t>122A</w:t>
      </w:r>
      <w:r>
        <w:t>.</w:t>
      </w:r>
      <w:r>
        <w:tab/>
        <w:t>Content of improvement scheme</w:t>
      </w:r>
      <w:bookmarkEnd w:id="294"/>
      <w:bookmarkEnd w:id="295"/>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296" w:name="_Toc155165493"/>
      <w:bookmarkStart w:id="297" w:name="_Toc155165192"/>
      <w:r>
        <w:rPr>
          <w:rStyle w:val="CharSectno"/>
        </w:rPr>
        <w:t>122B</w:t>
      </w:r>
      <w:r>
        <w:t>.</w:t>
      </w:r>
      <w:r>
        <w:tab/>
        <w:t>Preparing, approving and reviewing improvement scheme</w:t>
      </w:r>
      <w:bookmarkEnd w:id="296"/>
      <w:bookmarkEnd w:id="297"/>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298" w:name="_Toc155165494"/>
      <w:bookmarkStart w:id="299" w:name="_Toc155165193"/>
      <w:r>
        <w:rPr>
          <w:rStyle w:val="CharSectno"/>
        </w:rPr>
        <w:t>122C</w:t>
      </w:r>
      <w:r>
        <w:t>.</w:t>
      </w:r>
      <w:r>
        <w:tab/>
        <w:t>Existing lawful development not affected</w:t>
      </w:r>
      <w:bookmarkEnd w:id="298"/>
      <w:bookmarkEnd w:id="299"/>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300" w:name="_Toc155165495"/>
      <w:bookmarkStart w:id="301" w:name="_Toc155165194"/>
      <w:r>
        <w:rPr>
          <w:rStyle w:val="CharSectno"/>
        </w:rPr>
        <w:t>122D</w:t>
      </w:r>
      <w:r>
        <w:t>.</w:t>
      </w:r>
      <w:r>
        <w:tab/>
        <w:t>Effect of improvement scheme on other planning schemes</w:t>
      </w:r>
      <w:bookmarkEnd w:id="300"/>
      <w:bookmarkEnd w:id="301"/>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302" w:name="_Toc155165496"/>
      <w:bookmarkStart w:id="303" w:name="_Toc155165195"/>
      <w:r>
        <w:rPr>
          <w:rStyle w:val="CharSectno"/>
        </w:rPr>
        <w:t>122E</w:t>
      </w:r>
      <w:r>
        <w:t>.</w:t>
      </w:r>
      <w:r>
        <w:tab/>
        <w:t>Removal of land from improvement scheme area or repeal of improvement scheme, effect of</w:t>
      </w:r>
      <w:bookmarkEnd w:id="302"/>
      <w:bookmarkEnd w:id="303"/>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keepNext/>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304" w:name="_Toc155165497"/>
      <w:bookmarkStart w:id="305" w:name="_Toc155165196"/>
      <w:r>
        <w:rPr>
          <w:rStyle w:val="CharSectno"/>
        </w:rPr>
        <w:t>122F</w:t>
      </w:r>
      <w:r>
        <w:t>.</w:t>
      </w:r>
      <w:r>
        <w:tab/>
        <w:t>Amended improvement scheme area, transitional provisions for</w:t>
      </w:r>
      <w:bookmarkEnd w:id="304"/>
      <w:bookmarkEnd w:id="305"/>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306" w:name="_Toc155165498"/>
      <w:bookmarkStart w:id="307" w:name="_Toc155165197"/>
      <w:r>
        <w:rPr>
          <w:rStyle w:val="CharSectno"/>
        </w:rPr>
        <w:t>122G</w:t>
      </w:r>
      <w:r>
        <w:t>.</w:t>
      </w:r>
      <w:r>
        <w:tab/>
        <w:t>Applications for development pending when land removed or improvement scheme repealed</w:t>
      </w:r>
      <w:bookmarkEnd w:id="306"/>
      <w:bookmarkEnd w:id="307"/>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308" w:name="_Toc155165499"/>
      <w:bookmarkStart w:id="309" w:name="_Toc155165198"/>
      <w:r>
        <w:rPr>
          <w:rStyle w:val="CharSectno"/>
        </w:rPr>
        <w:t>122H</w:t>
      </w:r>
      <w:r>
        <w:t>.</w:t>
      </w:r>
      <w:r>
        <w:tab/>
        <w:t>Permanently closing street in improvement scheme area</w:t>
      </w:r>
      <w:bookmarkEnd w:id="308"/>
      <w:bookmarkEnd w:id="309"/>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310" w:name="_Toc155165500"/>
      <w:bookmarkStart w:id="311" w:name="_Toc155165199"/>
      <w:r>
        <w:rPr>
          <w:rStyle w:val="CharSectno"/>
        </w:rPr>
        <w:t>122I</w:t>
      </w:r>
      <w:r>
        <w:t>.</w:t>
      </w:r>
      <w:r>
        <w:tab/>
        <w:t>Some planning schemes have no force while improvement scheme in force</w:t>
      </w:r>
      <w:bookmarkEnd w:id="310"/>
      <w:bookmarkEnd w:id="311"/>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312" w:name="_Toc155165501"/>
      <w:bookmarkStart w:id="313" w:name="_Toc155165200"/>
      <w:r>
        <w:rPr>
          <w:rStyle w:val="CharSectno"/>
        </w:rPr>
        <w:t>122J</w:t>
      </w:r>
      <w:r>
        <w:t>.</w:t>
      </w:r>
      <w:r>
        <w:tab/>
        <w:t>Minister may amend local planning scheme to conform with improvement scheme</w:t>
      </w:r>
      <w:bookmarkEnd w:id="312"/>
      <w:bookmarkEnd w:id="313"/>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314" w:name="_Toc155165502"/>
      <w:bookmarkStart w:id="315" w:name="_Toc155165201"/>
      <w:r>
        <w:rPr>
          <w:rStyle w:val="CharSectno"/>
        </w:rPr>
        <w:t>122K</w:t>
      </w:r>
      <w:r>
        <w:t>.</w:t>
      </w:r>
      <w:r>
        <w:tab/>
        <w:t>Region planning scheme may be amended to conform with improvement scheme</w:t>
      </w:r>
      <w:bookmarkEnd w:id="314"/>
      <w:bookmarkEnd w:id="315"/>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316" w:name="_Toc155165503"/>
      <w:bookmarkStart w:id="317" w:name="_Toc155165202"/>
      <w:r>
        <w:rPr>
          <w:rStyle w:val="CharSectno"/>
        </w:rPr>
        <w:t>122L</w:t>
      </w:r>
      <w:r>
        <w:t>.</w:t>
      </w:r>
      <w:r>
        <w:tab/>
        <w:t>Minister has s. 211 and 212 powers for improvement scheme</w:t>
      </w:r>
      <w:bookmarkEnd w:id="316"/>
      <w:bookmarkEnd w:id="317"/>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318" w:name="_Toc155165504"/>
      <w:bookmarkStart w:id="319" w:name="_Toc155165203"/>
      <w:r>
        <w:rPr>
          <w:rStyle w:val="CharSectno"/>
        </w:rPr>
        <w:t>122M</w:t>
      </w:r>
      <w:r>
        <w:t>.</w:t>
      </w:r>
      <w:r>
        <w:tab/>
        <w:t>Fees for planning matters under improvement scheme, Commission may impose</w:t>
      </w:r>
      <w:bookmarkEnd w:id="318"/>
      <w:bookmarkEnd w:id="319"/>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320" w:name="_Toc155165505"/>
      <w:bookmarkStart w:id="321" w:name="_Toc155165204"/>
      <w:r>
        <w:rPr>
          <w:rStyle w:val="CharDivNo"/>
        </w:rPr>
        <w:t>Division 3</w:t>
      </w:r>
      <w:r>
        <w:t> — </w:t>
      </w:r>
      <w:r>
        <w:rPr>
          <w:rStyle w:val="CharDivText"/>
        </w:rPr>
        <w:t>General</w:t>
      </w:r>
      <w:bookmarkEnd w:id="320"/>
      <w:bookmarkEnd w:id="321"/>
    </w:p>
    <w:p>
      <w:pPr>
        <w:pStyle w:val="Footnoteheading"/>
      </w:pPr>
      <w:r>
        <w:tab/>
        <w:t>[Heading inserted: No. 28 of 2010 s. 12.]</w:t>
      </w:r>
    </w:p>
    <w:p>
      <w:pPr>
        <w:pStyle w:val="Heading5"/>
      </w:pPr>
      <w:bookmarkStart w:id="322" w:name="_Toc155165506"/>
      <w:bookmarkStart w:id="323" w:name="_Toc155165205"/>
      <w:r>
        <w:rPr>
          <w:rStyle w:val="CharSectno"/>
        </w:rPr>
        <w:t>122</w:t>
      </w:r>
      <w:r>
        <w:t>.</w:t>
      </w:r>
      <w:r>
        <w:tab/>
        <w:t>This Part does not derogate from other powers</w:t>
      </w:r>
      <w:bookmarkEnd w:id="322"/>
      <w:bookmarkEnd w:id="323"/>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324" w:name="_Toc155165507"/>
      <w:bookmarkStart w:id="325" w:name="_Toc155165206"/>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324"/>
      <w:bookmarkEnd w:id="325"/>
    </w:p>
    <w:p>
      <w:pPr>
        <w:pStyle w:val="Footnoteheading"/>
      </w:pPr>
      <w:r>
        <w:tab/>
        <w:t>[Heading inserted: No. 28 of 2010 s. 14.]</w:t>
      </w:r>
    </w:p>
    <w:p>
      <w:pPr>
        <w:pStyle w:val="Heading5"/>
      </w:pPr>
      <w:bookmarkStart w:id="326" w:name="_Toc155165508"/>
      <w:bookmarkStart w:id="327" w:name="_Toc155165207"/>
      <w:r>
        <w:rPr>
          <w:rStyle w:val="CharSectno"/>
        </w:rPr>
        <w:t>123</w:t>
      </w:r>
      <w:r>
        <w:t>.</w:t>
      </w:r>
      <w:r>
        <w:tab/>
        <w:t>Local planning scheme or local law to be consistent with region planning scheme or Swan Valley Planning Scheme</w:t>
      </w:r>
      <w:bookmarkEnd w:id="326"/>
      <w:bookmarkEnd w:id="327"/>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328" w:name="_Toc155165509"/>
      <w:bookmarkStart w:id="329" w:name="_Toc155165208"/>
      <w:r>
        <w:rPr>
          <w:rStyle w:val="CharSectno"/>
        </w:rPr>
        <w:t>124</w:t>
      </w:r>
      <w:r>
        <w:t>.</w:t>
      </w:r>
      <w:r>
        <w:tab/>
        <w:t>Effect of region planning scheme on local planning scheme</w:t>
      </w:r>
      <w:bookmarkEnd w:id="328"/>
      <w:bookmarkEnd w:id="329"/>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keepNext/>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Footnotesection"/>
      </w:pPr>
      <w:r>
        <w:tab/>
        <w:t>[Section 124 amended: No. 26 of 2020 s. 50.]</w:t>
      </w:r>
    </w:p>
    <w:p>
      <w:pPr>
        <w:pStyle w:val="Heading5"/>
      </w:pPr>
      <w:bookmarkStart w:id="330" w:name="_Toc155165510"/>
      <w:bookmarkStart w:id="331" w:name="_Toc155165209"/>
      <w:r>
        <w:rPr>
          <w:rStyle w:val="CharSectno"/>
        </w:rPr>
        <w:t>125</w:t>
      </w:r>
      <w:r>
        <w:t>.</w:t>
      </w:r>
      <w:r>
        <w:tab/>
        <w:t>Minister may direct local government to amend local planning scheme to be consistent with region planning scheme etc.</w:t>
      </w:r>
      <w:bookmarkEnd w:id="330"/>
      <w:bookmarkEnd w:id="331"/>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advertisement of the relevant region planning scheme or amendment under regulations made for the purposes of section 43.</w:t>
      </w:r>
    </w:p>
    <w:p>
      <w:pPr>
        <w:pStyle w:val="Footnotesection"/>
      </w:pPr>
      <w:r>
        <w:tab/>
        <w:t>[Section 125 amended: No. 26 of 2020 s. 51.]</w:t>
      </w:r>
    </w:p>
    <w:p>
      <w:pPr>
        <w:pStyle w:val="Heading5"/>
      </w:pPr>
      <w:bookmarkStart w:id="332" w:name="_Toc155165511"/>
      <w:bookmarkStart w:id="333" w:name="_Toc155165210"/>
      <w:r>
        <w:rPr>
          <w:rStyle w:val="CharSectno"/>
        </w:rPr>
        <w:t>126</w:t>
      </w:r>
      <w:r>
        <w:t>.</w:t>
      </w:r>
      <w:r>
        <w:tab/>
        <w:t>Local planning scheme, amendment of due to region planning scheme</w:t>
      </w:r>
      <w:bookmarkEnd w:id="332"/>
      <w:bookmarkEnd w:id="333"/>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334" w:name="_Toc155165512"/>
      <w:bookmarkStart w:id="335" w:name="_Toc155165211"/>
      <w:r>
        <w:rPr>
          <w:rStyle w:val="CharSectno"/>
        </w:rPr>
        <w:t>127</w:t>
      </w:r>
      <w:r>
        <w:t>.</w:t>
      </w:r>
      <w:r>
        <w:tab/>
        <w:t>Minister may direct local government to modify proposed scheme or amendment to be consistent with region planning scheme</w:t>
      </w:r>
      <w:bookmarkEnd w:id="334"/>
      <w:bookmarkEnd w:id="335"/>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keepNext/>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336" w:name="_Toc155165513"/>
      <w:bookmarkStart w:id="337" w:name="_Toc155165212"/>
      <w:r>
        <w:rPr>
          <w:rStyle w:val="CharSectno"/>
        </w:rPr>
        <w:t>128</w:t>
      </w:r>
      <w:r>
        <w:t>.</w:t>
      </w:r>
      <w:r>
        <w:tab/>
        <w:t>Breach of s. 124(2), 125 or 127(2), Minister’s powers in case of</w:t>
      </w:r>
      <w:bookmarkEnd w:id="336"/>
      <w:bookmarkEnd w:id="337"/>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keepNext/>
      </w:pPr>
      <w:r>
        <w:tab/>
        <w:t>(c)</w:t>
      </w:r>
      <w:r>
        <w:tab/>
        <w:t>not later than 60 days after the giving of the direction concerned, section 127(2),</w:t>
      </w:r>
    </w:p>
    <w:p>
      <w:pPr>
        <w:pStyle w:val="Subsection"/>
        <w:keepNext/>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keepLines/>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338" w:name="_Toc155165514"/>
      <w:bookmarkStart w:id="339" w:name="_Toc155165213"/>
      <w:r>
        <w:rPr>
          <w:rStyle w:val="CharSectno"/>
        </w:rPr>
        <w:t>129</w:t>
      </w:r>
      <w:r>
        <w:t>.</w:t>
      </w:r>
      <w:r>
        <w:tab/>
        <w:t>Inconsistency between interim development order and local planning scheme or local law, effect of</w:t>
      </w:r>
      <w:bookmarkEnd w:id="338"/>
      <w:bookmarkEnd w:id="339"/>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340" w:name="_Toc155165515"/>
      <w:bookmarkStart w:id="341" w:name="_Toc155165214"/>
      <w:r>
        <w:rPr>
          <w:rStyle w:val="CharSectno"/>
        </w:rPr>
        <w:t>130</w:t>
      </w:r>
      <w:r>
        <w:t>.</w:t>
      </w:r>
      <w:r>
        <w:tab/>
        <w:t>Planning control area provisions (Part 7) prevail</w:t>
      </w:r>
      <w:bookmarkEnd w:id="340"/>
      <w:bookmarkEnd w:id="341"/>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pPr>
      <w:r>
        <w:tab/>
        <w:t>(c)</w:t>
      </w:r>
      <w:r>
        <w:tab/>
        <w:t>any local planning scheme; and</w:t>
      </w:r>
    </w:p>
    <w:p>
      <w:pPr>
        <w:pStyle w:val="Indenta"/>
        <w:keepNext/>
      </w:pPr>
      <w:r>
        <w:tab/>
        <w:t>(d)</w:t>
      </w:r>
      <w:r>
        <w:tab/>
        <w:t>the Swan Valley Planning Scheme,</w:t>
      </w:r>
    </w:p>
    <w:p>
      <w:pPr>
        <w:pStyle w:val="Subsection"/>
        <w:keepNext/>
      </w:pPr>
      <w:r>
        <w:tab/>
      </w:r>
      <w:r>
        <w:tab/>
        <w:t>to the extent of any inconsistency with those provisions and schemes.</w:t>
      </w:r>
    </w:p>
    <w:p>
      <w:pPr>
        <w:pStyle w:val="Footnotesection"/>
      </w:pPr>
      <w:r>
        <w:tab/>
        <w:t>[Section 130 amended: No. 45 of 2020 s. 75.]</w:t>
      </w:r>
    </w:p>
    <w:p>
      <w:pPr>
        <w:pStyle w:val="Heading5"/>
        <w:spacing w:before="180"/>
      </w:pPr>
      <w:bookmarkStart w:id="342" w:name="_Toc155165516"/>
      <w:bookmarkStart w:id="343" w:name="_Toc155165215"/>
      <w:r>
        <w:rPr>
          <w:rStyle w:val="CharSectno"/>
        </w:rPr>
        <w:t>131</w:t>
      </w:r>
      <w:r>
        <w:t>.</w:t>
      </w:r>
      <w:r>
        <w:tab/>
      </w:r>
      <w:r>
        <w:rPr>
          <w:bCs/>
        </w:rPr>
        <w:t>Building standards etc. prevail</w:t>
      </w:r>
      <w:bookmarkEnd w:id="342"/>
      <w:bookmarkEnd w:id="343"/>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344" w:name="_Toc155165517"/>
      <w:bookmarkStart w:id="345" w:name="_Toc155165216"/>
      <w:r>
        <w:rPr>
          <w:rStyle w:val="CharSectno"/>
        </w:rPr>
        <w:t>131A</w:t>
      </w:r>
      <w:r>
        <w:t>.</w:t>
      </w:r>
      <w:r>
        <w:tab/>
        <w:t>Relationship between Swan Valley Planning Scheme and other planning schemes or policies</w:t>
      </w:r>
      <w:bookmarkEnd w:id="344"/>
      <w:bookmarkEnd w:id="345"/>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346" w:name="_Toc155165518"/>
      <w:bookmarkStart w:id="347" w:name="_Toc155165217"/>
      <w:r>
        <w:rPr>
          <w:rStyle w:val="CharSectno"/>
        </w:rPr>
        <w:t>132</w:t>
      </w:r>
      <w:r>
        <w:t>.</w:t>
      </w:r>
      <w:r>
        <w:tab/>
        <w:t>Governor may modify or suspend law to enable planning scheme to have effect</w:t>
      </w:r>
      <w:bookmarkEnd w:id="346"/>
      <w:bookmarkEnd w:id="347"/>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348" w:name="_Toc155165519"/>
      <w:bookmarkStart w:id="349" w:name="_Toc155165218"/>
      <w:r>
        <w:rPr>
          <w:rStyle w:val="CharPartNo"/>
        </w:rPr>
        <w:t>Part 10</w:t>
      </w:r>
      <w:r>
        <w:t> — </w:t>
      </w:r>
      <w:r>
        <w:rPr>
          <w:rStyle w:val="CharPartText"/>
        </w:rPr>
        <w:t>Subdivision and development control</w:t>
      </w:r>
      <w:bookmarkEnd w:id="348"/>
      <w:bookmarkEnd w:id="349"/>
    </w:p>
    <w:p>
      <w:pPr>
        <w:pStyle w:val="Heading3"/>
      </w:pPr>
      <w:bookmarkStart w:id="350" w:name="_Toc155165520"/>
      <w:bookmarkStart w:id="351" w:name="_Toc155165219"/>
      <w:r>
        <w:rPr>
          <w:rStyle w:val="CharDivNo"/>
        </w:rPr>
        <w:t>Division 1</w:t>
      </w:r>
      <w:r>
        <w:t> — </w:t>
      </w:r>
      <w:r>
        <w:rPr>
          <w:rStyle w:val="CharDivText"/>
        </w:rPr>
        <w:t>Application</w:t>
      </w:r>
      <w:bookmarkEnd w:id="350"/>
      <w:bookmarkEnd w:id="351"/>
    </w:p>
    <w:p>
      <w:pPr>
        <w:pStyle w:val="Heading5"/>
      </w:pPr>
      <w:bookmarkStart w:id="352" w:name="_Toc155165521"/>
      <w:bookmarkStart w:id="353" w:name="_Toc155165220"/>
      <w:r>
        <w:rPr>
          <w:rStyle w:val="CharSectno"/>
        </w:rPr>
        <w:t>133</w:t>
      </w:r>
      <w:r>
        <w:t>.</w:t>
      </w:r>
      <w:r>
        <w:tab/>
        <w:t>Application of Part to Crown land</w:t>
      </w:r>
      <w:bookmarkEnd w:id="352"/>
      <w:bookmarkEnd w:id="353"/>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354" w:name="_Toc155165522"/>
      <w:bookmarkStart w:id="355" w:name="_Toc155165221"/>
      <w:r>
        <w:rPr>
          <w:rStyle w:val="CharSectno"/>
        </w:rPr>
        <w:t>134</w:t>
      </w:r>
      <w:r>
        <w:t>.</w:t>
      </w:r>
      <w:r>
        <w:tab/>
        <w:t>Relationship of Part to some other laws</w:t>
      </w:r>
      <w:bookmarkEnd w:id="354"/>
      <w:bookmarkEnd w:id="355"/>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tab/>
        <w:t>[(3)</w:t>
      </w:r>
      <w:r>
        <w:noBreakHyphen/>
        <w:t>(8)</w:t>
      </w:r>
      <w:r>
        <w:tab/>
        <w:t>deleted]</w:t>
      </w:r>
    </w:p>
    <w:p>
      <w:pPr>
        <w:pStyle w:val="Footnotesection"/>
      </w:pPr>
      <w:r>
        <w:tab/>
        <w:t>[Section 134 amended: No. 7 of 2006 s. 20(3); No. 45 of 2020 s. 78.]</w:t>
      </w:r>
    </w:p>
    <w:p>
      <w:pPr>
        <w:pStyle w:val="Heading3"/>
      </w:pPr>
      <w:bookmarkStart w:id="356" w:name="_Toc155165523"/>
      <w:bookmarkStart w:id="357" w:name="_Toc155165222"/>
      <w:r>
        <w:rPr>
          <w:rStyle w:val="CharDivNo"/>
        </w:rPr>
        <w:t>Division 2</w:t>
      </w:r>
      <w:r>
        <w:t> — </w:t>
      </w:r>
      <w:r>
        <w:rPr>
          <w:rStyle w:val="CharDivText"/>
        </w:rPr>
        <w:t>Approval for subdivision and certain transactions</w:t>
      </w:r>
      <w:bookmarkEnd w:id="356"/>
      <w:bookmarkEnd w:id="357"/>
    </w:p>
    <w:p>
      <w:pPr>
        <w:pStyle w:val="Heading5"/>
      </w:pPr>
      <w:bookmarkStart w:id="358" w:name="_Toc155165524"/>
      <w:bookmarkStart w:id="359" w:name="_Toc155165223"/>
      <w:r>
        <w:rPr>
          <w:rStyle w:val="CharSectno"/>
        </w:rPr>
        <w:t>135</w:t>
      </w:r>
      <w:r>
        <w:t>.</w:t>
      </w:r>
      <w:r>
        <w:tab/>
        <w:t>No subdivision etc. without approval</w:t>
      </w:r>
      <w:bookmarkEnd w:id="358"/>
      <w:bookmarkEnd w:id="359"/>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360" w:name="_Toc155165525"/>
      <w:bookmarkStart w:id="361" w:name="_Toc155165224"/>
      <w:r>
        <w:rPr>
          <w:rStyle w:val="CharSectno"/>
        </w:rPr>
        <w:t>136</w:t>
      </w:r>
      <w:r>
        <w:t>.</w:t>
      </w:r>
      <w:r>
        <w:tab/>
        <w:t>Approval required for some dealings as to land not dealt with as lot or lots</w:t>
      </w:r>
      <w:bookmarkEnd w:id="360"/>
      <w:bookmarkEnd w:id="361"/>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keepNext/>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362" w:name="_Toc155165526"/>
      <w:bookmarkStart w:id="363" w:name="_Toc155165225"/>
      <w:r>
        <w:rPr>
          <w:rStyle w:val="CharSectno"/>
        </w:rPr>
        <w:t>137</w:t>
      </w:r>
      <w:r>
        <w:t>.</w:t>
      </w:r>
      <w:r>
        <w:tab/>
        <w:t>Heritage land, subdivision etc. of</w:t>
      </w:r>
      <w:bookmarkEnd w:id="362"/>
      <w:bookmarkEnd w:id="363"/>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364" w:name="_Toc155165527"/>
      <w:bookmarkStart w:id="365" w:name="_Toc155165226"/>
      <w:r>
        <w:rPr>
          <w:rStyle w:val="CharSectno"/>
        </w:rPr>
        <w:t>138</w:t>
      </w:r>
      <w:r>
        <w:t>.</w:t>
      </w:r>
      <w:r>
        <w:tab/>
        <w:t>Commission’s functions when approving subdivision etc.</w:t>
      </w:r>
      <w:bookmarkEnd w:id="364"/>
      <w:bookmarkEnd w:id="365"/>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keepNext/>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366" w:name="_Toc155165528"/>
      <w:bookmarkStart w:id="367" w:name="_Toc155165227"/>
      <w:r>
        <w:rPr>
          <w:rStyle w:val="CharSectno"/>
        </w:rPr>
        <w:t>138A</w:t>
      </w:r>
      <w:r>
        <w:t>.</w:t>
      </w:r>
      <w:r>
        <w:tab/>
        <w:t>Commission’s functions when approving subdivision etc. in Swan Valley</w:t>
      </w:r>
      <w:bookmarkEnd w:id="366"/>
      <w:bookmarkEnd w:id="367"/>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368" w:name="_Toc155165529"/>
      <w:bookmarkStart w:id="369" w:name="_Toc155165228"/>
      <w:r>
        <w:rPr>
          <w:rStyle w:val="CharSectno"/>
        </w:rPr>
        <w:t>139</w:t>
      </w:r>
      <w:r>
        <w:t>.</w:t>
      </w:r>
      <w:r>
        <w:tab/>
        <w:t>Leases and licences that do not need approval under s. 136</w:t>
      </w:r>
      <w:bookmarkEnd w:id="368"/>
      <w:bookmarkEnd w:id="369"/>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370" w:name="_Toc155165530"/>
      <w:bookmarkStart w:id="371" w:name="_Toc155165229"/>
      <w:r>
        <w:rPr>
          <w:rStyle w:val="CharSectno"/>
        </w:rPr>
        <w:t>140</w:t>
      </w:r>
      <w:r>
        <w:t>.</w:t>
      </w:r>
      <w:r>
        <w:tab/>
        <w:t>Saving of some agreements entered into without approval under s. 136</w:t>
      </w:r>
      <w:bookmarkEnd w:id="370"/>
      <w:bookmarkEnd w:id="371"/>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372" w:name="_Toc155165531"/>
      <w:bookmarkStart w:id="373" w:name="_Toc155165230"/>
      <w:r>
        <w:rPr>
          <w:rStyle w:val="CharSectno"/>
        </w:rPr>
        <w:t>141</w:t>
      </w:r>
      <w:r>
        <w:t>.</w:t>
      </w:r>
      <w:r>
        <w:tab/>
        <w:t>Refund where land transaction cannot be completed</w:t>
      </w:r>
      <w:bookmarkEnd w:id="372"/>
      <w:bookmarkEnd w:id="373"/>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374" w:name="_Toc155165532"/>
      <w:bookmarkStart w:id="375" w:name="_Toc155165231"/>
      <w:r>
        <w:rPr>
          <w:rStyle w:val="CharSectno"/>
        </w:rPr>
        <w:t>142</w:t>
      </w:r>
      <w:r>
        <w:t>.</w:t>
      </w:r>
      <w:r>
        <w:tab/>
        <w:t>Consultation requirements as to proposed subdivision</w:t>
      </w:r>
      <w:bookmarkEnd w:id="374"/>
      <w:bookmarkEnd w:id="375"/>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376" w:name="_Toc155165533"/>
      <w:bookmarkStart w:id="377" w:name="_Toc155165232"/>
      <w:r>
        <w:rPr>
          <w:rStyle w:val="CharSectno"/>
        </w:rPr>
        <w:t>143</w:t>
      </w:r>
      <w:r>
        <w:t>.</w:t>
      </w:r>
      <w:r>
        <w:tab/>
        <w:t>Commission’s duties when dealing with plan of subdivision</w:t>
      </w:r>
      <w:bookmarkEnd w:id="376"/>
      <w:bookmarkEnd w:id="377"/>
    </w:p>
    <w:p>
      <w:pPr>
        <w:pStyle w:val="Subsection"/>
        <w:keepNext/>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378" w:name="_Toc155165534"/>
      <w:bookmarkStart w:id="379" w:name="_Toc155165233"/>
      <w:r>
        <w:rPr>
          <w:rStyle w:val="CharSectno"/>
        </w:rPr>
        <w:t>144</w:t>
      </w:r>
      <w:r>
        <w:t>.</w:t>
      </w:r>
      <w:r>
        <w:tab/>
        <w:t>Reconsidering refusal to approve plan of subdivision</w:t>
      </w:r>
      <w:bookmarkEnd w:id="378"/>
      <w:bookmarkEnd w:id="379"/>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380" w:name="_Toc155165535"/>
      <w:bookmarkStart w:id="381" w:name="_Toc155165234"/>
      <w:r>
        <w:rPr>
          <w:rStyle w:val="CharSectno"/>
        </w:rPr>
        <w:t>145</w:t>
      </w:r>
      <w:r>
        <w:t>.</w:t>
      </w:r>
      <w:r>
        <w:tab/>
        <w:t>Diagram or plan of survey of approved plan of subdivision, approval of</w:t>
      </w:r>
      <w:bookmarkEnd w:id="380"/>
      <w:bookmarkEnd w:id="381"/>
    </w:p>
    <w:p>
      <w:pPr>
        <w:pStyle w:val="Subsection"/>
        <w:keepNext/>
      </w:pPr>
      <w:r>
        <w:tab/>
        <w:t>(1)</w:t>
      </w:r>
      <w:r>
        <w:tab/>
        <w:t>A person to whom approval of a plan of subdivision has been given may, within the period that applies under section 145A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Ednotesubsection"/>
      </w:pPr>
      <w:r>
        <w:tab/>
        <w:t>[(2)</w:t>
      </w:r>
      <w:r>
        <w:tab/>
        <w:t>deleted]</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the Commission must endorse its approval on the diagram or plan of survey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 xml:space="preserve">if that approval was given subject to conditions — </w:t>
      </w:r>
    </w:p>
    <w:p>
      <w:pPr>
        <w:pStyle w:val="Indenti"/>
      </w:pPr>
      <w:r>
        <w:tab/>
        <w:t>(i)</w:t>
      </w:r>
      <w:r>
        <w:tab/>
        <w:t>the conditions (other than any conditions to which subparagraph (ii) applies) have been complied with; and</w:t>
      </w:r>
    </w:p>
    <w:p>
      <w:pPr>
        <w:pStyle w:val="Indenti"/>
      </w:pPr>
      <w:r>
        <w:tab/>
        <w:t>(ii)</w:t>
      </w:r>
      <w:r>
        <w:tab/>
        <w:t>any conditions that cannot be complied with until a certificate of title is created or registered will be complied with at that time.</w:t>
      </w:r>
    </w:p>
    <w:p>
      <w:pPr>
        <w:pStyle w:val="Subsection"/>
      </w:pPr>
      <w:r>
        <w:tab/>
        <w:t>(4A)</w:t>
      </w:r>
      <w:r>
        <w:tab/>
        <w:t>In the case of a diagram or plan of survey submitted in relation to a stage of subdivision, the conditions to which subsection (4)(b) applies are the conditions imposed on the approval in relation to that stage of subdivision or that, in the opinion of the Commission, are relevant to that stage of subdivision or the subdivision as a whole.</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Footnotesection"/>
      </w:pPr>
      <w:r>
        <w:tab/>
        <w:t>[Section 145 amended: No. 26 of 2020 s. 90.]</w:t>
      </w:r>
    </w:p>
    <w:p>
      <w:pPr>
        <w:pStyle w:val="Heading5"/>
      </w:pPr>
      <w:bookmarkStart w:id="382" w:name="_Toc155165536"/>
      <w:bookmarkStart w:id="383" w:name="_Toc155165235"/>
      <w:r>
        <w:rPr>
          <w:rStyle w:val="CharSectno"/>
        </w:rPr>
        <w:t>145A</w:t>
      </w:r>
      <w:r>
        <w:t>.</w:t>
      </w:r>
      <w:r>
        <w:tab/>
        <w:t>Period for submission of diagram or plan of survey for approval by Commission</w:t>
      </w:r>
      <w:bookmarkEnd w:id="382"/>
      <w:bookmarkEnd w:id="383"/>
    </w:p>
    <w:p>
      <w:pPr>
        <w:pStyle w:val="Subsection"/>
      </w:pPr>
      <w:r>
        <w:tab/>
        <w:t>(1)</w:t>
      </w:r>
      <w:r>
        <w:tab/>
        <w:t xml:space="preserve">Subject to any extension granted under subsection (2), the period within which a person to whom approval of a plan of subdivision was given must submit, and request approval of, a diagram or plan of survey of the subdivision under section 145(1) is — </w:t>
      </w:r>
    </w:p>
    <w:p>
      <w:pPr>
        <w:pStyle w:val="Indenta"/>
      </w:pPr>
      <w:r>
        <w:tab/>
        <w:t>(a)</w:t>
      </w:r>
      <w:r>
        <w:tab/>
        <w:t>in relation to a plan of subdivision creating more than 5 lots — the period of 4 years beginning on the day on which the Commission approved the plan of subdivision; and</w:t>
      </w:r>
    </w:p>
    <w:p>
      <w:pPr>
        <w:pStyle w:val="Indenta"/>
      </w:pPr>
      <w:r>
        <w:tab/>
        <w:t>(b)</w:t>
      </w:r>
      <w:r>
        <w:tab/>
        <w:t>in any other case — the period of 3 years beginning on the day on which the Commission approved the plan of subdivision.</w:t>
      </w:r>
    </w:p>
    <w:p>
      <w:pPr>
        <w:pStyle w:val="Subsection"/>
      </w:pPr>
      <w:r>
        <w:tab/>
        <w:t>(2)</w:t>
      </w:r>
      <w:r>
        <w:tab/>
        <w:t>On the application of a person to whom approval of a plan of subdivision has been given, the Commission may, by written notice, grant an extension of 2 years to the period that would otherwise apply under subsection (1).</w:t>
      </w:r>
    </w:p>
    <w:p>
      <w:pPr>
        <w:pStyle w:val="Subsection"/>
      </w:pPr>
      <w:r>
        <w:tab/>
        <w:t>(3)</w:t>
      </w:r>
      <w:r>
        <w:tab/>
        <w:t>An application under subsection (2) must be made in the manner and form approved by the Commission.</w:t>
      </w:r>
    </w:p>
    <w:p>
      <w:pPr>
        <w:pStyle w:val="Subsection"/>
      </w:pPr>
      <w:r>
        <w:tab/>
        <w:t>(4)</w:t>
      </w:r>
      <w:r>
        <w:tab/>
        <w:t>The Commission must not grant an extension under subsection (2) unless the Commission is satisfied that —</w:t>
      </w:r>
    </w:p>
    <w:p>
      <w:pPr>
        <w:pStyle w:val="Indenta"/>
      </w:pPr>
      <w:r>
        <w:tab/>
        <w:t>(a)</w:t>
      </w:r>
      <w:r>
        <w:tab/>
        <w:t>the applicant has done everything that is reasonably practicable to enable the applicant to submit, and request approval of, the diagram or plan of survey in accordance with section 145(1) within the period that would otherwise apply under subsection (1); and</w:t>
      </w:r>
    </w:p>
    <w:p>
      <w:pPr>
        <w:pStyle w:val="Indenta"/>
      </w:pPr>
      <w:r>
        <w:tab/>
        <w:t>(b)</w:t>
      </w:r>
      <w:r>
        <w:tab/>
        <w:t>since the approval of the plan of subdivision was granted, there have been no significant changes to the requirements that apply under this Act to the area covered by the plan of subdivision.</w:t>
      </w:r>
    </w:p>
    <w:p>
      <w:pPr>
        <w:pStyle w:val="Subsection"/>
      </w:pPr>
      <w:r>
        <w:tab/>
        <w:t>(5)</w:t>
      </w:r>
      <w:r>
        <w:tab/>
        <w:t>The Commission must not grant more than 1 extension under this section in relation to a plan of subdivision.</w:t>
      </w:r>
    </w:p>
    <w:p>
      <w:pPr>
        <w:pStyle w:val="Subsection"/>
      </w:pPr>
      <w:r>
        <w:tab/>
        <w:t>(6)</w:t>
      </w:r>
      <w:r>
        <w:tab/>
        <w:t>The Commission must try to deal with an application under subsection (2) within the period of 30 days after the day on which the application is made or within such longer period after that day as may be agreed in writing between the Commission and the applicant.</w:t>
      </w:r>
    </w:p>
    <w:p>
      <w:pPr>
        <w:pStyle w:val="Subsection"/>
      </w:pPr>
      <w:r>
        <w:tab/>
        <w:t>(7)</w:t>
      </w:r>
      <w:r>
        <w:tab/>
        <w:t xml:space="preserve">If an extension is granted under subsection (2) after the expiry of the period that would otherwise have applied under subsection (1) (the </w:t>
      </w:r>
      <w:r>
        <w:rPr>
          <w:rStyle w:val="CharDefText"/>
        </w:rPr>
        <w:t>original period</w:t>
      </w:r>
      <w:r>
        <w:t>), the approval of the plan of subdivision is taken not to have ceased to have effect under section 145(7) at the end of the original period.</w:t>
      </w:r>
    </w:p>
    <w:p>
      <w:pPr>
        <w:pStyle w:val="Footnotesection"/>
      </w:pPr>
      <w:r>
        <w:tab/>
        <w:t>[Section 145A inserted: No. 26 of 2020 s. 91.]</w:t>
      </w:r>
    </w:p>
    <w:p>
      <w:pPr>
        <w:pStyle w:val="Heading5"/>
      </w:pPr>
      <w:bookmarkStart w:id="384" w:name="_Toc155165537"/>
      <w:bookmarkStart w:id="385" w:name="_Toc155165236"/>
      <w:r>
        <w:rPr>
          <w:rStyle w:val="CharSectno"/>
        </w:rPr>
        <w:t>146</w:t>
      </w:r>
      <w:r>
        <w:t>.</w:t>
      </w:r>
      <w:r>
        <w:tab/>
        <w:t>No certificate of title for subdivided land without approved diagram or plan of survey</w:t>
      </w:r>
      <w:bookmarkEnd w:id="384"/>
      <w:bookmarkEnd w:id="385"/>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keepNext/>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386" w:name="_Toc155165538"/>
      <w:bookmarkStart w:id="387" w:name="_Toc155165237"/>
      <w:r>
        <w:rPr>
          <w:rStyle w:val="CharSectno"/>
        </w:rPr>
        <w:t>147</w:t>
      </w:r>
      <w:r>
        <w:t>.</w:t>
      </w:r>
      <w:r>
        <w:tab/>
        <w:t>No registration etc. of some land dealings without Commission’s approval</w:t>
      </w:r>
      <w:bookmarkEnd w:id="386"/>
      <w:bookmarkEnd w:id="387"/>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388" w:name="_Toc155165539"/>
      <w:bookmarkStart w:id="389" w:name="_Toc155165238"/>
      <w:r>
        <w:rPr>
          <w:rStyle w:val="CharDivNo"/>
        </w:rPr>
        <w:t>Division 3</w:t>
      </w:r>
      <w:r>
        <w:t> — </w:t>
      </w:r>
      <w:r>
        <w:rPr>
          <w:rStyle w:val="CharDivText"/>
        </w:rPr>
        <w:t>Conditions of subdivision</w:t>
      </w:r>
      <w:bookmarkEnd w:id="388"/>
      <w:bookmarkEnd w:id="389"/>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390" w:name="_Toc155165540"/>
      <w:bookmarkStart w:id="391" w:name="_Toc155165239"/>
      <w:r>
        <w:rPr>
          <w:rStyle w:val="CharSectno"/>
        </w:rPr>
        <w:t>150</w:t>
      </w:r>
      <w:r>
        <w:t>.</w:t>
      </w:r>
      <w:r>
        <w:tab/>
        <w:t>Road access, conditions as to</w:t>
      </w:r>
      <w:bookmarkEnd w:id="390"/>
      <w:bookmarkEnd w:id="391"/>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keepNext/>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392" w:name="_Toc155165541"/>
      <w:bookmarkStart w:id="393" w:name="_Toc155165240"/>
      <w:r>
        <w:rPr>
          <w:rStyle w:val="CharSectno"/>
        </w:rPr>
        <w:t>151</w:t>
      </w:r>
      <w:r>
        <w:t>.</w:t>
      </w:r>
      <w:r>
        <w:tab/>
        <w:t>Reconsidering conditions</w:t>
      </w:r>
      <w:bookmarkEnd w:id="392"/>
      <w:bookmarkEnd w:id="393"/>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394" w:name="_Toc155165542"/>
      <w:bookmarkStart w:id="395" w:name="_Toc155165241"/>
      <w:r>
        <w:rPr>
          <w:rStyle w:val="CharSectno"/>
        </w:rPr>
        <w:t>152</w:t>
      </w:r>
      <w:r>
        <w:t>.</w:t>
      </w:r>
      <w:r>
        <w:tab/>
        <w:t>Certain land to vest in Crown</w:t>
      </w:r>
      <w:bookmarkEnd w:id="394"/>
      <w:bookmarkEnd w:id="395"/>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396" w:name="_Toc155165543"/>
      <w:bookmarkStart w:id="397" w:name="_Toc155165242"/>
      <w:r>
        <w:rPr>
          <w:rStyle w:val="CharSectno"/>
        </w:rPr>
        <w:t>153</w:t>
      </w:r>
      <w:r>
        <w:t>.</w:t>
      </w:r>
      <w:r>
        <w:tab/>
        <w:t>Setting aside land for open space or payment in lieu</w:t>
      </w:r>
      <w:bookmarkEnd w:id="396"/>
      <w:bookmarkEnd w:id="397"/>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398" w:name="_Toc155165544"/>
      <w:bookmarkStart w:id="399" w:name="_Toc155165243"/>
      <w:r>
        <w:rPr>
          <w:rStyle w:val="CharSectno"/>
        </w:rPr>
        <w:t>154</w:t>
      </w:r>
      <w:r>
        <w:t>.</w:t>
      </w:r>
      <w:r>
        <w:tab/>
        <w:t>Money paid in lieu of open space, application of</w:t>
      </w:r>
      <w:bookmarkEnd w:id="398"/>
      <w:bookmarkEnd w:id="399"/>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400" w:name="_Toc155165545"/>
      <w:bookmarkStart w:id="401" w:name="_Toc155165244"/>
      <w:r>
        <w:rPr>
          <w:rStyle w:val="CharSectno"/>
        </w:rPr>
        <w:t>155</w:t>
      </w:r>
      <w:r>
        <w:t>.</w:t>
      </w:r>
      <w:r>
        <w:tab/>
        <w:t>Value of land for s. 153, how determined</w:t>
      </w:r>
      <w:bookmarkEnd w:id="400"/>
      <w:bookmarkEnd w:id="401"/>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keepNext/>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402" w:name="_Toc155165546"/>
      <w:bookmarkStart w:id="403" w:name="_Toc155165245"/>
      <w:r>
        <w:rPr>
          <w:rStyle w:val="CharSectno"/>
        </w:rPr>
        <w:t>156</w:t>
      </w:r>
      <w:r>
        <w:t>.</w:t>
      </w:r>
      <w:r>
        <w:tab/>
        <w:t>Valuation under s. 155, dispute as to</w:t>
      </w:r>
      <w:bookmarkEnd w:id="402"/>
      <w:bookmarkEnd w:id="403"/>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404" w:name="_Toc155165547"/>
      <w:bookmarkStart w:id="405" w:name="_Toc155165246"/>
      <w:r>
        <w:rPr>
          <w:rStyle w:val="CharSectno"/>
        </w:rPr>
        <w:t>157</w:t>
      </w:r>
      <w:r>
        <w:t>.</w:t>
      </w:r>
      <w:r>
        <w:tab/>
        <w:t>When approval of subdivision deemed to be approval under planning scheme</w:t>
      </w:r>
      <w:bookmarkEnd w:id="404"/>
      <w:bookmarkEnd w:id="405"/>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406" w:name="_Toc155165548"/>
      <w:bookmarkStart w:id="407" w:name="_Toc155165247"/>
      <w:r>
        <w:rPr>
          <w:rStyle w:val="CharDivNo"/>
        </w:rPr>
        <w:t>Division 4</w:t>
      </w:r>
      <w:r>
        <w:t> — </w:t>
      </w:r>
      <w:r>
        <w:rPr>
          <w:rStyle w:val="CharDivText"/>
        </w:rPr>
        <w:t>Subdivision costs</w:t>
      </w:r>
      <w:bookmarkEnd w:id="406"/>
      <w:bookmarkEnd w:id="407"/>
    </w:p>
    <w:p>
      <w:pPr>
        <w:pStyle w:val="Heading5"/>
      </w:pPr>
      <w:bookmarkStart w:id="408" w:name="_Toc155165549"/>
      <w:bookmarkStart w:id="409" w:name="_Toc155165248"/>
      <w:r>
        <w:rPr>
          <w:rStyle w:val="CharSectno"/>
        </w:rPr>
        <w:t>158</w:t>
      </w:r>
      <w:r>
        <w:t>.</w:t>
      </w:r>
      <w:r>
        <w:tab/>
        <w:t>Expenses of construction etc. of roads etc.</w:t>
      </w:r>
      <w:bookmarkEnd w:id="408"/>
      <w:bookmarkEnd w:id="409"/>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410" w:name="_Toc155165550"/>
      <w:bookmarkStart w:id="411" w:name="_Toc155165249"/>
      <w:r>
        <w:rPr>
          <w:rStyle w:val="CharSectno"/>
        </w:rPr>
        <w:t>159</w:t>
      </w:r>
      <w:r>
        <w:t>.</w:t>
      </w:r>
      <w:r>
        <w:tab/>
        <w:t>Subdivider may recover portion of road costs from later subdivider</w:t>
      </w:r>
      <w:bookmarkEnd w:id="410"/>
      <w:bookmarkEnd w:id="411"/>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pPr>
      <w:r>
        <w:tab/>
        <w:t>(2)</w:t>
      </w:r>
      <w:r>
        <w:tab/>
        <w:t xml:space="preserve">In this section — </w:t>
      </w:r>
    </w:p>
    <w:p>
      <w:pPr>
        <w:pStyle w:val="Defstart"/>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412" w:name="_Toc155165551"/>
      <w:bookmarkStart w:id="413" w:name="_Toc155165250"/>
      <w:r>
        <w:rPr>
          <w:rStyle w:val="CharSectno"/>
        </w:rPr>
        <w:t>160</w:t>
      </w:r>
      <w:r>
        <w:t>.</w:t>
      </w:r>
      <w:r>
        <w:tab/>
        <w:t>Money payable under s. 159, recovery of</w:t>
      </w:r>
      <w:bookmarkEnd w:id="412"/>
      <w:bookmarkEnd w:id="413"/>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414" w:name="_Toc155165552"/>
      <w:bookmarkStart w:id="415" w:name="_Toc155165251"/>
      <w:r>
        <w:rPr>
          <w:rStyle w:val="CharSectno"/>
        </w:rPr>
        <w:t>161</w:t>
      </w:r>
      <w:r>
        <w:t>.</w:t>
      </w:r>
      <w:r>
        <w:tab/>
        <w:t>When subdivision occurs</w:t>
      </w:r>
      <w:bookmarkEnd w:id="414"/>
      <w:bookmarkEnd w:id="415"/>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416" w:name="_Toc155165553"/>
      <w:bookmarkStart w:id="417" w:name="_Toc155165252"/>
      <w:r>
        <w:rPr>
          <w:rStyle w:val="CharDivNo"/>
        </w:rPr>
        <w:t>Division 5</w:t>
      </w:r>
      <w:r>
        <w:t> — </w:t>
      </w:r>
      <w:r>
        <w:rPr>
          <w:rStyle w:val="CharDivText"/>
        </w:rPr>
        <w:t>Development controls</w:t>
      </w:r>
      <w:bookmarkEnd w:id="416"/>
      <w:bookmarkEnd w:id="417"/>
    </w:p>
    <w:p>
      <w:pPr>
        <w:pStyle w:val="Heading5"/>
        <w:spacing w:before="180"/>
      </w:pPr>
      <w:bookmarkStart w:id="418" w:name="_Toc155165554"/>
      <w:bookmarkStart w:id="419" w:name="_Toc155165253"/>
      <w:r>
        <w:rPr>
          <w:rStyle w:val="CharSectno"/>
        </w:rPr>
        <w:t>162</w:t>
      </w:r>
      <w:r>
        <w:t>.</w:t>
      </w:r>
      <w:r>
        <w:tab/>
        <w:t>No development except with approval</w:t>
      </w:r>
      <w:bookmarkEnd w:id="418"/>
      <w:bookmarkEnd w:id="419"/>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420" w:name="_Toc155165555"/>
      <w:bookmarkStart w:id="421" w:name="_Toc155165254"/>
      <w:r>
        <w:rPr>
          <w:rStyle w:val="CharSectno"/>
        </w:rPr>
        <w:t>163</w:t>
      </w:r>
      <w:r>
        <w:t>.</w:t>
      </w:r>
      <w:r>
        <w:tab/>
        <w:t>Application for development of heritage place</w:t>
      </w:r>
      <w:bookmarkEnd w:id="420"/>
      <w:bookmarkEnd w:id="421"/>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pPr>
      <w:r>
        <w:tab/>
        <w:t>(a)</w:t>
      </w:r>
      <w:r>
        <w:tab/>
        <w:t>in the case of an application under a local planning scheme or local interim development order, to the responsible authority; and</w:t>
      </w:r>
    </w:p>
    <w:p>
      <w:pPr>
        <w:pStyle w:val="Indenta"/>
        <w:keepNext/>
      </w:pPr>
      <w:r>
        <w:tab/>
        <w:t>(b)</w:t>
      </w:r>
      <w:r>
        <w:tab/>
        <w:t>in any other case, to the Commission.</w:t>
      </w:r>
    </w:p>
    <w:p>
      <w:pPr>
        <w:pStyle w:val="Footnotesection"/>
      </w:pPr>
      <w:r>
        <w:tab/>
        <w:t>[Section 163 inserted: No. 22 of 2018 s. 186(12).]</w:t>
      </w:r>
    </w:p>
    <w:p>
      <w:pPr>
        <w:pStyle w:val="Heading5"/>
      </w:pPr>
      <w:bookmarkStart w:id="422" w:name="_Toc155165556"/>
      <w:bookmarkStart w:id="423" w:name="_Toc155165255"/>
      <w:r>
        <w:rPr>
          <w:rStyle w:val="CharSectno"/>
        </w:rPr>
        <w:t>164</w:t>
      </w:r>
      <w:r>
        <w:t>.</w:t>
      </w:r>
      <w:r>
        <w:tab/>
        <w:t>Development commenced or carried out, subsequent approval of</w:t>
      </w:r>
      <w:bookmarkEnd w:id="422"/>
      <w:bookmarkEnd w:id="423"/>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424" w:name="_Toc155165557"/>
      <w:bookmarkStart w:id="425" w:name="_Toc155165256"/>
      <w:r>
        <w:rPr>
          <w:rStyle w:val="CharDivNo"/>
        </w:rPr>
        <w:t>Division 5A</w:t>
      </w:r>
      <w:r>
        <w:t> — </w:t>
      </w:r>
      <w:r>
        <w:rPr>
          <w:rStyle w:val="CharDivText"/>
        </w:rPr>
        <w:t>Integration of subdivision and development</w:t>
      </w:r>
      <w:bookmarkEnd w:id="424"/>
      <w:bookmarkEnd w:id="425"/>
    </w:p>
    <w:p>
      <w:pPr>
        <w:pStyle w:val="Footnoteheading"/>
        <w:keepNext/>
      </w:pPr>
      <w:r>
        <w:tab/>
        <w:t>[Heading inserted: No. 30 of 2018 s. 166.]</w:t>
      </w:r>
    </w:p>
    <w:p>
      <w:pPr>
        <w:pStyle w:val="Heading5"/>
      </w:pPr>
      <w:bookmarkStart w:id="426" w:name="_Toc155165558"/>
      <w:bookmarkStart w:id="427" w:name="_Toc155165257"/>
      <w:r>
        <w:rPr>
          <w:rStyle w:val="CharSectno"/>
        </w:rPr>
        <w:t>164A</w:t>
      </w:r>
      <w:r>
        <w:t>.</w:t>
      </w:r>
      <w:r>
        <w:tab/>
        <w:t>Integration of subdivision and development</w:t>
      </w:r>
      <w:bookmarkEnd w:id="426"/>
      <w:bookmarkEnd w:id="427"/>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428" w:name="_Toc155165559"/>
      <w:bookmarkStart w:id="429" w:name="_Toc155165258"/>
      <w:r>
        <w:rPr>
          <w:rStyle w:val="CharDivNo"/>
        </w:rPr>
        <w:t>Division 6</w:t>
      </w:r>
      <w:r>
        <w:t> — </w:t>
      </w:r>
      <w:r>
        <w:rPr>
          <w:rStyle w:val="CharDivText"/>
        </w:rPr>
        <w:t>Miscellaneous</w:t>
      </w:r>
      <w:bookmarkEnd w:id="428"/>
      <w:bookmarkEnd w:id="429"/>
    </w:p>
    <w:p>
      <w:pPr>
        <w:pStyle w:val="Heading5"/>
      </w:pPr>
      <w:bookmarkStart w:id="430" w:name="_Toc155165560"/>
      <w:bookmarkStart w:id="431" w:name="_Toc155165259"/>
      <w:r>
        <w:rPr>
          <w:rStyle w:val="CharSectno"/>
        </w:rPr>
        <w:t>165</w:t>
      </w:r>
      <w:r>
        <w:t>.</w:t>
      </w:r>
      <w:r>
        <w:tab/>
        <w:t>Hazard etc. affecting land, notating titles as to</w:t>
      </w:r>
      <w:bookmarkEnd w:id="430"/>
      <w:bookmarkEnd w:id="431"/>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432" w:name="_Toc155165561"/>
      <w:bookmarkStart w:id="433" w:name="_Toc155165260"/>
      <w:r>
        <w:rPr>
          <w:rStyle w:val="CharSectno"/>
        </w:rPr>
        <w:t>166</w:t>
      </w:r>
      <w:r>
        <w:t>.</w:t>
      </w:r>
      <w:r>
        <w:tab/>
        <w:t>Encroachment that leads to approved subdivision</w:t>
      </w:r>
      <w:bookmarkEnd w:id="432"/>
      <w:bookmarkEnd w:id="433"/>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434" w:name="_Toc155165562"/>
      <w:bookmarkStart w:id="435" w:name="_Toc155165261"/>
      <w:r>
        <w:rPr>
          <w:rStyle w:val="CharSectno"/>
        </w:rPr>
        <w:t>167</w:t>
      </w:r>
      <w:r>
        <w:t>.</w:t>
      </w:r>
      <w:r>
        <w:tab/>
        <w:t>Easement, creation of etc. on subdivision etc.</w:t>
      </w:r>
      <w:bookmarkEnd w:id="434"/>
      <w:bookmarkEnd w:id="435"/>
    </w:p>
    <w:p>
      <w:pPr>
        <w:pStyle w:val="Subsection"/>
        <w:keepNext/>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436" w:name="_Toc155165563"/>
      <w:bookmarkStart w:id="437" w:name="_Toc155165262"/>
      <w:r>
        <w:rPr>
          <w:rStyle w:val="CharSectno"/>
        </w:rPr>
        <w:t>168</w:t>
      </w:r>
      <w:r>
        <w:t>.</w:t>
      </w:r>
      <w:r>
        <w:tab/>
        <w:t>Road, creation of etc. on subdivision etc.</w:t>
      </w:r>
      <w:bookmarkEnd w:id="436"/>
      <w:bookmarkEnd w:id="437"/>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r>
      <w:del w:id="438" w:author="Master Repository Process" w:date="2024-01-03T09:10:00Z">
        <w:r>
          <w:delText>The</w:delText>
        </w:r>
      </w:del>
      <w:ins w:id="439" w:author="Master Repository Process" w:date="2024-01-03T09:10:00Z">
        <w:r>
          <w:t xml:space="preserve">Subject to the </w:t>
        </w:r>
        <w:r>
          <w:rPr>
            <w:i/>
          </w:rPr>
          <w:t>Main Roads Act 1930</w:t>
        </w:r>
        <w:r>
          <w:t xml:space="preserve"> and the </w:t>
        </w:r>
        <w:r>
          <w:rPr>
            <w:i/>
          </w:rPr>
          <w:t>Public Works Act 1902</w:t>
        </w:r>
        <w:r>
          <w:t>, the</w:t>
        </w:r>
      </w:ins>
      <w:r>
        <w:t xml:space="preserve"> local government within the district </w:t>
      </w:r>
      <w:del w:id="440" w:author="Master Repository Process" w:date="2024-01-03T09:10:00Z">
        <w:r>
          <w:delText>in</w:delText>
        </w:r>
      </w:del>
      <w:ins w:id="441" w:author="Master Repository Process" w:date="2024-01-03T09:10:00Z">
        <w:r>
          <w:t>of</w:t>
        </w:r>
      </w:ins>
      <w:r>
        <w:t xml:space="preserve">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 xml:space="preserve">When a road corner shown on a plan deposited with the Authority </w:t>
      </w:r>
      <w:del w:id="442" w:author="Master Repository Process" w:date="2024-01-03T09:10:00Z">
        <w:r>
          <w:delText xml:space="preserve">or the LAA Department </w:delText>
        </w:r>
      </w:del>
      <w:r>
        <w:t>is subsequently rounded off or truncated, the portion of land so excised forms part of the road and is dedicated to the public use.</w:t>
      </w:r>
    </w:p>
    <w:p>
      <w:pPr>
        <w:pStyle w:val="Subsection"/>
      </w:pPr>
      <w:r>
        <w:tab/>
        <w:t>(7)</w:t>
      </w:r>
      <w:r>
        <w:tab/>
      </w:r>
      <w:del w:id="443" w:author="Master Repository Process" w:date="2024-01-03T09:10:00Z">
        <w:r>
          <w:delText>The</w:delText>
        </w:r>
      </w:del>
      <w:ins w:id="444" w:author="Master Repository Process" w:date="2024-01-03T09:10:00Z">
        <w:r>
          <w:t xml:space="preserve">Subject to the </w:t>
        </w:r>
        <w:r>
          <w:rPr>
            <w:i/>
          </w:rPr>
          <w:t>Main Roads Act 1930</w:t>
        </w:r>
        <w:r>
          <w:t xml:space="preserve"> and the </w:t>
        </w:r>
        <w:r>
          <w:rPr>
            <w:i/>
          </w:rPr>
          <w:t>Public Works Act 1902</w:t>
        </w:r>
        <w:r>
          <w:t>, the</w:t>
        </w:r>
      </w:ins>
      <w:r>
        <w:t xml:space="preserve"> local government within the district </w:t>
      </w:r>
      <w:del w:id="445" w:author="Master Repository Process" w:date="2024-01-03T09:10:00Z">
        <w:r>
          <w:delText>in</w:delText>
        </w:r>
      </w:del>
      <w:ins w:id="446" w:author="Master Repository Process" w:date="2024-01-03T09:10:00Z">
        <w:r>
          <w:t>of</w:t>
        </w:r>
      </w:ins>
      <w:r>
        <w:t xml:space="preserve">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Land referred to in subsection (1), (3</w:t>
      </w:r>
      <w:ins w:id="447" w:author="Master Repository Process" w:date="2024-01-03T09:10:00Z">
        <w:r>
          <w:t>), (5</w:t>
        </w:r>
      </w:ins>
      <w:r>
        <w:t xml:space="preserve">) or (6) does not form part of a parcel comprised in a scheme plan that is registered under the </w:t>
      </w:r>
      <w:r>
        <w:rPr>
          <w:i/>
        </w:rPr>
        <w:t>Strata Titles Act 1985</w:t>
      </w:r>
      <w:r>
        <w:t>.</w:t>
      </w:r>
    </w:p>
    <w:p>
      <w:pPr>
        <w:pStyle w:val="Subsection"/>
        <w:rPr>
          <w:ins w:id="448" w:author="Master Repository Process" w:date="2024-01-03T09:10:00Z"/>
        </w:rPr>
      </w:pPr>
      <w:ins w:id="449" w:author="Master Repository Process" w:date="2024-01-03T09:10:00Z">
        <w:r>
          <w:tab/>
          <w:t>(10)</w:t>
        </w:r>
        <w:r>
          <w:tab/>
          <w:t xml:space="preserve">Land referred to in subsection (1), (3), (5) or (6) is subject to any existing encumbrance specified in a direction of the Minister responsible for the administration of the </w:t>
        </w:r>
        <w:r>
          <w:rPr>
            <w:i/>
          </w:rPr>
          <w:t>Land Administration Act 1997</w:t>
        </w:r>
        <w:r>
          <w:t xml:space="preserve">, or a person authorised in writing by that Minister for the purposes of this subsection, lodged with the Registrar of Titles — </w:t>
        </w:r>
      </w:ins>
    </w:p>
    <w:p>
      <w:pPr>
        <w:pStyle w:val="Indenta"/>
        <w:rPr>
          <w:ins w:id="450" w:author="Master Repository Process" w:date="2024-01-03T09:10:00Z"/>
        </w:rPr>
      </w:pPr>
      <w:ins w:id="451" w:author="Master Repository Process" w:date="2024-01-03T09:10:00Z">
        <w:r>
          <w:tab/>
          <w:t>(a)</w:t>
        </w:r>
        <w:r>
          <w:tab/>
          <w:t xml:space="preserve">in the case of a scheme plan lodged for registration under the </w:t>
        </w:r>
        <w:r>
          <w:rPr>
            <w:i/>
          </w:rPr>
          <w:t>Strata Titles Act 1985</w:t>
        </w:r>
        <w:r>
          <w:t> — at or before the time the Registrar of Titles registers the plan under that Act; or</w:t>
        </w:r>
      </w:ins>
    </w:p>
    <w:p>
      <w:pPr>
        <w:pStyle w:val="Indenta"/>
        <w:rPr>
          <w:ins w:id="452" w:author="Master Repository Process" w:date="2024-01-03T09:10:00Z"/>
        </w:rPr>
      </w:pPr>
      <w:ins w:id="453" w:author="Master Repository Process" w:date="2024-01-03T09:10:00Z">
        <w:r>
          <w:tab/>
          <w:t>(b)</w:t>
        </w:r>
        <w:r>
          <w:tab/>
          <w:t>in the case of a diagram or plan lodged with an application for a new certificate or certificates — at or before the time the new certificate, or if more than one, all the new certificates, for the land the subject of the diagram or plan have been registered; or</w:t>
        </w:r>
      </w:ins>
    </w:p>
    <w:p>
      <w:pPr>
        <w:pStyle w:val="Indenta"/>
        <w:rPr>
          <w:ins w:id="454" w:author="Master Repository Process" w:date="2024-01-03T09:10:00Z"/>
        </w:rPr>
      </w:pPr>
      <w:ins w:id="455" w:author="Master Repository Process" w:date="2024-01-03T09:10:00Z">
        <w:r>
          <w:tab/>
          <w:t>(c)</w:t>
        </w:r>
        <w:r>
          <w:tab/>
          <w:t>in the case of a plan lodged with an application for registration of a document giving effect to a rounding off or truncation — at or before the time of the registration of that document.</w:t>
        </w:r>
      </w:ins>
    </w:p>
    <w:p>
      <w:pPr>
        <w:pStyle w:val="Footnotesection"/>
        <w:ind w:left="890" w:hanging="890"/>
      </w:pPr>
      <w:r>
        <w:tab/>
        <w:t>[Section 168 amended: No. 60 of 2006 s. 147(7); No. 30 of 2018 s. 169</w:t>
      </w:r>
      <w:ins w:id="456" w:author="Master Repository Process" w:date="2024-01-03T09:10:00Z">
        <w:r>
          <w:t>; No. 4 of 2023 s. 144</w:t>
        </w:r>
      </w:ins>
      <w:r>
        <w:t>.]</w:t>
      </w:r>
    </w:p>
    <w:p>
      <w:pPr>
        <w:pStyle w:val="Heading5"/>
      </w:pPr>
      <w:bookmarkStart w:id="457" w:name="_Toc155165564"/>
      <w:bookmarkStart w:id="458" w:name="_Toc155165263"/>
      <w:r>
        <w:rPr>
          <w:rStyle w:val="CharSectno"/>
        </w:rPr>
        <w:t>169</w:t>
      </w:r>
      <w:r>
        <w:t>.</w:t>
      </w:r>
      <w:r>
        <w:tab/>
        <w:t>Roads and waterways, minimum standards of construction for</w:t>
      </w:r>
      <w:bookmarkEnd w:id="457"/>
      <w:bookmarkEnd w:id="458"/>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459" w:name="_Toc155165565"/>
      <w:bookmarkStart w:id="460" w:name="_Toc155165264"/>
      <w:r>
        <w:rPr>
          <w:rStyle w:val="CharSectno"/>
        </w:rPr>
        <w:t>170</w:t>
      </w:r>
      <w:r>
        <w:t>.</w:t>
      </w:r>
      <w:r>
        <w:tab/>
        <w:t>Proposed road or waterway, drawings etc. of required</w:t>
      </w:r>
      <w:bookmarkEnd w:id="459"/>
      <w:bookmarkEnd w:id="460"/>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keepNext/>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keepNext/>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461" w:name="_Toc155165566"/>
      <w:bookmarkStart w:id="462" w:name="_Toc155165265"/>
      <w:r>
        <w:rPr>
          <w:rStyle w:val="CharPartNo"/>
        </w:rPr>
        <w:t>Part 11A</w:t>
      </w:r>
      <w:r>
        <w:rPr>
          <w:b w:val="0"/>
        </w:rPr>
        <w:t> </w:t>
      </w:r>
      <w:r>
        <w:t>—</w:t>
      </w:r>
      <w:r>
        <w:rPr>
          <w:b w:val="0"/>
        </w:rPr>
        <w:t> </w:t>
      </w:r>
      <w:r>
        <w:rPr>
          <w:rStyle w:val="CharPartText"/>
        </w:rPr>
        <w:t>Development Assessment Panels and development control</w:t>
      </w:r>
      <w:bookmarkEnd w:id="461"/>
      <w:bookmarkEnd w:id="462"/>
    </w:p>
    <w:p>
      <w:pPr>
        <w:pStyle w:val="Footnoteheading"/>
      </w:pPr>
      <w:r>
        <w:tab/>
        <w:t xml:space="preserve">[Heading inserted: No. 28 of 2010 s. 43.] </w:t>
      </w:r>
    </w:p>
    <w:p>
      <w:pPr>
        <w:pStyle w:val="Heading3"/>
      </w:pPr>
      <w:bookmarkStart w:id="463" w:name="_Toc155165567"/>
      <w:bookmarkStart w:id="464" w:name="_Toc155165266"/>
      <w:r>
        <w:rPr>
          <w:rStyle w:val="CharDivNo"/>
        </w:rPr>
        <w:t>Division 1</w:t>
      </w:r>
      <w:r>
        <w:t> — </w:t>
      </w:r>
      <w:r>
        <w:rPr>
          <w:rStyle w:val="CharDivText"/>
        </w:rPr>
        <w:t>Functions of DAPs</w:t>
      </w:r>
      <w:bookmarkEnd w:id="463"/>
      <w:bookmarkEnd w:id="464"/>
    </w:p>
    <w:p>
      <w:pPr>
        <w:pStyle w:val="Footnoteheading"/>
      </w:pPr>
      <w:r>
        <w:tab/>
        <w:t xml:space="preserve">[Heading inserted: No. 28 of 2010 s. 43.] </w:t>
      </w:r>
    </w:p>
    <w:p>
      <w:pPr>
        <w:pStyle w:val="Heading5"/>
      </w:pPr>
      <w:bookmarkStart w:id="465" w:name="_Toc155165568"/>
      <w:bookmarkStart w:id="466" w:name="_Toc155165267"/>
      <w:r>
        <w:rPr>
          <w:rStyle w:val="CharSectno"/>
        </w:rPr>
        <w:t>171A</w:t>
      </w:r>
      <w:r>
        <w:t>.</w:t>
      </w:r>
      <w:r>
        <w:tab/>
        <w:t>Prescribed development applications, DAP to determine and regulations for</w:t>
      </w:r>
      <w:bookmarkEnd w:id="465"/>
      <w:bookmarkEnd w:id="466"/>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keepNext/>
      </w:pPr>
      <w:r>
        <w:tab/>
        <w:t>(h)</w:t>
      </w:r>
      <w:r>
        <w:tab/>
        <w:t>providing for the review of a determination of a prescribed development application.</w:t>
      </w:r>
    </w:p>
    <w:p>
      <w:pPr>
        <w:pStyle w:val="Subsection"/>
      </w:pPr>
      <w:r>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467" w:name="_Toc155165569"/>
      <w:bookmarkStart w:id="468" w:name="_Toc155165268"/>
      <w:r>
        <w:rPr>
          <w:rStyle w:val="CharSectno"/>
        </w:rPr>
        <w:t>171B</w:t>
      </w:r>
      <w:r>
        <w:t>.</w:t>
      </w:r>
      <w:r>
        <w:tab/>
        <w:t>DAP to carry out delegated functions</w:t>
      </w:r>
      <w:bookmarkEnd w:id="467"/>
      <w:bookmarkEnd w:id="468"/>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469" w:name="_Toc155165570"/>
      <w:bookmarkStart w:id="470" w:name="_Toc155165269"/>
      <w:r>
        <w:rPr>
          <w:rStyle w:val="CharDivNo"/>
        </w:rPr>
        <w:t>Division 2</w:t>
      </w:r>
      <w:r>
        <w:t> — </w:t>
      </w:r>
      <w:r>
        <w:rPr>
          <w:rStyle w:val="CharDivText"/>
        </w:rPr>
        <w:t>Development Assessment Panels: establishment and administration</w:t>
      </w:r>
      <w:bookmarkEnd w:id="469"/>
      <w:bookmarkEnd w:id="470"/>
    </w:p>
    <w:p>
      <w:pPr>
        <w:pStyle w:val="Footnoteheading"/>
        <w:keepNext/>
      </w:pPr>
      <w:r>
        <w:tab/>
        <w:t xml:space="preserve">[Heading inserted: No. 28 of 2010 s. 43.] </w:t>
      </w:r>
    </w:p>
    <w:p>
      <w:pPr>
        <w:pStyle w:val="Heading5"/>
        <w:spacing w:before="180"/>
      </w:pPr>
      <w:bookmarkStart w:id="471" w:name="_Toc155165571"/>
      <w:bookmarkStart w:id="472" w:name="_Toc155165270"/>
      <w:r>
        <w:rPr>
          <w:rStyle w:val="CharSectno"/>
        </w:rPr>
        <w:t>171C</w:t>
      </w:r>
      <w:r>
        <w:t>.</w:t>
      </w:r>
      <w:r>
        <w:tab/>
        <w:t>Establishment of DAPs</w:t>
      </w:r>
      <w:bookmarkEnd w:id="471"/>
      <w:bookmarkEnd w:id="472"/>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473" w:name="_Toc155165572"/>
      <w:bookmarkStart w:id="474" w:name="_Toc155165271"/>
      <w:r>
        <w:rPr>
          <w:rStyle w:val="CharSectno"/>
        </w:rPr>
        <w:t>171D</w:t>
      </w:r>
      <w:r>
        <w:t>.</w:t>
      </w:r>
      <w:r>
        <w:tab/>
        <w:t>Constitution, procedure and conduct of DAPs</w:t>
      </w:r>
      <w:bookmarkEnd w:id="473"/>
      <w:bookmarkEnd w:id="474"/>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keepNext/>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475" w:name="_Toc155165573"/>
      <w:bookmarkStart w:id="476" w:name="_Toc155165272"/>
      <w:r>
        <w:rPr>
          <w:rStyle w:val="CharSectno"/>
        </w:rPr>
        <w:t>171E</w:t>
      </w:r>
      <w:r>
        <w:t>.</w:t>
      </w:r>
      <w:r>
        <w:tab/>
        <w:t>Administration and costs of DAPs</w:t>
      </w:r>
      <w:bookmarkEnd w:id="475"/>
      <w:bookmarkEnd w:id="476"/>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477" w:name="_Toc155165574"/>
      <w:bookmarkStart w:id="478" w:name="_Toc155165273"/>
      <w:r>
        <w:rPr>
          <w:rStyle w:val="CharSectno"/>
        </w:rPr>
        <w:t>171F</w:t>
      </w:r>
      <w:r>
        <w:t>.</w:t>
      </w:r>
      <w:r>
        <w:tab/>
        <w:t>Review of regulations</w:t>
      </w:r>
      <w:bookmarkEnd w:id="477"/>
      <w:bookmarkEnd w:id="478"/>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479" w:name="_Toc155165575"/>
      <w:bookmarkStart w:id="480" w:name="_Toc155165274"/>
      <w:r>
        <w:rPr>
          <w:rStyle w:val="CharPartNo"/>
        </w:rPr>
        <w:t>Part 11</w:t>
      </w:r>
      <w:r>
        <w:t> — </w:t>
      </w:r>
      <w:r>
        <w:rPr>
          <w:rStyle w:val="CharPartText"/>
        </w:rPr>
        <w:t>Compensation and acquisition</w:t>
      </w:r>
      <w:bookmarkEnd w:id="479"/>
      <w:bookmarkEnd w:id="480"/>
    </w:p>
    <w:p>
      <w:pPr>
        <w:pStyle w:val="Heading3"/>
      </w:pPr>
      <w:bookmarkStart w:id="481" w:name="_Toc155165576"/>
      <w:bookmarkStart w:id="482" w:name="_Toc155165275"/>
      <w:r>
        <w:rPr>
          <w:rStyle w:val="CharDivNo"/>
        </w:rPr>
        <w:t>Division 1</w:t>
      </w:r>
      <w:r>
        <w:t> — </w:t>
      </w:r>
      <w:r>
        <w:rPr>
          <w:rStyle w:val="CharDivText"/>
        </w:rPr>
        <w:t>General matters in relation to compensation</w:t>
      </w:r>
      <w:bookmarkEnd w:id="481"/>
      <w:bookmarkEnd w:id="482"/>
    </w:p>
    <w:p>
      <w:pPr>
        <w:pStyle w:val="Heading5"/>
      </w:pPr>
      <w:bookmarkStart w:id="483" w:name="_Toc155165577"/>
      <w:bookmarkStart w:id="484" w:name="_Toc155165276"/>
      <w:r>
        <w:rPr>
          <w:rStyle w:val="CharSectno"/>
        </w:rPr>
        <w:t>171</w:t>
      </w:r>
      <w:r>
        <w:t>.</w:t>
      </w:r>
      <w:r>
        <w:tab/>
        <w:t>Entitlement to compensation, limits on</w:t>
      </w:r>
      <w:bookmarkEnd w:id="483"/>
      <w:bookmarkEnd w:id="484"/>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485" w:name="_Toc155165578"/>
      <w:bookmarkStart w:id="486" w:name="_Toc155165277"/>
      <w:r>
        <w:rPr>
          <w:rStyle w:val="CharDivNo"/>
        </w:rPr>
        <w:t>Division 2</w:t>
      </w:r>
      <w:r>
        <w:t> — </w:t>
      </w:r>
      <w:r>
        <w:rPr>
          <w:rStyle w:val="CharDivText"/>
        </w:rPr>
        <w:t>Compensation where land injuriously affected by planning scheme</w:t>
      </w:r>
      <w:bookmarkEnd w:id="485"/>
      <w:bookmarkEnd w:id="486"/>
    </w:p>
    <w:p>
      <w:pPr>
        <w:pStyle w:val="Heading5"/>
      </w:pPr>
      <w:bookmarkStart w:id="487" w:name="_Toc155165579"/>
      <w:bookmarkStart w:id="488" w:name="_Toc155165278"/>
      <w:r>
        <w:rPr>
          <w:rStyle w:val="CharSectno"/>
        </w:rPr>
        <w:t>172</w:t>
      </w:r>
      <w:r>
        <w:t>.</w:t>
      </w:r>
      <w:r>
        <w:tab/>
        <w:t>Terms used</w:t>
      </w:r>
      <w:bookmarkEnd w:id="487"/>
      <w:bookmarkEnd w:id="488"/>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489" w:name="_Toc155165580"/>
      <w:bookmarkStart w:id="490" w:name="_Toc155165279"/>
      <w:r>
        <w:rPr>
          <w:rStyle w:val="CharSectno"/>
        </w:rPr>
        <w:t>173</w:t>
      </w:r>
      <w:r>
        <w:t>.</w:t>
      </w:r>
      <w:r>
        <w:tab/>
        <w:t>Injurious affection, compensation for</w:t>
      </w:r>
      <w:bookmarkEnd w:id="489"/>
      <w:bookmarkEnd w:id="490"/>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491" w:name="_Toc155165581"/>
      <w:bookmarkStart w:id="492" w:name="_Toc155165280"/>
      <w:r>
        <w:rPr>
          <w:rStyle w:val="CharSectno"/>
        </w:rPr>
        <w:t>174</w:t>
      </w:r>
      <w:r>
        <w:t>.</w:t>
      </w:r>
      <w:r>
        <w:tab/>
        <w:t>When land is injuriously affected</w:t>
      </w:r>
      <w:bookmarkEnd w:id="491"/>
      <w:bookmarkEnd w:id="492"/>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493" w:name="_Toc155165582"/>
      <w:bookmarkStart w:id="494" w:name="_Toc155165281"/>
      <w:r>
        <w:rPr>
          <w:rStyle w:val="CharSectno"/>
        </w:rPr>
        <w:t>175</w:t>
      </w:r>
      <w:r>
        <w:t>.</w:t>
      </w:r>
      <w:r>
        <w:tab/>
        <w:t>No compensation if scheme’s provisions are, or could have been, in certain other laws</w:t>
      </w:r>
      <w:bookmarkEnd w:id="493"/>
      <w:bookmarkEnd w:id="494"/>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495" w:name="_Toc155165583"/>
      <w:bookmarkStart w:id="496" w:name="_Toc155165282"/>
      <w:r>
        <w:rPr>
          <w:rStyle w:val="CharSectno"/>
        </w:rPr>
        <w:t>176</w:t>
      </w:r>
      <w:r>
        <w:t>.</w:t>
      </w:r>
      <w:r>
        <w:tab/>
        <w:t>Questions as to injurious affection etc., how determined</w:t>
      </w:r>
      <w:bookmarkEnd w:id="495"/>
      <w:bookmarkEnd w:id="496"/>
    </w:p>
    <w:p>
      <w:pPr>
        <w:pStyle w:val="Subsection"/>
        <w:keepNext/>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497" w:name="_Toc155165584"/>
      <w:bookmarkStart w:id="498" w:name="_Toc155165283"/>
      <w:r>
        <w:rPr>
          <w:rStyle w:val="CharSectno"/>
        </w:rPr>
        <w:t>177</w:t>
      </w:r>
      <w:r>
        <w:t>.</w:t>
      </w:r>
      <w:r>
        <w:tab/>
        <w:t>When compensation payable if land reserved</w:t>
      </w:r>
      <w:bookmarkEnd w:id="497"/>
      <w:bookmarkEnd w:id="498"/>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keepNext/>
      </w:pPr>
      <w:r>
        <w:tab/>
        <w:t>(b)</w:t>
      </w:r>
      <w:r>
        <w:tab/>
        <w:t>under subsection (1)(b) to the person who was the owner of the land at the date of application referred to in subsection (1)(b),</w:t>
      </w:r>
    </w:p>
    <w:p>
      <w:pPr>
        <w:pStyle w:val="Subsection"/>
        <w:keepNext/>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499" w:name="_Toc155165585"/>
      <w:bookmarkStart w:id="500" w:name="_Toc155165284"/>
      <w:r>
        <w:rPr>
          <w:rStyle w:val="CharSectno"/>
        </w:rPr>
        <w:t>178</w:t>
      </w:r>
      <w:r>
        <w:t>.</w:t>
      </w:r>
      <w:r>
        <w:tab/>
        <w:t>Claim for compensation, time for making</w:t>
      </w:r>
      <w:bookmarkEnd w:id="499"/>
      <w:bookmarkEnd w:id="500"/>
    </w:p>
    <w:p>
      <w:pPr>
        <w:pStyle w:val="Subsection"/>
      </w:pPr>
      <w:r>
        <w:tab/>
        <w:t>(1)</w:t>
      </w:r>
      <w:r>
        <w:tab/>
        <w:t xml:space="preserve">A claim for compensation for injurious affection to land by the making or amendment of a planning scheme is to be made — </w:t>
      </w:r>
    </w:p>
    <w:p>
      <w:pPr>
        <w:pStyle w:val="Indenta"/>
        <w:keepNext/>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501" w:name="_Toc155165586"/>
      <w:bookmarkStart w:id="502" w:name="_Toc155165285"/>
      <w:r>
        <w:rPr>
          <w:rStyle w:val="CharSectno"/>
        </w:rPr>
        <w:t>179</w:t>
      </w:r>
      <w:r>
        <w:t>.</w:t>
      </w:r>
      <w:r>
        <w:tab/>
        <w:t>Injurious affection due to land being reserved, amount of compensation for</w:t>
      </w:r>
      <w:bookmarkEnd w:id="501"/>
      <w:bookmarkEnd w:id="502"/>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keepNext/>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503" w:name="_Toc155165587"/>
      <w:bookmarkStart w:id="504" w:name="_Toc155165286"/>
      <w:r>
        <w:rPr>
          <w:rStyle w:val="CharSectno"/>
        </w:rPr>
        <w:t>180</w:t>
      </w:r>
      <w:r>
        <w:t>.</w:t>
      </w:r>
      <w:r>
        <w:tab/>
        <w:t>Notating title to land after compensation paid</w:t>
      </w:r>
      <w:bookmarkEnd w:id="503"/>
      <w:bookmarkEnd w:id="504"/>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505" w:name="_Toc155165588"/>
      <w:bookmarkStart w:id="506" w:name="_Toc155165287"/>
      <w:r>
        <w:rPr>
          <w:rStyle w:val="CharSectno"/>
        </w:rPr>
        <w:t>181</w:t>
      </w:r>
      <w:r>
        <w:t>.</w:t>
      </w:r>
      <w:r>
        <w:tab/>
        <w:t>Recovering paid compensation if reservation revoked or reduced</w:t>
      </w:r>
      <w:bookmarkEnd w:id="505"/>
      <w:bookmarkEnd w:id="506"/>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keepNext/>
              <w:tabs>
                <w:tab w:val="clear" w:pos="567"/>
                <w:tab w:val="left" w:pos="1157"/>
              </w:tabs>
            </w:pPr>
            <w:r>
              <w:rPr>
                <w:i/>
              </w:rPr>
              <w:t>Example</w:t>
            </w:r>
            <w:r>
              <w:t>:</w:t>
            </w:r>
            <w:r>
              <w:tab/>
              <w:t>Original compensation</w:t>
            </w:r>
            <w:r>
              <w:br/>
            </w:r>
            <w:r>
              <w:tab/>
              <w:t>proportion</w:t>
            </w:r>
          </w:p>
        </w:tc>
        <w:tc>
          <w:tcPr>
            <w:tcW w:w="1134" w:type="dxa"/>
          </w:tcPr>
          <w:p>
            <w:pPr>
              <w:pStyle w:val="TableNAm"/>
              <w:keepNext/>
            </w:pPr>
            <w:r>
              <w:br/>
              <w:t>25%</w:t>
            </w:r>
          </w:p>
        </w:tc>
      </w:tr>
      <w:tr>
        <w:trPr>
          <w:cantSplit/>
        </w:trPr>
        <w:tc>
          <w:tcPr>
            <w:tcW w:w="4252" w:type="dxa"/>
          </w:tcPr>
          <w:p>
            <w:pPr>
              <w:pStyle w:val="TableNAm"/>
              <w:keepNext/>
              <w:tabs>
                <w:tab w:val="clear" w:pos="567"/>
                <w:tab w:val="left" w:pos="1157"/>
              </w:tabs>
            </w:pPr>
            <w:r>
              <w:tab/>
              <w:t xml:space="preserve">      Less</w:t>
            </w:r>
          </w:p>
        </w:tc>
        <w:tc>
          <w:tcPr>
            <w:tcW w:w="1134" w:type="dxa"/>
          </w:tcPr>
          <w:p>
            <w:pPr>
              <w:pStyle w:val="TableNAm"/>
              <w:keepNext/>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keepNext/>
              <w:keepLines/>
              <w:tabs>
                <w:tab w:val="clear" w:pos="567"/>
                <w:tab w:val="left" w:pos="1157"/>
              </w:tabs>
            </w:pPr>
            <w:r>
              <w:tab/>
              <w:t xml:space="preserve">      Less</w:t>
            </w:r>
          </w:p>
        </w:tc>
        <w:tc>
          <w:tcPr>
            <w:tcW w:w="1134" w:type="dxa"/>
          </w:tcPr>
          <w:p>
            <w:pPr>
              <w:pStyle w:val="TableNAm"/>
              <w:keepNext/>
              <w:keepLines/>
            </w:pPr>
          </w:p>
        </w:tc>
      </w:tr>
      <w:tr>
        <w:tc>
          <w:tcPr>
            <w:tcW w:w="4252" w:type="dxa"/>
          </w:tcPr>
          <w:p>
            <w:pPr>
              <w:pStyle w:val="TableNAm"/>
              <w:keepLines/>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keepLines/>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507" w:name="_Toc155165589"/>
      <w:bookmarkStart w:id="508" w:name="_Toc155165288"/>
      <w:r>
        <w:rPr>
          <w:rStyle w:val="CharSectno"/>
        </w:rPr>
        <w:t>182</w:t>
      </w:r>
      <w:r>
        <w:t>.</w:t>
      </w:r>
      <w:r>
        <w:tab/>
        <w:t>Board of Valuers</w:t>
      </w:r>
      <w:bookmarkEnd w:id="507"/>
      <w:bookmarkEnd w:id="508"/>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509" w:name="_Toc155165590"/>
      <w:bookmarkStart w:id="510" w:name="_Toc155165289"/>
      <w:r>
        <w:rPr>
          <w:rStyle w:val="CharSectno"/>
        </w:rPr>
        <w:t>183</w:t>
      </w:r>
      <w:r>
        <w:t>.</w:t>
      </w:r>
      <w:r>
        <w:tab/>
        <w:t>Valuations by Board</w:t>
      </w:r>
      <w:bookmarkEnd w:id="509"/>
      <w:bookmarkEnd w:id="510"/>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511" w:name="_Toc155165591"/>
      <w:bookmarkStart w:id="512" w:name="_Toc155165290"/>
      <w:r>
        <w:rPr>
          <w:rStyle w:val="CharDivNo"/>
        </w:rPr>
        <w:t>Division 3</w:t>
      </w:r>
      <w:r>
        <w:t> — </w:t>
      </w:r>
      <w:r>
        <w:rPr>
          <w:rStyle w:val="CharDivText"/>
        </w:rPr>
        <w:t>Other compensation</w:t>
      </w:r>
      <w:bookmarkEnd w:id="511"/>
      <w:bookmarkEnd w:id="512"/>
    </w:p>
    <w:p>
      <w:pPr>
        <w:pStyle w:val="Heading5"/>
      </w:pPr>
      <w:bookmarkStart w:id="513" w:name="_Toc155165592"/>
      <w:bookmarkStart w:id="514" w:name="_Toc155165291"/>
      <w:r>
        <w:rPr>
          <w:rStyle w:val="CharSectno"/>
        </w:rPr>
        <w:t>184</w:t>
      </w:r>
      <w:r>
        <w:t>.</w:t>
      </w:r>
      <w:r>
        <w:tab/>
        <w:t>Betterment; compensation for expenses rendered abortive by amendment or repeal of scheme</w:t>
      </w:r>
      <w:bookmarkEnd w:id="513"/>
      <w:bookmarkEnd w:id="514"/>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515" w:name="_Toc155165593"/>
      <w:bookmarkStart w:id="516" w:name="_Toc155165292"/>
      <w:r>
        <w:rPr>
          <w:rStyle w:val="CharSectno"/>
        </w:rPr>
        <w:t>185</w:t>
      </w:r>
      <w:r>
        <w:t>.</w:t>
      </w:r>
      <w:r>
        <w:tab/>
        <w:t>Injurious affection due to interim development order</w:t>
      </w:r>
      <w:bookmarkEnd w:id="515"/>
      <w:bookmarkEnd w:id="516"/>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517" w:name="_Toc155165594"/>
      <w:bookmarkStart w:id="518" w:name="_Toc155165293"/>
      <w:r>
        <w:rPr>
          <w:rStyle w:val="CharSectno"/>
        </w:rPr>
        <w:t>186</w:t>
      </w:r>
      <w:r>
        <w:t>.</w:t>
      </w:r>
      <w:r>
        <w:tab/>
        <w:t>Injurious affection due to planning control area</w:t>
      </w:r>
      <w:bookmarkEnd w:id="517"/>
      <w:bookmarkEnd w:id="518"/>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519" w:name="_Toc155165595"/>
      <w:bookmarkStart w:id="520" w:name="_Toc155165294"/>
      <w:r>
        <w:rPr>
          <w:rStyle w:val="CharDivNo"/>
        </w:rPr>
        <w:t>Division 4</w:t>
      </w:r>
      <w:r>
        <w:t> — </w:t>
      </w:r>
      <w:r>
        <w:rPr>
          <w:rStyle w:val="CharDivText"/>
        </w:rPr>
        <w:t>Purchase or compulsory acquisition</w:t>
      </w:r>
      <w:bookmarkEnd w:id="519"/>
      <w:bookmarkEnd w:id="520"/>
    </w:p>
    <w:p>
      <w:pPr>
        <w:pStyle w:val="Heading5"/>
        <w:spacing w:before="180"/>
      </w:pPr>
      <w:bookmarkStart w:id="521" w:name="_Toc155165596"/>
      <w:bookmarkStart w:id="522" w:name="_Toc155165295"/>
      <w:r>
        <w:rPr>
          <w:rStyle w:val="CharSectno"/>
        </w:rPr>
        <w:t>187</w:t>
      </w:r>
      <w:r>
        <w:t>.</w:t>
      </w:r>
      <w:r>
        <w:tab/>
        <w:t>Acquiring land in lieu of paying compensation</w:t>
      </w:r>
      <w:bookmarkEnd w:id="521"/>
      <w:bookmarkEnd w:id="522"/>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523" w:name="_Toc155165597"/>
      <w:bookmarkStart w:id="524" w:name="_Toc155165296"/>
      <w:r>
        <w:rPr>
          <w:rStyle w:val="CharSectno"/>
        </w:rPr>
        <w:t>188</w:t>
      </w:r>
      <w:r>
        <w:t>.</w:t>
      </w:r>
      <w:r>
        <w:tab/>
        <w:t>Land to be acquired under s. 187, valuing</w:t>
      </w:r>
      <w:bookmarkEnd w:id="523"/>
      <w:bookmarkEnd w:id="524"/>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525" w:name="_Toc155165598"/>
      <w:bookmarkStart w:id="526" w:name="_Toc155165297"/>
      <w:r>
        <w:rPr>
          <w:rStyle w:val="CharSectno"/>
        </w:rPr>
        <w:t>189</w:t>
      </w:r>
      <w:r>
        <w:t>.</w:t>
      </w:r>
      <w:r>
        <w:tab/>
        <w:t>Land in proposed region planning scheme, Commission may purchase</w:t>
      </w:r>
      <w:bookmarkEnd w:id="525"/>
      <w:bookmarkEnd w:id="526"/>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527" w:name="_Toc155165599"/>
      <w:bookmarkStart w:id="528" w:name="_Toc155165298"/>
      <w:r>
        <w:rPr>
          <w:rStyle w:val="CharSectno"/>
        </w:rPr>
        <w:t>190</w:t>
      </w:r>
      <w:r>
        <w:t>.</w:t>
      </w:r>
      <w:r>
        <w:tab/>
        <w:t>Responsible authority may purchase land for planning scheme</w:t>
      </w:r>
      <w:bookmarkEnd w:id="527"/>
      <w:bookmarkEnd w:id="528"/>
    </w:p>
    <w:p>
      <w:pPr>
        <w:pStyle w:val="Subsection"/>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529" w:name="_Toc155165600"/>
      <w:bookmarkStart w:id="530" w:name="_Toc155165299"/>
      <w:r>
        <w:rPr>
          <w:rStyle w:val="CharSectno"/>
        </w:rPr>
        <w:t>191</w:t>
      </w:r>
      <w:r>
        <w:t>.</w:t>
      </w:r>
      <w:r>
        <w:tab/>
        <w:t>Compulsory acquisition of land in scheme area</w:t>
      </w:r>
      <w:bookmarkEnd w:id="529"/>
      <w:bookmarkEnd w:id="530"/>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w:t>
      </w:r>
      <w:ins w:id="531" w:author="Master Repository Process" w:date="2024-01-03T09:10:00Z">
        <w:r>
          <w:t xml:space="preserve">the </w:t>
        </w:r>
        <w:r>
          <w:rPr>
            <w:i/>
          </w:rPr>
          <w:t>Public Works Act 1902</w:t>
        </w:r>
        <w:r>
          <w:t xml:space="preserve"> </w:t>
        </w:r>
      </w:ins>
      <w:r>
        <w:t>section </w:t>
      </w:r>
      <w:del w:id="532" w:author="Master Repository Process" w:date="2024-01-03T09:10:00Z">
        <w:r>
          <w:delText>151(1) of that Act</w:delText>
        </w:r>
      </w:del>
      <w:ins w:id="533" w:author="Master Repository Process" w:date="2024-01-03T09:10:00Z">
        <w:r>
          <w:t>2</w:t>
        </w:r>
      </w:ins>
      <w:r>
        <w:t>).</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keepNext/>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w:t>
      </w:r>
      <w:del w:id="534" w:author="Master Repository Process" w:date="2024-01-03T09:10:00Z">
        <w:r>
          <w:delText>16</w:delText>
        </w:r>
      </w:del>
      <w:ins w:id="535" w:author="Master Repository Process" w:date="2024-01-03T09:10:00Z">
        <w:r>
          <w:t>16; No. 4 of 2023 s. 145</w:t>
        </w:r>
      </w:ins>
      <w:r>
        <w:t>.]</w:t>
      </w:r>
    </w:p>
    <w:p>
      <w:pPr>
        <w:pStyle w:val="Heading5"/>
      </w:pPr>
      <w:bookmarkStart w:id="536" w:name="_Toc155165601"/>
      <w:bookmarkStart w:id="537" w:name="_Toc155165300"/>
      <w:r>
        <w:rPr>
          <w:rStyle w:val="CharSectno"/>
        </w:rPr>
        <w:t>192</w:t>
      </w:r>
      <w:r>
        <w:t>.</w:t>
      </w:r>
      <w:r>
        <w:tab/>
        <w:t>Land etc. to be acquired under s. 191, valuing</w:t>
      </w:r>
      <w:bookmarkEnd w:id="536"/>
      <w:bookmarkEnd w:id="537"/>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keepNext/>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538" w:name="_Toc155165602"/>
      <w:bookmarkStart w:id="539" w:name="_Toc155165301"/>
      <w:r>
        <w:rPr>
          <w:rStyle w:val="CharSectno"/>
        </w:rPr>
        <w:t>193</w:t>
      </w:r>
      <w:r>
        <w:t>.</w:t>
      </w:r>
      <w:r>
        <w:tab/>
        <w:t>Responsible authority’s powers as to acquired land</w:t>
      </w:r>
      <w:bookmarkEnd w:id="538"/>
      <w:bookmarkEnd w:id="539"/>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540" w:name="_Toc155165603"/>
      <w:bookmarkStart w:id="541" w:name="_Toc155165302"/>
      <w:r>
        <w:rPr>
          <w:rStyle w:val="CharSectno"/>
        </w:rPr>
        <w:t>194</w:t>
      </w:r>
      <w:r>
        <w:t>.</w:t>
      </w:r>
      <w:r>
        <w:tab/>
        <w:t>Responsible authority may grant easement over acquired land</w:t>
      </w:r>
      <w:bookmarkEnd w:id="540"/>
      <w:bookmarkEnd w:id="541"/>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542" w:name="_Toc155165604"/>
      <w:bookmarkStart w:id="543" w:name="_Toc155165303"/>
      <w:r>
        <w:rPr>
          <w:rStyle w:val="CharSectno"/>
        </w:rPr>
        <w:t>195</w:t>
      </w:r>
      <w:r>
        <w:t>.</w:t>
      </w:r>
      <w:r>
        <w:tab/>
        <w:t>Commission’s powers to acquire land in improvement plan</w:t>
      </w:r>
      <w:bookmarkEnd w:id="542"/>
      <w:bookmarkEnd w:id="543"/>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 xml:space="preserve">as if the land were required for a public work (as defined in </w:t>
      </w:r>
      <w:ins w:id="544" w:author="Master Repository Process" w:date="2024-01-03T09:10:00Z">
        <w:r>
          <w:t xml:space="preserve">the </w:t>
        </w:r>
        <w:r>
          <w:rPr>
            <w:i/>
          </w:rPr>
          <w:t>Public Works Act 1902</w:t>
        </w:r>
        <w:r>
          <w:t xml:space="preserve"> </w:t>
        </w:r>
      </w:ins>
      <w:r>
        <w:t>section </w:t>
      </w:r>
      <w:del w:id="545" w:author="Master Repository Process" w:date="2024-01-03T09:10:00Z">
        <w:r>
          <w:delText>151(1) of that Act</w:delText>
        </w:r>
      </w:del>
      <w:ins w:id="546" w:author="Master Repository Process" w:date="2024-01-03T09:10:00Z">
        <w:r>
          <w:t>2</w:t>
        </w:r>
      </w:ins>
      <w:r>
        <w:t>),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[Section 195 amended: No. 28 of 2010 s. 16; No. 26 of 2020 s. 17</w:t>
      </w:r>
      <w:ins w:id="547" w:author="Master Repository Process" w:date="2024-01-03T09:10:00Z">
        <w:r>
          <w:t>; No. 4 of 2023 s. 146</w:t>
        </w:r>
      </w:ins>
      <w:r>
        <w:t xml:space="preserve">.] </w:t>
      </w:r>
    </w:p>
    <w:p>
      <w:pPr>
        <w:pStyle w:val="Heading5"/>
      </w:pPr>
      <w:bookmarkStart w:id="548" w:name="_Toc155165605"/>
      <w:bookmarkStart w:id="549" w:name="_Toc155165304"/>
      <w:r>
        <w:rPr>
          <w:rStyle w:val="CharSectno"/>
        </w:rPr>
        <w:t>196</w:t>
      </w:r>
      <w:r>
        <w:t>.</w:t>
      </w:r>
      <w:r>
        <w:tab/>
        <w:t>Commission may sell etc. acquired land</w:t>
      </w:r>
      <w:bookmarkEnd w:id="548"/>
      <w:bookmarkEnd w:id="549"/>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550" w:name="_Toc155165606"/>
      <w:bookmarkStart w:id="551" w:name="_Toc155165305"/>
      <w:r>
        <w:rPr>
          <w:rStyle w:val="CharSectno"/>
        </w:rPr>
        <w:t>197</w:t>
      </w:r>
      <w:r>
        <w:t>.</w:t>
      </w:r>
      <w:r>
        <w:tab/>
        <w:t>Declaring land for public work to be instead held etc. for region planning scheme or improvement plan</w:t>
      </w:r>
      <w:bookmarkEnd w:id="550"/>
      <w:bookmarkEnd w:id="551"/>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552" w:name="_Toc155165607"/>
      <w:bookmarkStart w:id="553" w:name="_Toc155165306"/>
      <w:r>
        <w:rPr>
          <w:rStyle w:val="CharSectno"/>
        </w:rPr>
        <w:t>197A</w:t>
      </w:r>
      <w:r>
        <w:t>.</w:t>
      </w:r>
      <w:r>
        <w:tab/>
        <w:t>Planning control areas</w:t>
      </w:r>
      <w:bookmarkEnd w:id="552"/>
      <w:bookmarkEnd w:id="553"/>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 xml:space="preserve">Part 9 as if the land were required for a public work (as defined in </w:t>
      </w:r>
      <w:ins w:id="554" w:author="Master Repository Process" w:date="2024-01-03T09:10:00Z">
        <w:r>
          <w:t xml:space="preserve">the </w:t>
        </w:r>
        <w:r>
          <w:rPr>
            <w:i/>
          </w:rPr>
          <w:t>Public Works Act 1902</w:t>
        </w:r>
        <w:r>
          <w:t xml:space="preserve"> </w:t>
        </w:r>
      </w:ins>
      <w:r>
        <w:t>section </w:t>
      </w:r>
      <w:del w:id="555" w:author="Master Repository Process" w:date="2024-01-03T09:10:00Z">
        <w:r>
          <w:delText>151(1) of that Act</w:delText>
        </w:r>
      </w:del>
      <w:ins w:id="556" w:author="Master Repository Process" w:date="2024-01-03T09:10:00Z">
        <w:r>
          <w:t>2</w:t>
        </w:r>
      </w:ins>
      <w:r>
        <w:t>).</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keepNext/>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w:t>
      </w:r>
      <w:del w:id="557" w:author="Master Repository Process" w:date="2024-01-03T09:10:00Z">
        <w:r>
          <w:delText>19</w:delText>
        </w:r>
      </w:del>
      <w:ins w:id="558" w:author="Master Repository Process" w:date="2024-01-03T09:10:00Z">
        <w:r>
          <w:t>19; amended: No. 4 of 2023 s. 147</w:t>
        </w:r>
      </w:ins>
      <w:r>
        <w:t>.]</w:t>
      </w:r>
    </w:p>
    <w:p>
      <w:pPr>
        <w:pStyle w:val="Heading2"/>
      </w:pPr>
      <w:bookmarkStart w:id="559" w:name="_Toc155165608"/>
      <w:bookmarkStart w:id="560" w:name="_Toc155165307"/>
      <w:r>
        <w:rPr>
          <w:rStyle w:val="CharPartNo"/>
        </w:rPr>
        <w:t>Part 12</w:t>
      </w:r>
      <w:r>
        <w:t> — </w:t>
      </w:r>
      <w:r>
        <w:rPr>
          <w:rStyle w:val="CharPartText"/>
        </w:rPr>
        <w:t>Financial provisions</w:t>
      </w:r>
      <w:bookmarkEnd w:id="559"/>
      <w:bookmarkEnd w:id="560"/>
    </w:p>
    <w:p>
      <w:pPr>
        <w:pStyle w:val="Heading3"/>
      </w:pPr>
      <w:bookmarkStart w:id="561" w:name="_Toc155165609"/>
      <w:bookmarkStart w:id="562" w:name="_Toc155165308"/>
      <w:r>
        <w:rPr>
          <w:rStyle w:val="CharDivNo"/>
        </w:rPr>
        <w:t>Division 1</w:t>
      </w:r>
      <w:r>
        <w:t> — </w:t>
      </w:r>
      <w:r>
        <w:rPr>
          <w:rStyle w:val="CharDivText"/>
        </w:rPr>
        <w:t>Metropolitan Region Improvement Fund</w:t>
      </w:r>
      <w:bookmarkEnd w:id="561"/>
      <w:bookmarkEnd w:id="562"/>
    </w:p>
    <w:p>
      <w:pPr>
        <w:pStyle w:val="Heading5"/>
        <w:spacing w:before="240"/>
      </w:pPr>
      <w:bookmarkStart w:id="563" w:name="_Toc155165610"/>
      <w:bookmarkStart w:id="564" w:name="_Toc155165309"/>
      <w:r>
        <w:rPr>
          <w:rStyle w:val="CharSectno"/>
        </w:rPr>
        <w:t>198</w:t>
      </w:r>
      <w:r>
        <w:t>.</w:t>
      </w:r>
      <w:r>
        <w:tab/>
        <w:t>Metropolitan Region Improvement Account</w:t>
      </w:r>
      <w:bookmarkEnd w:id="563"/>
      <w:bookmarkEnd w:id="564"/>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565" w:name="_Toc155165611"/>
      <w:bookmarkStart w:id="566" w:name="_Toc155165310"/>
      <w:r>
        <w:rPr>
          <w:rStyle w:val="CharSectno"/>
        </w:rPr>
        <w:t>199</w:t>
      </w:r>
      <w:r>
        <w:t>.</w:t>
      </w:r>
      <w:r>
        <w:tab/>
        <w:t>MRI Account, application of</w:t>
      </w:r>
      <w:bookmarkEnd w:id="565"/>
      <w:bookmarkEnd w:id="566"/>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567" w:name="_Toc155165612"/>
      <w:bookmarkStart w:id="568" w:name="_Toc155165311"/>
      <w:r>
        <w:rPr>
          <w:rStyle w:val="CharDivNo"/>
        </w:rPr>
        <w:t>Division 2</w:t>
      </w:r>
      <w:r>
        <w:t> — </w:t>
      </w:r>
      <w:r>
        <w:rPr>
          <w:rStyle w:val="CharDivText"/>
        </w:rPr>
        <w:t>Metropolitan Region Improvement Tax</w:t>
      </w:r>
      <w:bookmarkEnd w:id="567"/>
      <w:bookmarkEnd w:id="568"/>
    </w:p>
    <w:p>
      <w:pPr>
        <w:pStyle w:val="Heading5"/>
      </w:pPr>
      <w:bookmarkStart w:id="569" w:name="_Toc155165613"/>
      <w:bookmarkStart w:id="570" w:name="_Toc155165312"/>
      <w:r>
        <w:rPr>
          <w:rStyle w:val="CharSectno"/>
        </w:rPr>
        <w:t>200</w:t>
      </w:r>
      <w:r>
        <w:t>.</w:t>
      </w:r>
      <w:r>
        <w:tab/>
        <w:t>Owners’ liability to pay tax</w:t>
      </w:r>
      <w:bookmarkEnd w:id="569"/>
      <w:bookmarkEnd w:id="570"/>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571" w:name="_Toc155165614"/>
      <w:bookmarkStart w:id="572" w:name="_Toc155165313"/>
      <w:r>
        <w:rPr>
          <w:rStyle w:val="CharSectno"/>
        </w:rPr>
        <w:t>201</w:t>
      </w:r>
      <w:r>
        <w:t>.</w:t>
      </w:r>
      <w:r>
        <w:rPr>
          <w:vertAlign w:val="superscript"/>
        </w:rPr>
        <w:t> 1MC</w:t>
      </w:r>
      <w:r>
        <w:tab/>
        <w:t>Tax collections, how to be dealt with</w:t>
      </w:r>
      <w:bookmarkEnd w:id="571"/>
      <w:bookmarkEnd w:id="572"/>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573" w:name="_Toc155165615"/>
      <w:bookmarkStart w:id="574" w:name="_Toc155165314"/>
      <w:r>
        <w:rPr>
          <w:rStyle w:val="CharDivNo"/>
        </w:rPr>
        <w:t>Division 3</w:t>
      </w:r>
      <w:r>
        <w:t> — </w:t>
      </w:r>
      <w:r>
        <w:rPr>
          <w:rStyle w:val="CharDivText"/>
        </w:rPr>
        <w:t>Financial provisions relating to the Commission</w:t>
      </w:r>
      <w:bookmarkEnd w:id="573"/>
      <w:bookmarkEnd w:id="574"/>
    </w:p>
    <w:p>
      <w:pPr>
        <w:pStyle w:val="Heading5"/>
      </w:pPr>
      <w:bookmarkStart w:id="575" w:name="_Toc155165616"/>
      <w:bookmarkStart w:id="576" w:name="_Toc155165315"/>
      <w:r>
        <w:rPr>
          <w:rStyle w:val="CharSectno"/>
        </w:rPr>
        <w:t>202</w:t>
      </w:r>
      <w:r>
        <w:t>.</w:t>
      </w:r>
      <w:r>
        <w:tab/>
        <w:t>Saving</w:t>
      </w:r>
      <w:bookmarkEnd w:id="575"/>
      <w:bookmarkEnd w:id="576"/>
    </w:p>
    <w:p>
      <w:pPr>
        <w:pStyle w:val="Subsection"/>
      </w:pPr>
      <w:r>
        <w:tab/>
      </w:r>
      <w:r>
        <w:tab/>
        <w:t>Nothing in this Division is to be read as derogating from Division 1 and this Division has effect subject to that Division.</w:t>
      </w:r>
    </w:p>
    <w:p>
      <w:pPr>
        <w:pStyle w:val="Heading5"/>
      </w:pPr>
      <w:bookmarkStart w:id="577" w:name="_Toc155165617"/>
      <w:bookmarkStart w:id="578" w:name="_Toc155165316"/>
      <w:r>
        <w:rPr>
          <w:rStyle w:val="CharSectno"/>
        </w:rPr>
        <w:t>203</w:t>
      </w:r>
      <w:r>
        <w:t>.</w:t>
      </w:r>
      <w:r>
        <w:tab/>
        <w:t>Funds of Commission</w:t>
      </w:r>
      <w:bookmarkEnd w:id="577"/>
      <w:bookmarkEnd w:id="578"/>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579" w:name="_Toc155165618"/>
      <w:bookmarkStart w:id="580" w:name="_Toc155165317"/>
      <w:r>
        <w:rPr>
          <w:rStyle w:val="CharSectno"/>
        </w:rPr>
        <w:t>204</w:t>
      </w:r>
      <w:r>
        <w:t>.</w:t>
      </w:r>
      <w:r>
        <w:tab/>
        <w:t>Minister’s approval needed for some contracts and expenditure</w:t>
      </w:r>
      <w:bookmarkEnd w:id="579"/>
      <w:bookmarkEnd w:id="580"/>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581" w:name="_Toc155165619"/>
      <w:bookmarkStart w:id="582" w:name="_Toc155165318"/>
      <w:r>
        <w:rPr>
          <w:rStyle w:val="CharSectno"/>
        </w:rPr>
        <w:t>205</w:t>
      </w:r>
      <w:r>
        <w:t>.</w:t>
      </w:r>
      <w:r>
        <w:tab/>
        <w:t>Borrowing powers</w:t>
      </w:r>
      <w:bookmarkEnd w:id="581"/>
      <w:bookmarkEnd w:id="582"/>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keepLines/>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583" w:name="_Toc155165620"/>
      <w:bookmarkStart w:id="584" w:name="_Toc155165319"/>
      <w:r>
        <w:rPr>
          <w:rStyle w:val="CharSectno"/>
        </w:rPr>
        <w:t>206</w:t>
      </w:r>
      <w:r>
        <w:t>.</w:t>
      </w:r>
      <w:r>
        <w:tab/>
        <w:t>Borrowing from Treasurer</w:t>
      </w:r>
      <w:bookmarkEnd w:id="583"/>
      <w:bookmarkEnd w:id="584"/>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585" w:name="_Toc155165621"/>
      <w:bookmarkStart w:id="586" w:name="_Toc155165320"/>
      <w:r>
        <w:rPr>
          <w:rStyle w:val="CharSectno"/>
        </w:rPr>
        <w:t>207</w:t>
      </w:r>
      <w:r>
        <w:t>.</w:t>
      </w:r>
      <w:r>
        <w:tab/>
        <w:t>Guarantees by Treasurer</w:t>
      </w:r>
      <w:bookmarkEnd w:id="585"/>
      <w:bookmarkEnd w:id="586"/>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587" w:name="_Toc155165622"/>
      <w:bookmarkStart w:id="588" w:name="_Toc155165321"/>
      <w:r>
        <w:rPr>
          <w:rStyle w:val="CharSectno"/>
        </w:rPr>
        <w:t>208</w:t>
      </w:r>
      <w:r>
        <w:t>.</w:t>
      </w:r>
      <w:r>
        <w:tab/>
      </w:r>
      <w:r>
        <w:rPr>
          <w:i/>
        </w:rPr>
        <w:t>Financial Management Act 2006</w:t>
      </w:r>
      <w:r>
        <w:t xml:space="preserve"> and </w:t>
      </w:r>
      <w:r>
        <w:rPr>
          <w:i/>
        </w:rPr>
        <w:t>Auditor General Act 2006</w:t>
      </w:r>
      <w:r>
        <w:t>, application of</w:t>
      </w:r>
      <w:bookmarkEnd w:id="587"/>
      <w:bookmarkEnd w:id="588"/>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589" w:name="_Toc155165623"/>
      <w:bookmarkStart w:id="590" w:name="_Toc155165322"/>
      <w:r>
        <w:rPr>
          <w:rStyle w:val="CharSectno"/>
        </w:rPr>
        <w:t>209</w:t>
      </w:r>
      <w:r>
        <w:t>.</w:t>
      </w:r>
      <w:r>
        <w:tab/>
        <w:t>Commission’s land not subject to rates etc.</w:t>
      </w:r>
      <w:bookmarkEnd w:id="589"/>
      <w:bookmarkEnd w:id="590"/>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591" w:name="_Toc155165624"/>
      <w:bookmarkStart w:id="592" w:name="_Toc155165323"/>
      <w:r>
        <w:rPr>
          <w:rStyle w:val="CharDivNo"/>
        </w:rPr>
        <w:t>Division 4</w:t>
      </w:r>
      <w:r>
        <w:t> — </w:t>
      </w:r>
      <w:r>
        <w:rPr>
          <w:rStyle w:val="CharDivText"/>
        </w:rPr>
        <w:t>Financial provisions relating to local governments</w:t>
      </w:r>
      <w:bookmarkEnd w:id="591"/>
      <w:bookmarkEnd w:id="592"/>
    </w:p>
    <w:p>
      <w:pPr>
        <w:pStyle w:val="Heading5"/>
      </w:pPr>
      <w:bookmarkStart w:id="593" w:name="_Toc155165625"/>
      <w:bookmarkStart w:id="594" w:name="_Toc155165324"/>
      <w:r>
        <w:rPr>
          <w:rStyle w:val="CharSectno"/>
        </w:rPr>
        <w:t>210</w:t>
      </w:r>
      <w:r>
        <w:t>.</w:t>
      </w:r>
      <w:r>
        <w:tab/>
        <w:t>Apportioning expenses between local governments</w:t>
      </w:r>
      <w:bookmarkEnd w:id="593"/>
      <w:bookmarkEnd w:id="594"/>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595" w:name="_Toc155165626"/>
      <w:bookmarkStart w:id="596" w:name="_Toc155165325"/>
      <w:r>
        <w:rPr>
          <w:rStyle w:val="CharPartNo"/>
        </w:rPr>
        <w:t>Part 13</w:t>
      </w:r>
      <w:r>
        <w:t> — </w:t>
      </w:r>
      <w:r>
        <w:rPr>
          <w:rStyle w:val="CharPartText"/>
        </w:rPr>
        <w:t>Enforcement and legal proceedings</w:t>
      </w:r>
      <w:bookmarkEnd w:id="595"/>
      <w:bookmarkEnd w:id="596"/>
    </w:p>
    <w:p>
      <w:pPr>
        <w:pStyle w:val="Heading3"/>
      </w:pPr>
      <w:bookmarkStart w:id="597" w:name="_Toc155165627"/>
      <w:bookmarkStart w:id="598" w:name="_Toc155165326"/>
      <w:r>
        <w:rPr>
          <w:rStyle w:val="CharDivNo"/>
        </w:rPr>
        <w:t>Division 1</w:t>
      </w:r>
      <w:r>
        <w:t> — </w:t>
      </w:r>
      <w:r>
        <w:rPr>
          <w:rStyle w:val="CharDivText"/>
        </w:rPr>
        <w:t>Enforcement</w:t>
      </w:r>
      <w:bookmarkEnd w:id="597"/>
      <w:bookmarkEnd w:id="598"/>
    </w:p>
    <w:p>
      <w:pPr>
        <w:pStyle w:val="Heading5"/>
      </w:pPr>
      <w:bookmarkStart w:id="599" w:name="_Toc155165628"/>
      <w:bookmarkStart w:id="600" w:name="_Toc155165327"/>
      <w:r>
        <w:rPr>
          <w:rStyle w:val="CharSectno"/>
        </w:rPr>
        <w:t>211</w:t>
      </w:r>
      <w:r>
        <w:t>.</w:t>
      </w:r>
      <w:r>
        <w:tab/>
        <w:t>Person aggrieved by local government’s omission may go to Minister; Minister’s powers</w:t>
      </w:r>
      <w:bookmarkEnd w:id="599"/>
      <w:bookmarkEnd w:id="600"/>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601" w:name="_Toc155165629"/>
      <w:bookmarkStart w:id="602" w:name="_Toc155165328"/>
      <w:r>
        <w:rPr>
          <w:rStyle w:val="CharSectno"/>
        </w:rPr>
        <w:t>212</w:t>
      </w:r>
      <w:r>
        <w:t>.</w:t>
      </w:r>
      <w:r>
        <w:tab/>
        <w:t>Breach of order etc. by local government, Minister’s powers as to</w:t>
      </w:r>
      <w:bookmarkEnd w:id="601"/>
      <w:bookmarkEnd w:id="602"/>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603" w:name="_Toc155165630"/>
      <w:bookmarkStart w:id="604" w:name="_Toc155165329"/>
      <w:r>
        <w:rPr>
          <w:rStyle w:val="CharSectno"/>
        </w:rPr>
        <w:t>213</w:t>
      </w:r>
      <w:r>
        <w:t>.</w:t>
      </w:r>
      <w:r>
        <w:tab/>
        <w:t>Minister’s action under s. 212, effect of</w:t>
      </w:r>
      <w:bookmarkEnd w:id="603"/>
      <w:bookmarkEnd w:id="604"/>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605" w:name="_Toc155165631"/>
      <w:bookmarkStart w:id="606" w:name="_Toc155165330"/>
      <w:r>
        <w:rPr>
          <w:rStyle w:val="CharSectno"/>
        </w:rPr>
        <w:t>214</w:t>
      </w:r>
      <w:r>
        <w:t>.</w:t>
      </w:r>
      <w:r>
        <w:tab/>
        <w:t>Illegal development, responsible authority’s powers as to</w:t>
      </w:r>
      <w:bookmarkEnd w:id="605"/>
      <w:bookmarkEnd w:id="606"/>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keepNext/>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607" w:name="_Toc155165632"/>
      <w:bookmarkStart w:id="608" w:name="_Toc155165331"/>
      <w:r>
        <w:rPr>
          <w:rStyle w:val="CharSectno"/>
        </w:rPr>
        <w:t>215</w:t>
      </w:r>
      <w:r>
        <w:t>.</w:t>
      </w:r>
      <w:r>
        <w:tab/>
        <w:t>Illegal development, responsible authority’s powers to remove etc.</w:t>
      </w:r>
      <w:bookmarkEnd w:id="607"/>
      <w:bookmarkEnd w:id="608"/>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keepLines/>
      </w:pPr>
      <w:r>
        <w:tab/>
        <w:t>(2)</w:t>
      </w:r>
      <w:r>
        <w:tab/>
        <w:t>Any expenses incurred by a responsible authority under subsection (1) may be recovered from the person to whom the direction was given as a debt due in a court of competent jurisdiction.</w:t>
      </w:r>
    </w:p>
    <w:p>
      <w:pPr>
        <w:pStyle w:val="Heading5"/>
      </w:pPr>
      <w:bookmarkStart w:id="609" w:name="_Toc155165633"/>
      <w:bookmarkStart w:id="610" w:name="_Toc155165332"/>
      <w:r>
        <w:rPr>
          <w:rStyle w:val="CharSectno"/>
        </w:rPr>
        <w:t>216</w:t>
      </w:r>
      <w:r>
        <w:t>.</w:t>
      </w:r>
      <w:r>
        <w:tab/>
        <w:t>Breach of Act etc. or development approval, injunctions as to</w:t>
      </w:r>
      <w:bookmarkEnd w:id="609"/>
      <w:bookmarkEnd w:id="610"/>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keepNext/>
      </w:pPr>
      <w:r>
        <w:tab/>
        <w:t>(i)</w:t>
      </w:r>
      <w:r>
        <w:tab/>
        <w:t>in the case where the development is commenced but not carried out, restraining the continuation or completion of the development or any use of the development; or</w:t>
      </w:r>
    </w:p>
    <w:p>
      <w:pPr>
        <w:pStyle w:val="Indenti"/>
        <w:keepNext/>
      </w:pPr>
      <w:r>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611" w:name="_Toc155165634"/>
      <w:bookmarkStart w:id="612" w:name="_Toc155165333"/>
      <w:r>
        <w:rPr>
          <w:rStyle w:val="CharSectno"/>
        </w:rPr>
        <w:t>217</w:t>
      </w:r>
      <w:r>
        <w:t>.</w:t>
      </w:r>
      <w:r>
        <w:tab/>
        <w:t>Environmental conditions, Minister’s powers to enforce</w:t>
      </w:r>
      <w:bookmarkEnd w:id="611"/>
      <w:bookmarkEnd w:id="612"/>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keepLines/>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613" w:name="_Toc155165635"/>
      <w:bookmarkStart w:id="614" w:name="_Toc155165334"/>
      <w:r>
        <w:rPr>
          <w:rStyle w:val="CharDivNo"/>
        </w:rPr>
        <w:t>Division 2</w:t>
      </w:r>
      <w:r>
        <w:t> — </w:t>
      </w:r>
      <w:r>
        <w:rPr>
          <w:rStyle w:val="CharDivText"/>
        </w:rPr>
        <w:t>Offences</w:t>
      </w:r>
      <w:bookmarkEnd w:id="613"/>
      <w:bookmarkEnd w:id="614"/>
    </w:p>
    <w:p>
      <w:pPr>
        <w:pStyle w:val="Heading5"/>
      </w:pPr>
      <w:bookmarkStart w:id="615" w:name="_Toc155165636"/>
      <w:bookmarkStart w:id="616" w:name="_Toc155165335"/>
      <w:r>
        <w:rPr>
          <w:rStyle w:val="CharSectno"/>
        </w:rPr>
        <w:t>218</w:t>
      </w:r>
      <w:r>
        <w:t>.</w:t>
      </w:r>
      <w:r>
        <w:tab/>
        <w:t>Planning scheme or condition on development, contravening etc.</w:t>
      </w:r>
      <w:bookmarkEnd w:id="615"/>
      <w:bookmarkEnd w:id="616"/>
    </w:p>
    <w:p>
      <w:pPr>
        <w:pStyle w:val="Subsection"/>
        <w:keepNext/>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617" w:name="_Toc155165637"/>
      <w:bookmarkStart w:id="618" w:name="_Toc155165336"/>
      <w:r>
        <w:rPr>
          <w:rStyle w:val="CharSectno"/>
        </w:rPr>
        <w:t>219</w:t>
      </w:r>
      <w:r>
        <w:t>.</w:t>
      </w:r>
      <w:r>
        <w:tab/>
        <w:t>Unauthorised subdivision works</w:t>
      </w:r>
      <w:bookmarkEnd w:id="617"/>
      <w:bookmarkEnd w:id="618"/>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619" w:name="_Toc155165638"/>
      <w:bookmarkStart w:id="620" w:name="_Toc155165337"/>
      <w:r>
        <w:rPr>
          <w:rStyle w:val="CharSectno"/>
        </w:rPr>
        <w:t>220</w:t>
      </w:r>
      <w:r>
        <w:t>.</w:t>
      </w:r>
      <w:r>
        <w:tab/>
        <w:t>Planning control area, unauthorised development in</w:t>
      </w:r>
      <w:bookmarkEnd w:id="619"/>
      <w:bookmarkEnd w:id="620"/>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621" w:name="_Toc155165639"/>
      <w:bookmarkStart w:id="622" w:name="_Toc155165338"/>
      <w:r>
        <w:rPr>
          <w:rStyle w:val="CharSectno"/>
        </w:rPr>
        <w:t>221</w:t>
      </w:r>
      <w:r>
        <w:t>.</w:t>
      </w:r>
      <w:r>
        <w:tab/>
        <w:t>Interim development order, contravening</w:t>
      </w:r>
      <w:bookmarkEnd w:id="621"/>
      <w:bookmarkEnd w:id="622"/>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623" w:name="_Toc155165640"/>
      <w:bookmarkStart w:id="624" w:name="_Toc155165339"/>
      <w:r>
        <w:rPr>
          <w:rStyle w:val="CharSectno"/>
        </w:rPr>
        <w:t>222</w:t>
      </w:r>
      <w:r>
        <w:t>.</w:t>
      </w:r>
      <w:r>
        <w:tab/>
        <w:t>Heritage place, unauthorised development in</w:t>
      </w:r>
      <w:bookmarkEnd w:id="623"/>
      <w:bookmarkEnd w:id="624"/>
    </w:p>
    <w:p>
      <w:pPr>
        <w:pStyle w:val="Subsection"/>
        <w:keepNext/>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625" w:name="_Toc155165641"/>
      <w:bookmarkStart w:id="626" w:name="_Toc155165340"/>
      <w:r>
        <w:rPr>
          <w:rStyle w:val="CharSectno"/>
        </w:rPr>
        <w:t>223</w:t>
      </w:r>
      <w:r>
        <w:t>.</w:t>
      </w:r>
      <w:r>
        <w:tab/>
        <w:t>General penalty</w:t>
      </w:r>
      <w:bookmarkEnd w:id="625"/>
      <w:bookmarkEnd w:id="626"/>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627" w:name="_Toc155165642"/>
      <w:bookmarkStart w:id="628" w:name="_Toc155165341"/>
      <w:r>
        <w:rPr>
          <w:rStyle w:val="CharSectno"/>
        </w:rPr>
        <w:t>224</w:t>
      </w:r>
      <w:r>
        <w:t>.</w:t>
      </w:r>
      <w:r>
        <w:tab/>
        <w:t>Other enforcement provisions not affected</w:t>
      </w:r>
      <w:bookmarkEnd w:id="627"/>
      <w:bookmarkEnd w:id="628"/>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629" w:name="_Toc155165643"/>
      <w:bookmarkStart w:id="630" w:name="_Toc155165342"/>
      <w:r>
        <w:rPr>
          <w:rStyle w:val="CharSectno"/>
        </w:rPr>
        <w:t>225</w:t>
      </w:r>
      <w:r>
        <w:t>.</w:t>
      </w:r>
      <w:r>
        <w:tab/>
        <w:t>Onus of proof in vehicle offence may be shifted</w:t>
      </w:r>
      <w:bookmarkEnd w:id="629"/>
      <w:bookmarkEnd w:id="630"/>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631" w:name="_Toc155165644"/>
      <w:bookmarkStart w:id="632" w:name="_Toc155165343"/>
      <w:r>
        <w:rPr>
          <w:rStyle w:val="CharDivNo"/>
        </w:rPr>
        <w:t>Division 3</w:t>
      </w:r>
      <w:r>
        <w:t> — </w:t>
      </w:r>
      <w:r>
        <w:rPr>
          <w:rStyle w:val="CharDivText"/>
        </w:rPr>
        <w:t>Infringement notices</w:t>
      </w:r>
      <w:bookmarkEnd w:id="631"/>
      <w:bookmarkEnd w:id="632"/>
    </w:p>
    <w:p>
      <w:pPr>
        <w:pStyle w:val="Heading5"/>
      </w:pPr>
      <w:bookmarkStart w:id="633" w:name="_Toc155165645"/>
      <w:bookmarkStart w:id="634" w:name="_Toc155165344"/>
      <w:r>
        <w:rPr>
          <w:rStyle w:val="CharSectno"/>
        </w:rPr>
        <w:t>226</w:t>
      </w:r>
      <w:r>
        <w:t>.</w:t>
      </w:r>
      <w:r>
        <w:tab/>
        <w:t>Terms used</w:t>
      </w:r>
      <w:bookmarkEnd w:id="633"/>
      <w:bookmarkEnd w:id="634"/>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635" w:name="_Toc155165646"/>
      <w:bookmarkStart w:id="636" w:name="_Toc155165345"/>
      <w:r>
        <w:rPr>
          <w:rStyle w:val="CharSectno"/>
        </w:rPr>
        <w:t>227</w:t>
      </w:r>
      <w:r>
        <w:t>.</w:t>
      </w:r>
      <w:r>
        <w:tab/>
        <w:t>Prescribed offences</w:t>
      </w:r>
      <w:bookmarkEnd w:id="635"/>
      <w:bookmarkEnd w:id="636"/>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637" w:name="_Toc155165647"/>
      <w:bookmarkStart w:id="638" w:name="_Toc155165346"/>
      <w:r>
        <w:rPr>
          <w:rStyle w:val="CharSectno"/>
        </w:rPr>
        <w:t>228</w:t>
      </w:r>
      <w:r>
        <w:t>.</w:t>
      </w:r>
      <w:r>
        <w:tab/>
        <w:t>Giving of infringement notice</w:t>
      </w:r>
      <w:bookmarkEnd w:id="637"/>
      <w:bookmarkEnd w:id="638"/>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639" w:name="_Toc155165648"/>
      <w:bookmarkStart w:id="640" w:name="_Toc155165347"/>
      <w:r>
        <w:rPr>
          <w:rStyle w:val="CharSectno"/>
        </w:rPr>
        <w:t>229</w:t>
      </w:r>
      <w:r>
        <w:t>.</w:t>
      </w:r>
      <w:r>
        <w:tab/>
        <w:t>Content of infringement notice</w:t>
      </w:r>
      <w:bookmarkEnd w:id="639"/>
      <w:bookmarkEnd w:id="640"/>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641" w:name="_Toc155165649"/>
      <w:r>
        <w:rPr>
          <w:rStyle w:val="CharSectno"/>
        </w:rPr>
        <w:t>230</w:t>
      </w:r>
      <w:r>
        <w:t>.</w:t>
      </w:r>
      <w:r>
        <w:tab/>
        <w:t>Extending time to pay modified penalty</w:t>
      </w:r>
      <w:bookmarkEnd w:id="641"/>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642" w:name="_Toc155165650"/>
      <w:r>
        <w:rPr>
          <w:rStyle w:val="CharSectno"/>
        </w:rPr>
        <w:t>231</w:t>
      </w:r>
      <w:r>
        <w:t>.</w:t>
      </w:r>
      <w:r>
        <w:tab/>
        <w:t>Withdrawal of infringement notice</w:t>
      </w:r>
      <w:bookmarkEnd w:id="642"/>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643" w:name="_Toc155165651"/>
      <w:r>
        <w:rPr>
          <w:rStyle w:val="CharSectno"/>
        </w:rPr>
        <w:t>232</w:t>
      </w:r>
      <w:r>
        <w:t>.</w:t>
      </w:r>
      <w:r>
        <w:tab/>
        <w:t>Benefit of paying modified penalty</w:t>
      </w:r>
      <w:bookmarkEnd w:id="64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644" w:name="_Toc155165652"/>
      <w:r>
        <w:rPr>
          <w:rStyle w:val="CharSectno"/>
        </w:rPr>
        <w:t>233</w:t>
      </w:r>
      <w:r>
        <w:t>.</w:t>
      </w:r>
      <w:r>
        <w:tab/>
        <w:t>Paid modified penalty, application of</w:t>
      </w:r>
      <w:bookmarkEnd w:id="644"/>
    </w:p>
    <w:p>
      <w:pPr>
        <w:pStyle w:val="Subsection"/>
      </w:pPr>
      <w:r>
        <w:tab/>
      </w:r>
      <w:r>
        <w:tab/>
        <w:t>An amount paid as a modified penalty is, subject to section 231(2), to be dealt with as if it were a penalty imposed by a court as a penalty for an offence.</w:t>
      </w:r>
    </w:p>
    <w:p>
      <w:pPr>
        <w:pStyle w:val="Heading5"/>
      </w:pPr>
      <w:bookmarkStart w:id="645" w:name="_Toc155165653"/>
      <w:r>
        <w:rPr>
          <w:rStyle w:val="CharSectno"/>
        </w:rPr>
        <w:t>234</w:t>
      </w:r>
      <w:r>
        <w:t>.</w:t>
      </w:r>
      <w:r>
        <w:tab/>
        <w:t>Designated persons, appointment of</w:t>
      </w:r>
      <w:bookmarkEnd w:id="645"/>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646" w:name="_Toc155165654"/>
      <w:r>
        <w:rPr>
          <w:rStyle w:val="CharSectno"/>
        </w:rPr>
        <w:t>235</w:t>
      </w:r>
      <w:r>
        <w:t>.</w:t>
      </w:r>
      <w:r>
        <w:tab/>
        <w:t>Notice placing onus on vehicle owner</w:t>
      </w:r>
      <w:bookmarkEnd w:id="646"/>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647" w:name="_Toc155165655"/>
      <w:r>
        <w:rPr>
          <w:rStyle w:val="CharPartNo"/>
        </w:rPr>
        <w:t>Part 14</w:t>
      </w:r>
      <w:r>
        <w:t> — </w:t>
      </w:r>
      <w:r>
        <w:rPr>
          <w:rStyle w:val="CharPartText"/>
        </w:rPr>
        <w:t>Applications for review</w:t>
      </w:r>
      <w:bookmarkEnd w:id="647"/>
    </w:p>
    <w:p>
      <w:pPr>
        <w:pStyle w:val="Heading3"/>
      </w:pPr>
      <w:bookmarkStart w:id="648" w:name="_Toc155165656"/>
      <w:r>
        <w:rPr>
          <w:rStyle w:val="CharDivNo"/>
        </w:rPr>
        <w:t>Division 1</w:t>
      </w:r>
      <w:r>
        <w:t> — </w:t>
      </w:r>
      <w:r>
        <w:rPr>
          <w:rStyle w:val="CharDivText"/>
        </w:rPr>
        <w:t>Making and determination of applications for review</w:t>
      </w:r>
      <w:bookmarkEnd w:id="648"/>
    </w:p>
    <w:p>
      <w:pPr>
        <w:pStyle w:val="Heading5"/>
      </w:pPr>
      <w:bookmarkStart w:id="649" w:name="_Toc155165657"/>
      <w:r>
        <w:rPr>
          <w:rStyle w:val="CharSectno"/>
        </w:rPr>
        <w:t>236</w:t>
      </w:r>
      <w:r>
        <w:t>.</w:t>
      </w:r>
      <w:r>
        <w:tab/>
        <w:t>When this Part applies</w:t>
      </w:r>
      <w:bookmarkEnd w:id="649"/>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650" w:name="_Toc155165658"/>
      <w:r>
        <w:rPr>
          <w:rStyle w:val="CharSectno"/>
        </w:rPr>
        <w:t>237</w:t>
      </w:r>
      <w:r>
        <w:t>.</w:t>
      </w:r>
      <w:r>
        <w:tab/>
        <w:t>Terms used</w:t>
      </w:r>
      <w:bookmarkEnd w:id="650"/>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651" w:name="_Toc155165659"/>
      <w:r>
        <w:rPr>
          <w:rStyle w:val="CharSectno"/>
        </w:rPr>
        <w:t>237A</w:t>
      </w:r>
      <w:r>
        <w:t>.</w:t>
      </w:r>
      <w:r>
        <w:tab/>
        <w:t>How SAT to be constituted</w:t>
      </w:r>
      <w:bookmarkEnd w:id="651"/>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652" w:name="_Toc155165660"/>
      <w:r>
        <w:rPr>
          <w:rStyle w:val="CharSectno"/>
        </w:rPr>
        <w:t>238</w:t>
      </w:r>
      <w:r>
        <w:t>.</w:t>
      </w:r>
      <w:r>
        <w:tab/>
        <w:t>SAT members, qualifications of</w:t>
      </w:r>
      <w:bookmarkEnd w:id="652"/>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653" w:name="_Toc155165661"/>
      <w:r>
        <w:rPr>
          <w:rStyle w:val="CharSectno"/>
        </w:rPr>
        <w:t>239</w:t>
      </w:r>
      <w:r>
        <w:t>.</w:t>
      </w:r>
      <w:r>
        <w:tab/>
        <w:t>Legal representation, some applicants may elect there will be none</w:t>
      </w:r>
      <w:bookmarkEnd w:id="653"/>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654" w:name="_Toc155165662"/>
      <w:r>
        <w:rPr>
          <w:rStyle w:val="CharSectno"/>
        </w:rPr>
        <w:t>240</w:t>
      </w:r>
      <w:r>
        <w:t>.</w:t>
      </w:r>
      <w:r>
        <w:tab/>
        <w:t>SAT to invite Minister for the Environment to make submission before determining certain applications</w:t>
      </w:r>
      <w:bookmarkEnd w:id="654"/>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655" w:name="_Toc155165663"/>
      <w:r>
        <w:rPr>
          <w:rStyle w:val="CharSectno"/>
        </w:rPr>
        <w:t>241</w:t>
      </w:r>
      <w:r>
        <w:t>.</w:t>
      </w:r>
      <w:r>
        <w:tab/>
        <w:t>SAT to have regard to certain matters</w:t>
      </w:r>
      <w:bookmarkEnd w:id="65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656" w:name="_Toc155165664"/>
      <w:r>
        <w:rPr>
          <w:rStyle w:val="CharSectno"/>
        </w:rPr>
        <w:t>242</w:t>
      </w:r>
      <w:r>
        <w:t>.</w:t>
      </w:r>
      <w:r>
        <w:tab/>
        <w:t>Persons who are not parties, submissions from</w:t>
      </w:r>
      <w:bookmarkEnd w:id="656"/>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657" w:name="_Toc155165665"/>
      <w:r>
        <w:rPr>
          <w:rStyle w:val="CharSectno"/>
        </w:rPr>
        <w:t>243</w:t>
      </w:r>
      <w:r>
        <w:t>.</w:t>
      </w:r>
      <w:r>
        <w:tab/>
        <w:t>Exclusion of powers to join parties</w:t>
      </w:r>
      <w:bookmarkEnd w:id="657"/>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658" w:name="_Toc155165666"/>
      <w:r>
        <w:rPr>
          <w:rStyle w:val="CharSectno"/>
        </w:rPr>
        <w:t>244</w:t>
      </w:r>
      <w:r>
        <w:t>.</w:t>
      </w:r>
      <w:r>
        <w:tab/>
        <w:t>SAT review of some SAT decisions</w:t>
      </w:r>
      <w:bookmarkEnd w:id="658"/>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659" w:name="_Toc155165667"/>
      <w:r>
        <w:rPr>
          <w:rStyle w:val="CharSectno"/>
        </w:rPr>
        <w:t>245</w:t>
      </w:r>
      <w:r>
        <w:t>.</w:t>
      </w:r>
      <w:r>
        <w:tab/>
        <w:t>Submissions by Minister to SAT</w:t>
      </w:r>
      <w:bookmarkEnd w:id="659"/>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660" w:name="_Toc155165668"/>
      <w:r>
        <w:rPr>
          <w:rStyle w:val="CharSectno"/>
        </w:rPr>
        <w:t>246</w:t>
      </w:r>
      <w:r>
        <w:t>.</w:t>
      </w:r>
      <w:r>
        <w:tab/>
        <w:t>Minister may call in application to SAT for review</w:t>
      </w:r>
      <w:bookmarkEnd w:id="660"/>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661" w:name="_Toc155165669"/>
      <w:r>
        <w:rPr>
          <w:rStyle w:val="CharSectno"/>
        </w:rPr>
        <w:t>247</w:t>
      </w:r>
      <w:r>
        <w:t>.</w:t>
      </w:r>
      <w:r>
        <w:tab/>
        <w:t>Determination of application by Minister</w:t>
      </w:r>
      <w:bookmarkEnd w:id="661"/>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662" w:name="_Toc155165670"/>
      <w:r>
        <w:rPr>
          <w:rStyle w:val="CharDivNo"/>
        </w:rPr>
        <w:t>Division 2</w:t>
      </w:r>
      <w:r>
        <w:t> — </w:t>
      </w:r>
      <w:r>
        <w:rPr>
          <w:rStyle w:val="CharDivText"/>
        </w:rPr>
        <w:t>Decisions which may be reviewed</w:t>
      </w:r>
      <w:bookmarkEnd w:id="662"/>
    </w:p>
    <w:p>
      <w:pPr>
        <w:pStyle w:val="Heading5"/>
        <w:spacing w:before="180"/>
      </w:pPr>
      <w:bookmarkStart w:id="663" w:name="_Toc155165671"/>
      <w:r>
        <w:rPr>
          <w:rStyle w:val="CharSectno"/>
        </w:rPr>
        <w:t>249</w:t>
      </w:r>
      <w:r>
        <w:t>.</w:t>
      </w:r>
      <w:r>
        <w:tab/>
        <w:t>Decision as to development under interim development order</w:t>
      </w:r>
      <w:bookmarkEnd w:id="663"/>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664" w:name="_Toc155165672"/>
      <w:r>
        <w:rPr>
          <w:rStyle w:val="CharSectno"/>
        </w:rPr>
        <w:t>250</w:t>
      </w:r>
      <w:r>
        <w:t>.</w:t>
      </w:r>
      <w:r>
        <w:tab/>
        <w:t>Decision as to development in planning control area</w:t>
      </w:r>
      <w:bookmarkEnd w:id="664"/>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665" w:name="_Toc155165673"/>
      <w:r>
        <w:rPr>
          <w:rStyle w:val="CharSectno"/>
        </w:rPr>
        <w:t>251</w:t>
      </w:r>
      <w:r>
        <w:t>.</w:t>
      </w:r>
      <w:r>
        <w:tab/>
        <w:t>Some decisions made under Part 10</w:t>
      </w:r>
      <w:bookmarkEnd w:id="665"/>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Subsection"/>
      </w:pPr>
      <w:r>
        <w:tab/>
        <w:t>(6)</w:t>
      </w:r>
      <w:r>
        <w:tab/>
        <w:t>An applicant for an extension under section 145A(2) who is aggrieved by the Commission’s decision to refuse to grant the extension may apply to the State Administrative Tribunal for a review, in accordance with this Part, of the decision of the Commission.</w:t>
      </w:r>
    </w:p>
    <w:p>
      <w:pPr>
        <w:pStyle w:val="Footnotesection"/>
      </w:pPr>
      <w:r>
        <w:tab/>
        <w:t>[Section 251 amended: No. 26 of 2020 s. 92.]</w:t>
      </w:r>
    </w:p>
    <w:p>
      <w:pPr>
        <w:pStyle w:val="Heading5"/>
      </w:pPr>
      <w:bookmarkStart w:id="666" w:name="_Toc155165674"/>
      <w:r>
        <w:rPr>
          <w:rStyle w:val="CharSectno"/>
        </w:rPr>
        <w:t>252</w:t>
      </w:r>
      <w:r>
        <w:t>.</w:t>
      </w:r>
      <w:r>
        <w:tab/>
        <w:t>Decision made in exercise of discretionary power under planning scheme</w:t>
      </w:r>
      <w:bookmarkEnd w:id="666"/>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667" w:name="_Toc155165675"/>
      <w:r>
        <w:rPr>
          <w:rStyle w:val="CharSectno"/>
        </w:rPr>
        <w:t>253</w:t>
      </w:r>
      <w:r>
        <w:t>.</w:t>
      </w:r>
      <w:r>
        <w:tab/>
        <w:t>Failure of responsible authority to make decision within decision period</w:t>
      </w:r>
      <w:bookmarkEnd w:id="667"/>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(ba)</w:t>
      </w:r>
      <w:r>
        <w:tab/>
        <w:t>in the case of an application under section 145A(2), the period of 30 days specified in section 145A(6) or any longer period as may be agreed between the Commission and the applicant under section 145A(6);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under section 145A(2) or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Footnotesection"/>
      </w:pPr>
      <w:r>
        <w:tab/>
        <w:t>[Section 253 amended: No. 26 of 2020 s. 93.]</w:t>
      </w:r>
    </w:p>
    <w:p>
      <w:pPr>
        <w:pStyle w:val="Heading3"/>
      </w:pPr>
      <w:bookmarkStart w:id="668" w:name="_Toc155165676"/>
      <w:r>
        <w:rPr>
          <w:rStyle w:val="CharDivNo"/>
        </w:rPr>
        <w:t>Division 3</w:t>
      </w:r>
      <w:r>
        <w:t> — </w:t>
      </w:r>
      <w:r>
        <w:rPr>
          <w:rStyle w:val="CharDivText"/>
        </w:rPr>
        <w:t>Other applications for review</w:t>
      </w:r>
      <w:bookmarkEnd w:id="668"/>
    </w:p>
    <w:p>
      <w:pPr>
        <w:pStyle w:val="Heading5"/>
      </w:pPr>
      <w:bookmarkStart w:id="669" w:name="_Toc155165677"/>
      <w:r>
        <w:rPr>
          <w:rStyle w:val="CharSectno"/>
        </w:rPr>
        <w:t>254</w:t>
      </w:r>
      <w:r>
        <w:t>.</w:t>
      </w:r>
      <w:r>
        <w:tab/>
        <w:t>Decision made under EP Act s. 48I</w:t>
      </w:r>
      <w:bookmarkEnd w:id="669"/>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670" w:name="_Toc155165678"/>
      <w:r>
        <w:rPr>
          <w:rStyle w:val="CharSectno"/>
        </w:rPr>
        <w:t>255</w:t>
      </w:r>
      <w:r>
        <w:t>.</w:t>
      </w:r>
      <w:r>
        <w:tab/>
        <w:t>Direction given under s. 214</w:t>
      </w:r>
      <w:bookmarkEnd w:id="670"/>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671" w:name="_Toc155165679"/>
      <w:r>
        <w:rPr>
          <w:rStyle w:val="CharPartNo"/>
        </w:rPr>
        <w:t>Part 15</w:t>
      </w:r>
      <w:r>
        <w:rPr>
          <w:rStyle w:val="CharDivNo"/>
        </w:rPr>
        <w:t> </w:t>
      </w:r>
      <w:r>
        <w:t>—</w:t>
      </w:r>
      <w:r>
        <w:rPr>
          <w:rStyle w:val="CharDivText"/>
        </w:rPr>
        <w:t> </w:t>
      </w:r>
      <w:r>
        <w:rPr>
          <w:rStyle w:val="CharPartText"/>
        </w:rPr>
        <w:t>Subsidiary legislation</w:t>
      </w:r>
      <w:bookmarkEnd w:id="671"/>
    </w:p>
    <w:p>
      <w:pPr>
        <w:pStyle w:val="Ednotedivision"/>
      </w:pPr>
      <w:r>
        <w:t>[Heading deleted: No. 26 of 2020 s. 73.]</w:t>
      </w:r>
    </w:p>
    <w:p>
      <w:pPr>
        <w:pStyle w:val="Heading5"/>
      </w:pPr>
      <w:bookmarkStart w:id="672" w:name="_Toc155165680"/>
      <w:r>
        <w:rPr>
          <w:rStyle w:val="CharSectno"/>
        </w:rPr>
        <w:t>256</w:t>
      </w:r>
      <w:r>
        <w:t>.</w:t>
      </w:r>
      <w:r>
        <w:tab/>
        <w:t>Regulations for content of local planning schemes</w:t>
      </w:r>
      <w:bookmarkEnd w:id="672"/>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673" w:name="_Toc155165681"/>
      <w:r>
        <w:rPr>
          <w:rStyle w:val="CharSectno"/>
        </w:rPr>
        <w:t>257A</w:t>
      </w:r>
      <w:r>
        <w:t>.</w:t>
      </w:r>
      <w:r>
        <w:tab/>
        <w:t>Model provisions, effect of</w:t>
      </w:r>
      <w:bookmarkEnd w:id="673"/>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674" w:name="_Toc155165682"/>
      <w:r>
        <w:rPr>
          <w:rStyle w:val="CharSectno"/>
        </w:rPr>
        <w:t>257B</w:t>
      </w:r>
      <w:r>
        <w:t>.</w:t>
      </w:r>
      <w:r>
        <w:tab/>
        <w:t>Deemed provisions, effect of</w:t>
      </w:r>
      <w:bookmarkEnd w:id="674"/>
    </w:p>
    <w:p>
      <w:pPr>
        <w:pStyle w:val="Subsection"/>
        <w:keepNext/>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675" w:name="_Toc155165683"/>
      <w:r>
        <w:rPr>
          <w:rStyle w:val="CharSectno"/>
        </w:rPr>
        <w:t>258</w:t>
      </w:r>
      <w:r>
        <w:t>.</w:t>
      </w:r>
      <w:r>
        <w:tab/>
        <w:t>Regulations for procedure and costs for local planning schemes</w:t>
      </w:r>
      <w:bookmarkEnd w:id="675"/>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676" w:name="_Toc155165684"/>
      <w:r>
        <w:rPr>
          <w:rStyle w:val="CharSectno"/>
        </w:rPr>
        <w:t>258A</w:t>
      </w:r>
      <w:r>
        <w:t>.</w:t>
      </w:r>
      <w:r>
        <w:tab/>
        <w:t>Regulations as to procedure and costs for region planning schemes</w:t>
      </w:r>
      <w:bookmarkEnd w:id="676"/>
    </w:p>
    <w:p>
      <w:pPr>
        <w:pStyle w:val="Subsection"/>
      </w:pPr>
      <w:r>
        <w:tab/>
        <w:t>(1)</w:t>
      </w:r>
      <w:r>
        <w:tab/>
        <w:t xml:space="preserve">The Governor may make regulations for regulating the procedure to be observed — </w:t>
      </w:r>
    </w:p>
    <w:p>
      <w:pPr>
        <w:pStyle w:val="Indenta"/>
      </w:pPr>
      <w:r>
        <w:tab/>
        <w:t>(a)</w:t>
      </w:r>
      <w:r>
        <w:tab/>
        <w:t>with respect to the preparation of a region planning scheme; and</w:t>
      </w:r>
    </w:p>
    <w:p>
      <w:pPr>
        <w:pStyle w:val="Indenta"/>
      </w:pPr>
      <w:r>
        <w:tab/>
        <w:t>(b)</w:t>
      </w:r>
      <w:r>
        <w:tab/>
        <w:t>with respect to obtaining the approval of the Governor to a region planning scheme so prepared; and</w:t>
      </w:r>
    </w:p>
    <w:p>
      <w:pPr>
        <w:pStyle w:val="Indenta"/>
      </w:pPr>
      <w:r>
        <w:tab/>
        <w:t>(c)</w:t>
      </w:r>
      <w:r>
        <w:tab/>
        <w:t>with respect to the review, amendment or repeal of a region planning scheme; and</w:t>
      </w:r>
    </w:p>
    <w:p>
      <w:pPr>
        <w:pStyle w:val="Indenta"/>
      </w:pPr>
      <w:r>
        <w:tab/>
        <w:t>(d)</w:t>
      </w:r>
      <w:r>
        <w:tab/>
        <w:t>with respect to any inquiries, reports, notices, or other matters required in connection with the preparation or approval of a region planning scheme, or preliminary to the preparation or approval of the scheme.</w:t>
      </w:r>
    </w:p>
    <w:p>
      <w:pPr>
        <w:pStyle w:val="Subsection"/>
      </w:pPr>
      <w:r>
        <w:tab/>
        <w:t>(2)</w:t>
      </w:r>
      <w:r>
        <w:tab/>
        <w:t>Section 258(2) and (3) apply to regulations made under subsection (1) as if a region planning scheme were a local planning scheme.</w:t>
      </w:r>
    </w:p>
    <w:p>
      <w:pPr>
        <w:pStyle w:val="Footnotesection"/>
      </w:pPr>
      <w:r>
        <w:tab/>
        <w:t>[Section 258A inserted: No. 26 of 2020 s. 52.]</w:t>
      </w:r>
    </w:p>
    <w:p>
      <w:pPr>
        <w:pStyle w:val="Heading5"/>
      </w:pPr>
      <w:bookmarkStart w:id="677" w:name="_Toc155165685"/>
      <w:r>
        <w:rPr>
          <w:rStyle w:val="CharSectno"/>
        </w:rPr>
        <w:t>259</w:t>
      </w:r>
      <w:r>
        <w:t>.</w:t>
      </w:r>
      <w:r>
        <w:tab/>
        <w:t>Regulations for environmental review expenses</w:t>
      </w:r>
      <w:bookmarkEnd w:id="677"/>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t>[Heading deleted: No. 26 of 2020 s. 78.]</w:t>
      </w:r>
    </w:p>
    <w:p>
      <w:pPr>
        <w:pStyle w:val="Heading5"/>
      </w:pPr>
      <w:bookmarkStart w:id="678" w:name="_Toc155165686"/>
      <w:r>
        <w:rPr>
          <w:rStyle w:val="CharSectno"/>
        </w:rPr>
        <w:t>261</w:t>
      </w:r>
      <w:r>
        <w:t>.</w:t>
      </w:r>
      <w:r>
        <w:tab/>
        <w:t>Local government fees for planning matters etc., regulations as to</w:t>
      </w:r>
      <w:bookmarkEnd w:id="678"/>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679" w:name="_Toc155165687"/>
      <w:r>
        <w:rPr>
          <w:rStyle w:val="CharSectno"/>
        </w:rPr>
        <w:t>262</w:t>
      </w:r>
      <w:r>
        <w:t>.</w:t>
      </w:r>
      <w:r>
        <w:tab/>
        <w:t>Uniform general local laws</w:t>
      </w:r>
      <w:bookmarkEnd w:id="679"/>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keepNext/>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680" w:name="_Toc155165688"/>
      <w:r>
        <w:rPr>
          <w:rStyle w:val="CharSectno"/>
        </w:rPr>
        <w:t>263</w:t>
      </w:r>
      <w:r>
        <w:t>.</w:t>
      </w:r>
      <w:r>
        <w:tab/>
        <w:t>Regulations: general</w:t>
      </w:r>
      <w:bookmarkEnd w:id="68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region planning schemes or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keepNext/>
      </w:pPr>
      <w:r>
        <w:tab/>
        <w:t>(5)</w:t>
      </w:r>
      <w:r>
        <w:tab/>
        <w:t>If a regulation is inconsistent with a rule, the regulation prevails to the extent of the inconsistency.</w:t>
      </w:r>
    </w:p>
    <w:p>
      <w:pPr>
        <w:pStyle w:val="Footnotesection"/>
      </w:pPr>
      <w:r>
        <w:tab/>
        <w:t xml:space="preserve">[Section 263 amended: No. 28 of 2010 s. 67; No. 26 of 2020 s. 79; No. 26 of 2020 s. 53.] </w:t>
      </w:r>
    </w:p>
    <w:p>
      <w:pPr>
        <w:pStyle w:val="Ednotedivision"/>
      </w:pPr>
      <w:r>
        <w:t>[Heading deleted: No. 26 of 2020 s. 80.]</w:t>
      </w:r>
    </w:p>
    <w:p>
      <w:pPr>
        <w:pStyle w:val="Heading5"/>
      </w:pPr>
      <w:bookmarkStart w:id="681" w:name="_Toc155165689"/>
      <w:r>
        <w:rPr>
          <w:rStyle w:val="CharSectno"/>
        </w:rPr>
        <w:t>264</w:t>
      </w:r>
      <w:r>
        <w:t>.</w:t>
      </w:r>
      <w:r>
        <w:tab/>
        <w:t>Regulations may adopt codes and other texts</w:t>
      </w:r>
      <w:bookmarkEnd w:id="681"/>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682" w:name="_Toc155165690"/>
      <w:r>
        <w:rPr>
          <w:rStyle w:val="CharPartNo"/>
        </w:rPr>
        <w:t>Part 16</w:t>
      </w:r>
      <w:r>
        <w:rPr>
          <w:rStyle w:val="CharDivNo"/>
        </w:rPr>
        <w:t> </w:t>
      </w:r>
      <w:r>
        <w:t>—</w:t>
      </w:r>
      <w:r>
        <w:rPr>
          <w:rStyle w:val="CharDivText"/>
        </w:rPr>
        <w:t> </w:t>
      </w:r>
      <w:r>
        <w:rPr>
          <w:rStyle w:val="CharPartText"/>
        </w:rPr>
        <w:t>Miscellaneous</w:t>
      </w:r>
      <w:bookmarkEnd w:id="682"/>
    </w:p>
    <w:p>
      <w:pPr>
        <w:pStyle w:val="Heading5"/>
      </w:pPr>
      <w:bookmarkStart w:id="683" w:name="_Toc155165691"/>
      <w:r>
        <w:rPr>
          <w:rStyle w:val="CharSectno"/>
        </w:rPr>
        <w:t>265</w:t>
      </w:r>
      <w:r>
        <w:t>.</w:t>
      </w:r>
      <w:r>
        <w:tab/>
        <w:t>Delegation by Minister</w:t>
      </w:r>
      <w:bookmarkEnd w:id="683"/>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684" w:name="_Toc155165692"/>
      <w:r>
        <w:rPr>
          <w:rStyle w:val="CharSectno"/>
        </w:rPr>
        <w:t>266</w:t>
      </w:r>
      <w:r>
        <w:t>.</w:t>
      </w:r>
      <w:r>
        <w:tab/>
        <w:t xml:space="preserve">Duties and liabilities of persons performing functions under this Act or </w:t>
      </w:r>
      <w:r>
        <w:rPr>
          <w:i/>
        </w:rPr>
        <w:t>Swan Valley Planning Act 2020</w:t>
      </w:r>
      <w:bookmarkEnd w:id="684"/>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685" w:name="_Toc155165693"/>
      <w:r>
        <w:rPr>
          <w:rStyle w:val="CharSectno"/>
        </w:rPr>
        <w:t>267A</w:t>
      </w:r>
      <w:r>
        <w:t>.</w:t>
      </w:r>
      <w:r>
        <w:tab/>
        <w:t>Crown and State land, who may sign documents as to</w:t>
      </w:r>
      <w:bookmarkEnd w:id="685"/>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686" w:name="_Toc155165694"/>
      <w:r>
        <w:rPr>
          <w:rStyle w:val="CharSectno"/>
        </w:rPr>
        <w:t>267B</w:t>
      </w:r>
      <w:r>
        <w:t>.</w:t>
      </w:r>
      <w:r>
        <w:tab/>
        <w:t>Electronic planning maps</w:t>
      </w:r>
      <w:bookmarkEnd w:id="686"/>
    </w:p>
    <w:p>
      <w:pPr>
        <w:pStyle w:val="Subsection"/>
      </w:pPr>
      <w:r>
        <w:tab/>
        <w:t>(1)</w:t>
      </w:r>
      <w:r>
        <w:tab/>
        <w:t xml:space="preserve">In this section — </w:t>
      </w:r>
    </w:p>
    <w:p>
      <w:pPr>
        <w:pStyle w:val="Defstart"/>
      </w:pPr>
      <w:r>
        <w:tab/>
      </w:r>
      <w:r>
        <w:rPr>
          <w:rStyle w:val="CharDefText"/>
        </w:rPr>
        <w:t>minor modification</w:t>
      </w:r>
      <w:r>
        <w:t xml:space="preserve">, in relation to spatial data, means — </w:t>
      </w:r>
    </w:p>
    <w:p>
      <w:pPr>
        <w:pStyle w:val="Defpara"/>
      </w:pPr>
      <w:r>
        <w:tab/>
        <w:t>(a)</w:t>
      </w:r>
      <w:r>
        <w:tab/>
        <w:t>for cadastral data produced by the Authority — a minor modification to that data made by the Authority to reflect updated survey information; or</w:t>
      </w:r>
    </w:p>
    <w:p>
      <w:pPr>
        <w:pStyle w:val="Defpara"/>
      </w:pPr>
      <w:r>
        <w:tab/>
        <w:t>(b)</w:t>
      </w:r>
      <w:r>
        <w:tab/>
        <w:t>for other spatial data produced by the Commission — the replacement of that data with cadastral data produced by the Authority to reflect updated survey information, where the effect of that replacement is minor;</w:t>
      </w:r>
    </w:p>
    <w:p>
      <w:pPr>
        <w:pStyle w:val="Defstart"/>
      </w:pPr>
      <w:r>
        <w:rPr>
          <w:b/>
        </w:rP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 or</w:t>
      </w:r>
    </w:p>
    <w:p>
      <w:pPr>
        <w:pStyle w:val="Defpara"/>
      </w:pPr>
      <w:r>
        <w:tab/>
        <w:t>(c)</w:t>
      </w:r>
      <w:r>
        <w:tab/>
        <w:t>a declaration under section 112 in relation to a planning control area;</w:t>
      </w:r>
    </w:p>
    <w:p>
      <w:pPr>
        <w:pStyle w:val="Defstart"/>
      </w:pPr>
      <w:r>
        <w:rPr>
          <w:b/>
        </w:rPr>
        <w:tab/>
      </w:r>
      <w:r>
        <w:rPr>
          <w:rStyle w:val="CharDefText"/>
        </w:rPr>
        <w:t>planning markings</w:t>
      </w:r>
      <w:r>
        <w:t>, in relation to a map, means the markings on the map that indicate different zones, reserves or other areas or boundaries relevant to planning requirements;</w:t>
      </w:r>
    </w:p>
    <w:p>
      <w:pPr>
        <w:pStyle w:val="Defstart"/>
      </w:pPr>
      <w:r>
        <w:tab/>
      </w:r>
      <w:r>
        <w:rPr>
          <w:rStyle w:val="CharDefText"/>
        </w:rPr>
        <w:t>spatial data</w:t>
      </w:r>
      <w:r>
        <w:t xml:space="preserve"> means cadastral data produced by the Authority or other spatial data produced by the Commission.</w:t>
      </w:r>
    </w:p>
    <w:p>
      <w:pPr>
        <w:pStyle w:val="Subsection"/>
      </w:pPr>
      <w:r>
        <w:tab/>
        <w:t>(2)</w:t>
      </w:r>
      <w:r>
        <w:tab/>
        <w:t xml:space="preserve">A map (the </w:t>
      </w:r>
      <w:r>
        <w:rPr>
          <w:rStyle w:val="CharDefText"/>
        </w:rPr>
        <w:t>original map</w:t>
      </w:r>
      <w:r>
        <w:t xml:space="preserve">) that forms part of a planning instrument may be prepared by the Commission as an electronic map (the </w:t>
      </w:r>
      <w:r>
        <w:rPr>
          <w:rStyle w:val="CharDefText"/>
        </w:rPr>
        <w:t>electronic planning map</w:t>
      </w:r>
      <w:r>
        <w:t>) in a format approved by the Commission.</w:t>
      </w:r>
    </w:p>
    <w:p>
      <w:pPr>
        <w:pStyle w:val="Subsection"/>
      </w:pPr>
      <w:r>
        <w:tab/>
        <w:t>(3)</w:t>
      </w:r>
      <w:r>
        <w:tab/>
        <w:t xml:space="preserve">The electronic planning map must — </w:t>
      </w:r>
    </w:p>
    <w:p>
      <w:pPr>
        <w:pStyle w:val="Indenta"/>
      </w:pPr>
      <w:r>
        <w:tab/>
        <w:t>(a)</w:t>
      </w:r>
      <w:r>
        <w:tab/>
        <w:t>replicate the planning markings on the original map in a form defined by reference to spatial data; and</w:t>
      </w:r>
    </w:p>
    <w:p>
      <w:pPr>
        <w:pStyle w:val="Indenta"/>
      </w:pPr>
      <w:r>
        <w:tab/>
        <w:t>(b)</w:t>
      </w:r>
      <w:r>
        <w:tab/>
        <w:t xml:space="preserve">include — </w:t>
      </w:r>
    </w:p>
    <w:p>
      <w:pPr>
        <w:pStyle w:val="Indenti"/>
      </w:pPr>
      <w:r>
        <w:tab/>
        <w:t>(i)</w:t>
      </w:r>
      <w:r>
        <w:tab/>
        <w:t>any key or other information on the original map that is associated with the planning markings and is necessary to interpret the map; and</w:t>
      </w:r>
    </w:p>
    <w:p>
      <w:pPr>
        <w:pStyle w:val="Indenti"/>
      </w:pPr>
      <w:r>
        <w:tab/>
        <w:t>(ii)</w:t>
      </w:r>
      <w:r>
        <w:tab/>
        <w:t>any other information required by the Commission.</w:t>
      </w:r>
    </w:p>
    <w:p>
      <w:pPr>
        <w:pStyle w:val="Subsection"/>
      </w:pPr>
      <w:r>
        <w:tab/>
        <w:t>(4)</w:t>
      </w:r>
      <w:r>
        <w:tab/>
        <w:t>The electronic planning map is not required to replicate the original map except to the extent required by subsection (3).</w:t>
      </w:r>
    </w:p>
    <w:p>
      <w:pPr>
        <w:pStyle w:val="Subsection"/>
      </w:pPr>
      <w:r>
        <w:tab/>
        <w:t>(5)</w:t>
      </w:r>
      <w:r>
        <w:tab/>
        <w:t xml:space="preserve">For the purposes of subsection (3)(a), the planning markings on the electronic planning map are taken to replicate the planning marks on the original map even if — </w:t>
      </w:r>
    </w:p>
    <w:p>
      <w:pPr>
        <w:pStyle w:val="Indenta"/>
      </w:pPr>
      <w:r>
        <w:tab/>
        <w:t>(a)</w:t>
      </w:r>
      <w:r>
        <w:tab/>
        <w:t>1 or more minor modifications to the spatial data by reference to which the planning markings are defined have occurred since the electronic planning map was first prepared; and</w:t>
      </w:r>
    </w:p>
    <w:p>
      <w:pPr>
        <w:pStyle w:val="Indenta"/>
      </w:pPr>
      <w:r>
        <w:tab/>
        <w:t>(b)</w:t>
      </w:r>
      <w:r>
        <w:tab/>
        <w:t>the planning markings on the electronic planning map are defined by reference to the spatial data as modified by those modifications.</w:t>
      </w:r>
    </w:p>
    <w:p>
      <w:pPr>
        <w:pStyle w:val="Subsection"/>
      </w:pPr>
      <w:r>
        <w:tab/>
        <w:t>(6)</w:t>
      </w:r>
      <w:r>
        <w:tab/>
        <w:t>The Commission must make the electronic planning map available for public inspection on its website.</w:t>
      </w:r>
    </w:p>
    <w:p>
      <w:pPr>
        <w:pStyle w:val="Subsection"/>
      </w:pPr>
      <w:r>
        <w:tab/>
        <w:t>(7)</w:t>
      </w:r>
      <w:r>
        <w:tab/>
        <w:t>An electronic planning map that is prepared and made available in accordance with this section is taken to be the original map for the purposes of the planning instrument, this Act and any other written law.</w:t>
      </w:r>
    </w:p>
    <w:p>
      <w:pPr>
        <w:pStyle w:val="Footnotesection"/>
      </w:pPr>
      <w:r>
        <w:tab/>
        <w:t>[Section 267B inserted: No. 26 of 2020 s. 99.]</w:t>
      </w:r>
    </w:p>
    <w:p>
      <w:pPr>
        <w:pStyle w:val="Heading5"/>
      </w:pPr>
      <w:bookmarkStart w:id="687" w:name="_Toc155165695"/>
      <w:r>
        <w:rPr>
          <w:rStyle w:val="CharSectno"/>
        </w:rPr>
        <w:t>267C</w:t>
      </w:r>
      <w:r>
        <w:t>.</w:t>
      </w:r>
      <w:r>
        <w:tab/>
        <w:t>Certified copies of electronic planning maps</w:t>
      </w:r>
      <w:bookmarkEnd w:id="687"/>
    </w:p>
    <w:p>
      <w:pPr>
        <w:pStyle w:val="Subsection"/>
      </w:pPr>
      <w:r>
        <w:tab/>
      </w:r>
      <w:r>
        <w:tab/>
        <w:t>In any proceedings, a copy certified by the Commission of an electronic planning map prepared under section 267B, or part of such a map, is evidence of the contents of the electronic planning map or part of the map.</w:t>
      </w:r>
    </w:p>
    <w:p>
      <w:pPr>
        <w:pStyle w:val="Footnotesection"/>
      </w:pPr>
      <w:r>
        <w:tab/>
        <w:t>[Section 267C inserted: No. 26 of 2020 s. 99.]</w:t>
      </w:r>
    </w:p>
    <w:p>
      <w:pPr>
        <w:pStyle w:val="Heading5"/>
      </w:pPr>
      <w:bookmarkStart w:id="688" w:name="_Toc155165696"/>
      <w:r>
        <w:rPr>
          <w:rStyle w:val="CharSectno"/>
        </w:rPr>
        <w:t>267</w:t>
      </w:r>
      <w:r>
        <w:t>.</w:t>
      </w:r>
      <w:r>
        <w:tab/>
        <w:t>Protection from personal liability</w:t>
      </w:r>
      <w:bookmarkEnd w:id="688"/>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689" w:name="_Toc155165697"/>
      <w:r>
        <w:rPr>
          <w:rStyle w:val="CharSectno"/>
        </w:rPr>
        <w:t>268A</w:t>
      </w:r>
      <w:r>
        <w:t>.</w:t>
      </w:r>
      <w:r>
        <w:tab/>
        <w:t>Laying documents before House of Parliament that is not sitting</w:t>
      </w:r>
      <w:bookmarkEnd w:id="689"/>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690" w:name="_Toc155165698"/>
      <w:r>
        <w:rPr>
          <w:rStyle w:val="CharSectno"/>
        </w:rPr>
        <w:t>268</w:t>
      </w:r>
      <w:r>
        <w:t>.</w:t>
      </w:r>
      <w:r>
        <w:tab/>
        <w:t>Review of Act</w:t>
      </w:r>
      <w:bookmarkEnd w:id="690"/>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691" w:name="_Toc155165699"/>
      <w:r>
        <w:rPr>
          <w:rStyle w:val="CharPartNo"/>
        </w:rPr>
        <w:t>Part 17</w:t>
      </w:r>
      <w:r>
        <w:t> — </w:t>
      </w:r>
      <w:r>
        <w:rPr>
          <w:rStyle w:val="CharPartText"/>
        </w:rPr>
        <w:t>Special provisions for COVID</w:t>
      </w:r>
      <w:r>
        <w:rPr>
          <w:rStyle w:val="CharPartText"/>
        </w:rPr>
        <w:noBreakHyphen/>
        <w:t>19 pandemic relating to development applications</w:t>
      </w:r>
      <w:bookmarkEnd w:id="691"/>
    </w:p>
    <w:p>
      <w:pPr>
        <w:pStyle w:val="Footnoteheading"/>
      </w:pPr>
      <w:r>
        <w:tab/>
        <w:t>[Heading inserted: No. 26 of 2020 s. 4.]</w:t>
      </w:r>
    </w:p>
    <w:p>
      <w:pPr>
        <w:pStyle w:val="Heading3"/>
      </w:pPr>
      <w:bookmarkStart w:id="692" w:name="_Toc155165700"/>
      <w:r>
        <w:rPr>
          <w:rStyle w:val="CharDivNo"/>
        </w:rPr>
        <w:t>Division 1</w:t>
      </w:r>
      <w:r>
        <w:t> — </w:t>
      </w:r>
      <w:r>
        <w:rPr>
          <w:rStyle w:val="CharDivText"/>
        </w:rPr>
        <w:t>Preliminary</w:t>
      </w:r>
      <w:bookmarkEnd w:id="692"/>
    </w:p>
    <w:p>
      <w:pPr>
        <w:pStyle w:val="Footnoteheading"/>
      </w:pPr>
      <w:r>
        <w:tab/>
        <w:t>[Heading inserted: No. 26 of 2020 s. 4.]</w:t>
      </w:r>
    </w:p>
    <w:p>
      <w:pPr>
        <w:pStyle w:val="Heading5"/>
      </w:pPr>
      <w:bookmarkStart w:id="693" w:name="_Toc155165701"/>
      <w:r>
        <w:rPr>
          <w:rStyle w:val="CharSectno"/>
        </w:rPr>
        <w:t>269</w:t>
      </w:r>
      <w:r>
        <w:t>.</w:t>
      </w:r>
      <w:r>
        <w:tab/>
        <w:t>Terms used</w:t>
      </w:r>
      <w:bookmarkEnd w:id="693"/>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extended recovery period</w:t>
      </w:r>
      <w:r>
        <w:t xml:space="preserve"> means the period that — </w:t>
      </w:r>
    </w:p>
    <w:p>
      <w:pPr>
        <w:pStyle w:val="Defpara"/>
      </w:pPr>
      <w:r>
        <w:tab/>
        <w:t>(a)</w:t>
      </w:r>
      <w:r>
        <w:tab/>
        <w:t xml:space="preserve">begins when the </w:t>
      </w:r>
      <w:r>
        <w:rPr>
          <w:i/>
        </w:rPr>
        <w:t>Planning and Development Amendment Act 2022</w:t>
      </w:r>
      <w:r>
        <w:t xml:space="preserve"> section 4 comes into operation; and</w:t>
      </w:r>
    </w:p>
    <w:p>
      <w:pPr>
        <w:pStyle w:val="Defpara"/>
      </w:pPr>
      <w:r>
        <w:tab/>
        <w:t>(b)</w:t>
      </w:r>
      <w:r>
        <w:tab/>
        <w:t>ends immediately before 5 pm on 29 December 2023;</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 No. 17 of 2022 s. 4.]</w:t>
      </w:r>
    </w:p>
    <w:p>
      <w:pPr>
        <w:pStyle w:val="Heading5"/>
      </w:pPr>
      <w:bookmarkStart w:id="694" w:name="_Toc155165702"/>
      <w:r>
        <w:rPr>
          <w:rStyle w:val="CharSectno"/>
        </w:rPr>
        <w:t>270</w:t>
      </w:r>
      <w:r>
        <w:t>.</w:t>
      </w:r>
      <w:r>
        <w:tab/>
        <w:t>Effect of Part</w:t>
      </w:r>
      <w:bookmarkEnd w:id="694"/>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695" w:name="_Toc155165703"/>
      <w:r>
        <w:rPr>
          <w:rStyle w:val="CharDivNo"/>
        </w:rPr>
        <w:t>Division 2</w:t>
      </w:r>
      <w:r>
        <w:t> — </w:t>
      </w:r>
      <w:r>
        <w:rPr>
          <w:rStyle w:val="CharDivText"/>
        </w:rPr>
        <w:t>Commission to determine certain development applications</w:t>
      </w:r>
      <w:bookmarkEnd w:id="695"/>
    </w:p>
    <w:p>
      <w:pPr>
        <w:pStyle w:val="Footnoteheading"/>
        <w:keepNext/>
      </w:pPr>
      <w:r>
        <w:tab/>
        <w:t>[Heading inserted: No. 26 of 2020 s. 4.]</w:t>
      </w:r>
    </w:p>
    <w:p>
      <w:pPr>
        <w:pStyle w:val="Heading4"/>
      </w:pPr>
      <w:bookmarkStart w:id="696" w:name="_Toc155165704"/>
      <w:r>
        <w:rPr>
          <w:rStyle w:val="CharSDivNo"/>
        </w:rPr>
        <w:t>Subdivision 1</w:t>
      </w:r>
      <w:r>
        <w:t> — </w:t>
      </w:r>
      <w:r>
        <w:rPr>
          <w:rStyle w:val="CharSDivText"/>
        </w:rPr>
        <w:t>Applications and referrals</w:t>
      </w:r>
      <w:bookmarkEnd w:id="696"/>
    </w:p>
    <w:p>
      <w:pPr>
        <w:pStyle w:val="Footnoteheading"/>
        <w:keepNext/>
      </w:pPr>
      <w:r>
        <w:tab/>
        <w:t>[Heading inserted: No. 26 of 2020 s. 4.]</w:t>
      </w:r>
    </w:p>
    <w:p>
      <w:pPr>
        <w:pStyle w:val="Heading5"/>
      </w:pPr>
      <w:bookmarkStart w:id="697" w:name="_Toc155165705"/>
      <w:r>
        <w:rPr>
          <w:rStyle w:val="CharSectno"/>
        </w:rPr>
        <w:t>271</w:t>
      </w:r>
      <w:r>
        <w:t>.</w:t>
      </w:r>
      <w:r>
        <w:tab/>
        <w:t>Development applications that may be made directly to Commission during recovery period or extended recovery period</w:t>
      </w:r>
      <w:bookmarkEnd w:id="697"/>
    </w:p>
    <w:p>
      <w:pPr>
        <w:pStyle w:val="Subsection"/>
        <w:keepNext/>
      </w:pPr>
      <w:r>
        <w:tab/>
        <w:t>(1)</w:t>
      </w:r>
      <w:r>
        <w:tab/>
        <w:t>During the recovery period, a person may make a development application to the Commission for determination under section 274 if the application is for approval of significant development.</w:t>
      </w:r>
    </w:p>
    <w:p>
      <w:pPr>
        <w:pStyle w:val="Subsection"/>
      </w:pPr>
      <w:r>
        <w:tab/>
        <w:t>(2)</w:t>
      </w:r>
      <w:r>
        <w:tab/>
        <w:t>During the extended recovery period, a person may make a development application to the Commission for determination under section 274 if the application is for approval of significant development.</w:t>
      </w:r>
    </w:p>
    <w:p>
      <w:pPr>
        <w:pStyle w:val="Footnotesection"/>
      </w:pPr>
      <w:r>
        <w:tab/>
        <w:t>[Section 271 inserted: No. 26 of 2020 s. 4; amended: No. 17 of 2022 s. 5.]</w:t>
      </w:r>
    </w:p>
    <w:p>
      <w:pPr>
        <w:pStyle w:val="Heading5"/>
      </w:pPr>
      <w:bookmarkStart w:id="698" w:name="_Toc155165706"/>
      <w:r>
        <w:rPr>
          <w:rStyle w:val="CharSectno"/>
        </w:rPr>
        <w:t>272</w:t>
      </w:r>
      <w:r>
        <w:t>.</w:t>
      </w:r>
      <w:r>
        <w:tab/>
        <w:t>Development applications that may be referred to Commission by Premier during recovery period or extended recovery period</w:t>
      </w:r>
      <w:bookmarkEnd w:id="698"/>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pPr>
      <w:r>
        <w:tab/>
        <w:t>(3A)</w:t>
      </w:r>
      <w:r>
        <w:tab/>
        <w:t>During the extended recovery period, the prospective applicant in relation to a development application that has not yet been made may notify the Minister that they want the application to be determined under section 274.</w:t>
      </w:r>
    </w:p>
    <w:p>
      <w:pPr>
        <w:pStyle w:val="Subsection"/>
      </w:pPr>
      <w:r>
        <w:tab/>
        <w:t>(3B)</w:t>
      </w:r>
      <w:r>
        <w:tab/>
        <w:t xml:space="preserve">Subsection (3C) applies if the Minister — </w:t>
      </w:r>
    </w:p>
    <w:p>
      <w:pPr>
        <w:pStyle w:val="Indenta"/>
      </w:pPr>
      <w:r>
        <w:tab/>
        <w:t>(a)</w:t>
      </w:r>
      <w:r>
        <w:tab/>
        <w:t>is notified under subsection (3A);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(3C)</w:t>
      </w:r>
      <w:r>
        <w:tab/>
        <w:t>During the extended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extended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extended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Section 268A applies as if references in that section to the Minister were to the Premier.</w:t>
      </w:r>
    </w:p>
    <w:p>
      <w:pPr>
        <w:pStyle w:val="Footnotesection"/>
      </w:pPr>
      <w:r>
        <w:tab/>
        <w:t>[Section 272 inserted: No. 26 of 2020 s. 4; amended: No. 17 of 2022 s. 6.]</w:t>
      </w:r>
    </w:p>
    <w:p>
      <w:pPr>
        <w:pStyle w:val="Heading5"/>
      </w:pPr>
      <w:bookmarkStart w:id="699" w:name="_Toc155165707"/>
      <w:r>
        <w:rPr>
          <w:rStyle w:val="CharSectno"/>
        </w:rPr>
        <w:t>273</w:t>
      </w:r>
      <w:r>
        <w:t>.</w:t>
      </w:r>
      <w:r>
        <w:tab/>
        <w:t>Supplementary provisions for applications and referrals</w:t>
      </w:r>
      <w:bookmarkEnd w:id="699"/>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or (3A)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 amended: No. 17 of 2022 s. 7.]</w:t>
      </w:r>
    </w:p>
    <w:p>
      <w:pPr>
        <w:pStyle w:val="Heading4"/>
      </w:pPr>
      <w:bookmarkStart w:id="700" w:name="_Toc155165708"/>
      <w:r>
        <w:rPr>
          <w:rStyle w:val="CharSDivNo"/>
        </w:rPr>
        <w:t>Subdivision 2</w:t>
      </w:r>
      <w:r>
        <w:t> — </w:t>
      </w:r>
      <w:r>
        <w:rPr>
          <w:rStyle w:val="CharSDivText"/>
        </w:rPr>
        <w:t>Determinations</w:t>
      </w:r>
      <w:bookmarkEnd w:id="700"/>
    </w:p>
    <w:p>
      <w:pPr>
        <w:pStyle w:val="Footnoteheading"/>
      </w:pPr>
      <w:r>
        <w:tab/>
        <w:t>[Heading inserted: No. 26 of 2020 s. 4.]</w:t>
      </w:r>
    </w:p>
    <w:p>
      <w:pPr>
        <w:pStyle w:val="Heading5"/>
      </w:pPr>
      <w:bookmarkStart w:id="701" w:name="_Toc155165709"/>
      <w:r>
        <w:rPr>
          <w:rStyle w:val="CharSectno"/>
        </w:rPr>
        <w:t>274</w:t>
      </w:r>
      <w:r>
        <w:t>.</w:t>
      </w:r>
      <w:r>
        <w:tab/>
        <w:t>Determination of development applications by Commission</w:t>
      </w:r>
      <w:bookmarkEnd w:id="701"/>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(3C)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 or the extended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 amended: No. 17 of 2022 s. 8.]</w:t>
      </w:r>
    </w:p>
    <w:p>
      <w:pPr>
        <w:pStyle w:val="Heading5"/>
      </w:pPr>
      <w:bookmarkStart w:id="702" w:name="_Toc155165710"/>
      <w:r>
        <w:rPr>
          <w:rStyle w:val="CharSectno"/>
        </w:rPr>
        <w:t>275</w:t>
      </w:r>
      <w:r>
        <w:t>.</w:t>
      </w:r>
      <w:r>
        <w:tab/>
        <w:t>Application of legal instruments and matters to which Commission must have due regard</w:t>
      </w:r>
      <w:bookmarkEnd w:id="702"/>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keepNext/>
      </w:pPr>
      <w:r>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703" w:name="_Toc155165711"/>
      <w:r>
        <w:rPr>
          <w:rStyle w:val="CharSectno"/>
        </w:rPr>
        <w:t>276</w:t>
      </w:r>
      <w:r>
        <w:t>.</w:t>
      </w:r>
      <w:r>
        <w:tab/>
        <w:t>Consultation, submissions and other input</w:t>
      </w:r>
      <w:bookmarkEnd w:id="703"/>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keepNext/>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keepNext/>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704" w:name="_Toc155165712"/>
      <w:r>
        <w:rPr>
          <w:rStyle w:val="CharSectno"/>
        </w:rPr>
        <w:t>277</w:t>
      </w:r>
      <w:r>
        <w:t>.</w:t>
      </w:r>
      <w:r>
        <w:tab/>
        <w:t>Effect of Commission determination under s. 274</w:t>
      </w:r>
      <w:bookmarkEnd w:id="704"/>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keepNext/>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An ACH permit or an approved or authorised ACH management plan under the </w:t>
      </w:r>
      <w:r>
        <w:rPr>
          <w:i/>
        </w:rPr>
        <w:t>Aboriginal Cultural Heritage Act 2021</w:t>
      </w:r>
      <w:r>
        <w:t xml:space="preserve"> Part 6.</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keepNext/>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 amended: No. 27 of 2021 s. 350(2).]</w:t>
      </w:r>
    </w:p>
    <w:p>
      <w:pPr>
        <w:pStyle w:val="Heading5"/>
      </w:pPr>
      <w:bookmarkStart w:id="705" w:name="_Toc155165713"/>
      <w:r>
        <w:rPr>
          <w:rStyle w:val="CharSectno"/>
        </w:rPr>
        <w:t>278</w:t>
      </w:r>
      <w:r>
        <w:t>.</w:t>
      </w:r>
      <w:r>
        <w:tab/>
        <w:t>Substantial commencement of development approved by Commission under s. 274</w:t>
      </w:r>
      <w:bookmarkEnd w:id="705"/>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PermNoteHeading"/>
      </w:pPr>
      <w:r>
        <w:tab/>
        <w:t>Note for this subsection:</w:t>
      </w:r>
    </w:p>
    <w:p>
      <w:pPr>
        <w:pStyle w:val="PermNoteText"/>
      </w:pPr>
      <w:r>
        <w:tab/>
      </w:r>
      <w:r>
        <w:tab/>
        <w:t>The period referred to in subsection (2) can be extended by an amendment to the approval made under section 279 or made by an order under section 284 — see, in particular, subsections (4) and (5) and sections 279(2)(aa) and (6A) and 284(2)(aa).</w:t>
      </w:r>
    </w:p>
    <w:p>
      <w:pPr>
        <w:pStyle w:val="Subsection"/>
      </w:pPr>
      <w:r>
        <w:tab/>
        <w:t>(4)</w:t>
      </w:r>
      <w:r>
        <w:tab/>
        <w:t>The application referred to in section 279(6A) can be made or determined even if the approval has lapsed under subsection (3) and, if the application is granted after the approval has lapsed, the approval comes back into effect accordingly when the application is granted.</w:t>
      </w:r>
    </w:p>
    <w:p>
      <w:pPr>
        <w:pStyle w:val="Subsection"/>
        <w:keepNext/>
      </w:pPr>
      <w:r>
        <w:tab/>
        <w:t>(5)</w:t>
      </w:r>
      <w:r>
        <w:tab/>
        <w:t>An order under section 284 may make an amendment of the kind referred to in section 284(2)(aa) even if the approval has lapsed under subsection (3), in which event the approval comes back into effect accordingly when the amendment is made.</w:t>
      </w:r>
    </w:p>
    <w:p>
      <w:pPr>
        <w:pStyle w:val="Footnotesection"/>
      </w:pPr>
      <w:r>
        <w:tab/>
        <w:t>[Section 278 inserted: No. 26 of 2020 s. 4; amended: No. 17 of 2022 s. 9.]</w:t>
      </w:r>
    </w:p>
    <w:p>
      <w:pPr>
        <w:pStyle w:val="Heading5"/>
      </w:pPr>
      <w:bookmarkStart w:id="706" w:name="_Toc155165714"/>
      <w:r>
        <w:rPr>
          <w:rStyle w:val="CharSectno"/>
        </w:rPr>
        <w:t>279</w:t>
      </w:r>
      <w:r>
        <w:t>.</w:t>
      </w:r>
      <w:r>
        <w:tab/>
        <w:t>Amendment or cancellation of approval granted by Commission under s. 274</w:t>
      </w:r>
      <w:bookmarkEnd w:id="706"/>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(aa)</w:t>
      </w:r>
      <w:r>
        <w:tab/>
        <w:t xml:space="preserve">for the purposes of section 278(2), to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r>
      <w:r>
        <w:tab/>
        <w:t>or</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Ednotesubsection"/>
        <w:keepNext/>
      </w:pPr>
      <w:r>
        <w:tab/>
        <w:t>[(4)</w:t>
      </w:r>
      <w:r>
        <w:tab/>
        <w:t>deleted]</w:t>
      </w:r>
    </w:p>
    <w:p>
      <w:pPr>
        <w:pStyle w:val="Subsection"/>
        <w:keepNext/>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(6A)</w:t>
      </w:r>
      <w:r>
        <w:tab/>
        <w:t>No more than 1 application can be made under subsection (2) for an amendment of the kind referred to in subsection (2)(aa) and, accordingly, the Commission can make an amendment of that kind only once under this section.</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(aa)</w:t>
      </w:r>
      <w:r>
        <w:tab/>
        <w:t>make an amendment of the kind referred to in subsection (2)(aa);</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 amended: No. 17 of 2022 s. 10.]</w:t>
      </w:r>
    </w:p>
    <w:p>
      <w:pPr>
        <w:pStyle w:val="Heading3"/>
      </w:pPr>
      <w:bookmarkStart w:id="707" w:name="_Toc155165715"/>
      <w:r>
        <w:rPr>
          <w:rStyle w:val="CharDivNo"/>
        </w:rPr>
        <w:t>Division 3</w:t>
      </w:r>
      <w:r>
        <w:t> — </w:t>
      </w:r>
      <w:r>
        <w:rPr>
          <w:rStyle w:val="CharDivText"/>
        </w:rPr>
        <w:t>Avoiding conflicts with approvals granted by Commission under section 274</w:t>
      </w:r>
      <w:bookmarkEnd w:id="707"/>
    </w:p>
    <w:p>
      <w:pPr>
        <w:pStyle w:val="Footnoteheading"/>
        <w:keepNext/>
      </w:pPr>
      <w:r>
        <w:tab/>
        <w:t>[Heading inserted: No. 26 of 2020 s. 4.]</w:t>
      </w:r>
    </w:p>
    <w:p>
      <w:pPr>
        <w:pStyle w:val="Heading5"/>
      </w:pPr>
      <w:bookmarkStart w:id="708" w:name="_Toc155165716"/>
      <w:r>
        <w:rPr>
          <w:rStyle w:val="CharSectno"/>
        </w:rPr>
        <w:t>280</w:t>
      </w:r>
      <w:r>
        <w:t>.</w:t>
      </w:r>
      <w:r>
        <w:tab/>
        <w:t>General provisions for Division</w:t>
      </w:r>
      <w:bookmarkEnd w:id="708"/>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any of the conditions imposed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pPr>
      <w:r>
        <w:tab/>
        <w:t>(1A)</w:t>
      </w:r>
      <w:r>
        <w:tab/>
        <w:t>In subsection (1)(a) to (c), references to the approved development, the conditions imposed on the approval or the approval are to the development, conditions or approval as amended from time to time under section 279 or by an order under section 284.</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keepNext/>
      </w:pPr>
      <w:r>
        <w:tab/>
        <w:t>(8)</w:t>
      </w:r>
      <w:r>
        <w:tab/>
        <w:t>This Division does not apply to the performance, or proposed performance, of a function under section 279 or Division 4.</w:t>
      </w:r>
    </w:p>
    <w:p>
      <w:pPr>
        <w:pStyle w:val="Footnotesection"/>
      </w:pPr>
      <w:r>
        <w:tab/>
        <w:t>[Section 280 inserted: No. 26 of 2020 s. 4; amended: No. 17 of 2022 s. 11.]</w:t>
      </w:r>
    </w:p>
    <w:p>
      <w:pPr>
        <w:pStyle w:val="Heading5"/>
      </w:pPr>
      <w:bookmarkStart w:id="709" w:name="_Toc155165717"/>
      <w:r>
        <w:rPr>
          <w:rStyle w:val="CharSectno"/>
        </w:rPr>
        <w:t>281</w:t>
      </w:r>
      <w:r>
        <w:t>.</w:t>
      </w:r>
      <w:r>
        <w:tab/>
        <w:t>Decision</w:t>
      </w:r>
      <w:r>
        <w:noBreakHyphen/>
        <w:t>maker proposing to perform function in conflict with approval</w:t>
      </w:r>
      <w:bookmarkEnd w:id="709"/>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keepNext/>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710" w:name="_Toc155165718"/>
      <w:r>
        <w:rPr>
          <w:rStyle w:val="CharSectno"/>
        </w:rPr>
        <w:t>282</w:t>
      </w:r>
      <w:r>
        <w:t>.</w:t>
      </w:r>
      <w:r>
        <w:tab/>
        <w:t>Owner of land or other prescribed person may apply for direction if performance of function conflicts with approval</w:t>
      </w:r>
      <w:bookmarkEnd w:id="710"/>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711" w:name="_Toc155165719"/>
      <w:r>
        <w:rPr>
          <w:rStyle w:val="CharDivNo"/>
        </w:rPr>
        <w:t>Division 4</w:t>
      </w:r>
      <w:r>
        <w:t> — </w:t>
      </w:r>
      <w:r>
        <w:rPr>
          <w:rStyle w:val="CharDivText"/>
        </w:rPr>
        <w:t>Oversight of Commission</w:t>
      </w:r>
      <w:bookmarkEnd w:id="711"/>
    </w:p>
    <w:p>
      <w:pPr>
        <w:pStyle w:val="Footnoteheading"/>
        <w:keepNext/>
      </w:pPr>
      <w:r>
        <w:tab/>
        <w:t>[Heading inserted: No. 26 of 2020 s. 4.]</w:t>
      </w:r>
    </w:p>
    <w:p>
      <w:pPr>
        <w:pStyle w:val="Heading5"/>
      </w:pPr>
      <w:bookmarkStart w:id="712" w:name="_Toc155165720"/>
      <w:r>
        <w:rPr>
          <w:rStyle w:val="CharSectno"/>
        </w:rPr>
        <w:t>283</w:t>
      </w:r>
      <w:r>
        <w:t>.</w:t>
      </w:r>
      <w:r>
        <w:tab/>
        <w:t>State Administrative Tribunal</w:t>
      </w:r>
      <w:bookmarkEnd w:id="712"/>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keepNext/>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713" w:name="_Toc155165721"/>
      <w:r>
        <w:rPr>
          <w:rStyle w:val="CharSectno"/>
        </w:rPr>
        <w:t>284</w:t>
      </w:r>
      <w:r>
        <w:t>.</w:t>
      </w:r>
      <w:r>
        <w:tab/>
        <w:t>Governor may amend or cancel approval granted by Commission under s. 274</w:t>
      </w:r>
      <w:bookmarkEnd w:id="713"/>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(aa)</w:t>
      </w:r>
      <w:r>
        <w:tab/>
        <w:t xml:space="preserve">for the purposes of section 278(2),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 amended: No. 17 of 2022 s. 12.]</w:t>
      </w:r>
    </w:p>
    <w:p>
      <w:pPr>
        <w:pStyle w:val="Heading3"/>
      </w:pPr>
      <w:bookmarkStart w:id="714" w:name="_Toc155165722"/>
      <w:r>
        <w:rPr>
          <w:rStyle w:val="CharDivNo"/>
        </w:rPr>
        <w:t>Division 5</w:t>
      </w:r>
      <w:r>
        <w:t> — </w:t>
      </w:r>
      <w:r>
        <w:rPr>
          <w:rStyle w:val="CharDivText"/>
        </w:rPr>
        <w:t>Final matters</w:t>
      </w:r>
      <w:bookmarkEnd w:id="714"/>
    </w:p>
    <w:p>
      <w:pPr>
        <w:pStyle w:val="Footnoteheading"/>
        <w:keepNext/>
      </w:pPr>
      <w:r>
        <w:tab/>
        <w:t>[Heading inserted: No. 26 of 2020 s. 4.]</w:t>
      </w:r>
    </w:p>
    <w:p>
      <w:pPr>
        <w:pStyle w:val="Heading5"/>
      </w:pPr>
      <w:bookmarkStart w:id="715" w:name="_Toc155165723"/>
      <w:r>
        <w:rPr>
          <w:rStyle w:val="CharSectno"/>
        </w:rPr>
        <w:t>285</w:t>
      </w:r>
      <w:r>
        <w:t>.</w:t>
      </w:r>
      <w:r>
        <w:tab/>
        <w:t>Fees</w:t>
      </w:r>
      <w:bookmarkEnd w:id="715"/>
    </w:p>
    <w:p>
      <w:pPr>
        <w:pStyle w:val="Subsection"/>
        <w:keepNext/>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716" w:name="_Toc155165724"/>
      <w:r>
        <w:rPr>
          <w:rStyle w:val="CharSectno"/>
        </w:rPr>
        <w:t>286</w:t>
      </w:r>
      <w:r>
        <w:t>.</w:t>
      </w:r>
      <w:r>
        <w:tab/>
        <w:t>Regulations</w:t>
      </w:r>
      <w:bookmarkEnd w:id="716"/>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717" w:name="_Toc155165725"/>
      <w:r>
        <w:rPr>
          <w:rStyle w:val="CharPartNo"/>
        </w:rPr>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717"/>
    </w:p>
    <w:p>
      <w:pPr>
        <w:pStyle w:val="Footnoteheading"/>
      </w:pPr>
      <w:r>
        <w:tab/>
        <w:t>[Heading inserted: No. 26 of 2020 s. 4.]</w:t>
      </w:r>
    </w:p>
    <w:p>
      <w:pPr>
        <w:pStyle w:val="Heading5"/>
      </w:pPr>
      <w:bookmarkStart w:id="718" w:name="_Toc155165726"/>
      <w:r>
        <w:rPr>
          <w:rStyle w:val="CharSectno"/>
        </w:rPr>
        <w:t>287</w:t>
      </w:r>
      <w:r>
        <w:t>.</w:t>
      </w:r>
      <w:r>
        <w:tab/>
        <w:t>Term used: COVID</w:t>
      </w:r>
      <w:r>
        <w:noBreakHyphen/>
        <w:t>19 emergency start date</w:t>
      </w:r>
      <w:bookmarkEnd w:id="718"/>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719" w:name="_Toc155165727"/>
      <w:r>
        <w:rPr>
          <w:rStyle w:val="CharSectno"/>
        </w:rPr>
        <w:t>288</w:t>
      </w:r>
      <w:r>
        <w:t>.</w:t>
      </w:r>
      <w:r>
        <w:tab/>
        <w:t>Extension of time for endorsement of diagram or plan of survey of approved subdivision</w:t>
      </w:r>
      <w:bookmarkEnd w:id="719"/>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720" w:name="_Toc155165728"/>
      <w:r>
        <w:rPr>
          <w:rStyle w:val="CharPartNo"/>
        </w:rPr>
        <w:t>Part 19</w:t>
      </w:r>
      <w:r>
        <w:t> — </w:t>
      </w:r>
      <w:r>
        <w:rPr>
          <w:rStyle w:val="CharPartText"/>
        </w:rPr>
        <w:t>Transitional provisions</w:t>
      </w:r>
      <w:bookmarkEnd w:id="720"/>
    </w:p>
    <w:p>
      <w:pPr>
        <w:pStyle w:val="Footnoteheading"/>
      </w:pPr>
      <w:r>
        <w:tab/>
        <w:t>[Heading inserted: No. 26 of 2020 s. 105; amended: No. 17 of 2022 s. 13.]</w:t>
      </w:r>
    </w:p>
    <w:p>
      <w:pPr>
        <w:pStyle w:val="Heading3"/>
      </w:pPr>
      <w:bookmarkStart w:id="721" w:name="_Toc155165729"/>
      <w:r>
        <w:rPr>
          <w:rStyle w:val="CharDivNo"/>
        </w:rPr>
        <w:t>Division 1</w:t>
      </w:r>
      <w:r>
        <w:t> — </w:t>
      </w:r>
      <w:r>
        <w:rPr>
          <w:rStyle w:val="CharDivText"/>
        </w:rPr>
        <w:t xml:space="preserve">Provisions for </w:t>
      </w:r>
      <w:r>
        <w:rPr>
          <w:rStyle w:val="CharDivText"/>
          <w:i/>
        </w:rPr>
        <w:t>Planning and Development Amendment Act 2020</w:t>
      </w:r>
      <w:bookmarkEnd w:id="721"/>
    </w:p>
    <w:p>
      <w:pPr>
        <w:pStyle w:val="Footnoteheading"/>
      </w:pPr>
      <w:r>
        <w:tab/>
        <w:t>[Heading inserted: No. 17 of 2022 s. 14.]</w:t>
      </w:r>
    </w:p>
    <w:p>
      <w:pPr>
        <w:pStyle w:val="Heading5"/>
      </w:pPr>
      <w:bookmarkStart w:id="722" w:name="_Toc155165730"/>
      <w:r>
        <w:rPr>
          <w:rStyle w:val="CharSectno"/>
        </w:rPr>
        <w:t>289</w:t>
      </w:r>
      <w:r>
        <w:t>.</w:t>
      </w:r>
      <w:r>
        <w:tab/>
        <w:t>LDAP or JDAP continues as district DAP</w:t>
      </w:r>
      <w:bookmarkEnd w:id="72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723" w:name="_Toc155165731"/>
      <w:r>
        <w:rPr>
          <w:rStyle w:val="CharSectno"/>
        </w:rPr>
        <w:t>290</w:t>
      </w:r>
      <w:r>
        <w:t>.</w:t>
      </w:r>
      <w:r>
        <w:tab/>
        <w:t>Preparation and approval of planning schemes where process commenced before commencement day</w:t>
      </w:r>
      <w:bookmarkEnd w:id="723"/>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724" w:name="_Toc155165732"/>
      <w:r>
        <w:rPr>
          <w:rStyle w:val="CharSectno"/>
        </w:rPr>
        <w:t>291</w:t>
      </w:r>
      <w:r>
        <w:t>.</w:t>
      </w:r>
      <w:r>
        <w:tab/>
        <w:t>R</w:t>
      </w:r>
      <w:r>
        <w:noBreakHyphen/>
        <w:t>Codes taken to be planning codes</w:t>
      </w:r>
      <w:bookmarkEnd w:id="72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725" w:name="_Toc155165733"/>
      <w:r>
        <w:rPr>
          <w:rStyle w:val="CharSectno"/>
        </w:rPr>
        <w:t>292</w:t>
      </w:r>
      <w:r>
        <w:t>.</w:t>
      </w:r>
      <w:r>
        <w:tab/>
        <w:t>Regulations made by Minister continue in force</w:t>
      </w:r>
      <w:bookmarkEnd w:id="72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726" w:name="_Toc155165734"/>
      <w:r>
        <w:rPr>
          <w:rStyle w:val="CharSectno"/>
        </w:rPr>
        <w:t>293</w:t>
      </w:r>
      <w:r>
        <w:t>.</w:t>
      </w:r>
      <w:r>
        <w:tab/>
        <w:t>Electronic planning maps prepared before commencement day</w:t>
      </w:r>
      <w:bookmarkEnd w:id="72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727" w:name="_Toc155165735"/>
      <w:r>
        <w:rPr>
          <w:rStyle w:val="CharSectno"/>
        </w:rPr>
        <w:t>294</w:t>
      </w:r>
      <w:r>
        <w:t>.</w:t>
      </w:r>
      <w:r>
        <w:tab/>
        <w:t>Transitional regulations</w:t>
      </w:r>
      <w:bookmarkEnd w:id="727"/>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pStyle w:val="Heading3"/>
      </w:pPr>
      <w:bookmarkStart w:id="728" w:name="_Toc155165736"/>
      <w:r>
        <w:rPr>
          <w:rStyle w:val="CharDivNo"/>
        </w:rPr>
        <w:t>Division 2</w:t>
      </w:r>
      <w:r>
        <w:t> — </w:t>
      </w:r>
      <w:r>
        <w:rPr>
          <w:rStyle w:val="CharDivText"/>
        </w:rPr>
        <w:t xml:space="preserve">Provisions for </w:t>
      </w:r>
      <w:r>
        <w:rPr>
          <w:rStyle w:val="CharDivText"/>
          <w:i/>
        </w:rPr>
        <w:t>Planning and Development Amendment Act 2022</w:t>
      </w:r>
      <w:bookmarkEnd w:id="728"/>
    </w:p>
    <w:p>
      <w:pPr>
        <w:pStyle w:val="Footnoteheading"/>
        <w:keepNext/>
      </w:pPr>
      <w:r>
        <w:tab/>
        <w:t>[Heading inserted: No. 17 of 2022 s. 15.]</w:t>
      </w:r>
    </w:p>
    <w:p>
      <w:pPr>
        <w:pStyle w:val="Heading5"/>
      </w:pPr>
      <w:bookmarkStart w:id="729" w:name="_Toc155165737"/>
      <w:r>
        <w:rPr>
          <w:rStyle w:val="CharSectno"/>
        </w:rPr>
        <w:t>295</w:t>
      </w:r>
      <w:r>
        <w:t>.</w:t>
      </w:r>
      <w:r>
        <w:tab/>
        <w:t>Amendments to development approvals</w:t>
      </w:r>
      <w:bookmarkEnd w:id="729"/>
    </w:p>
    <w:p>
      <w:pPr>
        <w:pStyle w:val="Subsection"/>
      </w:pPr>
      <w:r>
        <w:tab/>
      </w:r>
      <w:r>
        <w:tab/>
        <w:t xml:space="preserve">The amendments made by the </w:t>
      </w:r>
      <w:r>
        <w:rPr>
          <w:i/>
        </w:rPr>
        <w:t>Planning and Development Amendment Act 2022</w:t>
      </w:r>
      <w:r>
        <w:t xml:space="preserve"> sections 9 to 12 apply to an approval for development whether granted by the Commission before, on or after the day on which those sections come into operation.</w:t>
      </w:r>
    </w:p>
    <w:p>
      <w:pPr>
        <w:pStyle w:val="Footnotesection"/>
      </w:pPr>
      <w:r>
        <w:tab/>
        <w:t>[Section 295 inserted: No. 17 of 2022 s. 15.]</w:t>
      </w:r>
    </w:p>
    <w:p>
      <w:pPr>
        <w:pStyle w:val="Heading5"/>
      </w:pPr>
      <w:bookmarkStart w:id="730" w:name="_Toc155165738"/>
      <w:r>
        <w:rPr>
          <w:rStyle w:val="CharSectno"/>
        </w:rPr>
        <w:t>296</w:t>
      </w:r>
      <w:r>
        <w:t>.</w:t>
      </w:r>
      <w:r>
        <w:tab/>
        <w:t>Fees</w:t>
      </w:r>
      <w:bookmarkEnd w:id="730"/>
    </w:p>
    <w:p>
      <w:pPr>
        <w:pStyle w:val="Subsection"/>
      </w:pPr>
      <w:r>
        <w:tab/>
        <w:t>(1)</w:t>
      </w:r>
      <w:r>
        <w:tab/>
        <w:t xml:space="preserve">The development applications (as defined in section 269(1)) to which the </w:t>
      </w:r>
      <w:r>
        <w:rPr>
          <w:i/>
        </w:rPr>
        <w:t>Planning and Development (Part 17 Fees) Notice 2020</w:t>
      </w:r>
      <w:r>
        <w:t xml:space="preserve"> clause 4(1)(a) and (2) apply (subject to clause 4(5)) include a development application (as defined in section 269(1)) to be determined by the Commission under section 274 as a result of an amendment made to Part 17 by the </w:t>
      </w:r>
      <w:r>
        <w:rPr>
          <w:i/>
        </w:rPr>
        <w:t>Planning and Development Amendment Act 2022</w:t>
      </w:r>
      <w:r>
        <w:t>.</w:t>
      </w:r>
    </w:p>
    <w:p>
      <w:pPr>
        <w:pStyle w:val="Subsection"/>
      </w:pPr>
      <w:r>
        <w:tab/>
        <w:t>(2)</w:t>
      </w:r>
      <w:r>
        <w:tab/>
        <w:t xml:space="preserve">The applications made under section 279(2) to which the </w:t>
      </w:r>
      <w:r>
        <w:rPr>
          <w:i/>
        </w:rPr>
        <w:t>Planning and Development (Part 17 Fees) Notice 2020</w:t>
      </w:r>
      <w:r>
        <w:t xml:space="preserve"> clause 4(1)(b) applies include an application made under section 279(2) for an amendment of the kind referred to in section 279(2)(aa) as inserted by the </w:t>
      </w:r>
      <w:r>
        <w:rPr>
          <w:i/>
        </w:rPr>
        <w:t>Planning and Development Amendment Act 2022</w:t>
      </w:r>
      <w:r>
        <w:t>.</w:t>
      </w:r>
    </w:p>
    <w:p>
      <w:pPr>
        <w:pStyle w:val="Subsection"/>
      </w:pPr>
      <w:r>
        <w:tab/>
        <w:t>(3)</w:t>
      </w:r>
      <w:r>
        <w:tab/>
        <w:t xml:space="preserve">This section does not limit or otherwise affect the Minister’s power to amend, repeal or replace the </w:t>
      </w:r>
      <w:r>
        <w:rPr>
          <w:i/>
        </w:rPr>
        <w:t xml:space="preserve">Planning and Development (Part 17 Fees) Notice 2020 </w:t>
      </w:r>
      <w:r>
        <w:t>by a further notice published under section 285.</w:t>
      </w:r>
    </w:p>
    <w:p>
      <w:pPr>
        <w:pStyle w:val="Footnotesection"/>
      </w:pPr>
      <w:r>
        <w:tab/>
        <w:t>[Section 296 inserted: No. 17 of 2022 s. 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731" w:name="_Toc155165739"/>
      <w:r>
        <w:rPr>
          <w:rStyle w:val="CharSchNo"/>
        </w:rPr>
        <w:t>Schedule 1</w:t>
      </w:r>
      <w:r>
        <w:rPr>
          <w:rStyle w:val="CharSDivNo"/>
        </w:rPr>
        <w:t> </w:t>
      </w:r>
      <w:r>
        <w:t>—</w:t>
      </w:r>
      <w:r>
        <w:rPr>
          <w:rStyle w:val="CharSDivText"/>
        </w:rPr>
        <w:t> </w:t>
      </w:r>
      <w:r>
        <w:rPr>
          <w:rStyle w:val="CharSchText"/>
        </w:rPr>
        <w:t>Constitution and proceedings of the Board</w:t>
      </w:r>
      <w:bookmarkEnd w:id="731"/>
    </w:p>
    <w:p>
      <w:pPr>
        <w:pStyle w:val="yShoulderClause"/>
      </w:pPr>
      <w:r>
        <w:t>[s. 12]</w:t>
      </w:r>
    </w:p>
    <w:p>
      <w:pPr>
        <w:pStyle w:val="yHeading5"/>
      </w:pPr>
      <w:bookmarkStart w:id="732" w:name="_Toc155165740"/>
      <w:r>
        <w:rPr>
          <w:rStyle w:val="CharSClsNo"/>
        </w:rPr>
        <w:t>1</w:t>
      </w:r>
      <w:r>
        <w:t>.</w:t>
      </w:r>
      <w:r>
        <w:tab/>
        <w:t>Term used: appointed member</w:t>
      </w:r>
      <w:bookmarkEnd w:id="732"/>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pPr>
      <w:bookmarkStart w:id="733" w:name="_Toc155165741"/>
      <w:r>
        <w:rPr>
          <w:rStyle w:val="CharSClsNo"/>
        </w:rPr>
        <w:t>2</w:t>
      </w:r>
      <w:r>
        <w:t>.</w:t>
      </w:r>
      <w:r>
        <w:tab/>
        <w:t>Term of office</w:t>
      </w:r>
      <w:bookmarkEnd w:id="733"/>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pPr>
      <w:bookmarkStart w:id="734" w:name="_Toc155165742"/>
      <w:r>
        <w:rPr>
          <w:rStyle w:val="CharSClsNo"/>
        </w:rPr>
        <w:t>3</w:t>
      </w:r>
      <w:r>
        <w:t>.</w:t>
      </w:r>
      <w:r>
        <w:tab/>
        <w:t>Appointments to be part-time unless stated otherwise</w:t>
      </w:r>
      <w:bookmarkEnd w:id="734"/>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pPr>
      <w:bookmarkStart w:id="735" w:name="_Toc155165743"/>
      <w:r>
        <w:rPr>
          <w:rStyle w:val="CharSClsNo"/>
        </w:rPr>
        <w:t>4</w:t>
      </w:r>
      <w:r>
        <w:t>.</w:t>
      </w:r>
      <w:r>
        <w:tab/>
        <w:t>Vacancies in and removal from office</w:t>
      </w:r>
      <w:bookmarkEnd w:id="735"/>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pPr>
      <w:bookmarkStart w:id="736" w:name="_Toc155165744"/>
      <w:r>
        <w:rPr>
          <w:rStyle w:val="CharSClsNo"/>
        </w:rPr>
        <w:t>5</w:t>
      </w:r>
      <w:r>
        <w:t>.</w:t>
      </w:r>
      <w:r>
        <w:tab/>
        <w:t>Leave of absence</w:t>
      </w:r>
      <w:bookmarkEnd w:id="736"/>
    </w:p>
    <w:p>
      <w:pPr>
        <w:pStyle w:val="ySubsection"/>
      </w:pPr>
      <w:r>
        <w:tab/>
      </w:r>
      <w:r>
        <w:tab/>
        <w:t>The Minister may grant leave of absence to a member on such terms and conditions as the Minister thinks fit.</w:t>
      </w:r>
    </w:p>
    <w:p>
      <w:pPr>
        <w:pStyle w:val="yHeading5"/>
        <w:spacing w:before="180"/>
      </w:pPr>
      <w:bookmarkStart w:id="737" w:name="_Toc155165745"/>
      <w:r>
        <w:rPr>
          <w:rStyle w:val="CharSClsNo"/>
        </w:rPr>
        <w:t>6</w:t>
      </w:r>
      <w:r>
        <w:t>.</w:t>
      </w:r>
      <w:r>
        <w:tab/>
        <w:t>Deputy chairperson</w:t>
      </w:r>
      <w:bookmarkEnd w:id="737"/>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pPr>
      <w:bookmarkStart w:id="738" w:name="_Toc155165746"/>
      <w:r>
        <w:rPr>
          <w:rStyle w:val="CharSClsNo"/>
        </w:rPr>
        <w:t>7</w:t>
      </w:r>
      <w:r>
        <w:t>.</w:t>
      </w:r>
      <w:r>
        <w:tab/>
        <w:t>Deputy members</w:t>
      </w:r>
      <w:bookmarkEnd w:id="738"/>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pPr>
      <w:bookmarkStart w:id="739" w:name="_Toc155165747"/>
      <w:r>
        <w:rPr>
          <w:rStyle w:val="CharSClsNo"/>
        </w:rPr>
        <w:t>8</w:t>
      </w:r>
      <w:r>
        <w:t>.</w:t>
      </w:r>
      <w:r>
        <w:tab/>
        <w:t>Meetings</w:t>
      </w:r>
      <w:bookmarkEnd w:id="739"/>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pPr>
      <w:bookmarkStart w:id="740" w:name="_Toc155165748"/>
      <w:r>
        <w:rPr>
          <w:rStyle w:val="CharSClsNo"/>
        </w:rPr>
        <w:t>9</w:t>
      </w:r>
      <w:r>
        <w:t>.</w:t>
      </w:r>
      <w:r>
        <w:tab/>
        <w:t>Resolution without meeting</w:t>
      </w:r>
      <w:bookmarkEnd w:id="740"/>
    </w:p>
    <w:p>
      <w:pPr>
        <w:pStyle w:val="ySubsection"/>
      </w:pPr>
      <w:r>
        <w:tab/>
      </w:r>
      <w:r>
        <w:tab/>
        <w:t>A written resolution signed by each member or assented to by each member by letter or facsimile is as effectual as if it had been passed at a meeting of the board.</w:t>
      </w:r>
    </w:p>
    <w:p>
      <w:pPr>
        <w:pStyle w:val="yHeading5"/>
      </w:pPr>
      <w:bookmarkStart w:id="741" w:name="_Toc155165749"/>
      <w:r>
        <w:rPr>
          <w:rStyle w:val="CharSClsNo"/>
        </w:rPr>
        <w:t>10</w:t>
      </w:r>
      <w:r>
        <w:t>.</w:t>
      </w:r>
      <w:r>
        <w:tab/>
        <w:t>Telephone or similar meetings</w:t>
      </w:r>
      <w:bookmarkEnd w:id="741"/>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742" w:name="_Toc155165750"/>
      <w:r>
        <w:rPr>
          <w:rStyle w:val="CharSClsNo"/>
        </w:rPr>
        <w:t>11</w:t>
      </w:r>
      <w:r>
        <w:t>.</w:t>
      </w:r>
      <w:r>
        <w:tab/>
        <w:t>Minutes of meetings</w:t>
      </w:r>
      <w:bookmarkEnd w:id="742"/>
    </w:p>
    <w:p>
      <w:pPr>
        <w:pStyle w:val="ySubsection"/>
      </w:pPr>
      <w:r>
        <w:tab/>
      </w:r>
      <w:r>
        <w:tab/>
        <w:t>The board is to cause accurate records to be kept of the proceedings at its meetings.</w:t>
      </w:r>
    </w:p>
    <w:p>
      <w:pPr>
        <w:pStyle w:val="yHeading5"/>
      </w:pPr>
      <w:bookmarkStart w:id="743" w:name="_Toc155165751"/>
      <w:r>
        <w:rPr>
          <w:rStyle w:val="CharSClsNo"/>
        </w:rPr>
        <w:t>12</w:t>
      </w:r>
      <w:r>
        <w:t>.</w:t>
      </w:r>
      <w:r>
        <w:tab/>
        <w:t>Procedures</w:t>
      </w:r>
      <w:bookmarkEnd w:id="743"/>
    </w:p>
    <w:p>
      <w:pPr>
        <w:pStyle w:val="ySubsection"/>
      </w:pPr>
      <w:r>
        <w:tab/>
      </w:r>
      <w:r>
        <w:tab/>
        <w:t>Subject to this Act, the board is to determine its own procedures.</w:t>
      </w:r>
    </w:p>
    <w:p>
      <w:pPr>
        <w:pStyle w:val="yScheduleHeading"/>
      </w:pPr>
      <w:bookmarkStart w:id="744" w:name="_Toc155165752"/>
      <w:r>
        <w:rPr>
          <w:rStyle w:val="CharSchNo"/>
        </w:rPr>
        <w:t>Schedule 2</w:t>
      </w:r>
      <w:r>
        <w:rPr>
          <w:rStyle w:val="CharSDivNo"/>
        </w:rPr>
        <w:t> </w:t>
      </w:r>
      <w:r>
        <w:t>—</w:t>
      </w:r>
      <w:r>
        <w:rPr>
          <w:rStyle w:val="CharSDivText"/>
        </w:rPr>
        <w:t> </w:t>
      </w:r>
      <w:r>
        <w:rPr>
          <w:rStyle w:val="CharSchText"/>
        </w:rPr>
        <w:t>Committees</w:t>
      </w:r>
      <w:bookmarkEnd w:id="744"/>
    </w:p>
    <w:p>
      <w:pPr>
        <w:pStyle w:val="yShoulderClause"/>
      </w:pPr>
      <w:r>
        <w:t>[s. 19]</w:t>
      </w:r>
    </w:p>
    <w:p>
      <w:pPr>
        <w:pStyle w:val="yHeading5"/>
      </w:pPr>
      <w:bookmarkStart w:id="745" w:name="_Toc155165753"/>
      <w:r>
        <w:rPr>
          <w:rStyle w:val="CharSClsNo"/>
        </w:rPr>
        <w:t>1</w:t>
      </w:r>
      <w:r>
        <w:t>.</w:t>
      </w:r>
      <w:r>
        <w:tab/>
        <w:t>Committees, general provisions as to</w:t>
      </w:r>
      <w:bookmarkEnd w:id="745"/>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pPr>
      <w:bookmarkStart w:id="746" w:name="_Toc155165754"/>
      <w:r>
        <w:rPr>
          <w:rStyle w:val="CharSClsNo"/>
        </w:rPr>
        <w:t>2</w:t>
      </w:r>
      <w:r>
        <w:t>.</w:t>
      </w:r>
      <w:r>
        <w:tab/>
        <w:t>Deputy members for local government representatives</w:t>
      </w:r>
      <w:bookmarkEnd w:id="746"/>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pPr>
      <w:bookmarkStart w:id="747" w:name="_Toc155165755"/>
      <w:r>
        <w:rPr>
          <w:rStyle w:val="CharSClsNo"/>
        </w:rPr>
        <w:t>3</w:t>
      </w:r>
      <w:r>
        <w:t>.</w:t>
      </w:r>
      <w:r>
        <w:tab/>
        <w:t>Executive, Finance and Property Committee</w:t>
      </w:r>
      <w:bookmarkEnd w:id="747"/>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pPr>
      <w:bookmarkStart w:id="748" w:name="_Toc155165756"/>
      <w:r>
        <w:rPr>
          <w:rStyle w:val="CharSClsNo"/>
        </w:rPr>
        <w:t>4</w:t>
      </w:r>
      <w:r>
        <w:t>.</w:t>
      </w:r>
      <w:r>
        <w:tab/>
        <w:t>Statutory Planning Committee</w:t>
      </w:r>
      <w:bookmarkEnd w:id="748"/>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pPr>
      <w:bookmarkStart w:id="749" w:name="_Toc155165757"/>
      <w:r>
        <w:rPr>
          <w:rStyle w:val="CharSClsNo"/>
        </w:rPr>
        <w:t>5</w:t>
      </w:r>
      <w:r>
        <w:t>.</w:t>
      </w:r>
      <w:r>
        <w:tab/>
        <w:t>Sustainable Transport Committee</w:t>
      </w:r>
      <w:bookmarkEnd w:id="749"/>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pPr>
      <w:bookmarkStart w:id="750" w:name="_Toc155165758"/>
      <w:r>
        <w:rPr>
          <w:rStyle w:val="CharSClsNo"/>
        </w:rPr>
        <w:t>7</w:t>
      </w:r>
      <w:r>
        <w:t>.</w:t>
      </w:r>
      <w:r>
        <w:tab/>
        <w:t>Coastal Planning and Coordination Council</w:t>
      </w:r>
      <w:bookmarkEnd w:id="750"/>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pPr>
      <w:bookmarkStart w:id="751" w:name="_Toc155165759"/>
      <w:r>
        <w:rPr>
          <w:rStyle w:val="CharSClsNo"/>
        </w:rPr>
        <w:t>8</w:t>
      </w:r>
      <w:r>
        <w:t>.</w:t>
      </w:r>
      <w:r>
        <w:tab/>
        <w:t>Regional planning committees</w:t>
      </w:r>
      <w:bookmarkEnd w:id="751"/>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pPr>
      <w:bookmarkStart w:id="752" w:name="_Toc155165760"/>
      <w:r>
        <w:rPr>
          <w:rStyle w:val="CharSClsNo"/>
        </w:rPr>
        <w:t>9</w:t>
      </w:r>
      <w:r>
        <w:t>.</w:t>
      </w:r>
      <w:r>
        <w:tab/>
        <w:t>District planning committees</w:t>
      </w:r>
      <w:bookmarkEnd w:id="752"/>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754" w:name="_Toc155165761"/>
      <w:r>
        <w:rPr>
          <w:rStyle w:val="CharSchNo"/>
        </w:rPr>
        <w:t>Schedule 3</w:t>
      </w:r>
      <w:r>
        <w:rPr>
          <w:rStyle w:val="CharSDivNo"/>
        </w:rPr>
        <w:t> </w:t>
      </w:r>
      <w:r>
        <w:t>—</w:t>
      </w:r>
      <w:r>
        <w:rPr>
          <w:rStyle w:val="CharSDivText"/>
        </w:rPr>
        <w:t> </w:t>
      </w:r>
      <w:r>
        <w:rPr>
          <w:rStyle w:val="CharSchText"/>
        </w:rPr>
        <w:t>Metropolitan region</w:t>
      </w:r>
      <w:bookmarkEnd w:id="754"/>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755" w:name="_Toc155165762"/>
      <w:r>
        <w:rPr>
          <w:rStyle w:val="CharSchNo"/>
        </w:rPr>
        <w:t>Schedule 4</w:t>
      </w:r>
      <w:r>
        <w:rPr>
          <w:rStyle w:val="CharSDivNo"/>
        </w:rPr>
        <w:t> </w:t>
      </w:r>
      <w:r>
        <w:t>—</w:t>
      </w:r>
      <w:r>
        <w:rPr>
          <w:rStyle w:val="CharSDivText"/>
        </w:rPr>
        <w:t> </w:t>
      </w:r>
      <w:r>
        <w:rPr>
          <w:rStyle w:val="CharSchText"/>
        </w:rPr>
        <w:t>Other regions</w:t>
      </w:r>
      <w:bookmarkEnd w:id="755"/>
    </w:p>
    <w:p>
      <w:pPr>
        <w:pStyle w:val="yShoulderClause"/>
      </w:pPr>
      <w:r>
        <w:t>[s. 4, 11]</w:t>
      </w:r>
    </w:p>
    <w:p>
      <w:pPr>
        <w:pStyle w:val="yMiscellaneousHeading"/>
        <w:tabs>
          <w:tab w:val="left" w:pos="912"/>
        </w:tabs>
        <w:jc w:val="both"/>
        <w:rPr>
          <w:b/>
          <w:i/>
        </w:rPr>
      </w:pPr>
      <w:r>
        <w:rPr>
          <w:b/>
          <w:i/>
        </w:rPr>
        <w:t>Item</w:t>
      </w:r>
      <w:r>
        <w:rPr>
          <w:b/>
          <w:i/>
        </w:rPr>
        <w:tab/>
        <w:t>Region</w:t>
      </w:r>
    </w:p>
    <w:p>
      <w:pPr>
        <w:pStyle w:val="yHeading5"/>
      </w:pPr>
      <w:bookmarkStart w:id="756" w:name="_Toc155165763"/>
      <w:r>
        <w:rPr>
          <w:rStyle w:val="CharSClsNo"/>
        </w:rPr>
        <w:t>1</w:t>
      </w:r>
      <w:r>
        <w:t>.</w:t>
      </w:r>
      <w:r>
        <w:tab/>
        <w:t>Gascoyne Region</w:t>
      </w:r>
      <w:bookmarkEnd w:id="756"/>
    </w:p>
    <w:p>
      <w:pPr>
        <w:pStyle w:val="ySubsection"/>
      </w:pPr>
      <w:r>
        <w:rPr>
          <w:b/>
        </w:rPr>
        <w:tab/>
      </w:r>
      <w:r>
        <w:rPr>
          <w:b/>
        </w:rPr>
        <w:tab/>
      </w:r>
      <w:r>
        <w:t>The districts of Carnarvon, Exmouth, Shark Bay and Upper Gascoyne.</w:t>
      </w:r>
    </w:p>
    <w:p>
      <w:pPr>
        <w:pStyle w:val="yHeading5"/>
      </w:pPr>
      <w:bookmarkStart w:id="757" w:name="_Toc155165764"/>
      <w:r>
        <w:rPr>
          <w:rStyle w:val="CharSClsNo"/>
        </w:rPr>
        <w:t>2</w:t>
      </w:r>
      <w:r>
        <w:t>.</w:t>
      </w:r>
      <w:r>
        <w:rPr>
          <w:b w:val="0"/>
        </w:rPr>
        <w:tab/>
      </w:r>
      <w:r>
        <w:t>Goldfields</w:t>
      </w:r>
      <w:r>
        <w:noBreakHyphen/>
        <w:t>Esperance Region</w:t>
      </w:r>
      <w:bookmarkEnd w:id="757"/>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pPr>
      <w:bookmarkStart w:id="758" w:name="_Toc155165765"/>
      <w:r>
        <w:rPr>
          <w:rStyle w:val="CharSClsNo"/>
        </w:rPr>
        <w:t>3</w:t>
      </w:r>
      <w:r>
        <w:t>.</w:t>
      </w:r>
      <w:r>
        <w:tab/>
        <w:t>Great Southern Region</w:t>
      </w:r>
      <w:bookmarkEnd w:id="758"/>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pPr>
      <w:bookmarkStart w:id="759" w:name="_Toc155165766"/>
      <w:r>
        <w:rPr>
          <w:rStyle w:val="CharSClsNo"/>
        </w:rPr>
        <w:t>4</w:t>
      </w:r>
      <w:r>
        <w:t>.</w:t>
      </w:r>
      <w:r>
        <w:tab/>
        <w:t>Kimberley Region</w:t>
      </w:r>
      <w:bookmarkEnd w:id="759"/>
    </w:p>
    <w:p>
      <w:pPr>
        <w:pStyle w:val="ySubsection"/>
      </w:pPr>
      <w:r>
        <w:rPr>
          <w:b/>
        </w:rPr>
        <w:tab/>
      </w:r>
      <w:r>
        <w:rPr>
          <w:b/>
        </w:rPr>
        <w:tab/>
      </w:r>
      <w:r>
        <w:t>The districts of Broome, Derby</w:t>
      </w:r>
      <w:r>
        <w:noBreakHyphen/>
        <w:t>West Kimberley, Hall’s Creek and Wyndham</w:t>
      </w:r>
      <w:r>
        <w:noBreakHyphen/>
        <w:t>East Kimberley.</w:t>
      </w:r>
    </w:p>
    <w:p>
      <w:pPr>
        <w:pStyle w:val="yHeading5"/>
      </w:pPr>
      <w:bookmarkStart w:id="760" w:name="_Toc155165767"/>
      <w:r>
        <w:rPr>
          <w:rStyle w:val="CharSClsNo"/>
        </w:rPr>
        <w:t>5</w:t>
      </w:r>
      <w:r>
        <w:t>.</w:t>
      </w:r>
      <w:r>
        <w:tab/>
        <w:t>Mid West Region</w:t>
      </w:r>
      <w:bookmarkEnd w:id="760"/>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pPr>
      <w:bookmarkStart w:id="761" w:name="_Toc155165768"/>
      <w:r>
        <w:rPr>
          <w:rStyle w:val="CharSClsNo"/>
        </w:rPr>
        <w:t>6</w:t>
      </w:r>
      <w:r>
        <w:t>.</w:t>
      </w:r>
      <w:r>
        <w:tab/>
        <w:t>Peel Region</w:t>
      </w:r>
      <w:bookmarkEnd w:id="761"/>
    </w:p>
    <w:p>
      <w:pPr>
        <w:pStyle w:val="ySubsection"/>
      </w:pPr>
      <w:r>
        <w:rPr>
          <w:b/>
        </w:rPr>
        <w:tab/>
      </w:r>
      <w:r>
        <w:rPr>
          <w:b/>
        </w:rPr>
        <w:tab/>
      </w:r>
      <w:r>
        <w:t>The districts of Mandurah, Boddington, Murray and Waroona.</w:t>
      </w:r>
    </w:p>
    <w:p>
      <w:pPr>
        <w:pStyle w:val="yHeading5"/>
      </w:pPr>
      <w:bookmarkStart w:id="762" w:name="_Toc155165769"/>
      <w:r>
        <w:rPr>
          <w:rStyle w:val="CharSClsNo"/>
        </w:rPr>
        <w:t>7</w:t>
      </w:r>
      <w:r>
        <w:t>.</w:t>
      </w:r>
      <w:r>
        <w:tab/>
        <w:t>Pilbara Region</w:t>
      </w:r>
      <w:bookmarkEnd w:id="762"/>
    </w:p>
    <w:p>
      <w:pPr>
        <w:pStyle w:val="ySubsection"/>
      </w:pPr>
      <w:r>
        <w:tab/>
      </w:r>
      <w:r>
        <w:tab/>
        <w:t>The districts of Port Hedland, Ashburton, East Pilbara and Roebourne</w:t>
      </w:r>
      <w:r>
        <w:rPr>
          <w:vertAlign w:val="superscript"/>
        </w:rPr>
        <w:t> 5</w:t>
      </w:r>
      <w:r>
        <w:t>.</w:t>
      </w:r>
    </w:p>
    <w:p>
      <w:pPr>
        <w:pStyle w:val="yHeading5"/>
      </w:pPr>
      <w:bookmarkStart w:id="763" w:name="_Toc155165770"/>
      <w:r>
        <w:rPr>
          <w:rStyle w:val="CharSClsNo"/>
        </w:rPr>
        <w:t>8</w:t>
      </w:r>
      <w:r>
        <w:t>.</w:t>
      </w:r>
      <w:r>
        <w:tab/>
        <w:t>South West Region</w:t>
      </w:r>
      <w:bookmarkEnd w:id="763"/>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pPr>
      <w:bookmarkStart w:id="764" w:name="_Toc155165771"/>
      <w:r>
        <w:rPr>
          <w:rStyle w:val="CharSClsNo"/>
        </w:rPr>
        <w:t>9</w:t>
      </w:r>
      <w:r>
        <w:t>.</w:t>
      </w:r>
      <w:r>
        <w:tab/>
        <w:t>Wheatbelt Region</w:t>
      </w:r>
      <w:bookmarkEnd w:id="764"/>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765" w:name="_Toc155165772"/>
      <w:r>
        <w:rPr>
          <w:rStyle w:val="CharSchNo"/>
        </w:rPr>
        <w:t>Schedule 5</w:t>
      </w:r>
      <w:r>
        <w:rPr>
          <w:rStyle w:val="CharSDivNo"/>
        </w:rPr>
        <w:t> </w:t>
      </w:r>
      <w:r>
        <w:t>—</w:t>
      </w:r>
      <w:r>
        <w:rPr>
          <w:rStyle w:val="CharSDivText"/>
        </w:rPr>
        <w:t> </w:t>
      </w:r>
      <w:r>
        <w:rPr>
          <w:rStyle w:val="CharSchText"/>
        </w:rPr>
        <w:t>Local governments — metropolitan region</w:t>
      </w:r>
      <w:bookmarkEnd w:id="765"/>
    </w:p>
    <w:p>
      <w:pPr>
        <w:pStyle w:val="yShoulderClause"/>
      </w:pPr>
      <w:r>
        <w:t>[Sch. 2, cl. 9(1)(b)]</w:t>
      </w:r>
    </w:p>
    <w:p>
      <w:pPr>
        <w:pStyle w:val="yHeading5"/>
      </w:pPr>
      <w:bookmarkStart w:id="766" w:name="_Toc155165773"/>
      <w:r>
        <w:rPr>
          <w:rStyle w:val="CharSClsNo"/>
        </w:rPr>
        <w:t>1</w:t>
      </w:r>
      <w:r>
        <w:t>.</w:t>
      </w:r>
      <w:r>
        <w:tab/>
        <w:t>SOUTH</w:t>
      </w:r>
      <w:r>
        <w:noBreakHyphen/>
        <w:t>WEST GROUP</w:t>
      </w:r>
      <w:bookmarkEnd w:id="766"/>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pPr>
      <w:bookmarkStart w:id="767" w:name="_Toc155165774"/>
      <w:r>
        <w:rPr>
          <w:rStyle w:val="CharSClsNo"/>
        </w:rPr>
        <w:t>2</w:t>
      </w:r>
      <w:r>
        <w:t>.</w:t>
      </w:r>
      <w:r>
        <w:tab/>
        <w:t>WESTERN SUBURBS GROUP</w:t>
      </w:r>
      <w:bookmarkEnd w:id="767"/>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pPr>
      <w:bookmarkStart w:id="768" w:name="_Toc155165775"/>
      <w:r>
        <w:rPr>
          <w:rStyle w:val="CharSClsNo"/>
        </w:rPr>
        <w:t>3</w:t>
      </w:r>
      <w:r>
        <w:t>.</w:t>
      </w:r>
      <w:r>
        <w:tab/>
        <w:t>NORTH</w:t>
      </w:r>
      <w:r>
        <w:noBreakHyphen/>
        <w:t>WEST GROUP</w:t>
      </w:r>
      <w:bookmarkEnd w:id="768"/>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pPr>
      <w:bookmarkStart w:id="769" w:name="_Toc155165776"/>
      <w:r>
        <w:rPr>
          <w:rStyle w:val="CharSClsNo"/>
        </w:rPr>
        <w:t>4</w:t>
      </w:r>
      <w:r>
        <w:t>.</w:t>
      </w:r>
      <w:r>
        <w:tab/>
        <w:t>SOUTH</w:t>
      </w:r>
      <w:r>
        <w:noBreakHyphen/>
        <w:t>EAST GROUP</w:t>
      </w:r>
      <w:bookmarkEnd w:id="769"/>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pPr>
      <w:bookmarkStart w:id="770" w:name="_Toc155165777"/>
      <w:r>
        <w:rPr>
          <w:rStyle w:val="CharSClsNo"/>
        </w:rPr>
        <w:t>5</w:t>
      </w:r>
      <w:r>
        <w:t>.</w:t>
      </w:r>
      <w:r>
        <w:tab/>
        <w:t>EASTERN GROUP</w:t>
      </w:r>
      <w:bookmarkEnd w:id="770"/>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771" w:name="_Toc155165778"/>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771"/>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yScheduleHeading"/>
      </w:pPr>
      <w:bookmarkStart w:id="772" w:name="_Toc155165779"/>
      <w:r>
        <w:rPr>
          <w:rStyle w:val="CharSchNo"/>
        </w:rPr>
        <w:t>Schedule 7</w:t>
      </w:r>
      <w:r>
        <w:rPr>
          <w:rStyle w:val="CharSDivNo"/>
        </w:rPr>
        <w:t> </w:t>
      </w:r>
      <w:r>
        <w:t>—</w:t>
      </w:r>
      <w:r>
        <w:rPr>
          <w:rStyle w:val="CharSDivText"/>
        </w:rPr>
        <w:t> </w:t>
      </w:r>
      <w:r>
        <w:rPr>
          <w:rStyle w:val="CharSchText"/>
        </w:rPr>
        <w:t>Matters which may be dealt with by planning scheme</w:t>
      </w:r>
      <w:bookmarkEnd w:id="772"/>
    </w:p>
    <w:p>
      <w:pPr>
        <w:pStyle w:val="yShoulderClause"/>
      </w:pPr>
      <w:r>
        <w:t>[s. 69, 256(1)]</w:t>
      </w:r>
    </w:p>
    <w:p>
      <w:pPr>
        <w:pStyle w:val="yHeading5"/>
      </w:pPr>
      <w:bookmarkStart w:id="773" w:name="_Toc155165780"/>
      <w:r>
        <w:rPr>
          <w:rStyle w:val="CharSClsNo"/>
        </w:rPr>
        <w:t>1</w:t>
      </w:r>
      <w:r>
        <w:t>.</w:t>
      </w:r>
      <w:r>
        <w:tab/>
        <w:t>Generality preserved</w:t>
      </w:r>
      <w:bookmarkEnd w:id="773"/>
    </w:p>
    <w:p>
      <w:pPr>
        <w:pStyle w:val="ySubsection"/>
      </w:pPr>
      <w:r>
        <w:tab/>
      </w:r>
      <w:r>
        <w:tab/>
        <w:t>The mention of a particular matter in this Schedule does not prejudice or affect the generality of any other matter.</w:t>
      </w:r>
    </w:p>
    <w:p>
      <w:pPr>
        <w:pStyle w:val="yHeading5"/>
      </w:pPr>
      <w:bookmarkStart w:id="774" w:name="_Toc155165781"/>
      <w:r>
        <w:rPr>
          <w:rStyle w:val="CharSClsNo"/>
        </w:rPr>
        <w:t>2</w:t>
      </w:r>
      <w:r>
        <w:t>.</w:t>
      </w:r>
      <w:r>
        <w:tab/>
        <w:t>Subdivision</w:t>
      </w:r>
      <w:bookmarkEnd w:id="774"/>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pPr>
      <w:bookmarkStart w:id="775" w:name="_Toc155165782"/>
      <w:r>
        <w:rPr>
          <w:rStyle w:val="CharSClsNo"/>
        </w:rPr>
        <w:t>3</w:t>
      </w:r>
      <w:r>
        <w:t>.</w:t>
      </w:r>
      <w:r>
        <w:tab/>
        <w:t>Reconstruction</w:t>
      </w:r>
      <w:bookmarkEnd w:id="775"/>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pPr>
      <w:bookmarkStart w:id="776" w:name="_Toc155165783"/>
      <w:r>
        <w:rPr>
          <w:rStyle w:val="CharSClsNo"/>
        </w:rPr>
        <w:t>4</w:t>
      </w:r>
      <w:r>
        <w:t>.</w:t>
      </w:r>
      <w:r>
        <w:tab/>
        <w:t>Preservation and conservation</w:t>
      </w:r>
      <w:bookmarkEnd w:id="776"/>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pPr>
      <w:bookmarkStart w:id="777" w:name="_Toc155165784"/>
      <w:r>
        <w:rPr>
          <w:rStyle w:val="CharSClsNo"/>
        </w:rPr>
        <w:t>5</w:t>
      </w:r>
      <w:r>
        <w:t>.</w:t>
      </w:r>
      <w:r>
        <w:tab/>
        <w:t>Roads, public works, community infrastructure, reservation of land, provision of facilities</w:t>
      </w:r>
      <w:bookmarkEnd w:id="777"/>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pPr>
      <w:bookmarkStart w:id="778" w:name="_Toc155165785"/>
      <w:r>
        <w:rPr>
          <w:rStyle w:val="CharSClsNo"/>
        </w:rPr>
        <w:t>6</w:t>
      </w:r>
      <w:r>
        <w:t>.</w:t>
      </w:r>
      <w:r>
        <w:tab/>
        <w:t>Zoning</w:t>
      </w:r>
      <w:bookmarkEnd w:id="778"/>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pPr>
      <w:bookmarkStart w:id="779" w:name="_Toc155165786"/>
      <w:r>
        <w:rPr>
          <w:rStyle w:val="CharSClsNo"/>
        </w:rPr>
        <w:t>7</w:t>
      </w:r>
      <w:r>
        <w:t>.</w:t>
      </w:r>
      <w:r>
        <w:tab/>
        <w:t>Controls for land management</w:t>
      </w:r>
      <w:bookmarkEnd w:id="779"/>
    </w:p>
    <w:p>
      <w:pPr>
        <w:pStyle w:val="ySubsection"/>
        <w:spacing w:before="120"/>
      </w:pPr>
      <w:r>
        <w:tab/>
      </w:r>
      <w:r>
        <w:tab/>
        <w:t>Controls for land or site management for matters to which this Act relates.</w:t>
      </w:r>
    </w:p>
    <w:p>
      <w:pPr>
        <w:pStyle w:val="yHeading5"/>
      </w:pPr>
      <w:bookmarkStart w:id="780" w:name="_Toc155165787"/>
      <w:r>
        <w:rPr>
          <w:rStyle w:val="CharSClsNo"/>
        </w:rPr>
        <w:t>8</w:t>
      </w:r>
      <w:r>
        <w:t>.</w:t>
      </w:r>
      <w:r>
        <w:tab/>
        <w:t>Development standards</w:t>
      </w:r>
      <w:bookmarkEnd w:id="780"/>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pPr>
      <w:bookmarkStart w:id="781" w:name="_Toc155165788"/>
      <w:r>
        <w:rPr>
          <w:rStyle w:val="CharSClsNo"/>
        </w:rPr>
        <w:t>9</w:t>
      </w:r>
      <w:r>
        <w:t>.</w:t>
      </w:r>
      <w:r>
        <w:tab/>
        <w:t>Development controls</w:t>
      </w:r>
      <w:bookmarkEnd w:id="781"/>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pPr>
      <w:bookmarkStart w:id="782" w:name="_Toc155165789"/>
      <w:r>
        <w:rPr>
          <w:rStyle w:val="CharSClsNo"/>
        </w:rPr>
        <w:t>10</w:t>
      </w:r>
      <w:r>
        <w:t>.</w:t>
      </w:r>
      <w:r>
        <w:tab/>
        <w:t>Acquisition and purchase of land</w:t>
      </w:r>
      <w:bookmarkEnd w:id="782"/>
    </w:p>
    <w:p>
      <w:pPr>
        <w:pStyle w:val="ySubsection"/>
        <w:spacing w:before="140"/>
      </w:pPr>
      <w:r>
        <w:tab/>
      </w:r>
      <w:r>
        <w:tab/>
        <w:t>Acquisition or purchase of land or buildings and any step necessary to give effect to the acquisition or purchase.</w:t>
      </w:r>
    </w:p>
    <w:p>
      <w:pPr>
        <w:pStyle w:val="yHeading5"/>
        <w:spacing w:before="200"/>
      </w:pPr>
      <w:bookmarkStart w:id="783" w:name="_Toc155165790"/>
      <w:r>
        <w:rPr>
          <w:rStyle w:val="CharSClsNo"/>
        </w:rPr>
        <w:t>11</w:t>
      </w:r>
      <w:r>
        <w:t>.</w:t>
      </w:r>
      <w:r>
        <w:tab/>
        <w:t>Powers</w:t>
      </w:r>
      <w:bookmarkEnd w:id="783"/>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pPr>
      <w:bookmarkStart w:id="784" w:name="_Toc155165791"/>
      <w:r>
        <w:rPr>
          <w:rStyle w:val="CharSClsNo"/>
        </w:rPr>
        <w:t>12</w:t>
      </w:r>
      <w:r>
        <w:t>.</w:t>
      </w:r>
      <w:r>
        <w:tab/>
        <w:t>Agreements and cooperation</w:t>
      </w:r>
      <w:bookmarkEnd w:id="784"/>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pPr>
      <w:bookmarkStart w:id="785" w:name="_Toc155165792"/>
      <w:r>
        <w:rPr>
          <w:rStyle w:val="CharSClsNo"/>
        </w:rPr>
        <w:t>13</w:t>
      </w:r>
      <w:r>
        <w:t>.</w:t>
      </w:r>
      <w:r>
        <w:tab/>
        <w:t>Carrying out scheme</w:t>
      </w:r>
      <w:bookmarkEnd w:id="785"/>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pPr>
      <w:bookmarkStart w:id="786" w:name="_Toc155165793"/>
      <w:r>
        <w:rPr>
          <w:rStyle w:val="CharSClsNo"/>
        </w:rPr>
        <w:t>14</w:t>
      </w:r>
      <w:r>
        <w:t>.</w:t>
      </w:r>
      <w:r>
        <w:tab/>
        <w:t>Review by SAT</w:t>
      </w:r>
      <w:bookmarkEnd w:id="786"/>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pPr>
      <w:bookmarkStart w:id="787" w:name="_Toc155165794"/>
      <w:r>
        <w:rPr>
          <w:rStyle w:val="CharSClsNo"/>
        </w:rPr>
        <w:t>15</w:t>
      </w:r>
      <w:r>
        <w:t>.</w:t>
      </w:r>
      <w:r>
        <w:tab/>
        <w:t>Policies and ancillary matters</w:t>
      </w:r>
      <w:bookmarkEnd w:id="787"/>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788" w:name="_Toc155165795"/>
      <w:r>
        <w:rPr>
          <w:rStyle w:val="CharSchNo"/>
        </w:rPr>
        <w:t>Schedule 8</w:t>
      </w:r>
      <w:r>
        <w:rPr>
          <w:rStyle w:val="CharSDivNo"/>
        </w:rPr>
        <w:t> </w:t>
      </w:r>
      <w:r>
        <w:t>—</w:t>
      </w:r>
      <w:r>
        <w:rPr>
          <w:rStyle w:val="CharSDivText"/>
        </w:rPr>
        <w:t> </w:t>
      </w:r>
      <w:r>
        <w:rPr>
          <w:rStyle w:val="CharSchText"/>
        </w:rPr>
        <w:t>Matters for which local laws may be made by Governor</w:t>
      </w:r>
      <w:bookmarkEnd w:id="788"/>
    </w:p>
    <w:p>
      <w:pPr>
        <w:pStyle w:val="yShoulderClause"/>
        <w:spacing w:before="60"/>
      </w:pPr>
      <w:r>
        <w:t>[s. 262(1)]</w:t>
      </w:r>
    </w:p>
    <w:p>
      <w:pPr>
        <w:pStyle w:val="yHeading5"/>
      </w:pPr>
      <w:bookmarkStart w:id="789" w:name="_Toc155165796"/>
      <w:r>
        <w:rPr>
          <w:rStyle w:val="CharSClsNo"/>
        </w:rPr>
        <w:t>1</w:t>
      </w:r>
      <w:r>
        <w:t>.</w:t>
      </w:r>
      <w:r>
        <w:tab/>
        <w:t>Purchase and reservation of land</w:t>
      </w:r>
      <w:bookmarkEnd w:id="789"/>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pPr>
      <w:bookmarkStart w:id="790" w:name="_Toc155165797"/>
      <w:r>
        <w:rPr>
          <w:rStyle w:val="CharSClsNo"/>
        </w:rPr>
        <w:t>2</w:t>
      </w:r>
      <w:r>
        <w:t>.</w:t>
      </w:r>
      <w:r>
        <w:tab/>
        <w:t>Limiting and regulating building</w:t>
      </w:r>
      <w:bookmarkEnd w:id="790"/>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pPr>
      <w:bookmarkStart w:id="791" w:name="_Toc155165798"/>
      <w:r>
        <w:rPr>
          <w:rStyle w:val="CharSClsNo"/>
        </w:rPr>
        <w:t>3</w:t>
      </w:r>
      <w:r>
        <w:t>.</w:t>
      </w:r>
      <w:r>
        <w:tab/>
        <w:t>Classification and zoning</w:t>
      </w:r>
      <w:bookmarkEnd w:id="791"/>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pPr>
      <w:bookmarkStart w:id="792" w:name="_Toc155165799"/>
      <w:r>
        <w:rPr>
          <w:rStyle w:val="CharSClsNo"/>
        </w:rPr>
        <w:t>4</w:t>
      </w:r>
      <w:r>
        <w:t>.</w:t>
      </w:r>
      <w:r>
        <w:tab/>
        <w:t>Prohibiting unauthorised uses</w:t>
      </w:r>
      <w:bookmarkEnd w:id="792"/>
    </w:p>
    <w:p>
      <w:pPr>
        <w:pStyle w:val="ySubsection"/>
      </w:pPr>
      <w:r>
        <w:tab/>
      </w:r>
      <w:r>
        <w:tab/>
        <w:t>Prohibiting any district or part of it from being used for any purpose other than that for which it has been classified.</w:t>
      </w:r>
    </w:p>
    <w:p>
      <w:pPr>
        <w:pStyle w:val="yHeading5"/>
      </w:pPr>
      <w:bookmarkStart w:id="793" w:name="_Toc155165800"/>
      <w:r>
        <w:rPr>
          <w:rStyle w:val="CharSClsNo"/>
        </w:rPr>
        <w:t>5</w:t>
      </w:r>
      <w:r>
        <w:t>.</w:t>
      </w:r>
      <w:r>
        <w:tab/>
        <w:t>Prescribing characteristics of buildings</w:t>
      </w:r>
      <w:bookmarkEnd w:id="793"/>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pPr>
      <w:bookmarkStart w:id="794" w:name="_Toc155165801"/>
      <w:r>
        <w:rPr>
          <w:rStyle w:val="CharSClsNo"/>
        </w:rPr>
        <w:t>6</w:t>
      </w:r>
      <w:r>
        <w:t>.</w:t>
      </w:r>
      <w:r>
        <w:tab/>
        <w:t>Prohibiting trade etc. or erection or use of building</w:t>
      </w:r>
      <w:bookmarkEnd w:id="794"/>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pPr>
      <w:bookmarkStart w:id="795" w:name="_Toc155165802"/>
      <w:r>
        <w:rPr>
          <w:rStyle w:val="CharSClsNo"/>
        </w:rPr>
        <w:t>7</w:t>
      </w:r>
      <w:r>
        <w:t>.</w:t>
      </w:r>
      <w:r>
        <w:tab/>
        <w:t>Requirements of new subdivisions</w:t>
      </w:r>
      <w:bookmarkEnd w:id="795"/>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pPr>
      <w:bookmarkStart w:id="796" w:name="_Toc155165803"/>
      <w:r>
        <w:rPr>
          <w:rStyle w:val="CharSClsNo"/>
        </w:rPr>
        <w:t>8</w:t>
      </w:r>
      <w:r>
        <w:t>.</w:t>
      </w:r>
      <w:r>
        <w:tab/>
        <w:t>Building lines</w:t>
      </w:r>
      <w:bookmarkEnd w:id="796"/>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pPr>
      <w:bookmarkStart w:id="797" w:name="_Toc155165804"/>
      <w:r>
        <w:rPr>
          <w:rStyle w:val="CharSClsNo"/>
        </w:rPr>
        <w:t>9</w:t>
      </w:r>
      <w:r>
        <w:t>.</w:t>
      </w:r>
      <w:r>
        <w:tab/>
        <w:t>Open space etc.</w:t>
      </w:r>
      <w:bookmarkEnd w:id="797"/>
    </w:p>
    <w:p>
      <w:pPr>
        <w:pStyle w:val="ySubsection"/>
      </w:pPr>
      <w:r>
        <w:tab/>
      </w:r>
      <w:r>
        <w:tab/>
        <w:t>Limiting of open spaces, recreation grounds, or sites for public buildings, by purchase or agreement between owners of lands and the local government.</w:t>
      </w:r>
    </w:p>
    <w:p>
      <w:pPr>
        <w:pStyle w:val="yHeading5"/>
      </w:pPr>
      <w:bookmarkStart w:id="798" w:name="_Toc155165805"/>
      <w:r>
        <w:rPr>
          <w:rStyle w:val="CharSClsNo"/>
        </w:rPr>
        <w:t>10</w:t>
      </w:r>
      <w:r>
        <w:t>.</w:t>
      </w:r>
      <w:r>
        <w:tab/>
        <w:t>Heights of walls etc. at road corners</w:t>
      </w:r>
      <w:bookmarkEnd w:id="798"/>
    </w:p>
    <w:p>
      <w:pPr>
        <w:pStyle w:val="ySubsection"/>
      </w:pPr>
      <w:r>
        <w:tab/>
      </w:r>
      <w:r>
        <w:tab/>
        <w:t>Limiting the height, at the corner of any road (as defined in clause 7(2)) of any wall, fence, hedge, tree, or shrub or other obstruction not being an authorised building.</w:t>
      </w:r>
    </w:p>
    <w:p>
      <w:pPr>
        <w:pStyle w:val="yHeading5"/>
      </w:pPr>
      <w:bookmarkStart w:id="799" w:name="_Toc155165806"/>
      <w:r>
        <w:rPr>
          <w:rStyle w:val="CharSClsNo"/>
        </w:rPr>
        <w:t>11</w:t>
      </w:r>
      <w:r>
        <w:t>.</w:t>
      </w:r>
      <w:r>
        <w:tab/>
        <w:t>Implementing of local laws</w:t>
      </w:r>
      <w:bookmarkEnd w:id="799"/>
    </w:p>
    <w:p>
      <w:pPr>
        <w:pStyle w:val="ySubsection"/>
      </w:pPr>
      <w:r>
        <w:tab/>
      </w:r>
      <w:r>
        <w:tab/>
        <w:t>Providing for the authority or authorities responsible for carrying the local laws into effect and enforcing their observance.</w:t>
      </w:r>
    </w:p>
    <w:p>
      <w:pPr>
        <w:pStyle w:val="yScheduleHeading"/>
      </w:pPr>
      <w:bookmarkStart w:id="800" w:name="_Toc155165807"/>
      <w:r>
        <w:rPr>
          <w:rStyle w:val="CharSchNo"/>
        </w:rPr>
        <w:t>Schedule 9</w:t>
      </w:r>
      <w:r>
        <w:rPr>
          <w:rStyle w:val="CharSDivNo"/>
        </w:rPr>
        <w:t> </w:t>
      </w:r>
      <w:r>
        <w:t>—</w:t>
      </w:r>
      <w:r>
        <w:rPr>
          <w:rStyle w:val="CharSDivText"/>
        </w:rPr>
        <w:t> </w:t>
      </w:r>
      <w:r>
        <w:rPr>
          <w:rStyle w:val="CharSchText"/>
        </w:rPr>
        <w:t>Board of Valuers</w:t>
      </w:r>
      <w:bookmarkEnd w:id="800"/>
    </w:p>
    <w:p>
      <w:pPr>
        <w:pStyle w:val="yShoulderClause"/>
      </w:pPr>
      <w:r>
        <w:t>[s. 182(5)]</w:t>
      </w:r>
    </w:p>
    <w:p>
      <w:pPr>
        <w:pStyle w:val="yHeading5"/>
      </w:pPr>
      <w:bookmarkStart w:id="801" w:name="_Toc155165808"/>
      <w:r>
        <w:rPr>
          <w:rStyle w:val="CharSClsNo"/>
        </w:rPr>
        <w:t>1</w:t>
      </w:r>
      <w:r>
        <w:t>.</w:t>
      </w:r>
      <w:r>
        <w:tab/>
        <w:t>Term used: Board</w:t>
      </w:r>
      <w:bookmarkEnd w:id="801"/>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pPr>
      <w:bookmarkStart w:id="802" w:name="_Toc155165809"/>
      <w:r>
        <w:rPr>
          <w:rStyle w:val="CharSClsNo"/>
        </w:rPr>
        <w:t>2</w:t>
      </w:r>
      <w:r>
        <w:t>.</w:t>
      </w:r>
      <w:r>
        <w:tab/>
        <w:t>Term of office</w:t>
      </w:r>
      <w:bookmarkEnd w:id="802"/>
    </w:p>
    <w:p>
      <w:pPr>
        <w:pStyle w:val="ySubsection"/>
      </w:pPr>
      <w:r>
        <w:tab/>
      </w:r>
      <w:r>
        <w:tab/>
        <w:t>Subject to clause 4 a member of the Board holds office for a term of 2 years and is eligible for reappointment.</w:t>
      </w:r>
    </w:p>
    <w:p>
      <w:pPr>
        <w:pStyle w:val="yHeading5"/>
      </w:pPr>
      <w:bookmarkStart w:id="803" w:name="_Toc155165810"/>
      <w:r>
        <w:rPr>
          <w:rStyle w:val="CharSClsNo"/>
        </w:rPr>
        <w:t>3</w:t>
      </w:r>
      <w:r>
        <w:t>.</w:t>
      </w:r>
      <w:r>
        <w:tab/>
        <w:t>Constitution of Board</w:t>
      </w:r>
      <w:bookmarkEnd w:id="803"/>
    </w:p>
    <w:p>
      <w:pPr>
        <w:pStyle w:val="ySubsection"/>
      </w:pPr>
      <w:r>
        <w:tab/>
      </w:r>
      <w:r>
        <w:tab/>
        <w:t>The Board is constituted by the chairperson of the Board and any 2 other members of the Board and may meet despite there being a vacancy on the Board.</w:t>
      </w:r>
    </w:p>
    <w:p>
      <w:pPr>
        <w:pStyle w:val="yHeading5"/>
      </w:pPr>
      <w:bookmarkStart w:id="804" w:name="_Toc155165811"/>
      <w:r>
        <w:rPr>
          <w:rStyle w:val="CharSClsNo"/>
        </w:rPr>
        <w:t>4</w:t>
      </w:r>
      <w:r>
        <w:t>.</w:t>
      </w:r>
      <w:r>
        <w:tab/>
        <w:t>Resignation or removal from office</w:t>
      </w:r>
      <w:bookmarkEnd w:id="804"/>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pPr>
      <w:bookmarkStart w:id="805" w:name="_Toc155165812"/>
      <w:r>
        <w:rPr>
          <w:rStyle w:val="CharSClsNo"/>
        </w:rPr>
        <w:t>5</w:t>
      </w:r>
      <w:r>
        <w:t>.</w:t>
      </w:r>
      <w:r>
        <w:tab/>
        <w:t>Remuneration of members</w:t>
      </w:r>
      <w:bookmarkEnd w:id="805"/>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endnotePr>
            <w:numFmt w:val="decimal"/>
          </w:endnotePr>
          <w:pgSz w:w="11907" w:h="16840" w:code="9"/>
          <w:pgMar w:top="2376" w:right="2405" w:bottom="3542" w:left="2405" w:header="706" w:footer="3544" w:gutter="0"/>
          <w:cols w:space="720"/>
          <w:noEndnote/>
          <w:docGrid w:linePitch="326"/>
        </w:sectPr>
      </w:pPr>
    </w:p>
    <w:p>
      <w:pPr>
        <w:pStyle w:val="nHeading2"/>
      </w:pPr>
      <w:bookmarkStart w:id="806" w:name="_Toc155165813"/>
      <w:r>
        <w:t>Notes</w:t>
      </w:r>
      <w:bookmarkEnd w:id="806"/>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807" w:name="_Toc155165814"/>
      <w:r>
        <w:t>Compilation table</w:t>
      </w:r>
      <w:bookmarkEnd w:id="807"/>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and 5, Pt. 6 Div. 1, Pt. 8, 10 and 11, Pt. 12 Div. 1 and Pt. 13-17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r>
              <w:rPr>
                <w:snapToGrid w:val="0"/>
              </w:rPr>
              <w:br/>
              <w:t>Pt. 6 Div. 1, Pt. 12 Div. 1 and Pt. 14: 1 Aug 2023 (</w:t>
            </w:r>
            <w:r>
              <w:t>see s. 2(1)(b) and SL 2023/107 cl. 2)</w:t>
            </w:r>
          </w:p>
        </w:tc>
      </w:tr>
      <w:tr>
        <w:trPr>
          <w:cantSplit/>
        </w:trPr>
        <w:tc>
          <w:tcPr>
            <w:tcW w:w="2410" w:type="dxa"/>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shd w:val="clear" w:color="auto" w:fill="auto"/>
          </w:tcPr>
          <w:p>
            <w:pPr>
              <w:pStyle w:val="nTable"/>
              <w:spacing w:after="40"/>
            </w:pPr>
            <w:r>
              <w:t>45 of 2020</w:t>
            </w:r>
          </w:p>
        </w:tc>
        <w:tc>
          <w:tcPr>
            <w:tcW w:w="1135" w:type="dxa"/>
            <w:shd w:val="clear" w:color="auto" w:fill="auto"/>
          </w:tcPr>
          <w:p>
            <w:pPr>
              <w:pStyle w:val="nTable"/>
              <w:spacing w:after="40"/>
            </w:pPr>
            <w:r>
              <w:t>9 Dec 2020</w:t>
            </w:r>
          </w:p>
        </w:tc>
        <w:tc>
          <w:tcPr>
            <w:tcW w:w="2551" w:type="dxa"/>
            <w:shd w:val="clear" w:color="auto" w:fill="auto"/>
          </w:tcPr>
          <w:p>
            <w:pPr>
              <w:pStyle w:val="nTable"/>
              <w:spacing w:after="40"/>
              <w:rPr>
                <w:snapToGrid w:val="0"/>
              </w:rPr>
            </w:pPr>
            <w:r>
              <w:rPr>
                <w:snapToGrid w:val="0"/>
              </w:rPr>
              <w:t>1 Aug 2021 (see s. 2(1)(d)(i) and (e) and SL 2021/124 cl. 2)</w:t>
            </w:r>
          </w:p>
        </w:tc>
      </w:tr>
      <w:tr>
        <w:trPr>
          <w:cantSplit/>
        </w:trPr>
        <w:tc>
          <w:tcPr>
            <w:tcW w:w="2410" w:type="dxa"/>
            <w:shd w:val="clear" w:color="auto" w:fill="auto"/>
          </w:tcPr>
          <w:p>
            <w:pPr>
              <w:pStyle w:val="nTable"/>
              <w:spacing w:after="40"/>
              <w:ind w:right="113"/>
              <w:rPr>
                <w:i/>
                <w:snapToGrid w:val="0"/>
              </w:rPr>
            </w:pPr>
            <w:r>
              <w:rPr>
                <w:i/>
              </w:rPr>
              <w:t>Aboriginal Cultural Heritage Act 2021</w:t>
            </w:r>
            <w:r>
              <w:t xml:space="preserve"> s. 350</w:t>
            </w:r>
          </w:p>
        </w:tc>
        <w:tc>
          <w:tcPr>
            <w:tcW w:w="993" w:type="dxa"/>
            <w:shd w:val="clear" w:color="auto" w:fill="auto"/>
          </w:tcPr>
          <w:p>
            <w:pPr>
              <w:pStyle w:val="nTable"/>
              <w:spacing w:after="40"/>
            </w:pPr>
            <w:r>
              <w:t>27 of 2021</w:t>
            </w:r>
          </w:p>
        </w:tc>
        <w:tc>
          <w:tcPr>
            <w:tcW w:w="1135" w:type="dxa"/>
            <w:shd w:val="clear" w:color="auto" w:fill="auto"/>
          </w:tcPr>
          <w:p>
            <w:pPr>
              <w:pStyle w:val="nTable"/>
              <w:spacing w:after="40"/>
            </w:pPr>
            <w:r>
              <w:t>22 Dec 2021</w:t>
            </w:r>
          </w:p>
        </w:tc>
        <w:tc>
          <w:tcPr>
            <w:tcW w:w="2551" w:type="dxa"/>
            <w:shd w:val="clear" w:color="auto" w:fill="auto"/>
          </w:tcPr>
          <w:p>
            <w:pPr>
              <w:pStyle w:val="nTable"/>
              <w:spacing w:after="40"/>
              <w:rPr>
                <w:snapToGrid w:val="0"/>
              </w:rPr>
            </w:pPr>
            <w:r>
              <w:t>1 Jul 2023 (see s. 2(e) and SL 2023/40 cl. 2(b))</w:t>
            </w:r>
          </w:p>
        </w:tc>
      </w:tr>
      <w:tr>
        <w:trPr>
          <w:cantSplit/>
        </w:trPr>
        <w:tc>
          <w:tcPr>
            <w:tcW w:w="2410" w:type="dxa"/>
            <w:shd w:val="clear" w:color="auto" w:fill="auto"/>
          </w:tcPr>
          <w:p>
            <w:pPr>
              <w:pStyle w:val="nTable"/>
              <w:spacing w:after="40"/>
              <w:ind w:right="113"/>
              <w:rPr>
                <w:i/>
              </w:rPr>
            </w:pPr>
            <w:r>
              <w:rPr>
                <w:i/>
              </w:rPr>
              <w:t>Legal Profession Uniform Law Application Act 2022</w:t>
            </w:r>
            <w:r>
              <w:t xml:space="preserve"> s. 424</w:t>
            </w:r>
          </w:p>
        </w:tc>
        <w:tc>
          <w:tcPr>
            <w:tcW w:w="993" w:type="dxa"/>
            <w:shd w:val="clear" w:color="auto" w:fill="auto"/>
          </w:tcPr>
          <w:p>
            <w:pPr>
              <w:pStyle w:val="nTable"/>
              <w:spacing w:after="40"/>
            </w:pPr>
            <w:r>
              <w:t>9 of 2022</w:t>
            </w:r>
          </w:p>
        </w:tc>
        <w:tc>
          <w:tcPr>
            <w:tcW w:w="1135" w:type="dxa"/>
            <w:shd w:val="clear" w:color="auto" w:fill="auto"/>
          </w:tcPr>
          <w:p>
            <w:pPr>
              <w:pStyle w:val="nTable"/>
              <w:spacing w:after="40"/>
            </w:pPr>
            <w:r>
              <w:t>14 Apr 2022</w:t>
            </w:r>
          </w:p>
        </w:tc>
        <w:tc>
          <w:tcPr>
            <w:tcW w:w="2551" w:type="dxa"/>
            <w:shd w:val="clear" w:color="auto" w:fill="auto"/>
          </w:tcPr>
          <w:p>
            <w:pPr>
              <w:pStyle w:val="nTable"/>
              <w:spacing w:after="40"/>
              <w:rPr>
                <w:snapToGrid w:val="0"/>
              </w:rPr>
            </w:pPr>
            <w:r>
              <w:rPr>
                <w:snapToGrid w:val="0"/>
              </w:rPr>
              <w:t>1 Jul 2022 (see s. 2(c) and SL 2022/113 cl. 2)</w:t>
            </w:r>
          </w:p>
        </w:tc>
      </w:tr>
      <w:tr>
        <w:trPr>
          <w:cantSplit/>
        </w:trPr>
        <w:tc>
          <w:tcPr>
            <w:tcW w:w="2410" w:type="dxa"/>
            <w:shd w:val="clear" w:color="auto" w:fill="auto"/>
          </w:tcPr>
          <w:p>
            <w:pPr>
              <w:pStyle w:val="nTable"/>
              <w:spacing w:after="40"/>
              <w:ind w:right="113"/>
              <w:rPr>
                <w:i/>
                <w:snapToGrid w:val="0"/>
              </w:rPr>
            </w:pPr>
            <w:r>
              <w:rPr>
                <w:i/>
              </w:rPr>
              <w:t>Planning and Development Amendment Act 2022</w:t>
            </w:r>
          </w:p>
        </w:tc>
        <w:tc>
          <w:tcPr>
            <w:tcW w:w="993" w:type="dxa"/>
            <w:shd w:val="clear" w:color="auto" w:fill="auto"/>
          </w:tcPr>
          <w:p>
            <w:pPr>
              <w:pStyle w:val="nTable"/>
              <w:spacing w:after="40"/>
            </w:pPr>
            <w:r>
              <w:t>17 of 2022</w:t>
            </w:r>
          </w:p>
        </w:tc>
        <w:tc>
          <w:tcPr>
            <w:tcW w:w="1135" w:type="dxa"/>
            <w:shd w:val="clear" w:color="auto" w:fill="auto"/>
          </w:tcPr>
          <w:p>
            <w:pPr>
              <w:pStyle w:val="nTable"/>
              <w:spacing w:after="40"/>
            </w:pPr>
            <w:r>
              <w:t>24 Jun 2022</w:t>
            </w:r>
          </w:p>
        </w:tc>
        <w:tc>
          <w:tcPr>
            <w:tcW w:w="2551" w:type="dxa"/>
            <w:shd w:val="clear" w:color="auto" w:fill="auto"/>
          </w:tcPr>
          <w:p>
            <w:pPr>
              <w:pStyle w:val="nTable"/>
              <w:spacing w:after="40"/>
              <w:rPr>
                <w:snapToGrid w:val="0"/>
              </w:rPr>
            </w:pPr>
            <w:r>
              <w:rPr>
                <w:snapToGrid w:val="0"/>
              </w:rPr>
              <w:t>s. 1 and 2: 24 Jun 2022 (see s. 2(a));</w:t>
            </w:r>
            <w:r>
              <w:rPr>
                <w:snapToGrid w:val="0"/>
              </w:rPr>
              <w:br/>
              <w:t>Act other than s. 1 and 2: 25 Jun 2022 (see s. 2(b))</w:t>
            </w:r>
          </w:p>
        </w:tc>
      </w:tr>
      <w:tr>
        <w:trPr>
          <w:cantSplit/>
          <w:ins w:id="808" w:author="Master Repository Process" w:date="2024-01-03T09:10:00Z"/>
        </w:trPr>
        <w:tc>
          <w:tcPr>
            <w:tcW w:w="2410" w:type="dxa"/>
            <w:tcBorders>
              <w:bottom w:val="single" w:sz="4" w:space="0" w:color="auto"/>
            </w:tcBorders>
            <w:shd w:val="clear" w:color="auto" w:fill="auto"/>
          </w:tcPr>
          <w:p>
            <w:pPr>
              <w:pStyle w:val="nTable"/>
              <w:spacing w:after="40"/>
              <w:ind w:right="113"/>
              <w:rPr>
                <w:ins w:id="809" w:author="Master Repository Process" w:date="2024-01-03T09:10:00Z"/>
                <w:i/>
              </w:rPr>
            </w:pPr>
            <w:ins w:id="810" w:author="Master Repository Process" w:date="2024-01-03T09:10:00Z">
              <w:r>
                <w:rPr>
                  <w:i/>
                </w:rPr>
                <w:t>Land and Public Works Legislation Amendment Act 2023</w:t>
              </w:r>
              <w:r>
                <w:t xml:space="preserve"> Pt. 4 Div. 11</w:t>
              </w:r>
            </w:ins>
          </w:p>
        </w:tc>
        <w:tc>
          <w:tcPr>
            <w:tcW w:w="993" w:type="dxa"/>
            <w:tcBorders>
              <w:bottom w:val="single" w:sz="4" w:space="0" w:color="auto"/>
            </w:tcBorders>
            <w:shd w:val="clear" w:color="auto" w:fill="auto"/>
          </w:tcPr>
          <w:p>
            <w:pPr>
              <w:pStyle w:val="nTable"/>
              <w:spacing w:after="40"/>
              <w:rPr>
                <w:ins w:id="811" w:author="Master Repository Process" w:date="2024-01-03T09:10:00Z"/>
              </w:rPr>
            </w:pPr>
            <w:ins w:id="812" w:author="Master Repository Process" w:date="2024-01-03T09:10:00Z">
              <w:r>
                <w:t>4 of 2023</w:t>
              </w:r>
            </w:ins>
          </w:p>
        </w:tc>
        <w:tc>
          <w:tcPr>
            <w:tcW w:w="1135" w:type="dxa"/>
            <w:tcBorders>
              <w:bottom w:val="single" w:sz="4" w:space="0" w:color="auto"/>
            </w:tcBorders>
            <w:shd w:val="clear" w:color="auto" w:fill="auto"/>
          </w:tcPr>
          <w:p>
            <w:pPr>
              <w:pStyle w:val="nTable"/>
              <w:spacing w:after="40"/>
              <w:rPr>
                <w:ins w:id="813" w:author="Master Repository Process" w:date="2024-01-03T09:10:00Z"/>
              </w:rPr>
            </w:pPr>
            <w:ins w:id="814" w:author="Master Repository Process" w:date="2024-01-03T09:10:00Z">
              <w:r>
                <w:t>24 Mar 2023</w:t>
              </w:r>
            </w:ins>
          </w:p>
        </w:tc>
        <w:tc>
          <w:tcPr>
            <w:tcW w:w="2551" w:type="dxa"/>
            <w:tcBorders>
              <w:bottom w:val="single" w:sz="4" w:space="0" w:color="auto"/>
            </w:tcBorders>
            <w:shd w:val="clear" w:color="auto" w:fill="auto"/>
          </w:tcPr>
          <w:p>
            <w:pPr>
              <w:pStyle w:val="nTable"/>
              <w:spacing w:after="40"/>
              <w:rPr>
                <w:ins w:id="815" w:author="Master Repository Process" w:date="2024-01-03T09:10:00Z"/>
                <w:snapToGrid w:val="0"/>
              </w:rPr>
            </w:pPr>
            <w:ins w:id="816" w:author="Master Repository Process" w:date="2024-01-03T09:10:00Z">
              <w:r>
                <w:t>10 Aug 2023 (see s. 2(b) and SL 2023/132 cl. 2)</w:t>
              </w:r>
            </w:ins>
          </w:p>
        </w:tc>
      </w:tr>
    </w:tbl>
    <w:p>
      <w:pPr>
        <w:pStyle w:val="nHeading3"/>
      </w:pPr>
      <w:bookmarkStart w:id="817" w:name="_Toc155165815"/>
      <w:r>
        <w:t>Uncommenced provisions table</w:t>
      </w:r>
      <w:bookmarkEnd w:id="817"/>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7 Div. 1 and Pt. 9</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r>
              <w:rPr>
                <w:snapToGrid w:val="0"/>
              </w:rPr>
              <w:t>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rPr>
                <w:i/>
              </w:rPr>
            </w:pPr>
            <w:r>
              <w:rPr>
                <w:i/>
                <w:snapToGrid w:val="0"/>
              </w:rPr>
              <w:t>Swan Valley Planning Act 2020</w:t>
            </w:r>
            <w:r>
              <w:rPr>
                <w:snapToGrid w:val="0"/>
              </w:rPr>
              <w:t xml:space="preserve"> s. 62</w:t>
            </w:r>
          </w:p>
        </w:tc>
        <w:tc>
          <w:tcPr>
            <w:tcW w:w="1123" w:type="dxa"/>
            <w:gridSpan w:val="2"/>
            <w:tcBorders>
              <w:top w:val="nil"/>
              <w:bottom w:val="single" w:sz="4" w:space="0" w:color="auto"/>
            </w:tcBorders>
          </w:tcPr>
          <w:p>
            <w:pPr>
              <w:pStyle w:val="nTable"/>
              <w:spacing w:after="40"/>
              <w:ind w:right="61"/>
            </w:pPr>
            <w:r>
              <w:t>45 of 2020</w:t>
            </w:r>
          </w:p>
        </w:tc>
        <w:tc>
          <w:tcPr>
            <w:tcW w:w="1175" w:type="dxa"/>
            <w:tcBorders>
              <w:top w:val="nil"/>
              <w:bottom w:val="single" w:sz="4" w:space="0" w:color="auto"/>
            </w:tcBorders>
          </w:tcPr>
          <w:p>
            <w:pPr>
              <w:pStyle w:val="nTable"/>
              <w:spacing w:after="40"/>
            </w:pPr>
            <w:r>
              <w:t>9 Dec 2020</w:t>
            </w:r>
          </w:p>
        </w:tc>
        <w:tc>
          <w:tcPr>
            <w:tcW w:w="2497" w:type="dxa"/>
            <w:tcBorders>
              <w:top w:val="nil"/>
              <w:bottom w:val="single" w:sz="4" w:space="0" w:color="auto"/>
            </w:tcBorders>
          </w:tcPr>
          <w:p>
            <w:pPr>
              <w:pStyle w:val="nTable"/>
              <w:spacing w:after="40"/>
              <w:rPr>
                <w:snapToGrid w:val="0"/>
              </w:rPr>
            </w:pPr>
            <w:r>
              <w:rPr>
                <w:snapToGrid w:val="0"/>
              </w:rPr>
              <w:t>Immediately</w:t>
            </w:r>
            <w:r>
              <w:t xml:space="preserve"> after the </w:t>
            </w:r>
            <w:r>
              <w:rPr>
                <w:i/>
              </w:rPr>
              <w:t>Planning and Development Amendment Act 2020</w:t>
            </w:r>
            <w:r>
              <w:t xml:space="preserve"> s. 65 comes into operation</w:t>
            </w:r>
            <w:r>
              <w:rPr>
                <w:snapToGrid w:val="0"/>
              </w:rPr>
              <w:t xml:space="preserve"> (</w:t>
            </w:r>
            <w:r>
              <w:t>see s. 2(1)(b)(ii))</w:t>
            </w:r>
          </w:p>
        </w:tc>
      </w:tr>
      <w:tr>
        <w:tblPrEx>
          <w:tblBorders>
            <w:top w:val="single" w:sz="8" w:space="0" w:color="auto"/>
            <w:bottom w:val="single" w:sz="8" w:space="0" w:color="auto"/>
            <w:insideH w:val="single" w:sz="8" w:space="0" w:color="auto"/>
          </w:tblBorders>
        </w:tblPrEx>
        <w:trPr>
          <w:del w:id="818" w:author="Master Repository Process" w:date="2024-01-03T09:10:00Z"/>
        </w:trPr>
        <w:tc>
          <w:tcPr>
            <w:tcW w:w="2280" w:type="dxa"/>
            <w:tcBorders>
              <w:top w:val="nil"/>
              <w:bottom w:val="single" w:sz="4" w:space="0" w:color="auto"/>
            </w:tcBorders>
          </w:tcPr>
          <w:p>
            <w:pPr>
              <w:pStyle w:val="nTable"/>
              <w:spacing w:after="40"/>
              <w:rPr>
                <w:del w:id="819" w:author="Master Repository Process" w:date="2024-01-03T09:10:00Z"/>
              </w:rPr>
            </w:pPr>
            <w:del w:id="820" w:author="Master Repository Process" w:date="2024-01-03T09:10:00Z">
              <w:r>
                <w:rPr>
                  <w:i/>
                </w:rPr>
                <w:delText>Land and Public Works Legislation Amendment Act 2023</w:delText>
              </w:r>
              <w:r>
                <w:delText xml:space="preserve"> Pt. 4 Div. 11</w:delText>
              </w:r>
            </w:del>
          </w:p>
        </w:tc>
        <w:tc>
          <w:tcPr>
            <w:tcW w:w="1123" w:type="dxa"/>
            <w:gridSpan w:val="2"/>
            <w:tcBorders>
              <w:top w:val="nil"/>
              <w:bottom w:val="single" w:sz="4" w:space="0" w:color="auto"/>
            </w:tcBorders>
          </w:tcPr>
          <w:p>
            <w:pPr>
              <w:pStyle w:val="nTable"/>
              <w:spacing w:after="40"/>
              <w:ind w:right="61"/>
              <w:rPr>
                <w:del w:id="821" w:author="Master Repository Process" w:date="2024-01-03T09:10:00Z"/>
              </w:rPr>
            </w:pPr>
            <w:del w:id="822" w:author="Master Repository Process" w:date="2024-01-03T09:10:00Z">
              <w:r>
                <w:delText>4 of 2023</w:delText>
              </w:r>
            </w:del>
          </w:p>
        </w:tc>
        <w:tc>
          <w:tcPr>
            <w:tcW w:w="1175" w:type="dxa"/>
            <w:tcBorders>
              <w:top w:val="nil"/>
              <w:bottom w:val="single" w:sz="4" w:space="0" w:color="auto"/>
            </w:tcBorders>
          </w:tcPr>
          <w:p>
            <w:pPr>
              <w:pStyle w:val="nTable"/>
              <w:spacing w:after="40"/>
              <w:rPr>
                <w:del w:id="823" w:author="Master Repository Process" w:date="2024-01-03T09:10:00Z"/>
              </w:rPr>
            </w:pPr>
            <w:del w:id="824" w:author="Master Repository Process" w:date="2024-01-03T09:10:00Z">
              <w:r>
                <w:delText>24 Mar 2023</w:delText>
              </w:r>
            </w:del>
          </w:p>
        </w:tc>
        <w:tc>
          <w:tcPr>
            <w:tcW w:w="2497" w:type="dxa"/>
            <w:tcBorders>
              <w:top w:val="nil"/>
              <w:bottom w:val="single" w:sz="4" w:space="0" w:color="auto"/>
            </w:tcBorders>
          </w:tcPr>
          <w:p>
            <w:pPr>
              <w:pStyle w:val="nTable"/>
              <w:spacing w:after="40"/>
              <w:rPr>
                <w:del w:id="825" w:author="Master Repository Process" w:date="2024-01-03T09:10:00Z"/>
              </w:rPr>
            </w:pPr>
            <w:del w:id="826" w:author="Master Repository Process" w:date="2024-01-03T09:10:00Z">
              <w:r>
                <w:delText>To be proclaimed (see s. 2(b))</w:delText>
              </w:r>
            </w:del>
          </w:p>
        </w:tc>
      </w:tr>
    </w:tbl>
    <w:p>
      <w:pPr>
        <w:pStyle w:val="nHeading3"/>
      </w:pPr>
      <w:bookmarkStart w:id="827" w:name="_Toc155165816"/>
      <w:r>
        <w:t>Other notes</w:t>
      </w:r>
      <w:bookmarkEnd w:id="827"/>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29"/>
          <w:headerReference w:type="default" r:id="rId30"/>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04-v0-01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28" w:name="Compilation"/>
    <w:bookmarkEnd w:id="82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9" w:name="Coversheet"/>
    <w:bookmarkEnd w:id="8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53" w:name="Schedule"/>
    <w:bookmarkEnd w:id="7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4150"/>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 w:name="WAFER_2022041109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3221_GUID" w:val="f0f82db6-4f45-40aa-8687-5930b3caffbc"/>
    <w:docVar w:name="WAFER_202206211638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63823_GUID" w:val="fa1ff6cd-758a-4345-bfa3-1c8c039bcbbc"/>
    <w:docVar w:name="WAFER_20230324124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4949_GUID" w:val="17a12993-cee3-4bf0-a715-a9c1f0ee89b5"/>
    <w:docVar w:name="WAFER_20230515104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03_GUID" w:val="abe64ba3-d618-49a9-a8fa-82694eca1c4f"/>
    <w:docVar w:name="WAFER_20230627112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31_GUID" w:val="92c9bbdf-f0d9-4214-a85f-2d6fcd7aa97d"/>
    <w:docVar w:name="WAFER_202307101108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49_GUID" w:val="10cb850b-8345-4165-89ac-7e240b7eb60b"/>
    <w:docVar w:name="WAFER_20230728112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728112916_GUID" w:val="090efaa5-b16c-4681-8875-fbd569b6095b"/>
    <w:docVar w:name="WAFER_202308091442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9144249_GUID" w:val="da5bc0be-7d14-4fb2-8fe6-b3564f551234"/>
    <w:docVar w:name="WAFER_202312271341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4150_GUID" w:val="da80861e-c2d8-4393-825e-d530179ac9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3275">
      <w:bodyDiv w:val="1"/>
      <w:marLeft w:val="0"/>
      <w:marRight w:val="0"/>
      <w:marTop w:val="0"/>
      <w:marBottom w:val="0"/>
      <w:divBdr>
        <w:top w:val="none" w:sz="0" w:space="0" w:color="auto"/>
        <w:left w:val="none" w:sz="0" w:space="0" w:color="auto"/>
        <w:bottom w:val="none" w:sz="0" w:space="0" w:color="auto"/>
        <w:right w:val="none" w:sz="0" w:space="0" w:color="auto"/>
      </w:divBdr>
    </w:div>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359205629">
      <w:bodyDiv w:val="1"/>
      <w:marLeft w:val="0"/>
      <w:marRight w:val="0"/>
      <w:marTop w:val="0"/>
      <w:marBottom w:val="0"/>
      <w:divBdr>
        <w:top w:val="none" w:sz="0" w:space="0" w:color="auto"/>
        <w:left w:val="none" w:sz="0" w:space="0" w:color="auto"/>
        <w:bottom w:val="none" w:sz="0" w:space="0" w:color="auto"/>
        <w:right w:val="none" w:sz="0" w:space="0" w:color="auto"/>
      </w:divBdr>
    </w:div>
    <w:div w:id="513345162">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591089027">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022783332">
      <w:bodyDiv w:val="1"/>
      <w:marLeft w:val="0"/>
      <w:marRight w:val="0"/>
      <w:marTop w:val="0"/>
      <w:marBottom w:val="0"/>
      <w:divBdr>
        <w:top w:val="none" w:sz="0" w:space="0" w:color="auto"/>
        <w:left w:val="none" w:sz="0" w:space="0" w:color="auto"/>
        <w:bottom w:val="none" w:sz="0" w:space="0" w:color="auto"/>
        <w:right w:val="none" w:sz="0" w:space="0" w:color="auto"/>
      </w:divBdr>
    </w:div>
    <w:div w:id="1184635754">
      <w:bodyDiv w:val="1"/>
      <w:marLeft w:val="0"/>
      <w:marRight w:val="0"/>
      <w:marTop w:val="0"/>
      <w:marBottom w:val="0"/>
      <w:divBdr>
        <w:top w:val="none" w:sz="0" w:space="0" w:color="auto"/>
        <w:left w:val="none" w:sz="0" w:space="0" w:color="auto"/>
        <w:bottom w:val="none" w:sz="0" w:space="0" w:color="auto"/>
        <w:right w:val="none" w:sz="0" w:space="0" w:color="auto"/>
      </w:divBdr>
    </w:div>
    <w:div w:id="1404837920">
      <w:bodyDiv w:val="1"/>
      <w:marLeft w:val="0"/>
      <w:marRight w:val="0"/>
      <w:marTop w:val="0"/>
      <w:marBottom w:val="0"/>
      <w:divBdr>
        <w:top w:val="none" w:sz="0" w:space="0" w:color="auto"/>
        <w:left w:val="none" w:sz="0" w:space="0" w:color="auto"/>
        <w:bottom w:val="none" w:sz="0" w:space="0" w:color="auto"/>
        <w:right w:val="none" w:sz="0" w:space="0" w:color="auto"/>
      </w:divBdr>
    </w:div>
    <w:div w:id="1464736008">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 w:id="2003847646">
      <w:bodyDiv w:val="1"/>
      <w:marLeft w:val="0"/>
      <w:marRight w:val="0"/>
      <w:marTop w:val="0"/>
      <w:marBottom w:val="0"/>
      <w:divBdr>
        <w:top w:val="none" w:sz="0" w:space="0" w:color="auto"/>
        <w:left w:val="none" w:sz="0" w:space="0" w:color="auto"/>
        <w:bottom w:val="none" w:sz="0" w:space="0" w:color="auto"/>
        <w:right w:val="none" w:sz="0" w:space="0" w:color="auto"/>
      </w:divBdr>
    </w:div>
    <w:div w:id="21360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2A4F-5F5D-4820-B30F-F189CE26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75610</Words>
  <Characters>368225</Characters>
  <Application>Microsoft Office Word</Application>
  <DocSecurity>0</DocSecurity>
  <Lines>9441</Lines>
  <Paragraphs>4623</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439212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04-u0-01 - 04-v0-01</dc:title>
  <dc:subject/>
  <dc:creator/>
  <cp:keywords/>
  <dc:description/>
  <cp:lastModifiedBy>Master Repository Process</cp:lastModifiedBy>
  <cp:revision>2</cp:revision>
  <cp:lastPrinted>2023-03-24T07:31:00Z</cp:lastPrinted>
  <dcterms:created xsi:type="dcterms:W3CDTF">2024-01-03T01:10:00Z</dcterms:created>
  <dcterms:modified xsi:type="dcterms:W3CDTF">2024-01-03T01:10:00Z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Official">
    <vt:lpwstr/>
  </property>
  <property fmtid="{D5CDD505-2E9C-101B-9397-08002B2CF9AE}" pid="8" name="CommencementDate">
    <vt:lpwstr>20230810</vt:lpwstr>
  </property>
  <property fmtid="{D5CDD505-2E9C-101B-9397-08002B2CF9AE}" pid="9" name="CommencementAsAt">
    <vt:filetime>2023-08-09T16:00:00Z</vt:filetime>
  </property>
  <property fmtid="{D5CDD505-2E9C-101B-9397-08002B2CF9AE}" pid="10" name="CommencementYear">
    <vt:lpwstr>2023</vt:lpwstr>
  </property>
  <property fmtid="{D5CDD505-2E9C-101B-9397-08002B2CF9AE}" pid="11" name="FromSuffix">
    <vt:lpwstr>04-u0-01</vt:lpwstr>
  </property>
  <property fmtid="{D5CDD505-2E9C-101B-9397-08002B2CF9AE}" pid="12" name="FromAsAtDate">
    <vt:lpwstr>01 Aug 2023</vt:lpwstr>
  </property>
  <property fmtid="{D5CDD505-2E9C-101B-9397-08002B2CF9AE}" pid="13" name="ToSuffix">
    <vt:lpwstr>04-v0-01</vt:lpwstr>
  </property>
  <property fmtid="{D5CDD505-2E9C-101B-9397-08002B2CF9AE}" pid="14" name="ToAsAtDate">
    <vt:lpwstr>10 Aug 2023</vt:lpwstr>
  </property>
</Properties>
</file>