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Apr 2007</w:t>
      </w:r>
      <w:r>
        <w:fldChar w:fldCharType="end"/>
      </w:r>
      <w:r>
        <w:t xml:space="preserve">, </w:t>
      </w:r>
      <w:r>
        <w:fldChar w:fldCharType="begin"/>
      </w:r>
      <w:r>
        <w:instrText xml:space="preserve"> DocProperty FromSuffix </w:instrText>
      </w:r>
      <w:r>
        <w:fldChar w:fldCharType="separate"/>
      </w:r>
      <w:r>
        <w:t>05-g0-03</w:t>
      </w:r>
      <w:r>
        <w:fldChar w:fldCharType="end"/>
      </w:r>
      <w:r>
        <w:t>] and [</w:t>
      </w:r>
      <w:r>
        <w:fldChar w:fldCharType="begin"/>
      </w:r>
      <w:r>
        <w:instrText xml:space="preserve"> DocProperty ToAsAtDate</w:instrText>
      </w:r>
      <w:r>
        <w:fldChar w:fldCharType="separate"/>
      </w:r>
      <w:r>
        <w:t>25 Jul 2007</w:t>
      </w:r>
      <w:r>
        <w:fldChar w:fldCharType="end"/>
      </w:r>
      <w:r>
        <w:t xml:space="preserve">, </w:t>
      </w:r>
      <w:r>
        <w:fldChar w:fldCharType="begin"/>
      </w:r>
      <w:r>
        <w:instrText xml:space="preserve"> DocProperty ToSuffix</w:instrText>
      </w:r>
      <w:r>
        <w:fldChar w:fldCharType="separate"/>
      </w:r>
      <w:r>
        <w:t>05-h0-02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200" w:after="960"/>
      </w:pPr>
      <w:r>
        <w:t xml:space="preserve">Real Estate and Business Agents Act 1978 </w:t>
      </w:r>
    </w:p>
    <w:p>
      <w:pPr>
        <w:pStyle w:val="LongTitle"/>
        <w:rPr>
          <w:snapToGrid w:val="0"/>
        </w:rPr>
      </w:pPr>
      <w:r>
        <w:rPr>
          <w:snapToGrid w:val="0"/>
        </w:rPr>
        <w:t>A</w:t>
      </w:r>
      <w:bookmarkStart w:id="0" w:name="_GoBack"/>
      <w:bookmarkEnd w:id="0"/>
      <w:r>
        <w:rPr>
          <w:snapToGrid w:val="0"/>
        </w:rPr>
        <w:t xml:space="preserve">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xml:space="preserve">, and for related purposes. </w:t>
      </w:r>
    </w:p>
    <w:p>
      <w:pPr>
        <w:pStyle w:val="Heading2"/>
      </w:pPr>
      <w:bookmarkStart w:id="1" w:name="_Toc72643354"/>
      <w:bookmarkStart w:id="2" w:name="_Toc89596319"/>
      <w:bookmarkStart w:id="3" w:name="_Toc91303042"/>
      <w:bookmarkStart w:id="4" w:name="_Toc92701154"/>
      <w:bookmarkStart w:id="5" w:name="_Toc96996879"/>
      <w:bookmarkStart w:id="6" w:name="_Toc98833390"/>
      <w:bookmarkStart w:id="7" w:name="_Toc99165998"/>
      <w:bookmarkStart w:id="8" w:name="_Toc100021658"/>
      <w:bookmarkStart w:id="9" w:name="_Toc100562012"/>
      <w:bookmarkStart w:id="10" w:name="_Toc100562387"/>
      <w:bookmarkStart w:id="11" w:name="_Toc102373405"/>
      <w:bookmarkStart w:id="12" w:name="_Toc102536066"/>
      <w:bookmarkStart w:id="13" w:name="_Toc102899310"/>
      <w:bookmarkStart w:id="14" w:name="_Toc107197788"/>
      <w:bookmarkStart w:id="15" w:name="_Toc116713218"/>
      <w:bookmarkStart w:id="16" w:name="_Toc116812927"/>
      <w:bookmarkStart w:id="17" w:name="_Toc121566466"/>
      <w:bookmarkStart w:id="18" w:name="_Toc124125352"/>
      <w:bookmarkStart w:id="19" w:name="_Toc124140802"/>
      <w:bookmarkStart w:id="20" w:name="_Toc139362584"/>
      <w:bookmarkStart w:id="21" w:name="_Toc139685781"/>
      <w:bookmarkStart w:id="22" w:name="_Toc154197142"/>
      <w:bookmarkStart w:id="23" w:name="_Toc158003532"/>
      <w:bookmarkStart w:id="24" w:name="_Toc163273757"/>
      <w:bookmarkStart w:id="25" w:name="_Toc163361740"/>
      <w:bookmarkStart w:id="26" w:name="_Toc172965239"/>
      <w:bookmarkStart w:id="27" w:name="_Toc17296544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80623690"/>
      <w:bookmarkStart w:id="29" w:name="_Toc520177724"/>
      <w:bookmarkStart w:id="30" w:name="_Toc102899311"/>
      <w:bookmarkStart w:id="31" w:name="_Toc124125353"/>
      <w:bookmarkStart w:id="32" w:name="_Toc172965441"/>
      <w:bookmarkStart w:id="33" w:name="_Toc163361741"/>
      <w:r>
        <w:rPr>
          <w:rStyle w:val="CharSectno"/>
        </w:rPr>
        <w:t>1</w:t>
      </w:r>
      <w:r>
        <w:rPr>
          <w:snapToGrid w:val="0"/>
        </w:rPr>
        <w:t>.</w:t>
      </w:r>
      <w:r>
        <w:rPr>
          <w:snapToGrid w:val="0"/>
        </w:rPr>
        <w:tab/>
        <w:t>Short title</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34" w:name="_Toc480623691"/>
      <w:bookmarkStart w:id="35" w:name="_Toc520177725"/>
      <w:bookmarkStart w:id="36" w:name="_Toc102899312"/>
      <w:bookmarkStart w:id="37" w:name="_Toc124125354"/>
      <w:bookmarkStart w:id="38" w:name="_Toc172965442"/>
      <w:bookmarkStart w:id="39" w:name="_Toc163361742"/>
      <w:r>
        <w:rPr>
          <w:rStyle w:val="CharSectno"/>
        </w:rPr>
        <w:t>2</w:t>
      </w:r>
      <w:r>
        <w:rPr>
          <w:snapToGrid w:val="0"/>
        </w:rPr>
        <w:t>.</w:t>
      </w:r>
      <w:r>
        <w:rPr>
          <w:snapToGrid w:val="0"/>
        </w:rPr>
        <w:tab/>
        <w:t>Commencement</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 xml:space="preserve">Repealed by No. 29 of 1982 s. 3.] </w:t>
      </w:r>
    </w:p>
    <w:p>
      <w:pPr>
        <w:pStyle w:val="Heading5"/>
        <w:rPr>
          <w:snapToGrid w:val="0"/>
        </w:rPr>
      </w:pPr>
      <w:bookmarkStart w:id="40" w:name="_Toc480623692"/>
      <w:bookmarkStart w:id="41" w:name="_Toc520177726"/>
      <w:bookmarkStart w:id="42" w:name="_Toc102899313"/>
      <w:bookmarkStart w:id="43" w:name="_Toc124125355"/>
      <w:bookmarkStart w:id="44" w:name="_Toc172965443"/>
      <w:bookmarkStart w:id="45" w:name="_Toc163361743"/>
      <w:r>
        <w:rPr>
          <w:rStyle w:val="CharSectno"/>
        </w:rPr>
        <w:t>4</w:t>
      </w:r>
      <w:r>
        <w:rPr>
          <w:snapToGrid w:val="0"/>
        </w:rPr>
        <w:t>.</w:t>
      </w:r>
      <w:r>
        <w:rPr>
          <w:snapToGrid w:val="0"/>
        </w:rPr>
        <w:tab/>
        <w:t>Interpretation</w:t>
      </w:r>
      <w:bookmarkEnd w:id="40"/>
      <w:bookmarkEnd w:id="41"/>
      <w:bookmarkEnd w:id="42"/>
      <w:bookmarkEnd w:id="43"/>
      <w:bookmarkEnd w:id="44"/>
      <w:bookmarkEnd w:id="45"/>
    </w:p>
    <w:p>
      <w:pPr>
        <w:pStyle w:val="Subsection"/>
        <w:keepNext/>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Account</w:t>
      </w:r>
      <w:r>
        <w:rPr>
          <w:b/>
        </w:rPr>
        <w:t>”</w:t>
      </w:r>
      <w:r>
        <w:t xml:space="preserve"> means the Board Interest Account established under section 125(1);</w:t>
      </w:r>
    </w:p>
    <w:p>
      <w:pPr>
        <w:pStyle w:val="Defstart"/>
      </w:pPr>
      <w:r>
        <w:rPr>
          <w:b/>
        </w:rPr>
        <w:tab/>
        <w:t>“</w:t>
      </w:r>
      <w:r>
        <w:rPr>
          <w:rStyle w:val="CharDefText"/>
        </w:rPr>
        <w:t>Advisory Committee</w:t>
      </w:r>
      <w:r>
        <w:rPr>
          <w:b/>
        </w:rPr>
        <w:t>”</w:t>
      </w:r>
      <w:r>
        <w:t xml:space="preserve"> means the Home Buyers Assistance Advisory Committee established by section 131H(1);</w:t>
      </w:r>
    </w:p>
    <w:p>
      <w:pPr>
        <w:pStyle w:val="Defstart"/>
      </w:pPr>
      <w:r>
        <w:rPr>
          <w:b/>
        </w:rPr>
        <w:tab/>
        <w:t>“</w:t>
      </w:r>
      <w:r>
        <w:rPr>
          <w:rStyle w:val="CharDefText"/>
        </w:rPr>
        <w:t>agent</w:t>
      </w:r>
      <w:r>
        <w:rPr>
          <w:b/>
        </w:rPr>
        <w:t>”</w:t>
      </w:r>
      <w:r>
        <w:t xml:space="preserve"> means a person who is a real estate agent or a business agent, or both a real estate agent and a business agent;</w:t>
      </w:r>
    </w:p>
    <w:p>
      <w:pPr>
        <w:pStyle w:val="Defstart"/>
      </w:pPr>
      <w:r>
        <w:rPr>
          <w:b/>
        </w:rPr>
        <w:tab/>
        <w:t>“</w:t>
      </w:r>
      <w:r>
        <w:rPr>
          <w:rStyle w:val="CharDefText"/>
        </w:rPr>
        <w:t>agents code of conduct</w:t>
      </w:r>
      <w:r>
        <w:rPr>
          <w:b/>
        </w:rPr>
        <w:t>”</w:t>
      </w:r>
      <w:r>
        <w:t xml:space="preserve"> means the agents code of conduct prescribed and published under section 101;</w:t>
      </w:r>
    </w:p>
    <w:p>
      <w:pPr>
        <w:pStyle w:val="Defstart"/>
      </w:pPr>
      <w:r>
        <w:rPr>
          <w:b/>
        </w:rPr>
        <w:tab/>
        <w:t>“</w:t>
      </w:r>
      <w:r>
        <w:rPr>
          <w:rStyle w:val="CharDefText"/>
        </w:rPr>
        <w:t>appointed day</w:t>
      </w:r>
      <w:r>
        <w:rPr>
          <w:b/>
        </w:rPr>
        <w:t>”</w:t>
      </w:r>
      <w:r>
        <w:t xml:space="preserve"> means the day fixed by the Minister pursuant to subsection (2)</w:t>
      </w:r>
      <w:r>
        <w:rPr>
          <w:vertAlign w:val="superscript"/>
        </w:rPr>
        <w:t xml:space="preserve"> 3</w:t>
      </w:r>
      <w:r>
        <w:t>;</w:t>
      </w:r>
    </w:p>
    <w:p>
      <w:pPr>
        <w:pStyle w:val="Defstart"/>
      </w:pPr>
      <w:r>
        <w:rPr>
          <w:b/>
        </w:rPr>
        <w:tab/>
        <w:t>“</w:t>
      </w:r>
      <w:r>
        <w:rPr>
          <w:rStyle w:val="CharDefText"/>
        </w:rPr>
        <w:t>approved</w:t>
      </w:r>
      <w:r>
        <w:rPr>
          <w:b/>
        </w:rPr>
        <w:t>”</w:t>
      </w:r>
      <w:r>
        <w:t xml:space="preserve"> means approved by the Board;</w:t>
      </w:r>
    </w:p>
    <w:p>
      <w:pPr>
        <w:pStyle w:val="Defstart"/>
      </w:pPr>
      <w:r>
        <w:rPr>
          <w:b/>
        </w:rPr>
        <w:tab/>
        <w:t>“</w:t>
      </w:r>
      <w:r>
        <w:rPr>
          <w:rStyle w:val="CharDefText"/>
        </w:rPr>
        <w:t>Assistance Account</w:t>
      </w:r>
      <w:r>
        <w:rPr>
          <w:b/>
        </w:rPr>
        <w:t>”</w:t>
      </w:r>
      <w:r>
        <w:t xml:space="preserve"> means the Home Buyers Assistance Account established under section 131B;</w:t>
      </w:r>
    </w:p>
    <w:p>
      <w:pPr>
        <w:pStyle w:val="Defstart"/>
      </w:pPr>
      <w:r>
        <w:rPr>
          <w:b/>
        </w:rPr>
        <w:tab/>
        <w:t>“</w:t>
      </w:r>
      <w:r>
        <w:rPr>
          <w:rStyle w:val="CharDefText"/>
        </w:rPr>
        <w:t>auditor</w:t>
      </w:r>
      <w:r>
        <w:rPr>
          <w:b/>
        </w:rPr>
        <w:t>”</w:t>
      </w:r>
      <w:r>
        <w:t xml:space="preserve"> means a person appointed under this Act to audit the trust accounts of an agent;</w:t>
      </w:r>
    </w:p>
    <w:p>
      <w:pPr>
        <w:pStyle w:val="Defstart"/>
        <w:keepNext/>
      </w:pPr>
      <w:r>
        <w:lastRenderedPageBreak/>
        <w:tab/>
      </w:r>
      <w:r>
        <w:rPr>
          <w:b/>
        </w:rPr>
        <w:t>“</w:t>
      </w:r>
      <w:r>
        <w:rPr>
          <w:rStyle w:val="CharDefText"/>
        </w:rPr>
        <w:t>bank</w:t>
      </w:r>
      <w:r>
        <w:rPr>
          <w:b/>
        </w:rPr>
        <w:t>”</w:t>
      </w:r>
      <w:r>
        <w:t xml:space="preserve"> means —</w:t>
      </w:r>
    </w:p>
    <w:p>
      <w:pPr>
        <w:pStyle w:val="Defpara"/>
        <w:spacing w:before="60"/>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spacing w:before="60"/>
      </w:pPr>
      <w:r>
        <w:tab/>
        <w:t>(b)</w:t>
      </w:r>
      <w:r>
        <w:tab/>
        <w:t>a bank constituted by a law of a State, a Territory or the Commonwealth;</w:t>
      </w:r>
    </w:p>
    <w:p>
      <w:pPr>
        <w:pStyle w:val="Defstart"/>
      </w:pPr>
      <w:r>
        <w:rPr>
          <w:b/>
        </w:rPr>
        <w:tab/>
        <w:t>“</w:t>
      </w:r>
      <w:r>
        <w:rPr>
          <w:rStyle w:val="CharDefText"/>
        </w:rPr>
        <w:t>Board</w:t>
      </w:r>
      <w:r>
        <w:rPr>
          <w:b/>
        </w:rPr>
        <w:t>”</w:t>
      </w:r>
      <w:r>
        <w:t xml:space="preserve"> means the Real Estate and Business Agents Supervisory Board;</w:t>
      </w:r>
    </w:p>
    <w:p>
      <w:pPr>
        <w:pStyle w:val="Defstart"/>
      </w:pPr>
      <w:r>
        <w:rPr>
          <w:b/>
        </w:rPr>
        <w:tab/>
        <w:t>“</w:t>
      </w:r>
      <w:r>
        <w:rPr>
          <w:rStyle w:val="CharDefText"/>
        </w:rPr>
        <w:t>business</w:t>
      </w:r>
      <w:r>
        <w:rPr>
          <w:b/>
        </w:rPr>
        <w:t>”</w:t>
      </w:r>
      <w:r>
        <w:t xml:space="preserve"> means the business of an agent but does not have that meaning in paragraph (a) of the interpretation “business transaction” and does not mean the business of a developer;</w:t>
      </w:r>
    </w:p>
    <w:p>
      <w:pPr>
        <w:pStyle w:val="Defstart"/>
      </w:pPr>
      <w:r>
        <w:rPr>
          <w:b/>
        </w:rPr>
        <w:tab/>
        <w:t>“</w:t>
      </w:r>
      <w:r>
        <w:rPr>
          <w:rStyle w:val="CharDefText"/>
        </w:rPr>
        <w:t>business</w:t>
      </w:r>
      <w:r>
        <w:rPr>
          <w:b/>
        </w:rPr>
        <w:t>”</w:t>
      </w:r>
      <w:r>
        <w:t>, in paragraph (a) of the interpretation “business transaction” means any commercial undertaking or enterprise in respect of any profession, trade, employment, vocation, or calling;</w:t>
      </w:r>
    </w:p>
    <w:p>
      <w:pPr>
        <w:pStyle w:val="Defstart"/>
        <w:rPr>
          <w:rFonts w:ascii="Times" w:hAnsi="Times"/>
        </w:rPr>
      </w:pPr>
      <w:r>
        <w:rPr>
          <w:b/>
        </w:rPr>
        <w:tab/>
      </w:r>
      <w:r>
        <w:rPr>
          <w:rFonts w:ascii="Times" w:hAnsi="Times"/>
          <w:b/>
        </w:rPr>
        <w:t>“</w:t>
      </w:r>
      <w:r>
        <w:rPr>
          <w:rStyle w:val="CharDefText"/>
          <w:rFonts w:ascii="Times" w:hAnsi="Times"/>
        </w:rPr>
        <w:t>business agent</w:t>
      </w:r>
      <w:r>
        <w:rPr>
          <w:rFonts w:ascii="Times" w:hAnsi="Times"/>
          <w:b/>
        </w:rPr>
        <w: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 </w:t>
      </w:r>
    </w:p>
    <w:p>
      <w:pPr>
        <w:pStyle w:val="Defpara"/>
        <w:spacing w:before="60"/>
      </w:pPr>
      <w:r>
        <w:tab/>
        <w:t>(a)</w:t>
      </w:r>
      <w:r>
        <w:tab/>
        <w:t>he is appointed by a court as a receiver or receiver and manager of the business of another; or</w:t>
      </w:r>
    </w:p>
    <w:p>
      <w:pPr>
        <w:pStyle w:val="Defpara"/>
        <w:spacing w:before="6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t>“</w:t>
      </w:r>
      <w:r>
        <w:rPr>
          <w:rStyle w:val="CharDefText"/>
        </w:rPr>
        <w:t>business sales representative</w:t>
      </w:r>
      <w:r>
        <w:rPr>
          <w:b/>
        </w:rPr>
        <w:t>”</w:t>
      </w:r>
      <w:r>
        <w:t xml:space="preserve"> means a person who on behalf of an agent negotiates a business transaction irrespective of whether or not the agent is the owner of the business involved, and includes — </w:t>
      </w:r>
    </w:p>
    <w:p>
      <w:pPr>
        <w:pStyle w:val="Defpara"/>
        <w:spacing w:before="60"/>
      </w:pPr>
      <w:r>
        <w:tab/>
        <w:t>(a)</w:t>
      </w:r>
      <w:r>
        <w:tab/>
        <w:t>a person who does so as a member of a firm that is a licensee and the holder of a current triennial certificate unless he is also a licensee and the holder of a current triennial certificate;</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t>“</w:t>
      </w:r>
      <w:r>
        <w:rPr>
          <w:rStyle w:val="CharDefText"/>
        </w:rPr>
        <w:t>business transaction</w:t>
      </w:r>
      <w:r>
        <w:rPr>
          <w:b/>
        </w:rPr>
        <w:t>”</w:t>
      </w:r>
      <w:r>
        <w:t> — </w:t>
      </w:r>
    </w:p>
    <w:p>
      <w:pPr>
        <w:pStyle w:val="Defpara"/>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t>“</w:t>
      </w:r>
      <w:r>
        <w:rPr>
          <w:rStyle w:val="CharDefText"/>
        </w:rPr>
        <w:t>certificate of registration</w:t>
      </w:r>
      <w:r>
        <w:rPr>
          <w:b/>
        </w:rPr>
        <w:t>”</w:t>
      </w:r>
      <w:r>
        <w:t xml:space="preserve"> means a certificate of registration as a sales representative under this Act;</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code of conduct for sales representatives</w:t>
      </w:r>
      <w:r>
        <w:rPr>
          <w:b/>
        </w:rPr>
        <w:t>”</w:t>
      </w:r>
      <w:r>
        <w:t xml:space="preserve"> means the code of conduct for sales representatives prescribed and published under section 101;</w:t>
      </w:r>
    </w:p>
    <w:p>
      <w:pPr>
        <w:pStyle w:val="Defstart"/>
        <w:keepNext/>
      </w:pPr>
      <w:r>
        <w:rPr>
          <w:b/>
        </w:rPr>
        <w:tab/>
        <w:t>“</w:t>
      </w:r>
      <w:r>
        <w:rPr>
          <w:rStyle w:val="CharDefText"/>
        </w:rPr>
        <w:t>defalcation by a licensee</w:t>
      </w:r>
      <w:r>
        <w:rPr>
          <w:b/>
        </w:rPr>
        <w:t>”</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r>
      <w:r>
        <w:tab/>
        <w:t>in the course of the business of the licensee and from which arises pecuniary loss or loss of property to any other person;</w:t>
      </w:r>
    </w:p>
    <w:p>
      <w:pPr>
        <w:pStyle w:val="Defstart"/>
      </w:pPr>
      <w:r>
        <w:rPr>
          <w:b/>
        </w:rPr>
        <w:tab/>
        <w:t>“</w:t>
      </w:r>
      <w:r>
        <w:rPr>
          <w:rStyle w:val="CharDefText"/>
        </w:rPr>
        <w:t>developer</w:t>
      </w:r>
      <w:r>
        <w:rPr>
          <w:b/>
        </w:rPr>
        <w:t>”</w:t>
      </w:r>
      <w:r>
        <w:t xml:space="preserve"> means a person whose business either alone or as part of or in connection with any other business, is to act on his own behalf in respect of the sale, exchange, or other disposal of real estate;</w:t>
      </w:r>
    </w:p>
    <w:p>
      <w:pPr>
        <w:pStyle w:val="Defstart"/>
      </w:pPr>
      <w:r>
        <w:rPr>
          <w:b/>
        </w:rPr>
        <w:tab/>
        <w:t>“</w:t>
      </w:r>
      <w:r>
        <w:rPr>
          <w:rStyle w:val="CharDefText"/>
        </w:rPr>
        <w:t>Fidelity Account</w:t>
      </w:r>
      <w:r>
        <w:rPr>
          <w:b/>
        </w:rPr>
        <w:t>”</w:t>
      </w:r>
      <w:r>
        <w:t xml:space="preserve"> means the Real Estate and Business Agents Fidelity Guarantee Account established under section 107;</w:t>
      </w:r>
    </w:p>
    <w:p>
      <w:pPr>
        <w:pStyle w:val="Defstart"/>
      </w:pPr>
      <w:r>
        <w:rPr>
          <w:b/>
        </w:rPr>
        <w:tab/>
        <w:t>“</w:t>
      </w:r>
      <w:r>
        <w:rPr>
          <w:rStyle w:val="CharDefText"/>
        </w:rPr>
        <w:t>franchising agreement</w:t>
      </w:r>
      <w:r>
        <w:rPr>
          <w:b/>
        </w:rPr>
        <w:t>”</w:t>
      </w:r>
      <w:r>
        <w:t xml:space="preserve"> means an agreement whereby a party to the agreement grants to another party to the agreement the right or privilege to carry on business in a manner, over a period, and in a place specified in the agreement;</w:t>
      </w:r>
    </w:p>
    <w:p>
      <w:pPr>
        <w:pStyle w:val="Defstart"/>
      </w:pPr>
      <w:r>
        <w:rPr>
          <w:b/>
        </w:rPr>
        <w:tab/>
        <w:t>“</w:t>
      </w:r>
      <w:r>
        <w:rPr>
          <w:rStyle w:val="CharDefText"/>
        </w:rPr>
        <w:t>General Purpose Account</w:t>
      </w:r>
      <w:r>
        <w:rPr>
          <w:b/>
        </w:rPr>
        <w:t>”</w:t>
      </w:r>
      <w:r>
        <w:t xml:space="preserve"> means the Education and General Purpose Account established under section 124A;</w:t>
      </w:r>
    </w:p>
    <w:p>
      <w:pPr>
        <w:pStyle w:val="Defstart"/>
      </w:pPr>
      <w:r>
        <w:rPr>
          <w:b/>
        </w:rPr>
        <w:tab/>
        <w:t>“</w:t>
      </w:r>
      <w:r>
        <w:rPr>
          <w:rStyle w:val="CharDefText"/>
        </w:rPr>
        <w:t>inspector</w:t>
      </w:r>
      <w:r>
        <w:rPr>
          <w:b/>
        </w:rPr>
        <w:t>”</w:t>
      </w:r>
      <w:r>
        <w:t xml:space="preserve"> means an inspector of the Board appointed under this Act;</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the licence of an agent under this Act;</w:t>
      </w:r>
    </w:p>
    <w:p>
      <w:pPr>
        <w:pStyle w:val="Defstart"/>
      </w:pPr>
      <w:r>
        <w:rPr>
          <w:b/>
        </w:rPr>
        <w:tab/>
        <w:t>“</w:t>
      </w:r>
      <w:r>
        <w:rPr>
          <w:rStyle w:val="CharDefText"/>
        </w:rPr>
        <w:t>licensed</w:t>
      </w:r>
      <w:r>
        <w:rPr>
          <w:b/>
        </w:rPr>
        <w:t>”</w:t>
      </w:r>
      <w:r>
        <w:t xml:space="preserve"> means licensed as an agent under this Act;</w:t>
      </w:r>
    </w:p>
    <w:p>
      <w:pPr>
        <w:pStyle w:val="Defstart"/>
      </w:pPr>
      <w:r>
        <w:rPr>
          <w:b/>
        </w:rPr>
        <w:tab/>
        <w:t>“</w:t>
      </w:r>
      <w:r>
        <w:rPr>
          <w:rStyle w:val="CharDefText"/>
        </w:rPr>
        <w:t>licensee</w:t>
      </w:r>
      <w:r>
        <w:rPr>
          <w:b/>
        </w:rPr>
        <w:t>”</w:t>
      </w:r>
      <w:r>
        <w:t xml:space="preserve"> means a person licensed under this Act;</w:t>
      </w:r>
    </w:p>
    <w:p>
      <w:pPr>
        <w:pStyle w:val="Defstart"/>
        <w:keepNext/>
      </w:pPr>
      <w:r>
        <w:rPr>
          <w:b/>
        </w:rPr>
        <w:tab/>
        <w:t>“</w:t>
      </w:r>
      <w:r>
        <w:rPr>
          <w:rStyle w:val="CharDefText"/>
        </w:rPr>
        <w:t>member</w:t>
      </w:r>
      <w:r>
        <w:rPr>
          <w:b/>
        </w:rPr>
        <w:t>”</w:t>
      </w:r>
      <w:r>
        <w:t>— </w:t>
      </w:r>
    </w:p>
    <w:p>
      <w:pPr>
        <w:pStyle w:val="Defpara"/>
      </w:pPr>
      <w:r>
        <w:tab/>
        <w:t>(a)</w:t>
      </w:r>
      <w:r>
        <w:tab/>
        <w:t>except in Part IXA, means a member of the Board; and</w:t>
      </w:r>
    </w:p>
    <w:p>
      <w:pPr>
        <w:pStyle w:val="Defpara"/>
      </w:pPr>
      <w:r>
        <w:tab/>
        <w:t>(b)</w:t>
      </w:r>
      <w:r>
        <w:tab/>
        <w:t>in Part IXA, means a member of the Advisory Committee;</w:t>
      </w:r>
    </w:p>
    <w:p>
      <w:pPr>
        <w:pStyle w:val="Defstart"/>
      </w:pPr>
      <w:r>
        <w:rPr>
          <w:b/>
        </w:rPr>
        <w:tab/>
        <w:t>“</w:t>
      </w:r>
      <w:r>
        <w:rPr>
          <w:rStyle w:val="CharDefText"/>
        </w:rPr>
        <w:t>real estate</w:t>
      </w:r>
      <w:r>
        <w:rPr>
          <w:b/>
        </w:rPr>
        <w:t>”</w:t>
      </w:r>
      <w:r>
        <w:t xml:space="preserve"> means land within or outside the State and includes land of any tenure and buildings or parts of buildings within or outside the State;</w:t>
      </w:r>
    </w:p>
    <w:p>
      <w:pPr>
        <w:pStyle w:val="Defstart"/>
      </w:pPr>
      <w:r>
        <w:rPr>
          <w:b/>
        </w:rPr>
        <w:tab/>
        <w:t>“</w:t>
      </w:r>
      <w:r>
        <w:rPr>
          <w:rStyle w:val="CharDefText"/>
        </w:rPr>
        <w:t>real estate agent</w:t>
      </w:r>
      <w:r>
        <w:rPr>
          <w:b/>
        </w:rPr>
        <w: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 </w:t>
      </w:r>
    </w:p>
    <w:p>
      <w:pPr>
        <w:pStyle w:val="Defpara"/>
      </w:pPr>
      <w:r>
        <w:tab/>
        <w:t>(a)</w:t>
      </w:r>
      <w:r>
        <w:tab/>
        <w:t xml:space="preserve">he is appointed by a court as a receiver or receiver and manager of the business of another person; or </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t>“</w:t>
      </w:r>
      <w:r>
        <w:rPr>
          <w:rStyle w:val="CharDefText"/>
        </w:rPr>
        <w:t>real estate sales representative</w:t>
      </w:r>
      <w:r>
        <w:rPr>
          <w:b/>
        </w:rPr>
        <w:t>”</w:t>
      </w:r>
      <w:r>
        <w:t xml:space="preserve"> means a person who on behalf of an agent or a developer negotiates a real estate transaction irrespective in the case of an agent of whether or not the agent is the owner of the real estate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 and</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t>“</w:t>
      </w:r>
      <w:r>
        <w:rPr>
          <w:rStyle w:val="CharDefText"/>
        </w:rPr>
        <w:t>real estate transaction</w:t>
      </w:r>
      <w:r>
        <w:rPr>
          <w:b/>
        </w:rPr>
        <w:t>”</w:t>
      </w:r>
      <w:r>
        <w:t> — </w:t>
      </w:r>
    </w:p>
    <w:p>
      <w:pPr>
        <w:pStyle w:val="Defpara"/>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pPr>
      <w:r>
        <w:tab/>
        <w:t>(b)</w:t>
      </w:r>
      <w:r>
        <w:tab/>
        <w:t>includes any sale, exchange, or other disposal and any purchase, exchange, or other acquisition of goods, chattels or other property relating to a real estate transaction of a kind specified in paragraph (a); and</w:t>
      </w:r>
    </w:p>
    <w:p>
      <w:pPr>
        <w:pStyle w:val="Defpara"/>
      </w:pPr>
      <w:r>
        <w:tab/>
        <w:t>(ba)</w:t>
      </w:r>
      <w:r>
        <w:tab/>
        <w:t>includes the collection of rents or other payments for use or occupation; and</w:t>
      </w:r>
    </w:p>
    <w:p>
      <w:pPr>
        <w:pStyle w:val="Defpara"/>
      </w:pPr>
      <w:r>
        <w:tab/>
        <w:t>(c)</w:t>
      </w:r>
      <w:r>
        <w:tab/>
        <w:t>also includes an option to enter into a real estate transaction;</w:t>
      </w:r>
    </w:p>
    <w:p>
      <w:pPr>
        <w:pStyle w:val="Defstart"/>
      </w:pPr>
      <w:r>
        <w:rPr>
          <w:b/>
        </w:rPr>
        <w:tab/>
        <w:t>“</w:t>
      </w:r>
      <w:r>
        <w:rPr>
          <w:rStyle w:val="CharDefText"/>
        </w:rPr>
        <w:t>registered</w:t>
      </w:r>
      <w:r>
        <w:rPr>
          <w:b/>
        </w:rPr>
        <w:t>”</w:t>
      </w:r>
      <w:r>
        <w:t xml:space="preserve"> and </w:t>
      </w:r>
      <w:r>
        <w:rPr>
          <w:b/>
        </w:rPr>
        <w:t>“</w:t>
      </w:r>
      <w:r>
        <w:rPr>
          <w:rStyle w:val="CharDefText"/>
        </w:rPr>
        <w:t>registered sales representative</w:t>
      </w:r>
      <w:r>
        <w:rPr>
          <w:b/>
        </w:rPr>
        <w:t>”</w:t>
      </w:r>
      <w:r>
        <w:t xml:space="preserve"> means registered as a sales representative under this Act;</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registration</w:t>
      </w:r>
      <w:r>
        <w:rPr>
          <w:b/>
        </w:rPr>
        <w:t>”</w:t>
      </w:r>
      <w:r>
        <w:t xml:space="preserve"> means registration as a sales representative under this Act;</w:t>
      </w:r>
    </w:p>
    <w:p>
      <w:pPr>
        <w:pStyle w:val="Defstart"/>
      </w:pPr>
      <w:r>
        <w:rPr>
          <w:b/>
        </w:rPr>
        <w:tab/>
        <w:t>“</w:t>
      </w:r>
      <w:r>
        <w:rPr>
          <w:rStyle w:val="CharDefText"/>
        </w:rPr>
        <w:t>renewal</w:t>
      </w:r>
      <w:r>
        <w:rPr>
          <w:b/>
        </w:rPr>
        <w:t>”</w:t>
      </w:r>
      <w:r>
        <w:t xml:space="preserve"> means a renewal of a triennial certificate or of a certificate of registration, as the case requires;</w:t>
      </w:r>
    </w:p>
    <w:p>
      <w:pPr>
        <w:pStyle w:val="Defstart"/>
      </w:pPr>
      <w:r>
        <w:rPr>
          <w:b/>
        </w:rPr>
        <w:tab/>
        <w:t>“</w:t>
      </w:r>
      <w:r>
        <w:rPr>
          <w:rStyle w:val="CharDefText"/>
        </w:rPr>
        <w:t>repealed Act</w:t>
      </w:r>
      <w:r>
        <w:rPr>
          <w:b/>
        </w:rPr>
        <w:t>”</w:t>
      </w:r>
      <w:r>
        <w:t xml:space="preserve"> means the Act repealed by section 5 </w:t>
      </w:r>
      <w:r>
        <w:rPr>
          <w:vertAlign w:val="superscript"/>
        </w:rPr>
        <w:t>4</w:t>
      </w:r>
      <w:r>
        <w:t>;</w:t>
      </w:r>
    </w:p>
    <w:p>
      <w:pPr>
        <w:pStyle w:val="Defstart"/>
      </w:pPr>
      <w:r>
        <w:rPr>
          <w:b/>
        </w:rPr>
        <w:tab/>
        <w:t>“</w:t>
      </w:r>
      <w:r>
        <w:rPr>
          <w:rStyle w:val="CharDefText"/>
        </w:rPr>
        <w:t>sales representative</w:t>
      </w:r>
      <w:r>
        <w:rPr>
          <w:b/>
        </w:rPr>
        <w:t>”</w:t>
      </w:r>
      <w:r>
        <w:t xml:space="preserve"> means a person who is a real estate sales representative or a business sales representative, or both a real estate sales representative and a business sales representative;</w:t>
      </w:r>
    </w:p>
    <w:p>
      <w:pPr>
        <w:pStyle w:val="Defstart"/>
      </w:pPr>
      <w:r>
        <w:rPr>
          <w:b/>
        </w:rPr>
        <w:tab/>
        <w:t>“</w:t>
      </w:r>
      <w:r>
        <w:rPr>
          <w:rStyle w:val="CharDefText"/>
        </w:rPr>
        <w:t>strata company</w:t>
      </w:r>
      <w:r>
        <w:rPr>
          <w:b/>
        </w:rPr>
        <w:t>”</w:t>
      </w:r>
      <w:r>
        <w:t xml:space="preserve"> means a strata company constituted or deemed to be constituted under the </w:t>
      </w:r>
      <w:r>
        <w:rPr>
          <w:i/>
        </w:rPr>
        <w:t>Strata Titles Act 1985</w:t>
      </w:r>
      <w:r>
        <w:t>;</w:t>
      </w:r>
    </w:p>
    <w:p>
      <w:pPr>
        <w:pStyle w:val="Defstart"/>
      </w:pPr>
      <w:r>
        <w:rPr>
          <w:b/>
        </w:rPr>
        <w:tab/>
        <w:t>“</w:t>
      </w:r>
      <w:r>
        <w:rPr>
          <w:rStyle w:val="CharDefText"/>
        </w:rPr>
        <w:t>supervisor</w:t>
      </w:r>
      <w:r>
        <w:rPr>
          <w:b/>
        </w:rPr>
        <w:t>”</w:t>
      </w:r>
      <w:r>
        <w:t xml:space="preserve"> means a person appointed by the Board as supervisor of the business of an agent;</w:t>
      </w:r>
    </w:p>
    <w:p>
      <w:pPr>
        <w:pStyle w:val="Defstart"/>
      </w:pPr>
      <w:r>
        <w:rPr>
          <w:b/>
        </w:rPr>
        <w:tab/>
        <w:t>“</w:t>
      </w:r>
      <w:r>
        <w:rPr>
          <w:rStyle w:val="CharDefText"/>
        </w:rPr>
        <w:t>transaction</w:t>
      </w:r>
      <w:r>
        <w:rPr>
          <w:b/>
        </w:rPr>
        <w:t>”</w:t>
      </w:r>
      <w:r>
        <w:t xml:space="preserve"> means a real estate transaction or a business transaction, or both a real estate transaction and a business transaction;</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Treasury</w:t>
      </w:r>
      <w:r>
        <w:rPr>
          <w:b/>
        </w:rPr>
        <w:t>”</w:t>
      </w:r>
      <w:r>
        <w:t xml:space="preserve"> means the State Treasury;</w:t>
      </w:r>
    </w:p>
    <w:p>
      <w:pPr>
        <w:pStyle w:val="Defstart"/>
      </w:pPr>
      <w:r>
        <w:rPr>
          <w:b/>
        </w:rPr>
        <w:tab/>
        <w:t>“</w:t>
      </w:r>
      <w:r>
        <w:rPr>
          <w:rStyle w:val="CharDefText"/>
        </w:rPr>
        <w:t>triennial certificate</w:t>
      </w:r>
      <w:r>
        <w:rPr>
          <w:b/>
        </w:rPr>
        <w:t>”</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 </w:t>
      </w:r>
    </w:p>
    <w:p>
      <w:pPr>
        <w:pStyle w:val="Indenta"/>
        <w:rPr>
          <w:snapToGrid w:val="0"/>
        </w:rPr>
      </w:pPr>
      <w:r>
        <w:rPr>
          <w:snapToGrid w:val="0"/>
        </w:rPr>
        <w:tab/>
        <w:t>(a)</w:t>
      </w:r>
      <w:r>
        <w:rPr>
          <w:snapToGrid w:val="0"/>
        </w:rPr>
        <w:tab/>
        <w:t>the consideration;</w:t>
      </w:r>
    </w:p>
    <w:p>
      <w:pPr>
        <w:pStyle w:val="Indenta"/>
        <w:rPr>
          <w:snapToGrid w:val="0"/>
        </w:rPr>
      </w:pPr>
      <w:r>
        <w:rPr>
          <w:snapToGrid w:val="0"/>
        </w:rPr>
        <w:tab/>
        <w:t>(b)</w:t>
      </w:r>
      <w:r>
        <w:rPr>
          <w:snapToGrid w:val="0"/>
        </w:rPr>
        <w:tab/>
        <w:t>any terms payments;</w:t>
      </w:r>
    </w:p>
    <w:p>
      <w:pPr>
        <w:pStyle w:val="Indenta"/>
        <w:rPr>
          <w:snapToGrid w:val="0"/>
        </w:rPr>
      </w:pPr>
      <w:r>
        <w:rPr>
          <w:snapToGrid w:val="0"/>
        </w:rPr>
        <w:tab/>
        <w:t>(c)</w:t>
      </w:r>
      <w:r>
        <w:rPr>
          <w:snapToGrid w:val="0"/>
        </w:rPr>
        <w:tab/>
        <w:t>any rent or other payment for use or occupation; or</w:t>
      </w:r>
    </w:p>
    <w:p>
      <w:pPr>
        <w:pStyle w:val="Indenta"/>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 </w:t>
      </w:r>
    </w:p>
    <w:p>
      <w:pPr>
        <w:pStyle w:val="Indenta"/>
        <w:rPr>
          <w:snapToGrid w:val="0"/>
        </w:rPr>
      </w:pPr>
      <w:r>
        <w:rPr>
          <w:snapToGrid w:val="0"/>
        </w:rPr>
        <w:tab/>
        <w:t>(a)</w:t>
      </w:r>
      <w:r>
        <w:rPr>
          <w:snapToGrid w:val="0"/>
        </w:rPr>
        <w:tab/>
        <w:t xml:space="preserve">a body corporate authorised by the law of any State, or of a Territory, of the Commonwealth to apply for and obtain a grant of probate of a will when exercising its power to do so or when exercising any other power conferred on it by such a law; </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w:t>
      </w:r>
      <w:del w:id="46" w:author="svcMRProcess" w:date="2018-09-08T03:15:00Z">
        <w:r>
          <w:delText>or</w:delText>
        </w:r>
      </w:del>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w:t>
      </w:r>
      <w:del w:id="47" w:author="svcMRProcess" w:date="2018-09-08T03:15:00Z">
        <w:r>
          <w:delText>.</w:delText>
        </w:r>
      </w:del>
      <w:ins w:id="48" w:author="svcMRProcess" w:date="2018-09-08T03:15:00Z">
        <w:r>
          <w:t>; or</w:t>
        </w:r>
      </w:ins>
    </w:p>
    <w:p>
      <w:pPr>
        <w:pStyle w:val="Indenta"/>
        <w:rPr>
          <w:ins w:id="49" w:author="svcMRProcess" w:date="2018-09-08T03:15:00Z"/>
        </w:rPr>
      </w:pPr>
      <w:ins w:id="50" w:author="svcMRProcess" w:date="2018-09-08T03:15:00Z">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ins>
    </w:p>
    <w:p>
      <w:pPr>
        <w:pStyle w:val="Footnotesection"/>
      </w:pPr>
      <w:r>
        <w:tab/>
        <w:t>[Section 4 amended by No. 74. of 1980 s. 3; No. 10 of 1982 s. 28; No. 29 of 1982 s. 4; No. 40 of 1985 s. 8; No. 98 of 1985 s. 3; No. 59 of 1995 s. 4; No. 26 of 1999 s. 99(2); No. 10 of 2001 s. 222; No. 21 of 2003 s. 20; No. 65 of 2003 s. 59(2); No. 74 of 2003 s. 101</w:t>
      </w:r>
      <w:ins w:id="51" w:author="svcMRProcess" w:date="2018-09-08T03:15:00Z">
        <w:r>
          <w:t>; No.69 of 2006 s. 27</w:t>
        </w:r>
      </w:ins>
      <w:r>
        <w:t xml:space="preserve">; No. 77 of 2006 s. 17.] </w:t>
      </w:r>
    </w:p>
    <w:p>
      <w:pPr>
        <w:pStyle w:val="Ednotesection"/>
      </w:pPr>
      <w:r>
        <w:t>[</w:t>
      </w:r>
      <w:r>
        <w:rPr>
          <w:b/>
        </w:rPr>
        <w:t>5.</w:t>
      </w:r>
      <w:r>
        <w:tab/>
        <w:t>Omitted under the Reprints Act 1984 s. 7(4)(f).]</w:t>
      </w:r>
    </w:p>
    <w:p>
      <w:pPr>
        <w:pStyle w:val="Heading2"/>
      </w:pPr>
      <w:bookmarkStart w:id="52" w:name="_Toc72643359"/>
      <w:bookmarkStart w:id="53" w:name="_Toc89596324"/>
      <w:bookmarkStart w:id="54" w:name="_Toc91303047"/>
      <w:bookmarkStart w:id="55" w:name="_Toc92701159"/>
      <w:bookmarkStart w:id="56" w:name="_Toc96996884"/>
      <w:bookmarkStart w:id="57" w:name="_Toc98833395"/>
      <w:bookmarkStart w:id="58" w:name="_Toc99166003"/>
      <w:bookmarkStart w:id="59" w:name="_Toc100021662"/>
      <w:bookmarkStart w:id="60" w:name="_Toc100562016"/>
      <w:bookmarkStart w:id="61" w:name="_Toc100562391"/>
      <w:bookmarkStart w:id="62" w:name="_Toc102373409"/>
      <w:bookmarkStart w:id="63" w:name="_Toc102536070"/>
      <w:bookmarkStart w:id="64" w:name="_Toc102899314"/>
      <w:bookmarkStart w:id="65" w:name="_Toc107197792"/>
      <w:bookmarkStart w:id="66" w:name="_Toc116713222"/>
      <w:bookmarkStart w:id="67" w:name="_Toc116812931"/>
      <w:bookmarkStart w:id="68" w:name="_Toc121566470"/>
      <w:bookmarkStart w:id="69" w:name="_Toc124125356"/>
      <w:bookmarkStart w:id="70" w:name="_Toc124140806"/>
      <w:bookmarkStart w:id="71" w:name="_Toc139362588"/>
      <w:bookmarkStart w:id="72" w:name="_Toc139685785"/>
      <w:bookmarkStart w:id="73" w:name="_Toc154197146"/>
      <w:bookmarkStart w:id="74" w:name="_Toc158003536"/>
      <w:bookmarkStart w:id="75" w:name="_Toc163273761"/>
      <w:bookmarkStart w:id="76" w:name="_Toc163361744"/>
      <w:bookmarkStart w:id="77" w:name="_Toc172965243"/>
      <w:bookmarkStart w:id="78" w:name="_Toc172965444"/>
      <w:r>
        <w:rPr>
          <w:rStyle w:val="CharPartNo"/>
        </w:rPr>
        <w:t>Part II</w:t>
      </w:r>
      <w:r>
        <w:t> — </w:t>
      </w:r>
      <w:r>
        <w:rPr>
          <w:rStyle w:val="CharPartText"/>
        </w:rPr>
        <w:t>Real Estate and Business Agents Supervisory Board</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PartText"/>
        </w:rPr>
        <w:t xml:space="preserve"> </w:t>
      </w:r>
    </w:p>
    <w:p>
      <w:pPr>
        <w:pStyle w:val="Heading3"/>
        <w:rPr>
          <w:snapToGrid w:val="0"/>
        </w:rPr>
      </w:pPr>
      <w:bookmarkStart w:id="79" w:name="_Toc72643360"/>
      <w:bookmarkStart w:id="80" w:name="_Toc89596325"/>
      <w:bookmarkStart w:id="81" w:name="_Toc91303048"/>
      <w:bookmarkStart w:id="82" w:name="_Toc92701160"/>
      <w:bookmarkStart w:id="83" w:name="_Toc96996885"/>
      <w:bookmarkStart w:id="84" w:name="_Toc98833396"/>
      <w:bookmarkStart w:id="85" w:name="_Toc99166004"/>
      <w:bookmarkStart w:id="86" w:name="_Toc100021663"/>
      <w:bookmarkStart w:id="87" w:name="_Toc100562017"/>
      <w:bookmarkStart w:id="88" w:name="_Toc100562392"/>
      <w:bookmarkStart w:id="89" w:name="_Toc102373410"/>
      <w:bookmarkStart w:id="90" w:name="_Toc102536071"/>
      <w:bookmarkStart w:id="91" w:name="_Toc102899315"/>
      <w:bookmarkStart w:id="92" w:name="_Toc107197793"/>
      <w:bookmarkStart w:id="93" w:name="_Toc116713223"/>
      <w:bookmarkStart w:id="94" w:name="_Toc116812932"/>
      <w:bookmarkStart w:id="95" w:name="_Toc121566471"/>
      <w:bookmarkStart w:id="96" w:name="_Toc124125357"/>
      <w:bookmarkStart w:id="97" w:name="_Toc124140807"/>
      <w:bookmarkStart w:id="98" w:name="_Toc139362589"/>
      <w:bookmarkStart w:id="99" w:name="_Toc139685786"/>
      <w:bookmarkStart w:id="100" w:name="_Toc154197147"/>
      <w:bookmarkStart w:id="101" w:name="_Toc158003537"/>
      <w:bookmarkStart w:id="102" w:name="_Toc163273762"/>
      <w:bookmarkStart w:id="103" w:name="_Toc163361745"/>
      <w:bookmarkStart w:id="104" w:name="_Toc172965244"/>
      <w:bookmarkStart w:id="105" w:name="_Toc172965445"/>
      <w:r>
        <w:rPr>
          <w:rStyle w:val="CharDivNo"/>
        </w:rPr>
        <w:t>Division 1</w:t>
      </w:r>
      <w:r>
        <w:rPr>
          <w:snapToGrid w:val="0"/>
        </w:rPr>
        <w:t> — </w:t>
      </w:r>
      <w:r>
        <w:rPr>
          <w:rStyle w:val="CharDivText"/>
        </w:rPr>
        <w:t>General</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DivText"/>
        </w:rPr>
        <w:t xml:space="preserve"> </w:t>
      </w:r>
    </w:p>
    <w:p>
      <w:pPr>
        <w:pStyle w:val="Heading5"/>
        <w:rPr>
          <w:snapToGrid w:val="0"/>
        </w:rPr>
      </w:pPr>
      <w:bookmarkStart w:id="106" w:name="_Toc480623694"/>
      <w:bookmarkStart w:id="107" w:name="_Toc520177728"/>
      <w:bookmarkStart w:id="108" w:name="_Toc102899316"/>
      <w:bookmarkStart w:id="109" w:name="_Toc124125358"/>
      <w:bookmarkStart w:id="110" w:name="_Toc172965446"/>
      <w:bookmarkStart w:id="111" w:name="_Toc163361746"/>
      <w:r>
        <w:rPr>
          <w:rStyle w:val="CharSectno"/>
        </w:rPr>
        <w:t>6</w:t>
      </w:r>
      <w:r>
        <w:rPr>
          <w:snapToGrid w:val="0"/>
        </w:rPr>
        <w:t>.</w:t>
      </w:r>
      <w:r>
        <w:rPr>
          <w:snapToGrid w:val="0"/>
        </w:rPr>
        <w:tab/>
        <w:t>Board</w:t>
      </w:r>
      <w:bookmarkEnd w:id="106"/>
      <w:r>
        <w:rPr>
          <w:snapToGrid w:val="0"/>
        </w:rPr>
        <w:t xml:space="preserve"> established</w:t>
      </w:r>
      <w:bookmarkEnd w:id="107"/>
      <w:bookmarkEnd w:id="108"/>
      <w:bookmarkEnd w:id="109"/>
      <w:bookmarkEnd w:id="110"/>
      <w:bookmarkEnd w:id="111"/>
    </w:p>
    <w:p>
      <w:pPr>
        <w:pStyle w:val="Subsection"/>
        <w:rPr>
          <w:snapToGrid w:val="0"/>
        </w:rPr>
      </w:pPr>
      <w:r>
        <w:rPr>
          <w:snapToGrid w:val="0"/>
        </w:rPr>
        <w:tab/>
        <w:t>(1)</w:t>
      </w:r>
      <w:r>
        <w:rPr>
          <w:snapToGrid w:val="0"/>
        </w:rPr>
        <w:tab/>
        <w:t>For the purposes of this Act there shall be a board to be known as the “Real Estate and Business Agents Supervisory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12" w:name="_Toc480623695"/>
      <w:bookmarkStart w:id="113" w:name="_Toc520177729"/>
      <w:bookmarkStart w:id="114" w:name="_Toc102899317"/>
      <w:bookmarkStart w:id="115" w:name="_Toc124125359"/>
      <w:bookmarkStart w:id="116" w:name="_Toc172965447"/>
      <w:bookmarkStart w:id="117" w:name="_Toc163361747"/>
      <w:r>
        <w:rPr>
          <w:rStyle w:val="CharSectno"/>
        </w:rPr>
        <w:t>7</w:t>
      </w:r>
      <w:r>
        <w:rPr>
          <w:snapToGrid w:val="0"/>
        </w:rPr>
        <w:t>.</w:t>
      </w:r>
      <w:r>
        <w:rPr>
          <w:snapToGrid w:val="0"/>
        </w:rPr>
        <w:tab/>
        <w:t>Board</w:t>
      </w:r>
      <w:bookmarkEnd w:id="112"/>
      <w:r>
        <w:rPr>
          <w:snapToGrid w:val="0"/>
        </w:rPr>
        <w:t>, membership of</w:t>
      </w:r>
      <w:bookmarkEnd w:id="113"/>
      <w:bookmarkEnd w:id="114"/>
      <w:bookmarkEnd w:id="115"/>
      <w:bookmarkEnd w:id="116"/>
      <w:bookmarkEnd w:id="117"/>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agent, shall be appointed to be a member and Chairman of the Board;</w:t>
      </w:r>
    </w:p>
    <w:p>
      <w:pPr>
        <w:pStyle w:val="Indenta"/>
        <w:rPr>
          <w:snapToGrid w:val="0"/>
        </w:rPr>
      </w:pPr>
      <w:r>
        <w:rPr>
          <w:snapToGrid w:val="0"/>
        </w:rPr>
        <w:tab/>
        <w:t>(b)</w:t>
      </w:r>
      <w:r>
        <w:rPr>
          <w:snapToGrid w:val="0"/>
        </w:rPr>
        <w:tab/>
        <w:t>one, being a person who is not a licensed agent, shall be a person who is experienced in commercial practice;</w:t>
      </w:r>
    </w:p>
    <w:p>
      <w:pPr>
        <w:pStyle w:val="Indenta"/>
        <w:rPr>
          <w:snapToGrid w:val="0"/>
        </w:rPr>
      </w:pPr>
      <w:r>
        <w:rPr>
          <w:snapToGrid w:val="0"/>
        </w:rPr>
        <w:tab/>
        <w:t>(c)</w:t>
      </w:r>
      <w:r>
        <w:rPr>
          <w:snapToGrid w:val="0"/>
        </w:rPr>
        <w:tab/>
        <w:t>one, being a person who is not a licensed agent, shall be a person who is a legal practitioner;</w:t>
      </w:r>
    </w:p>
    <w:p>
      <w:pPr>
        <w:pStyle w:val="Indenta"/>
        <w:rPr>
          <w:snapToGrid w:val="0"/>
        </w:rPr>
      </w:pPr>
      <w:r>
        <w:rPr>
          <w:snapToGrid w:val="0"/>
        </w:rPr>
        <w:tab/>
        <w:t>(d)</w:t>
      </w:r>
      <w:r>
        <w:rPr>
          <w:snapToGrid w:val="0"/>
        </w:rPr>
        <w:tab/>
        <w:t>one shall be a person who is a licensed agent nominated for appointment by The Real Estate Institute of Western Australia; and</w:t>
      </w:r>
    </w:p>
    <w:p>
      <w:pPr>
        <w:pStyle w:val="Indenta"/>
        <w:rPr>
          <w:snapToGrid w:val="0"/>
        </w:rPr>
      </w:pPr>
      <w:r>
        <w:rPr>
          <w:snapToGrid w:val="0"/>
        </w:rPr>
        <w:tab/>
        <w:t>(e)</w:t>
      </w:r>
      <w:r>
        <w:rPr>
          <w:snapToGrid w:val="0"/>
        </w:rPr>
        <w:tab/>
        <w:t>one shall be a person who is a licensed agent and elected for appointment by licensed agents (hereinafter called an elective member).</w:t>
      </w:r>
    </w:p>
    <w:p>
      <w:pPr>
        <w:pStyle w:val="Subsection"/>
        <w:rPr>
          <w:snapToGrid w:val="0"/>
        </w:rPr>
      </w:pPr>
      <w:r>
        <w:rPr>
          <w:snapToGrid w:val="0"/>
        </w:rPr>
        <w:tab/>
        <w:t>(2)</w:t>
      </w:r>
      <w:r>
        <w:rPr>
          <w:snapToGrid w:val="0"/>
        </w:rPr>
        <w:tab/>
        <w:t>Prior to the first occasion on which an appointment is to be made to the office of a member referred to in subsection (1)(d), and on each occasion thereafter when such office becomes vacant, the Minister shall, in writing, request The Real Estate Institute of Western Australia to nominate to him in writing the name of a licensed agent who is willing to act as a member of the Board.</w:t>
      </w:r>
    </w:p>
    <w:p>
      <w:pPr>
        <w:pStyle w:val="Subsection"/>
        <w:rPr>
          <w:snapToGrid w:val="0"/>
        </w:rPr>
      </w:pPr>
      <w:r>
        <w:rPr>
          <w:snapToGrid w:val="0"/>
        </w:rPr>
        <w:tab/>
        <w:t>(3)</w:t>
      </w:r>
      <w:r>
        <w:rPr>
          <w:snapToGrid w:val="0"/>
        </w:rPr>
        <w:tab/>
        <w:t>Where a request has been made pursuant to subsection (2) the Minister may, if nomination is not made pursuant to that subsection within 21 days of the request being made, nominate for appointment to the office such licensed agent as the Minister thinks fit.</w:t>
      </w:r>
    </w:p>
    <w:p>
      <w:pPr>
        <w:pStyle w:val="Ednotesubsection"/>
      </w:pPr>
      <w:r>
        <w:tab/>
        <w:t>[(4)</w:t>
      </w:r>
      <w:r>
        <w:tab/>
        <w:t>Omitted under Reprints Act 1984 s. 7(4)(e).]</w:t>
      </w:r>
    </w:p>
    <w:p>
      <w:pPr>
        <w:pStyle w:val="Subsection"/>
        <w:rPr>
          <w:snapToGrid w:val="0"/>
        </w:rPr>
      </w:pPr>
      <w:r>
        <w:rPr>
          <w:snapToGrid w:val="0"/>
        </w:rPr>
        <w:tab/>
        <w:t>(5)</w:t>
      </w:r>
      <w:r>
        <w:rPr>
          <w:snapToGrid w:val="0"/>
        </w:rPr>
        <w:tab/>
        <w:t>The Minister shall appoint a returning officer for each election of an elective member.</w:t>
      </w:r>
    </w:p>
    <w:p>
      <w:pPr>
        <w:pStyle w:val="Subsection"/>
        <w:rPr>
          <w:snapToGrid w:val="0"/>
        </w:rPr>
      </w:pPr>
      <w:r>
        <w:rPr>
          <w:snapToGrid w:val="0"/>
        </w:rPr>
        <w:tab/>
        <w:t>(6)</w:t>
      </w:r>
      <w:r>
        <w:rPr>
          <w:snapToGrid w:val="0"/>
        </w:rPr>
        <w:tab/>
        <w:t>The election of an elective member shall be held and conducted in such manner and at such times as may be prescribed.</w:t>
      </w:r>
    </w:p>
    <w:p>
      <w:pPr>
        <w:pStyle w:val="Subsection"/>
        <w:rPr>
          <w:snapToGrid w:val="0"/>
        </w:rPr>
      </w:pPr>
      <w:r>
        <w:rPr>
          <w:snapToGrid w:val="0"/>
        </w:rPr>
        <w:tab/>
        <w:t>(7)</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(8)</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(9)</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18" w:name="_Toc480623696"/>
      <w:bookmarkStart w:id="119" w:name="_Toc520177730"/>
      <w:bookmarkStart w:id="120" w:name="_Toc102899318"/>
      <w:bookmarkStart w:id="121" w:name="_Toc124125360"/>
      <w:bookmarkStart w:id="122" w:name="_Toc172965448"/>
      <w:bookmarkStart w:id="123" w:name="_Toc163361748"/>
      <w:r>
        <w:rPr>
          <w:rStyle w:val="CharSectno"/>
        </w:rPr>
        <w:t>8</w:t>
      </w:r>
      <w:r>
        <w:rPr>
          <w:snapToGrid w:val="0"/>
        </w:rPr>
        <w:t>.</w:t>
      </w:r>
      <w:r>
        <w:rPr>
          <w:snapToGrid w:val="0"/>
        </w:rPr>
        <w:tab/>
      </w:r>
      <w:bookmarkEnd w:id="118"/>
      <w:r>
        <w:rPr>
          <w:snapToGrid w:val="0"/>
        </w:rPr>
        <w:t>Members, term of office</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keepNext/>
        <w:rPr>
          <w:snapToGrid w:val="0"/>
        </w:rPr>
      </w:pPr>
      <w:r>
        <w:rPr>
          <w:snapToGrid w:val="0"/>
        </w:rPr>
        <w:tab/>
        <w:t>(4)</w:t>
      </w:r>
      <w:r>
        <w:rPr>
          <w:snapToGrid w:val="0"/>
        </w:rPr>
        <w:tab/>
        <w:t>If a member of the Board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Minister;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nominated or elected in the manner in which the member was nominated or elected.</w:t>
      </w:r>
    </w:p>
    <w:p>
      <w:pPr>
        <w:pStyle w:val="Footnotesection"/>
      </w:pPr>
      <w:r>
        <w:tab/>
        <w:t xml:space="preserve">[Section 8 amended by No. 74 of 1980 s. 4.] </w:t>
      </w:r>
    </w:p>
    <w:p>
      <w:pPr>
        <w:pStyle w:val="Heading5"/>
        <w:rPr>
          <w:snapToGrid w:val="0"/>
        </w:rPr>
      </w:pPr>
      <w:bookmarkStart w:id="124" w:name="_Toc480623697"/>
      <w:bookmarkStart w:id="125" w:name="_Toc520177731"/>
      <w:bookmarkStart w:id="126" w:name="_Toc102899319"/>
      <w:bookmarkStart w:id="127" w:name="_Toc124125361"/>
      <w:bookmarkStart w:id="128" w:name="_Toc172965449"/>
      <w:bookmarkStart w:id="129" w:name="_Toc163361749"/>
      <w:r>
        <w:rPr>
          <w:rStyle w:val="CharSectno"/>
        </w:rPr>
        <w:t>8A</w:t>
      </w:r>
      <w:r>
        <w:rPr>
          <w:snapToGrid w:val="0"/>
        </w:rPr>
        <w:t>.</w:t>
      </w:r>
      <w:r>
        <w:rPr>
          <w:snapToGrid w:val="0"/>
        </w:rPr>
        <w:tab/>
        <w:t>Board</w:t>
      </w:r>
      <w:bookmarkEnd w:id="124"/>
      <w:r>
        <w:rPr>
          <w:snapToGrid w:val="0"/>
        </w:rPr>
        <w:t>’s functions</w:t>
      </w:r>
      <w:bookmarkEnd w:id="125"/>
      <w:bookmarkEnd w:id="126"/>
      <w:bookmarkEnd w:id="127"/>
      <w:bookmarkEnd w:id="128"/>
      <w:bookmarkEnd w:id="129"/>
    </w:p>
    <w:p>
      <w:pPr>
        <w:pStyle w:val="Subsection"/>
        <w:keepNext/>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keepNext/>
        <w:rPr>
          <w:snapToGrid w:val="0"/>
        </w:rPr>
      </w:pPr>
      <w:r>
        <w:rPr>
          <w:snapToGrid w:val="0"/>
        </w:rPr>
        <w:tab/>
        <w:t>(d)</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agents; or</w:t>
      </w:r>
    </w:p>
    <w:p>
      <w:pPr>
        <w:pStyle w:val="Indenti"/>
        <w:rPr>
          <w:snapToGrid w:val="0"/>
        </w:rPr>
      </w:pPr>
      <w:r>
        <w:rPr>
          <w:snapToGrid w:val="0"/>
        </w:rPr>
        <w:tab/>
        <w:t>(iv)</w:t>
      </w:r>
      <w:r>
        <w:rPr>
          <w:snapToGrid w:val="0"/>
        </w:rPr>
        <w:tab/>
        <w:t xml:space="preserve">any other prescribed matter;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perform such other functions as are conferred upon the Board under this Act.</w:t>
      </w:r>
    </w:p>
    <w:p>
      <w:pPr>
        <w:pStyle w:val="Subsection"/>
        <w:rPr>
          <w:snapToGrid w:val="0"/>
        </w:rPr>
      </w:pPr>
      <w:r>
        <w:rPr>
          <w:snapToGrid w:val="0"/>
        </w:rPr>
        <w:tab/>
        <w:t>(2)</w:t>
      </w:r>
      <w:r>
        <w:rPr>
          <w:snapToGrid w:val="0"/>
        </w:rPr>
        <w:tab/>
        <w:t>The Board may do all things that are necessary or convenient to be done for or in connection with the performance of its functions.</w:t>
      </w:r>
    </w:p>
    <w:p>
      <w:pPr>
        <w:pStyle w:val="Footnotesection"/>
      </w:pPr>
      <w:r>
        <w:tab/>
        <w:t xml:space="preserve">[Section 8A inserted by No. 59 of 1995 s. 5.] </w:t>
      </w:r>
    </w:p>
    <w:p>
      <w:pPr>
        <w:pStyle w:val="Heading5"/>
        <w:rPr>
          <w:snapToGrid w:val="0"/>
        </w:rPr>
      </w:pPr>
      <w:bookmarkStart w:id="130" w:name="_Toc480623698"/>
      <w:bookmarkStart w:id="131" w:name="_Toc520177732"/>
      <w:bookmarkStart w:id="132" w:name="_Toc102899320"/>
      <w:bookmarkStart w:id="133" w:name="_Toc124125362"/>
      <w:bookmarkStart w:id="134" w:name="_Toc172965450"/>
      <w:bookmarkStart w:id="135" w:name="_Toc163361750"/>
      <w:r>
        <w:rPr>
          <w:rStyle w:val="CharSectno"/>
        </w:rPr>
        <w:t>9</w:t>
      </w:r>
      <w:r>
        <w:rPr>
          <w:snapToGrid w:val="0"/>
        </w:rPr>
        <w:t>.</w:t>
      </w:r>
      <w:r>
        <w:rPr>
          <w:snapToGrid w:val="0"/>
        </w:rPr>
        <w:tab/>
        <w:t>Board</w:t>
      </w:r>
      <w:bookmarkEnd w:id="130"/>
      <w:r>
        <w:rPr>
          <w:snapToGrid w:val="0"/>
        </w:rPr>
        <w:t xml:space="preserve"> meetings</w:t>
      </w:r>
      <w:bookmarkEnd w:id="131"/>
      <w:bookmarkEnd w:id="132"/>
      <w:bookmarkEnd w:id="133"/>
      <w:bookmarkEnd w:id="134"/>
      <w:bookmarkEnd w:id="135"/>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36" w:name="_Toc480623699"/>
      <w:bookmarkStart w:id="137" w:name="_Toc520177733"/>
      <w:bookmarkStart w:id="138" w:name="_Toc102899321"/>
      <w:bookmarkStart w:id="139" w:name="_Toc124125363"/>
      <w:bookmarkStart w:id="140" w:name="_Toc172965451"/>
      <w:bookmarkStart w:id="141" w:name="_Toc163361751"/>
      <w:r>
        <w:rPr>
          <w:rStyle w:val="CharSectno"/>
        </w:rPr>
        <w:t>10</w:t>
      </w:r>
      <w:r>
        <w:rPr>
          <w:snapToGrid w:val="0"/>
        </w:rPr>
        <w:t>.</w:t>
      </w:r>
      <w:r>
        <w:rPr>
          <w:snapToGrid w:val="0"/>
        </w:rPr>
        <w:tab/>
        <w:t>Board</w:t>
      </w:r>
      <w:bookmarkEnd w:id="136"/>
      <w:r>
        <w:rPr>
          <w:snapToGrid w:val="0"/>
        </w:rPr>
        <w:t>’s acts valid despite vacancy etc.</w:t>
      </w:r>
      <w:bookmarkEnd w:id="137"/>
      <w:bookmarkEnd w:id="138"/>
      <w:bookmarkEnd w:id="139"/>
      <w:bookmarkEnd w:id="140"/>
      <w:bookmarkEnd w:id="141"/>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142" w:name="_Toc480623700"/>
      <w:bookmarkStart w:id="143" w:name="_Toc520177734"/>
      <w:bookmarkStart w:id="144" w:name="_Toc102899322"/>
      <w:bookmarkStart w:id="145" w:name="_Toc124125364"/>
      <w:bookmarkStart w:id="146" w:name="_Toc172965452"/>
      <w:bookmarkStart w:id="147" w:name="_Toc163361752"/>
      <w:r>
        <w:rPr>
          <w:rStyle w:val="CharSectno"/>
        </w:rPr>
        <w:t>11</w:t>
      </w:r>
      <w:r>
        <w:rPr>
          <w:snapToGrid w:val="0"/>
        </w:rPr>
        <w:t>.</w:t>
      </w:r>
      <w:r>
        <w:rPr>
          <w:snapToGrid w:val="0"/>
        </w:rPr>
        <w:tab/>
        <w:t>Members, remuneration and allowances</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 amended by No. 77 of 2006 s. 17.] </w:t>
      </w:r>
    </w:p>
    <w:p>
      <w:pPr>
        <w:pStyle w:val="Heading5"/>
        <w:rPr>
          <w:snapToGrid w:val="0"/>
        </w:rPr>
      </w:pPr>
      <w:bookmarkStart w:id="148" w:name="_Toc480623701"/>
      <w:bookmarkStart w:id="149" w:name="_Toc520177735"/>
      <w:bookmarkStart w:id="150" w:name="_Toc102899323"/>
      <w:bookmarkStart w:id="151" w:name="_Toc124125365"/>
      <w:bookmarkStart w:id="152" w:name="_Toc172965453"/>
      <w:bookmarkStart w:id="153" w:name="_Toc163361753"/>
      <w:r>
        <w:rPr>
          <w:rStyle w:val="CharSectno"/>
        </w:rPr>
        <w:t>12</w:t>
      </w:r>
      <w:r>
        <w:rPr>
          <w:snapToGrid w:val="0"/>
        </w:rPr>
        <w:t>.</w:t>
      </w:r>
      <w:r>
        <w:rPr>
          <w:snapToGrid w:val="0"/>
        </w:rPr>
        <w:tab/>
        <w:t>Registrar and other officers</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keepLines w:val="0"/>
      </w:pPr>
      <w:r>
        <w:tab/>
        <w:t xml:space="preserve">[Section 12 amended by No. 32 of 1994 s. 3(2).] </w:t>
      </w:r>
    </w:p>
    <w:p>
      <w:pPr>
        <w:pStyle w:val="Heading5"/>
        <w:keepLines w:val="0"/>
      </w:pPr>
      <w:bookmarkStart w:id="154" w:name="_Toc480623702"/>
      <w:bookmarkStart w:id="155" w:name="_Toc520177736"/>
      <w:bookmarkStart w:id="156" w:name="_Toc102899324"/>
      <w:bookmarkStart w:id="157" w:name="_Toc124125366"/>
      <w:bookmarkStart w:id="158" w:name="_Toc172965454"/>
      <w:bookmarkStart w:id="159" w:name="_Toc163361754"/>
      <w:r>
        <w:rPr>
          <w:rStyle w:val="CharSectno"/>
        </w:rPr>
        <w:t>12AA</w:t>
      </w:r>
      <w:r>
        <w:t>.</w:t>
      </w:r>
      <w:r>
        <w:tab/>
      </w:r>
      <w:bookmarkEnd w:id="154"/>
      <w:r>
        <w:t>Board may engage consultants etc.</w:t>
      </w:r>
      <w:bookmarkEnd w:id="155"/>
      <w:bookmarkEnd w:id="156"/>
      <w:bookmarkEnd w:id="157"/>
      <w:bookmarkEnd w:id="158"/>
      <w:bookmarkEnd w:id="159"/>
    </w:p>
    <w:p>
      <w:pPr>
        <w:pStyle w:val="Subsection"/>
        <w:keepNext/>
      </w:pPr>
      <w:r>
        <w:tab/>
      </w:r>
      <w:r>
        <w:tab/>
        <w:t xml:space="preserve">The Board may engage, under a contract for services or other arrangement — </w:t>
      </w:r>
    </w:p>
    <w:p>
      <w:pPr>
        <w:pStyle w:val="Indenta"/>
        <w:keepNext/>
      </w:pPr>
      <w:r>
        <w:tab/>
        <w:t>(a)</w:t>
      </w:r>
      <w:r>
        <w:tab/>
        <w:t xml:space="preserve">any consultant and professional, technical or other assistance that it considers necessary to enable it to perform its functions; and </w:t>
      </w:r>
    </w:p>
    <w:p>
      <w:pPr>
        <w:pStyle w:val="Indenta"/>
      </w:pPr>
      <w:r>
        <w:tab/>
        <w:t>(b)</w:t>
      </w:r>
      <w:r>
        <w:tab/>
        <w:t>any person to act as a conciliator for the purposes of section 23C.</w:t>
      </w:r>
    </w:p>
    <w:p>
      <w:pPr>
        <w:pStyle w:val="Footnotesection"/>
      </w:pPr>
      <w:r>
        <w:tab/>
        <w:t>[Section 12AA inserted by No. 34 of 1998 s. 4.]</w:t>
      </w:r>
    </w:p>
    <w:p>
      <w:pPr>
        <w:pStyle w:val="Heading5"/>
        <w:rPr>
          <w:snapToGrid w:val="0"/>
        </w:rPr>
      </w:pPr>
      <w:bookmarkStart w:id="160" w:name="_Toc480623703"/>
      <w:bookmarkStart w:id="161" w:name="_Toc520177737"/>
      <w:bookmarkStart w:id="162" w:name="_Toc102899325"/>
      <w:bookmarkStart w:id="163" w:name="_Toc124125367"/>
      <w:bookmarkStart w:id="164" w:name="_Toc172965455"/>
      <w:bookmarkStart w:id="165" w:name="_Toc163361755"/>
      <w:r>
        <w:rPr>
          <w:rStyle w:val="CharSectno"/>
        </w:rPr>
        <w:t>12A</w:t>
      </w:r>
      <w:r>
        <w:rPr>
          <w:snapToGrid w:val="0"/>
        </w:rPr>
        <w:t>.</w:t>
      </w:r>
      <w:r>
        <w:rPr>
          <w:snapToGrid w:val="0"/>
        </w:rPr>
        <w:tab/>
        <w:t xml:space="preserve">Minister may </w:t>
      </w:r>
      <w:bookmarkEnd w:id="160"/>
      <w:r>
        <w:rPr>
          <w:snapToGrid w:val="0"/>
        </w:rPr>
        <w:t>direct Board</w:t>
      </w:r>
      <w:bookmarkEnd w:id="161"/>
      <w:bookmarkEnd w:id="162"/>
      <w:bookmarkEnd w:id="163"/>
      <w:bookmarkEnd w:id="164"/>
      <w:bookmarkEnd w:id="165"/>
    </w:p>
    <w:p>
      <w:pPr>
        <w:pStyle w:val="Subsection"/>
        <w:rPr>
          <w:snapToGrid w:val="0"/>
        </w:rPr>
      </w:pPr>
      <w:r>
        <w:rPr>
          <w:snapToGrid w:val="0"/>
        </w:rPr>
        <w:tab/>
        <w:t>(1)</w:t>
      </w:r>
      <w:r>
        <w:rPr>
          <w:snapToGrid w:val="0"/>
        </w:rPr>
        <w:tab/>
        <w:t>The Minister may give directions in writing to the Board with respect to the exercise of its powers and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r>
        <w:rPr>
          <w:snapToGrid w:val="0"/>
        </w:rPr>
        <w:t xml:space="preserve"> </w:t>
      </w:r>
    </w:p>
    <w:p>
      <w:pPr>
        <w:pStyle w:val="Footnotesection"/>
      </w:pPr>
      <w:r>
        <w:tab/>
        <w:t xml:space="preserve">[Section 12A inserted by No. 43 of 1994 s. 4; amended by No. 77 of 2006 s. 17.] </w:t>
      </w:r>
    </w:p>
    <w:p>
      <w:pPr>
        <w:pStyle w:val="Heading5"/>
        <w:rPr>
          <w:snapToGrid w:val="0"/>
        </w:rPr>
      </w:pPr>
      <w:bookmarkStart w:id="166" w:name="_Toc480623704"/>
      <w:bookmarkStart w:id="167" w:name="_Toc520177738"/>
      <w:bookmarkStart w:id="168" w:name="_Toc102899326"/>
      <w:bookmarkStart w:id="169" w:name="_Toc124125368"/>
      <w:bookmarkStart w:id="170" w:name="_Toc172965456"/>
      <w:bookmarkStart w:id="171" w:name="_Toc163361756"/>
      <w:r>
        <w:rPr>
          <w:rStyle w:val="CharSectno"/>
        </w:rPr>
        <w:t>12B</w:t>
      </w:r>
      <w:r>
        <w:rPr>
          <w:snapToGrid w:val="0"/>
        </w:rPr>
        <w:t>.</w:t>
      </w:r>
      <w:r>
        <w:rPr>
          <w:snapToGrid w:val="0"/>
        </w:rPr>
        <w:tab/>
        <w:t>Minister entitled to information</w:t>
      </w:r>
      <w:bookmarkEnd w:id="166"/>
      <w:r>
        <w:rPr>
          <w:snapToGrid w:val="0"/>
        </w:rPr>
        <w:t xml:space="preserve"> held by Board</w:t>
      </w:r>
      <w:bookmarkEnd w:id="167"/>
      <w:bookmarkEnd w:id="168"/>
      <w:bookmarkEnd w:id="169"/>
      <w:bookmarkEnd w:id="170"/>
      <w:bookmarkEnd w:id="171"/>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 xml:space="preserve">where the information is in or on a document, to have, and make and retain copies of, that document. </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Footnotesection"/>
      </w:pPr>
      <w:r>
        <w:tab/>
        <w:t xml:space="preserve">[Section 12B inserted by No. 43 of 1994 s. 4.] </w:t>
      </w:r>
    </w:p>
    <w:p>
      <w:pPr>
        <w:pStyle w:val="Heading3"/>
        <w:rPr>
          <w:snapToGrid w:val="0"/>
        </w:rPr>
      </w:pPr>
      <w:bookmarkStart w:id="172" w:name="_Toc72643372"/>
      <w:bookmarkStart w:id="173" w:name="_Toc89596337"/>
      <w:bookmarkStart w:id="174" w:name="_Toc91303060"/>
      <w:bookmarkStart w:id="175" w:name="_Toc92701172"/>
      <w:bookmarkStart w:id="176" w:name="_Toc96996897"/>
      <w:bookmarkStart w:id="177" w:name="_Toc98833408"/>
      <w:bookmarkStart w:id="178" w:name="_Toc99166016"/>
      <w:bookmarkStart w:id="179" w:name="_Toc100021675"/>
      <w:bookmarkStart w:id="180" w:name="_Toc100562029"/>
      <w:bookmarkStart w:id="181" w:name="_Toc100562404"/>
      <w:bookmarkStart w:id="182" w:name="_Toc102373422"/>
      <w:bookmarkStart w:id="183" w:name="_Toc102536083"/>
      <w:bookmarkStart w:id="184" w:name="_Toc102899327"/>
      <w:bookmarkStart w:id="185" w:name="_Toc107197805"/>
      <w:bookmarkStart w:id="186" w:name="_Toc116713235"/>
      <w:bookmarkStart w:id="187" w:name="_Toc116812944"/>
      <w:bookmarkStart w:id="188" w:name="_Toc121566483"/>
      <w:bookmarkStart w:id="189" w:name="_Toc124125369"/>
      <w:bookmarkStart w:id="190" w:name="_Toc124140819"/>
      <w:bookmarkStart w:id="191" w:name="_Toc139362601"/>
      <w:bookmarkStart w:id="192" w:name="_Toc139685798"/>
      <w:bookmarkStart w:id="193" w:name="_Toc154197159"/>
      <w:bookmarkStart w:id="194" w:name="_Toc158003549"/>
      <w:bookmarkStart w:id="195" w:name="_Toc163273774"/>
      <w:bookmarkStart w:id="196" w:name="_Toc163361757"/>
      <w:bookmarkStart w:id="197" w:name="_Toc172965256"/>
      <w:bookmarkStart w:id="198" w:name="_Toc172965457"/>
      <w:r>
        <w:rPr>
          <w:rStyle w:val="CharDivNo"/>
        </w:rPr>
        <w:t>Division 1A</w:t>
      </w:r>
      <w:r>
        <w:rPr>
          <w:snapToGrid w:val="0"/>
        </w:rPr>
        <w:t> — </w:t>
      </w:r>
      <w:r>
        <w:rPr>
          <w:rStyle w:val="CharDivText"/>
        </w:rPr>
        <w:t>Corporate plan</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DivText"/>
        </w:rPr>
        <w:t xml:space="preserve"> </w:t>
      </w:r>
    </w:p>
    <w:p>
      <w:pPr>
        <w:pStyle w:val="Footnoteheading"/>
        <w:tabs>
          <w:tab w:val="clear" w:pos="879"/>
          <w:tab w:val="left" w:pos="890"/>
        </w:tabs>
        <w:rPr>
          <w:snapToGrid w:val="0"/>
        </w:rPr>
      </w:pPr>
      <w:r>
        <w:rPr>
          <w:snapToGrid w:val="0"/>
        </w:rPr>
        <w:tab/>
        <w:t xml:space="preserve">[Heading inserted by No. 59 of 1995 s. 8.] </w:t>
      </w:r>
    </w:p>
    <w:p>
      <w:pPr>
        <w:pStyle w:val="Heading5"/>
        <w:rPr>
          <w:snapToGrid w:val="0"/>
        </w:rPr>
      </w:pPr>
      <w:bookmarkStart w:id="199" w:name="_Toc480623705"/>
      <w:bookmarkStart w:id="200" w:name="_Toc520177739"/>
      <w:bookmarkStart w:id="201" w:name="_Toc102899328"/>
      <w:bookmarkStart w:id="202" w:name="_Toc124125370"/>
      <w:bookmarkStart w:id="203" w:name="_Toc172965458"/>
      <w:bookmarkStart w:id="204" w:name="_Toc163361758"/>
      <w:r>
        <w:rPr>
          <w:rStyle w:val="CharSectno"/>
        </w:rPr>
        <w:t>12C</w:t>
      </w:r>
      <w:r>
        <w:rPr>
          <w:snapToGrid w:val="0"/>
        </w:rPr>
        <w:t>.</w:t>
      </w:r>
      <w:r>
        <w:rPr>
          <w:snapToGrid w:val="0"/>
        </w:rPr>
        <w:tab/>
        <w:t>Corporate plan</w:t>
      </w:r>
      <w:bookmarkEnd w:id="199"/>
      <w:r>
        <w:rPr>
          <w:snapToGrid w:val="0"/>
        </w:rPr>
        <w:t xml:space="preserve"> to be prepared for each financial year</w:t>
      </w:r>
      <w:bookmarkEnd w:id="200"/>
      <w:bookmarkEnd w:id="201"/>
      <w:bookmarkEnd w:id="202"/>
      <w:bookmarkEnd w:id="203"/>
      <w:bookmarkEnd w:id="204"/>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keepNext/>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12C inserted by No. 59 of 1995 s. 8.] </w:t>
      </w:r>
    </w:p>
    <w:p>
      <w:pPr>
        <w:pStyle w:val="Heading5"/>
        <w:rPr>
          <w:snapToGrid w:val="0"/>
        </w:rPr>
      </w:pPr>
      <w:bookmarkStart w:id="205" w:name="_Toc480623706"/>
      <w:bookmarkStart w:id="206" w:name="_Toc520177740"/>
      <w:bookmarkStart w:id="207" w:name="_Toc102899329"/>
      <w:bookmarkStart w:id="208" w:name="_Toc124125371"/>
      <w:bookmarkStart w:id="209" w:name="_Toc172965459"/>
      <w:bookmarkStart w:id="210" w:name="_Toc163361759"/>
      <w:r>
        <w:rPr>
          <w:rStyle w:val="CharSectno"/>
        </w:rPr>
        <w:t>12D</w:t>
      </w:r>
      <w:r>
        <w:rPr>
          <w:snapToGrid w:val="0"/>
        </w:rPr>
        <w:t>.</w:t>
      </w:r>
      <w:r>
        <w:rPr>
          <w:snapToGrid w:val="0"/>
        </w:rPr>
        <w:tab/>
        <w:t>Board to comply with corporate plan</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12D inserted by No. 59 of 1995 s. 8.] </w:t>
      </w:r>
    </w:p>
    <w:p>
      <w:pPr>
        <w:pStyle w:val="Heading3"/>
        <w:rPr>
          <w:snapToGrid w:val="0"/>
        </w:rPr>
      </w:pPr>
      <w:bookmarkStart w:id="211" w:name="_Toc72643375"/>
      <w:bookmarkStart w:id="212" w:name="_Toc89596340"/>
      <w:bookmarkStart w:id="213" w:name="_Toc91303063"/>
      <w:bookmarkStart w:id="214" w:name="_Toc92701175"/>
      <w:bookmarkStart w:id="215" w:name="_Toc96996900"/>
      <w:bookmarkStart w:id="216" w:name="_Toc98833411"/>
      <w:bookmarkStart w:id="217" w:name="_Toc99166019"/>
      <w:bookmarkStart w:id="218" w:name="_Toc100021678"/>
      <w:bookmarkStart w:id="219" w:name="_Toc100562032"/>
      <w:bookmarkStart w:id="220" w:name="_Toc100562407"/>
      <w:bookmarkStart w:id="221" w:name="_Toc102373425"/>
      <w:bookmarkStart w:id="222" w:name="_Toc102536086"/>
      <w:bookmarkStart w:id="223" w:name="_Toc102899330"/>
      <w:bookmarkStart w:id="224" w:name="_Toc107197808"/>
      <w:bookmarkStart w:id="225" w:name="_Toc116713238"/>
      <w:bookmarkStart w:id="226" w:name="_Toc116812947"/>
      <w:bookmarkStart w:id="227" w:name="_Toc121566486"/>
      <w:bookmarkStart w:id="228" w:name="_Toc124125372"/>
      <w:bookmarkStart w:id="229" w:name="_Toc124140822"/>
      <w:bookmarkStart w:id="230" w:name="_Toc139362604"/>
      <w:bookmarkStart w:id="231" w:name="_Toc139685801"/>
      <w:bookmarkStart w:id="232" w:name="_Toc154197162"/>
      <w:bookmarkStart w:id="233" w:name="_Toc158003552"/>
      <w:bookmarkStart w:id="234" w:name="_Toc163273777"/>
      <w:bookmarkStart w:id="235" w:name="_Toc163361760"/>
      <w:bookmarkStart w:id="236" w:name="_Toc172965259"/>
      <w:bookmarkStart w:id="237" w:name="_Toc172965460"/>
      <w:r>
        <w:rPr>
          <w:rStyle w:val="CharDivNo"/>
        </w:rPr>
        <w:t>Division 2</w:t>
      </w:r>
      <w:r>
        <w:rPr>
          <w:snapToGrid w:val="0"/>
        </w:rPr>
        <w:t> — </w:t>
      </w:r>
      <w:r>
        <w:rPr>
          <w:rStyle w:val="CharDivText"/>
        </w:rPr>
        <w:t>Powers of investigation and inquiry</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Pr>
          <w:rStyle w:val="CharDivText"/>
        </w:rPr>
        <w:t xml:space="preserve"> </w:t>
      </w:r>
    </w:p>
    <w:p>
      <w:pPr>
        <w:pStyle w:val="Heading5"/>
        <w:rPr>
          <w:snapToGrid w:val="0"/>
        </w:rPr>
      </w:pPr>
      <w:bookmarkStart w:id="238" w:name="_Toc480623707"/>
      <w:bookmarkStart w:id="239" w:name="_Toc520177741"/>
      <w:bookmarkStart w:id="240" w:name="_Toc102899331"/>
      <w:bookmarkStart w:id="241" w:name="_Toc124125373"/>
      <w:bookmarkStart w:id="242" w:name="_Toc172965461"/>
      <w:bookmarkStart w:id="243" w:name="_Toc163361761"/>
      <w:r>
        <w:rPr>
          <w:rStyle w:val="CharSectno"/>
        </w:rPr>
        <w:t>13</w:t>
      </w:r>
      <w:r>
        <w:rPr>
          <w:snapToGrid w:val="0"/>
        </w:rPr>
        <w:t>.</w:t>
      </w:r>
      <w:r>
        <w:rPr>
          <w:snapToGrid w:val="0"/>
        </w:rPr>
        <w:tab/>
        <w:t>Investigation and inquiry by Registrar and inspectors</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an agent is or has been acting in conformity with the special conditions, if any, of the agent’s licence and triennial certificate and with the agents code of conduct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to render an agent unfit to hold a licence;</w:t>
      </w:r>
    </w:p>
    <w:p>
      <w:pPr>
        <w:pStyle w:val="Indenta"/>
        <w:rPr>
          <w:snapToGrid w:val="0"/>
        </w:rPr>
      </w:pPr>
      <w:r>
        <w:rPr>
          <w:snapToGrid w:val="0"/>
        </w:rPr>
        <w:tab/>
        <w:t>(d)</w:t>
      </w:r>
      <w:r>
        <w:rPr>
          <w:snapToGrid w:val="0"/>
        </w:rPr>
        <w:tab/>
        <w:t xml:space="preserve">determining whether or not a sales representative is or has been acting in conformity with the special conditions, if any, of the representative’s registration and with the code of conduct for sales representatives and is or has been complying with the requirements of this Act; </w:t>
      </w:r>
    </w:p>
    <w:p>
      <w:pPr>
        <w:pStyle w:val="Indenta"/>
        <w:rPr>
          <w:snapToGrid w:val="0"/>
        </w:rPr>
      </w:pPr>
      <w:r>
        <w:rPr>
          <w:snapToGrid w:val="0"/>
        </w:rPr>
        <w:tab/>
        <w:t>(e)</w:t>
      </w:r>
      <w:r>
        <w:rPr>
          <w:snapToGrid w:val="0"/>
        </w:rPr>
        <w:tab/>
        <w:t>determining whether any other cause exists that might be considered by the Board to render a sales representative unfit to hold a certificate of registration;</w:t>
      </w:r>
    </w:p>
    <w:p>
      <w:pPr>
        <w:pStyle w:val="Indenta"/>
        <w:rPr>
          <w:snapToGrid w:val="0"/>
        </w:rPr>
      </w:pPr>
      <w:r>
        <w:rPr>
          <w:snapToGrid w:val="0"/>
        </w:rPr>
        <w:tab/>
        <w:t>(f)</w:t>
      </w:r>
      <w:r>
        <w:rPr>
          <w:snapToGrid w:val="0"/>
        </w:rPr>
        <w:tab/>
        <w:t>determining whether or not a developer is complying with the requirements of this Act; and</w:t>
      </w:r>
    </w:p>
    <w:p>
      <w:pPr>
        <w:pStyle w:val="Indenta"/>
        <w:rPr>
          <w:snapToGrid w:val="0"/>
        </w:rPr>
      </w:pPr>
      <w:r>
        <w:rPr>
          <w:snapToGrid w:val="0"/>
        </w:rPr>
        <w:tab/>
        <w:t>(g)</w:t>
      </w:r>
      <w:r>
        <w:rPr>
          <w:snapToGrid w:val="0"/>
        </w:rPr>
        <w:tab/>
        <w:t>detecting offences against this Act.</w:t>
      </w:r>
    </w:p>
    <w:p>
      <w:pPr>
        <w:pStyle w:val="Footnotesection"/>
      </w:pPr>
      <w:r>
        <w:tab/>
        <w:t>[Section 13 amended by No. 34 of 1998 s. 5.]</w:t>
      </w:r>
    </w:p>
    <w:p>
      <w:pPr>
        <w:pStyle w:val="Heading5"/>
        <w:rPr>
          <w:snapToGrid w:val="0"/>
        </w:rPr>
      </w:pPr>
      <w:bookmarkStart w:id="244" w:name="_Toc480623708"/>
      <w:bookmarkStart w:id="245" w:name="_Toc520177742"/>
      <w:bookmarkStart w:id="246" w:name="_Toc102899332"/>
      <w:bookmarkStart w:id="247" w:name="_Toc124125374"/>
      <w:bookmarkStart w:id="248" w:name="_Toc172965462"/>
      <w:bookmarkStart w:id="249" w:name="_Toc163361762"/>
      <w:r>
        <w:rPr>
          <w:rStyle w:val="CharSectno"/>
        </w:rPr>
        <w:t>14</w:t>
      </w:r>
      <w:r>
        <w:rPr>
          <w:snapToGrid w:val="0"/>
        </w:rPr>
        <w:t>.</w:t>
      </w:r>
      <w:r>
        <w:rPr>
          <w:snapToGrid w:val="0"/>
        </w:rPr>
        <w:tab/>
      </w:r>
      <w:bookmarkEnd w:id="244"/>
      <w:r>
        <w:rPr>
          <w:snapToGrid w:val="0"/>
        </w:rPr>
        <w:t>Investigation by the police</w:t>
      </w:r>
      <w:bookmarkEnd w:id="245"/>
      <w:bookmarkEnd w:id="246"/>
      <w:bookmarkEnd w:id="247"/>
      <w:bookmarkEnd w:id="248"/>
      <w:bookmarkEnd w:id="249"/>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250" w:name="_Toc480623709"/>
      <w:bookmarkStart w:id="251" w:name="_Toc520177743"/>
      <w:bookmarkStart w:id="252" w:name="_Toc102899333"/>
      <w:bookmarkStart w:id="253" w:name="_Toc124125375"/>
      <w:bookmarkStart w:id="254" w:name="_Toc172965463"/>
      <w:bookmarkStart w:id="255" w:name="_Toc163361763"/>
      <w:r>
        <w:rPr>
          <w:rStyle w:val="CharSectno"/>
        </w:rPr>
        <w:t>15</w:t>
      </w:r>
      <w:r>
        <w:rPr>
          <w:snapToGrid w:val="0"/>
        </w:rPr>
        <w:t>.</w:t>
      </w:r>
      <w:r>
        <w:rPr>
          <w:snapToGrid w:val="0"/>
        </w:rPr>
        <w:tab/>
        <w:t>Investigative powers of Registrar and inspectors</w:t>
      </w:r>
      <w:bookmarkEnd w:id="250"/>
      <w:bookmarkEnd w:id="251"/>
      <w:bookmarkEnd w:id="252"/>
      <w:bookmarkEnd w:id="253"/>
      <w:bookmarkEnd w:id="254"/>
      <w:bookmarkEnd w:id="255"/>
    </w:p>
    <w:p>
      <w:pPr>
        <w:pStyle w:val="Subsection"/>
        <w:keepNext/>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keepNext/>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keepNext/>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keepNext/>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keepNext/>
        <w:spacing w:before="120"/>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spacing w:before="120"/>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spacing w:before="120"/>
        <w:rPr>
          <w:snapToGrid w:val="0"/>
        </w:rPr>
      </w:pPr>
      <w:r>
        <w:rPr>
          <w:snapToGrid w:val="0"/>
        </w:rPr>
        <w:tab/>
        <w:t>(5)</w:t>
      </w:r>
      <w:r>
        <w:rPr>
          <w:snapToGrid w:val="0"/>
        </w:rP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keepNext/>
        <w:spacing w:before="120"/>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keepNext/>
        <w:rPr>
          <w:snapToGrid w:val="0"/>
        </w:rPr>
      </w:pPr>
      <w:r>
        <w:rPr>
          <w:snapToGrid w:val="0"/>
        </w:rPr>
        <w:tab/>
        <w:t>(b)</w:t>
      </w:r>
      <w:r>
        <w:rPr>
          <w:snapToGrid w:val="0"/>
        </w:rPr>
        <w:tab/>
        <w:t>shall display to the person, if any, affording him entry —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256" w:name="_Toc480623710"/>
      <w:bookmarkStart w:id="257" w:name="_Toc520177744"/>
      <w:bookmarkStart w:id="258" w:name="_Toc102899334"/>
      <w:bookmarkStart w:id="259" w:name="_Toc124125376"/>
      <w:bookmarkStart w:id="260" w:name="_Toc172965464"/>
      <w:bookmarkStart w:id="261" w:name="_Toc163361764"/>
      <w:r>
        <w:rPr>
          <w:rStyle w:val="CharSectno"/>
        </w:rPr>
        <w:t>16</w:t>
      </w:r>
      <w:r>
        <w:rPr>
          <w:snapToGrid w:val="0"/>
        </w:rPr>
        <w:t>.</w:t>
      </w:r>
      <w:r>
        <w:rPr>
          <w:snapToGrid w:val="0"/>
        </w:rPr>
        <w:tab/>
        <w:t>Incriminating information, questions, or documents</w:t>
      </w:r>
      <w:bookmarkEnd w:id="256"/>
      <w:bookmarkEnd w:id="257"/>
      <w:bookmarkEnd w:id="258"/>
      <w:bookmarkEnd w:id="259"/>
      <w:bookmarkEnd w:id="260"/>
      <w:bookmarkEnd w:id="261"/>
      <w:r>
        <w:rPr>
          <w:snapToGrid w:val="0"/>
        </w:rPr>
        <w:t xml:space="preserve"> </w:t>
      </w:r>
    </w:p>
    <w:p>
      <w:pPr>
        <w:pStyle w:val="Subsection"/>
        <w:spacing w:before="12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17(1)(b).</w:t>
      </w:r>
    </w:p>
    <w:p>
      <w:pPr>
        <w:pStyle w:val="Heading5"/>
        <w:keepNext w:val="0"/>
        <w:keepLines w:val="0"/>
        <w:rPr>
          <w:snapToGrid w:val="0"/>
        </w:rPr>
      </w:pPr>
      <w:bookmarkStart w:id="262" w:name="_Toc480623711"/>
      <w:bookmarkStart w:id="263" w:name="_Toc520177745"/>
      <w:bookmarkStart w:id="264" w:name="_Toc102899335"/>
      <w:bookmarkStart w:id="265" w:name="_Toc124125377"/>
      <w:bookmarkStart w:id="266" w:name="_Toc172965465"/>
      <w:bookmarkStart w:id="267" w:name="_Toc163361765"/>
      <w:r>
        <w:rPr>
          <w:rStyle w:val="CharSectno"/>
        </w:rPr>
        <w:t>17</w:t>
      </w:r>
      <w:r>
        <w:rPr>
          <w:snapToGrid w:val="0"/>
        </w:rPr>
        <w:t>.</w:t>
      </w:r>
      <w:r>
        <w:rPr>
          <w:snapToGrid w:val="0"/>
        </w:rPr>
        <w:tab/>
        <w:t xml:space="preserve">Failure to comply with </w:t>
      </w:r>
      <w:bookmarkEnd w:id="262"/>
      <w:r>
        <w:rPr>
          <w:snapToGrid w:val="0"/>
        </w:rPr>
        <w:t>investigation</w:t>
      </w:r>
      <w:bookmarkEnd w:id="263"/>
      <w:bookmarkEnd w:id="264"/>
      <w:bookmarkEnd w:id="265"/>
      <w:bookmarkEnd w:id="266"/>
      <w:bookmarkEnd w:id="267"/>
    </w:p>
    <w:p>
      <w:pPr>
        <w:pStyle w:val="Subsection"/>
        <w:spacing w:before="120"/>
        <w:rPr>
          <w:snapToGrid w:val="0"/>
        </w:rPr>
      </w:pPr>
      <w:r>
        <w:rPr>
          <w:snapToGrid w:val="0"/>
        </w:rPr>
        <w:tab/>
        <w:t>(1)</w:t>
      </w:r>
      <w:r>
        <w:rPr>
          <w:snapToGrid w:val="0"/>
        </w:rPr>
        <w:tab/>
        <w:t>Where under section 15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keepNext/>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43 of 1994 s. 11; No. 84 of 2004 s. 82.] </w:t>
      </w:r>
    </w:p>
    <w:p>
      <w:pPr>
        <w:pStyle w:val="Heading5"/>
        <w:rPr>
          <w:snapToGrid w:val="0"/>
        </w:rPr>
      </w:pPr>
      <w:bookmarkStart w:id="268" w:name="_Toc480623712"/>
      <w:bookmarkStart w:id="269" w:name="_Toc520177746"/>
      <w:bookmarkStart w:id="270" w:name="_Toc102899336"/>
      <w:bookmarkStart w:id="271" w:name="_Toc124125378"/>
      <w:bookmarkStart w:id="272" w:name="_Toc172965466"/>
      <w:bookmarkStart w:id="273" w:name="_Toc163361766"/>
      <w:r>
        <w:rPr>
          <w:rStyle w:val="CharSectno"/>
        </w:rPr>
        <w:t>18</w:t>
      </w:r>
      <w:r>
        <w:rPr>
          <w:snapToGrid w:val="0"/>
        </w:rPr>
        <w:t>.</w:t>
      </w:r>
      <w:r>
        <w:rPr>
          <w:snapToGrid w:val="0"/>
        </w:rPr>
        <w:tab/>
        <w:t>Obstruction of Registrar or inspector</w:t>
      </w:r>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rPr>
          <w:snapToGrid w:val="0"/>
        </w:rPr>
      </w:pPr>
      <w:bookmarkStart w:id="274" w:name="_Toc72643382"/>
      <w:bookmarkStart w:id="275" w:name="_Toc89596347"/>
      <w:bookmarkStart w:id="276" w:name="_Toc91303070"/>
      <w:bookmarkStart w:id="277" w:name="_Toc92701182"/>
      <w:bookmarkStart w:id="278" w:name="_Toc96996907"/>
      <w:bookmarkStart w:id="279" w:name="_Toc98833418"/>
      <w:bookmarkStart w:id="280" w:name="_Toc99166026"/>
      <w:bookmarkStart w:id="281" w:name="_Toc100021685"/>
      <w:bookmarkStart w:id="282" w:name="_Toc100562039"/>
      <w:bookmarkStart w:id="283" w:name="_Toc100562414"/>
      <w:bookmarkStart w:id="284" w:name="_Toc102373432"/>
      <w:bookmarkStart w:id="285" w:name="_Toc102536093"/>
      <w:bookmarkStart w:id="286" w:name="_Toc102899337"/>
      <w:bookmarkStart w:id="287" w:name="_Toc107197815"/>
      <w:bookmarkStart w:id="288" w:name="_Toc116713245"/>
      <w:bookmarkStart w:id="289" w:name="_Toc116812954"/>
      <w:bookmarkStart w:id="290" w:name="_Toc121566493"/>
      <w:bookmarkStart w:id="291" w:name="_Toc124125379"/>
      <w:bookmarkStart w:id="292" w:name="_Toc124140829"/>
      <w:bookmarkStart w:id="293" w:name="_Toc139362611"/>
      <w:bookmarkStart w:id="294" w:name="_Toc139685808"/>
      <w:bookmarkStart w:id="295" w:name="_Toc154197169"/>
      <w:bookmarkStart w:id="296" w:name="_Toc158003559"/>
      <w:bookmarkStart w:id="297" w:name="_Toc163273784"/>
      <w:bookmarkStart w:id="298" w:name="_Toc163361767"/>
      <w:bookmarkStart w:id="299" w:name="_Toc172965266"/>
      <w:bookmarkStart w:id="300" w:name="_Toc172965467"/>
      <w:r>
        <w:rPr>
          <w:rStyle w:val="CharDivNo"/>
        </w:rPr>
        <w:t>Division 3</w:t>
      </w:r>
      <w:r>
        <w:rPr>
          <w:snapToGrid w:val="0"/>
        </w:rPr>
        <w:t> — </w:t>
      </w:r>
      <w:r>
        <w:rPr>
          <w:rStyle w:val="CharDivText"/>
        </w:rPr>
        <w:t>Proceedings of, and review of decision of, the Board</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Footnoteheading"/>
        <w:tabs>
          <w:tab w:val="clear" w:pos="879"/>
          <w:tab w:val="left" w:pos="890"/>
        </w:tabs>
      </w:pPr>
      <w:r>
        <w:tab/>
        <w:t>[Heading amended by No. 55 of 2004 s. 1003.]</w:t>
      </w:r>
    </w:p>
    <w:p>
      <w:pPr>
        <w:pStyle w:val="Heading5"/>
        <w:rPr>
          <w:snapToGrid w:val="0"/>
        </w:rPr>
      </w:pPr>
      <w:bookmarkStart w:id="301" w:name="_Toc480623713"/>
      <w:bookmarkStart w:id="302" w:name="_Toc520177747"/>
      <w:bookmarkStart w:id="303" w:name="_Toc102899338"/>
      <w:bookmarkStart w:id="304" w:name="_Toc124125380"/>
      <w:bookmarkStart w:id="305" w:name="_Toc172965468"/>
      <w:bookmarkStart w:id="306" w:name="_Toc163361768"/>
      <w:r>
        <w:rPr>
          <w:rStyle w:val="CharSectno"/>
        </w:rPr>
        <w:t>19</w:t>
      </w:r>
      <w:r>
        <w:rPr>
          <w:snapToGrid w:val="0"/>
        </w:rPr>
        <w:t>.</w:t>
      </w:r>
      <w:r>
        <w:rPr>
          <w:snapToGrid w:val="0"/>
        </w:rPr>
        <w:tab/>
        <w:t>Proceedings, notice of, right to appear at, representation at, etc.</w:t>
      </w:r>
      <w:bookmarkEnd w:id="301"/>
      <w:bookmarkEnd w:id="302"/>
      <w:bookmarkEnd w:id="303"/>
      <w:bookmarkEnd w:id="304"/>
      <w:bookmarkEnd w:id="305"/>
      <w:bookmarkEnd w:id="306"/>
    </w:p>
    <w:p>
      <w:pPr>
        <w:pStyle w:val="Subsection"/>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the grant or renewal of a triennial certificate, there is no objection and the Board proposes to grant the licence or grant or renew the certificate without any special conditions being imposed or changed; or</w:t>
      </w:r>
    </w:p>
    <w:p>
      <w:pPr>
        <w:pStyle w:val="Indenta"/>
        <w:rPr>
          <w:snapToGrid w:val="0"/>
        </w:rPr>
      </w:pPr>
      <w:r>
        <w:rPr>
          <w:snapToGrid w:val="0"/>
        </w:rPr>
        <w:tab/>
        <w:t>(b)</w:t>
      </w:r>
      <w:r>
        <w:rPr>
          <w:snapToGrid w:val="0"/>
        </w:rPr>
        <w:tab/>
        <w:t>in the case of an application for the grant or renewal of a certificate of registration, the Board proposes to grant or renew the certificate without any special conditions being imposed or changed.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 xml:space="preserve">Where the Board is satisfied that for the purpose of protecting the business or interest of any person it is desirable that the proceedings or any part thereof be conducted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[(9)</w:t>
      </w:r>
      <w:r>
        <w:noBreakHyphen/>
        <w:t>(9b)</w:t>
      </w:r>
      <w:r>
        <w:tab/>
        <w:t>repealed]</w:t>
      </w:r>
    </w:p>
    <w:p>
      <w:pPr>
        <w:pStyle w:val="Subsection"/>
        <w:rPr>
          <w:snapToGrid w:val="0"/>
        </w:rPr>
      </w:pPr>
      <w:r>
        <w:rPr>
          <w:snapToGrid w:val="0"/>
        </w:rPr>
        <w:tab/>
        <w:t>(10)</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41; No. 34 of 1998 s. 6; No. 55 of 2004 s. 1004(1).] </w:t>
      </w:r>
    </w:p>
    <w:p>
      <w:pPr>
        <w:pStyle w:val="Heading5"/>
        <w:rPr>
          <w:snapToGrid w:val="0"/>
        </w:rPr>
      </w:pPr>
      <w:bookmarkStart w:id="307" w:name="_Toc480623714"/>
      <w:bookmarkStart w:id="308" w:name="_Toc520177748"/>
      <w:bookmarkStart w:id="309" w:name="_Toc102899339"/>
      <w:bookmarkStart w:id="310" w:name="_Toc124125381"/>
      <w:bookmarkStart w:id="311" w:name="_Toc172965469"/>
      <w:bookmarkStart w:id="312" w:name="_Toc163361769"/>
      <w:r>
        <w:rPr>
          <w:rStyle w:val="CharSectno"/>
        </w:rPr>
        <w:t>20</w:t>
      </w:r>
      <w:r>
        <w:rPr>
          <w:snapToGrid w:val="0"/>
        </w:rPr>
        <w:t>.</w:t>
      </w:r>
      <w:r>
        <w:rPr>
          <w:snapToGrid w:val="0"/>
        </w:rPr>
        <w:tab/>
        <w:t xml:space="preserve">Board’s powers </w:t>
      </w:r>
      <w:bookmarkEnd w:id="307"/>
      <w:r>
        <w:rPr>
          <w:snapToGrid w:val="0"/>
        </w:rPr>
        <w:t>to obtain evidence</w:t>
      </w:r>
      <w:bookmarkEnd w:id="308"/>
      <w:bookmarkEnd w:id="309"/>
      <w:bookmarkEnd w:id="310"/>
      <w:bookmarkEnd w:id="311"/>
      <w:bookmarkEnd w:id="312"/>
    </w:p>
    <w:p>
      <w:pPr>
        <w:pStyle w:val="Subsection"/>
        <w:keepNext/>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43 of 1994 s. 11; No. 55 of 2004 s. 1004(2).] </w:t>
      </w:r>
    </w:p>
    <w:p>
      <w:pPr>
        <w:pStyle w:val="Heading5"/>
        <w:rPr>
          <w:snapToGrid w:val="0"/>
        </w:rPr>
      </w:pPr>
      <w:bookmarkStart w:id="313" w:name="_Toc480623715"/>
      <w:bookmarkStart w:id="314" w:name="_Toc520177749"/>
      <w:bookmarkStart w:id="315" w:name="_Toc102899340"/>
      <w:bookmarkStart w:id="316" w:name="_Toc124125382"/>
      <w:bookmarkStart w:id="317" w:name="_Toc172965470"/>
      <w:bookmarkStart w:id="318" w:name="_Toc163361770"/>
      <w:r>
        <w:rPr>
          <w:rStyle w:val="CharSectno"/>
        </w:rPr>
        <w:t>21</w:t>
      </w:r>
      <w:r>
        <w:rPr>
          <w:snapToGrid w:val="0"/>
        </w:rPr>
        <w:t>.</w:t>
      </w:r>
      <w:r>
        <w:rPr>
          <w:snapToGrid w:val="0"/>
        </w:rPr>
        <w:tab/>
        <w:t>Orders for costs</w:t>
      </w:r>
      <w:bookmarkEnd w:id="313"/>
      <w:bookmarkEnd w:id="314"/>
      <w:bookmarkEnd w:id="315"/>
      <w:bookmarkEnd w:id="316"/>
      <w:bookmarkEnd w:id="317"/>
      <w:bookmarkEnd w:id="318"/>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tabs>
          <w:tab w:val="clear" w:pos="879"/>
          <w:tab w:val="left" w:pos="1200"/>
        </w:tabs>
        <w:ind w:hanging="650"/>
      </w:pPr>
      <w:r>
        <w:tab/>
        <w:t>[(2), (3)</w:t>
      </w:r>
      <w:r>
        <w:tab/>
        <w:t>repealed]</w:t>
      </w:r>
    </w:p>
    <w:p>
      <w:pPr>
        <w:pStyle w:val="Footnotesection"/>
      </w:pPr>
      <w:r>
        <w:tab/>
        <w:t>[Section 21 amended by No. 34 of 1998 s. 7; No. 55 of 2004 s. 1004(3).]</w:t>
      </w:r>
    </w:p>
    <w:p>
      <w:pPr>
        <w:pStyle w:val="Ednotesection"/>
        <w:ind w:left="0" w:firstLine="0"/>
      </w:pPr>
      <w:bookmarkStart w:id="319" w:name="_Toc480623717"/>
      <w:bookmarkStart w:id="320" w:name="_Toc520177751"/>
      <w:r>
        <w:t>[</w:t>
      </w:r>
      <w:r>
        <w:rPr>
          <w:b/>
        </w:rPr>
        <w:t>22.</w:t>
      </w:r>
      <w:r>
        <w:tab/>
        <w:t>Repealed by No. 55 of 2004 s. 1004(4).]</w:t>
      </w:r>
    </w:p>
    <w:p>
      <w:pPr>
        <w:pStyle w:val="Heading5"/>
        <w:rPr>
          <w:snapToGrid w:val="0"/>
        </w:rPr>
      </w:pPr>
      <w:bookmarkStart w:id="321" w:name="_Toc102899341"/>
      <w:bookmarkStart w:id="322" w:name="_Toc124125383"/>
      <w:bookmarkStart w:id="323" w:name="_Toc172965471"/>
      <w:bookmarkStart w:id="324" w:name="_Toc163361771"/>
      <w:bookmarkStart w:id="325" w:name="_Toc72643388"/>
      <w:bookmarkStart w:id="326" w:name="_Toc89596353"/>
      <w:bookmarkEnd w:id="319"/>
      <w:bookmarkEnd w:id="320"/>
      <w:r>
        <w:rPr>
          <w:rStyle w:val="CharSectno"/>
        </w:rPr>
        <w:t>23</w:t>
      </w:r>
      <w:r>
        <w:rPr>
          <w:snapToGrid w:val="0"/>
        </w:rPr>
        <w:t>.</w:t>
      </w:r>
      <w:r>
        <w:rPr>
          <w:snapToGrid w:val="0"/>
        </w:rPr>
        <w:tab/>
        <w:t>Application for review</w:t>
      </w:r>
      <w:bookmarkEnd w:id="321"/>
      <w:bookmarkEnd w:id="322"/>
      <w:bookmarkEnd w:id="323"/>
      <w:bookmarkEnd w:id="324"/>
    </w:p>
    <w:p>
      <w:pPr>
        <w:pStyle w:val="Subsection"/>
        <w:rPr>
          <w:snapToGrid w:val="0"/>
        </w:rPr>
      </w:pPr>
      <w:r>
        <w:rPr>
          <w:snapToGrid w:val="0"/>
        </w:rPr>
        <w:tab/>
        <w:t>(1)</w:t>
      </w:r>
      <w:r>
        <w:rPr>
          <w:snapToGrid w:val="0"/>
        </w:rPr>
        <w:tab/>
        <w:t xml:space="preserve">Any person aggrieved by a reviewable decision of the Board may apply to the State </w:t>
      </w:r>
      <w:r>
        <w:rPr>
          <w:snapToGrid w:val="0"/>
          <w:spacing w:val="-4"/>
        </w:rPr>
        <w:t>Administrative Tribunal</w:t>
      </w:r>
      <w:r>
        <w:rPr>
          <w:snapToGrid w:val="0"/>
        </w:rPr>
        <w:t xml:space="preserve"> for a review of the decision.</w:t>
      </w:r>
    </w:p>
    <w:p>
      <w:pPr>
        <w:pStyle w:val="Subsection"/>
        <w:keepNext/>
        <w:keepLines/>
        <w:rPr>
          <w:b/>
        </w:rPr>
      </w:pPr>
      <w:r>
        <w:tab/>
        <w:t>(2)</w:t>
      </w:r>
      <w:r>
        <w:tab/>
        <w:t xml:space="preserve">In subsection (1) — </w:t>
      </w:r>
    </w:p>
    <w:p>
      <w:pPr>
        <w:pStyle w:val="Defstart"/>
        <w:keepNext/>
        <w:keepLines/>
      </w:pPr>
      <w:r>
        <w:tab/>
      </w:r>
      <w:r>
        <w:rPr>
          <w:b/>
        </w:rPr>
        <w:t>“</w:t>
      </w:r>
      <w:r>
        <w:rPr>
          <w:rStyle w:val="CharDefText"/>
        </w:rPr>
        <w:t>person aggrieved</w:t>
      </w:r>
      <w:r>
        <w:rPr>
          <w:b/>
        </w:rPr>
        <w:t>”</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Board’s approval under section 56 to carry on business pursuant to a franchising agreement or another party to the agreement;</w:t>
      </w:r>
    </w:p>
    <w:p>
      <w:pPr>
        <w:pStyle w:val="Defpara"/>
      </w:pPr>
      <w:r>
        <w:tab/>
        <w:t>(d)</w:t>
      </w:r>
      <w:r>
        <w:tab/>
        <w:t>a person affected by a decision of the Board under Part VI;</w:t>
      </w:r>
    </w:p>
    <w:p>
      <w:pPr>
        <w:pStyle w:val="Defpara"/>
      </w:pPr>
      <w:r>
        <w:tab/>
        <w:t>(e)</w:t>
      </w:r>
      <w:r>
        <w:tab/>
        <w:t>a person claiming against, or seeking the leave of the Board to commence an action in relation to, the Fidelity Account; or</w:t>
      </w:r>
    </w:p>
    <w:p>
      <w:pPr>
        <w:pStyle w:val="Defpara"/>
      </w:pPr>
      <w:r>
        <w:tab/>
        <w:t>(f)</w:t>
      </w:r>
      <w:r>
        <w:tab/>
        <w:t>a person affected by an order of the Board for costs under section 21;</w:t>
      </w:r>
    </w:p>
    <w:p>
      <w:pPr>
        <w:pStyle w:val="Defstart"/>
      </w:pPr>
      <w:r>
        <w:rPr>
          <w:b/>
        </w:rPr>
        <w:tab/>
        <w:t>“</w:t>
      </w:r>
      <w:r>
        <w:rPr>
          <w:rStyle w:val="CharDefText"/>
        </w:rPr>
        <w:t>reviewable decision</w:t>
      </w:r>
      <w:r>
        <w:rPr>
          <w:b/>
        </w:rPr>
        <w:t>”</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other than a determination of the form in which an application is to be made;</w:t>
      </w:r>
    </w:p>
    <w:p>
      <w:pPr>
        <w:pStyle w:val="Defpara"/>
      </w:pPr>
      <w:r>
        <w:tab/>
        <w:t>(c)</w:t>
      </w:r>
      <w:r>
        <w:tab/>
        <w:t>a decision under section 56;</w:t>
      </w:r>
    </w:p>
    <w:p>
      <w:pPr>
        <w:pStyle w:val="Defpara"/>
      </w:pPr>
      <w:r>
        <w:tab/>
        <w:t>(d)</w:t>
      </w:r>
      <w:r>
        <w:tab/>
        <w:t>a decision under Part VI;</w:t>
      </w:r>
    </w:p>
    <w:p>
      <w:pPr>
        <w:pStyle w:val="Defpara"/>
      </w:pPr>
      <w:r>
        <w:tab/>
        <w:t>(e)</w:t>
      </w:r>
      <w:r>
        <w:tab/>
        <w:t>a decision under section 116 or 117; or</w:t>
      </w:r>
    </w:p>
    <w:p>
      <w:pPr>
        <w:pStyle w:val="Defpara"/>
      </w:pPr>
      <w:r>
        <w:tab/>
        <w:t>(f)</w:t>
      </w:r>
      <w:r>
        <w:tab/>
        <w:t>an order for costs under section 21.</w:t>
      </w:r>
    </w:p>
    <w:p>
      <w:pPr>
        <w:pStyle w:val="Footnotesection"/>
      </w:pPr>
      <w:r>
        <w:tab/>
        <w:t>[Section 23 inserted by No. 55 of 2004 s. 1005; amended by No. 77 of 2006 s. 17.]</w:t>
      </w:r>
    </w:p>
    <w:p>
      <w:pPr>
        <w:pStyle w:val="Heading3"/>
        <w:rPr>
          <w:snapToGrid w:val="0"/>
        </w:rPr>
      </w:pPr>
      <w:bookmarkStart w:id="327" w:name="_Toc91303077"/>
      <w:bookmarkStart w:id="328" w:name="_Toc92701187"/>
      <w:bookmarkStart w:id="329" w:name="_Toc96996912"/>
      <w:bookmarkStart w:id="330" w:name="_Toc98833423"/>
      <w:bookmarkStart w:id="331" w:name="_Toc99166031"/>
      <w:bookmarkStart w:id="332" w:name="_Toc100021690"/>
      <w:bookmarkStart w:id="333" w:name="_Toc100562044"/>
      <w:bookmarkStart w:id="334" w:name="_Toc100562419"/>
      <w:bookmarkStart w:id="335" w:name="_Toc102373437"/>
      <w:bookmarkStart w:id="336" w:name="_Toc102536098"/>
      <w:bookmarkStart w:id="337" w:name="_Toc102899342"/>
      <w:bookmarkStart w:id="338" w:name="_Toc107197820"/>
      <w:bookmarkStart w:id="339" w:name="_Toc116713250"/>
      <w:bookmarkStart w:id="340" w:name="_Toc116812959"/>
      <w:bookmarkStart w:id="341" w:name="_Toc121566498"/>
      <w:bookmarkStart w:id="342" w:name="_Toc124125384"/>
      <w:bookmarkStart w:id="343" w:name="_Toc124140834"/>
      <w:bookmarkStart w:id="344" w:name="_Toc139362616"/>
      <w:bookmarkStart w:id="345" w:name="_Toc139685813"/>
      <w:bookmarkStart w:id="346" w:name="_Toc154197174"/>
      <w:bookmarkStart w:id="347" w:name="_Toc158003564"/>
      <w:bookmarkStart w:id="348" w:name="_Toc163273789"/>
      <w:bookmarkStart w:id="349" w:name="_Toc163361772"/>
      <w:bookmarkStart w:id="350" w:name="_Toc172965271"/>
      <w:bookmarkStart w:id="351" w:name="_Toc172965472"/>
      <w:r>
        <w:rPr>
          <w:rStyle w:val="CharDivNo"/>
        </w:rPr>
        <w:t>Division 4</w:t>
      </w:r>
      <w:r>
        <w:rPr>
          <w:snapToGrid w:val="0"/>
        </w:rPr>
        <w:t> — </w:t>
      </w:r>
      <w:r>
        <w:rPr>
          <w:rStyle w:val="CharDivText"/>
        </w:rPr>
        <w:t>Advisory committees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Footnoteheading"/>
        <w:keepNext/>
        <w:tabs>
          <w:tab w:val="clear" w:pos="879"/>
          <w:tab w:val="left" w:pos="890"/>
        </w:tabs>
      </w:pPr>
      <w:r>
        <w:tab/>
        <w:t>[Heading inserted by No. 34 of 1998 s. 9.]</w:t>
      </w:r>
    </w:p>
    <w:p>
      <w:pPr>
        <w:pStyle w:val="Heading5"/>
      </w:pPr>
      <w:bookmarkStart w:id="352" w:name="_Toc480623718"/>
      <w:bookmarkStart w:id="353" w:name="_Toc520177752"/>
      <w:bookmarkStart w:id="354" w:name="_Toc102899343"/>
      <w:bookmarkStart w:id="355" w:name="_Toc124125385"/>
      <w:bookmarkStart w:id="356" w:name="_Toc172965473"/>
      <w:bookmarkStart w:id="357" w:name="_Toc163361773"/>
      <w:r>
        <w:rPr>
          <w:rStyle w:val="CharSectno"/>
        </w:rPr>
        <w:t>23A</w:t>
      </w:r>
      <w:r>
        <w:t>.</w:t>
      </w:r>
      <w:r>
        <w:tab/>
      </w:r>
      <w:r>
        <w:rPr>
          <w:snapToGrid w:val="0"/>
        </w:rPr>
        <w:t>Advisory</w:t>
      </w:r>
      <w:r>
        <w:t xml:space="preserve"> committees to assist the Board</w:t>
      </w:r>
      <w:bookmarkEnd w:id="352"/>
      <w:bookmarkEnd w:id="353"/>
      <w:bookmarkEnd w:id="354"/>
      <w:bookmarkEnd w:id="355"/>
      <w:bookmarkEnd w:id="356"/>
      <w:bookmarkEnd w:id="357"/>
    </w:p>
    <w:p>
      <w:pPr>
        <w:pStyle w:val="Subsection"/>
      </w:pPr>
      <w:r>
        <w:tab/>
        <w:t>(1)</w:t>
      </w:r>
      <w:r>
        <w:tab/>
        <w:t xml:space="preserve">The Minister may, after a request from the Board, establish an advisory committee or committees (a </w:t>
      </w:r>
      <w:r>
        <w:rPr>
          <w:b/>
        </w:rPr>
        <w:t>“</w:t>
      </w:r>
      <w:r>
        <w:rPr>
          <w:rStyle w:val="CharDefText"/>
        </w:rPr>
        <w:t>committee</w:t>
      </w:r>
      <w:r>
        <w:rPr>
          <w:b/>
        </w:rPr>
        <w:t>”</w:t>
      </w:r>
      <w:r>
        <w:t>) to provide advice to the Board for consideration in the performance of the Board’s functions and the exercise of the Board’s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Subsection"/>
      </w:pPr>
      <w:r>
        <w:tab/>
        <w:t>(3)</w:t>
      </w:r>
      <w:r>
        <w:tab/>
        <w:t>One or more members of the Board may, but need not, be appointed to a committee.</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Board is to provide a committee with such support services as it may reasonably require.</w:t>
      </w:r>
    </w:p>
    <w:p>
      <w:pPr>
        <w:pStyle w:val="Subsection"/>
      </w:pPr>
      <w:r>
        <w:tab/>
        <w:t>(8)</w:t>
      </w:r>
      <w:r>
        <w:tab/>
        <w:t xml:space="preserve">A member of a committee — </w:t>
      </w:r>
    </w:p>
    <w:p>
      <w:pPr>
        <w:pStyle w:val="Indenta"/>
      </w:pPr>
      <w:r>
        <w:tab/>
        <w:t>(a)</w:t>
      </w:r>
      <w:r>
        <w:tab/>
        <w:t xml:space="preserve">is to hold office for such term not exceeding 2 years as is specified in the instrument appointing the member; </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other than a member who is also a member of the Board, is to be paid from moneys standing to the credit of the General Purpose Account such remuneration and allowances as are determined in the case of the member by the Minister on the recommendation of the Minister for Public Sector Management.</w:t>
      </w:r>
    </w:p>
    <w:p>
      <w:pPr>
        <w:pStyle w:val="Subsection"/>
      </w:pPr>
      <w:r>
        <w:tab/>
        <w:t>(10)</w:t>
      </w:r>
      <w:r>
        <w:tab/>
        <w:t>The Minister may terminate the appointment of a member of a committee for inability, inefficiency or misbehaviour.</w:t>
      </w:r>
    </w:p>
    <w:p>
      <w:pPr>
        <w:pStyle w:val="Subsection"/>
      </w:pPr>
      <w:r>
        <w:tab/>
        <w:t>(11)</w:t>
      </w:r>
      <w:r>
        <w:tab/>
        <w:t xml:space="preserve">Section 8(4) applies to a member of a committee as if a reference in section 8(4) — </w:t>
      </w:r>
    </w:p>
    <w:p>
      <w:pPr>
        <w:pStyle w:val="Indenta"/>
      </w:pPr>
      <w:r>
        <w:tab/>
        <w:t>(a)</w:t>
      </w:r>
      <w:r>
        <w:tab/>
        <w:t>to a member of the Board included a member of a committee; and</w:t>
      </w:r>
    </w:p>
    <w:p>
      <w:pPr>
        <w:pStyle w:val="Indenta"/>
      </w:pPr>
      <w:r>
        <w:tab/>
        <w:t>(b)</w:t>
      </w:r>
      <w:r>
        <w:tab/>
        <w:t>to the Board included the committee.</w:t>
      </w:r>
    </w:p>
    <w:p>
      <w:pPr>
        <w:pStyle w:val="Footnotesection"/>
      </w:pPr>
      <w:r>
        <w:tab/>
        <w:t>[Section 23A inserted by No. 34 of 1998 s. 9; amended by No. 77 of 2006 s. 17.]</w:t>
      </w:r>
    </w:p>
    <w:p>
      <w:pPr>
        <w:pStyle w:val="Heading5"/>
      </w:pPr>
      <w:bookmarkStart w:id="358" w:name="_Toc480623719"/>
      <w:bookmarkStart w:id="359" w:name="_Toc520177753"/>
      <w:bookmarkStart w:id="360" w:name="_Toc102899344"/>
      <w:bookmarkStart w:id="361" w:name="_Toc124125386"/>
      <w:bookmarkStart w:id="362" w:name="_Toc172965474"/>
      <w:bookmarkStart w:id="363" w:name="_Toc163361774"/>
      <w:r>
        <w:rPr>
          <w:rStyle w:val="CharSectno"/>
        </w:rPr>
        <w:t>23B</w:t>
      </w:r>
      <w:r>
        <w:t>.</w:t>
      </w:r>
      <w:r>
        <w:tab/>
        <w:t>Minister may delegate s. 23A power</w:t>
      </w:r>
      <w:bookmarkEnd w:id="358"/>
      <w:r>
        <w:t>s</w:t>
      </w:r>
      <w:bookmarkEnd w:id="359"/>
      <w:bookmarkEnd w:id="360"/>
      <w:bookmarkEnd w:id="361"/>
      <w:bookmarkEnd w:id="362"/>
      <w:bookmarkEnd w:id="363"/>
    </w:p>
    <w:p>
      <w:pPr>
        <w:pStyle w:val="Subsection"/>
      </w:pPr>
      <w:r>
        <w:tab/>
        <w:t>(1)</w:t>
      </w:r>
      <w:r>
        <w:tab/>
        <w:t>The Minister may, by instrument in writing, delegate to the Board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w:t>
      </w:r>
    </w:p>
    <w:p>
      <w:pPr>
        <w:pStyle w:val="Heading3"/>
      </w:pPr>
      <w:bookmarkStart w:id="364" w:name="_Toc72643391"/>
      <w:bookmarkStart w:id="365" w:name="_Toc89596356"/>
      <w:bookmarkStart w:id="366" w:name="_Toc91303080"/>
      <w:bookmarkStart w:id="367" w:name="_Toc92701190"/>
      <w:bookmarkStart w:id="368" w:name="_Toc96996915"/>
      <w:bookmarkStart w:id="369" w:name="_Toc98833426"/>
      <w:bookmarkStart w:id="370" w:name="_Toc99166034"/>
      <w:bookmarkStart w:id="371" w:name="_Toc100021693"/>
      <w:bookmarkStart w:id="372" w:name="_Toc100562047"/>
      <w:bookmarkStart w:id="373" w:name="_Toc100562422"/>
      <w:bookmarkStart w:id="374" w:name="_Toc102373440"/>
      <w:bookmarkStart w:id="375" w:name="_Toc102536101"/>
      <w:bookmarkStart w:id="376" w:name="_Toc102899345"/>
      <w:bookmarkStart w:id="377" w:name="_Toc107197823"/>
      <w:bookmarkStart w:id="378" w:name="_Toc116713253"/>
      <w:bookmarkStart w:id="379" w:name="_Toc116812962"/>
      <w:bookmarkStart w:id="380" w:name="_Toc121566501"/>
      <w:bookmarkStart w:id="381" w:name="_Toc124125387"/>
      <w:bookmarkStart w:id="382" w:name="_Toc124140837"/>
      <w:bookmarkStart w:id="383" w:name="_Toc139362619"/>
      <w:bookmarkStart w:id="384" w:name="_Toc139685816"/>
      <w:bookmarkStart w:id="385" w:name="_Toc154197177"/>
      <w:bookmarkStart w:id="386" w:name="_Toc158003567"/>
      <w:bookmarkStart w:id="387" w:name="_Toc163273792"/>
      <w:bookmarkStart w:id="388" w:name="_Toc163361775"/>
      <w:bookmarkStart w:id="389" w:name="_Toc172965274"/>
      <w:bookmarkStart w:id="390" w:name="_Toc172965475"/>
      <w:r>
        <w:rPr>
          <w:rStyle w:val="CharDivNo"/>
        </w:rPr>
        <w:t>Division 5</w:t>
      </w:r>
      <w:r>
        <w:t> — </w:t>
      </w:r>
      <w:r>
        <w:rPr>
          <w:rStyle w:val="CharDivText"/>
        </w:rPr>
        <w:t>Conciliation</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Footnoteheading"/>
        <w:keepNext/>
        <w:tabs>
          <w:tab w:val="clear" w:pos="879"/>
          <w:tab w:val="left" w:pos="890"/>
        </w:tabs>
      </w:pPr>
      <w:r>
        <w:tab/>
        <w:t>[Heading inserted by No. 34 of 1998 s. 9.]</w:t>
      </w:r>
    </w:p>
    <w:p>
      <w:pPr>
        <w:pStyle w:val="Heading5"/>
      </w:pPr>
      <w:bookmarkStart w:id="391" w:name="_Toc480623720"/>
      <w:bookmarkStart w:id="392" w:name="_Toc520177754"/>
      <w:bookmarkStart w:id="393" w:name="_Toc102899346"/>
      <w:bookmarkStart w:id="394" w:name="_Toc124125388"/>
      <w:bookmarkStart w:id="395" w:name="_Toc172965476"/>
      <w:bookmarkStart w:id="396" w:name="_Toc163361776"/>
      <w:r>
        <w:rPr>
          <w:rStyle w:val="CharSectno"/>
        </w:rPr>
        <w:t>23C</w:t>
      </w:r>
      <w:r>
        <w:t>.</w:t>
      </w:r>
      <w:r>
        <w:tab/>
        <w:t>Conciliation of disputes about transactions</w:t>
      </w:r>
      <w:bookmarkEnd w:id="391"/>
      <w:bookmarkEnd w:id="392"/>
      <w:bookmarkEnd w:id="393"/>
      <w:bookmarkEnd w:id="394"/>
      <w:bookmarkEnd w:id="395"/>
      <w:bookmarkEnd w:id="396"/>
    </w:p>
    <w:p>
      <w:pPr>
        <w:pStyle w:val="Subsection"/>
      </w:pPr>
      <w:r>
        <w:tab/>
        <w:t>(1)</w:t>
      </w:r>
      <w:r>
        <w:tab/>
        <w:t xml:space="preserve">An officer of the Board (other than the Registrar, the Deputy Registrar, an Assistant Registrar or an inspector) or a person engaged under section 12AA(b) may act as a conciliator for the purposes of this section. </w:t>
      </w:r>
    </w:p>
    <w:p>
      <w:pPr>
        <w:pStyle w:val="Subsection"/>
      </w:pPr>
      <w:r>
        <w:tab/>
        <w:t>(2)</w:t>
      </w:r>
      <w:r>
        <w:tab/>
        <w:t xml:space="preserve">A conciliator’s function is to assist the parties to a transaction to resolve a dispute about the transaction by — </w:t>
      </w:r>
    </w:p>
    <w:p>
      <w:pPr>
        <w:pStyle w:val="Indenta"/>
      </w:pPr>
      <w:r>
        <w:tab/>
        <w:t>(a)</w:t>
      </w:r>
      <w:r>
        <w:tab/>
        <w:t>arranging for the parties to hold informal discussions about the dispute;</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 xml:space="preserve">Evidence of anything said or admitted during the conciliation process — </w:t>
      </w:r>
    </w:p>
    <w:p>
      <w:pPr>
        <w:pStyle w:val="Indenta"/>
      </w:pPr>
      <w:r>
        <w:tab/>
        <w:t>(a)</w:t>
      </w:r>
      <w:r>
        <w:tab/>
        <w:t>is not admissible in proceedings before the Board or a court or tribunal, whether under this Act or any other law; and</w:t>
      </w:r>
    </w:p>
    <w:p>
      <w:pPr>
        <w:pStyle w:val="Indenta"/>
      </w:pPr>
      <w:r>
        <w:tab/>
        <w:t>(b)</w:t>
      </w:r>
      <w:r>
        <w:tab/>
        <w:t>cannot be used as ground for an investigation or inquiry under this Act.</w:t>
      </w:r>
    </w:p>
    <w:p>
      <w:pPr>
        <w:pStyle w:val="Subsection"/>
      </w:pPr>
      <w:r>
        <w:tab/>
        <w:t>(6)</w:t>
      </w:r>
      <w:r>
        <w:tab/>
        <w:t xml:space="preserve">Nothing in this section — </w:t>
      </w:r>
    </w:p>
    <w:p>
      <w:pPr>
        <w:pStyle w:val="Indenta"/>
      </w:pPr>
      <w:r>
        <w:tab/>
        <w:t>(a)</w:t>
      </w:r>
      <w:r>
        <w:tab/>
        <w:t xml:space="preserve">prevents the parties to a transaction from resolving a dispute in relation to the transaction at any time, whether through the conciliation process or not; or </w:t>
      </w:r>
    </w:p>
    <w:p>
      <w:pPr>
        <w:pStyle w:val="Indenta"/>
      </w:pPr>
      <w:r>
        <w:tab/>
        <w:t>(b)</w:t>
      </w:r>
      <w:r>
        <w:tab/>
        <w:t>requires a conciliator to participate in a conciliation process or the Board to provide its officers or other persons for that purpose.</w:t>
      </w:r>
    </w:p>
    <w:p>
      <w:pPr>
        <w:pStyle w:val="Subsection"/>
      </w:pPr>
      <w:r>
        <w:tab/>
        <w:t>(7)</w:t>
      </w:r>
      <w:r>
        <w:tab/>
        <w:t xml:space="preserve">In this section — </w:t>
      </w:r>
    </w:p>
    <w:p>
      <w:pPr>
        <w:pStyle w:val="Defstart"/>
      </w:pPr>
      <w:r>
        <w:tab/>
      </w:r>
      <w:r>
        <w:rPr>
          <w:b/>
        </w:rPr>
        <w:t>“</w:t>
      </w:r>
      <w:r>
        <w:rPr>
          <w:rStyle w:val="CharDefText"/>
        </w:rPr>
        <w:t>party</w:t>
      </w:r>
      <w:r>
        <w:rPr>
          <w:b/>
        </w:rPr>
        <w:t>”</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w:t>
      </w:r>
    </w:p>
    <w:p>
      <w:pPr>
        <w:pStyle w:val="Heading2"/>
      </w:pPr>
      <w:bookmarkStart w:id="397" w:name="_Toc72643393"/>
      <w:bookmarkStart w:id="398" w:name="_Toc89596358"/>
      <w:bookmarkStart w:id="399" w:name="_Toc91303082"/>
      <w:bookmarkStart w:id="400" w:name="_Toc92701192"/>
      <w:bookmarkStart w:id="401" w:name="_Toc96996917"/>
      <w:bookmarkStart w:id="402" w:name="_Toc98833428"/>
      <w:bookmarkStart w:id="403" w:name="_Toc99166036"/>
      <w:bookmarkStart w:id="404" w:name="_Toc100021695"/>
      <w:bookmarkStart w:id="405" w:name="_Toc100562049"/>
      <w:bookmarkStart w:id="406" w:name="_Toc100562424"/>
      <w:bookmarkStart w:id="407" w:name="_Toc102373442"/>
      <w:bookmarkStart w:id="408" w:name="_Toc102536103"/>
      <w:bookmarkStart w:id="409" w:name="_Toc102899347"/>
      <w:bookmarkStart w:id="410" w:name="_Toc107197825"/>
      <w:bookmarkStart w:id="411" w:name="_Toc116713255"/>
      <w:bookmarkStart w:id="412" w:name="_Toc116812964"/>
      <w:bookmarkStart w:id="413" w:name="_Toc121566503"/>
      <w:bookmarkStart w:id="414" w:name="_Toc124125389"/>
      <w:bookmarkStart w:id="415" w:name="_Toc124140839"/>
      <w:bookmarkStart w:id="416" w:name="_Toc139362621"/>
      <w:bookmarkStart w:id="417" w:name="_Toc139685818"/>
      <w:bookmarkStart w:id="418" w:name="_Toc154197179"/>
      <w:bookmarkStart w:id="419" w:name="_Toc158003569"/>
      <w:bookmarkStart w:id="420" w:name="_Toc163273794"/>
      <w:bookmarkStart w:id="421" w:name="_Toc163361777"/>
      <w:bookmarkStart w:id="422" w:name="_Toc172965276"/>
      <w:bookmarkStart w:id="423" w:name="_Toc172965477"/>
      <w:r>
        <w:rPr>
          <w:rStyle w:val="CharPartNo"/>
        </w:rPr>
        <w:t>Part III</w:t>
      </w:r>
      <w:r>
        <w:rPr>
          <w:rStyle w:val="CharDivNo"/>
        </w:rPr>
        <w:t> </w:t>
      </w:r>
      <w:r>
        <w:t>—</w:t>
      </w:r>
      <w:r>
        <w:rPr>
          <w:rStyle w:val="CharDivText"/>
        </w:rPr>
        <w:t> </w:t>
      </w:r>
      <w:r>
        <w:rPr>
          <w:rStyle w:val="CharPartText"/>
        </w:rPr>
        <w:t>Licensing of agents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Pr>
          <w:rStyle w:val="CharPartText"/>
        </w:rPr>
        <w:t xml:space="preserve"> </w:t>
      </w:r>
    </w:p>
    <w:p>
      <w:pPr>
        <w:pStyle w:val="Heading5"/>
        <w:rPr>
          <w:snapToGrid w:val="0"/>
        </w:rPr>
      </w:pPr>
      <w:bookmarkStart w:id="424" w:name="_Toc480623721"/>
      <w:bookmarkStart w:id="425" w:name="_Toc520177755"/>
      <w:bookmarkStart w:id="426" w:name="_Toc102899348"/>
      <w:bookmarkStart w:id="427" w:name="_Toc124125390"/>
      <w:bookmarkStart w:id="428" w:name="_Toc172965478"/>
      <w:bookmarkStart w:id="429" w:name="_Toc163361778"/>
      <w:r>
        <w:rPr>
          <w:rStyle w:val="CharSectno"/>
        </w:rPr>
        <w:t>24</w:t>
      </w:r>
      <w:r>
        <w:rPr>
          <w:snapToGrid w:val="0"/>
        </w:rPr>
        <w:t>.</w:t>
      </w:r>
      <w:r>
        <w:rPr>
          <w:snapToGrid w:val="0"/>
        </w:rPr>
        <w:tab/>
        <w:t>Application</w:t>
      </w:r>
      <w:bookmarkEnd w:id="424"/>
      <w:r>
        <w:rPr>
          <w:snapToGrid w:val="0"/>
        </w:rPr>
        <w:t xml:space="preserve"> for licence</w:t>
      </w:r>
      <w:bookmarkEnd w:id="425"/>
      <w:bookmarkEnd w:id="426"/>
      <w:bookmarkEnd w:id="427"/>
      <w:bookmarkEnd w:id="428"/>
      <w:bookmarkEnd w:id="429"/>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430" w:name="_Toc480623722"/>
      <w:bookmarkStart w:id="431" w:name="_Toc520177756"/>
      <w:bookmarkStart w:id="432" w:name="_Toc102899349"/>
      <w:bookmarkStart w:id="433" w:name="_Toc124125391"/>
      <w:bookmarkStart w:id="434" w:name="_Toc172965479"/>
      <w:bookmarkStart w:id="435" w:name="_Toc163361779"/>
      <w:r>
        <w:rPr>
          <w:rStyle w:val="CharSectno"/>
        </w:rPr>
        <w:t>25</w:t>
      </w:r>
      <w:r>
        <w:rPr>
          <w:snapToGrid w:val="0"/>
        </w:rPr>
        <w:t>.</w:t>
      </w:r>
      <w:r>
        <w:rPr>
          <w:snapToGrid w:val="0"/>
        </w:rPr>
        <w:tab/>
        <w:t>Objection</w:t>
      </w:r>
      <w:bookmarkEnd w:id="430"/>
      <w:r>
        <w:rPr>
          <w:snapToGrid w:val="0"/>
        </w:rPr>
        <w:t xml:space="preserve"> to grant of licence</w:t>
      </w:r>
      <w:bookmarkEnd w:id="431"/>
      <w:bookmarkEnd w:id="432"/>
      <w:bookmarkEnd w:id="433"/>
      <w:bookmarkEnd w:id="434"/>
      <w:bookmarkEnd w:id="435"/>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436" w:name="_Toc480623723"/>
      <w:bookmarkStart w:id="437" w:name="_Toc520177757"/>
      <w:bookmarkStart w:id="438" w:name="_Toc102899350"/>
      <w:bookmarkStart w:id="439" w:name="_Toc124125392"/>
      <w:bookmarkStart w:id="440" w:name="_Toc172965480"/>
      <w:bookmarkStart w:id="441" w:name="_Toc163361780"/>
      <w:r>
        <w:rPr>
          <w:rStyle w:val="CharSectno"/>
        </w:rPr>
        <w:t>26</w:t>
      </w:r>
      <w:r>
        <w:rPr>
          <w:snapToGrid w:val="0"/>
        </w:rPr>
        <w:t>.</w:t>
      </w:r>
      <w:r>
        <w:rPr>
          <w:snapToGrid w:val="0"/>
        </w:rPr>
        <w:tab/>
        <w:t>Real estate and business agents to be licensed</w:t>
      </w:r>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 xml:space="preserve">[Section 26 amended by No. 43 of 1994 s. 11.] </w:t>
      </w:r>
    </w:p>
    <w:p>
      <w:pPr>
        <w:pStyle w:val="Heading5"/>
        <w:rPr>
          <w:snapToGrid w:val="0"/>
        </w:rPr>
      </w:pPr>
      <w:bookmarkStart w:id="442" w:name="_Toc480623724"/>
      <w:bookmarkStart w:id="443" w:name="_Toc520177758"/>
      <w:bookmarkStart w:id="444" w:name="_Toc102899351"/>
      <w:bookmarkStart w:id="445" w:name="_Toc124125393"/>
      <w:bookmarkStart w:id="446" w:name="_Toc172965481"/>
      <w:bookmarkStart w:id="447" w:name="_Toc163361781"/>
      <w:r>
        <w:rPr>
          <w:rStyle w:val="CharSectno"/>
        </w:rPr>
        <w:t>27</w:t>
      </w:r>
      <w:r>
        <w:rPr>
          <w:snapToGrid w:val="0"/>
        </w:rPr>
        <w:t>.</w:t>
      </w:r>
      <w:r>
        <w:rPr>
          <w:snapToGrid w:val="0"/>
        </w:rPr>
        <w:tab/>
        <w:t>Natural person, grant of licence</w:t>
      </w:r>
      <w:bookmarkEnd w:id="442"/>
      <w:r>
        <w:rPr>
          <w:snapToGrid w:val="0"/>
        </w:rPr>
        <w:t xml:space="preserve"> to</w:t>
      </w:r>
      <w:bookmarkEnd w:id="443"/>
      <w:bookmarkEnd w:id="444"/>
      <w:bookmarkEnd w:id="445"/>
      <w:bookmarkEnd w:id="446"/>
      <w:bookmarkEnd w:id="447"/>
    </w:p>
    <w:p>
      <w:pPr>
        <w:pStyle w:val="Subsection"/>
        <w:keepNext/>
        <w:rPr>
          <w:snapToGrid w:val="0"/>
        </w:rPr>
      </w:pPr>
      <w:r>
        <w:rPr>
          <w:snapToGrid w:val="0"/>
        </w:rPr>
        <w:tab/>
        <w:t>(1)</w:t>
      </w:r>
      <w:r>
        <w:rPr>
          <w:snapToGrid w:val="0"/>
        </w:rPr>
        <w:tab/>
        <w:t>Subject to this Act, a person, not being a body corporate, who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being qualified in accordance with the Schedule but subject to the savings and exceptions provided therein and elsewhere in this Act.</w:t>
      </w:r>
    </w:p>
    <w:p>
      <w:pPr>
        <w:pStyle w:val="Heading5"/>
        <w:rPr>
          <w:snapToGrid w:val="0"/>
        </w:rPr>
      </w:pPr>
      <w:bookmarkStart w:id="448" w:name="_Toc480623725"/>
      <w:bookmarkStart w:id="449" w:name="_Toc520177759"/>
      <w:bookmarkStart w:id="450" w:name="_Toc102899352"/>
      <w:bookmarkStart w:id="451" w:name="_Toc124125394"/>
      <w:bookmarkStart w:id="452" w:name="_Toc172965482"/>
      <w:bookmarkStart w:id="453" w:name="_Toc163361782"/>
      <w:r>
        <w:rPr>
          <w:rStyle w:val="CharSectno"/>
        </w:rPr>
        <w:t>28</w:t>
      </w:r>
      <w:r>
        <w:rPr>
          <w:snapToGrid w:val="0"/>
        </w:rPr>
        <w:t>.</w:t>
      </w:r>
      <w:r>
        <w:rPr>
          <w:snapToGrid w:val="0"/>
        </w:rPr>
        <w:tab/>
      </w:r>
      <w:bookmarkEnd w:id="448"/>
      <w:r>
        <w:rPr>
          <w:snapToGrid w:val="0"/>
        </w:rPr>
        <w:t>Firm, grant of licence to</w:t>
      </w:r>
      <w:bookmarkEnd w:id="449"/>
      <w:bookmarkEnd w:id="450"/>
      <w:bookmarkEnd w:id="451"/>
      <w:bookmarkEnd w:id="452"/>
      <w:bookmarkEnd w:id="453"/>
    </w:p>
    <w:p>
      <w:pPr>
        <w:pStyle w:val="Subsection"/>
        <w:keepNext/>
        <w:rPr>
          <w:snapToGrid w:val="0"/>
        </w:rPr>
      </w:pPr>
      <w:r>
        <w:rPr>
          <w:snapToGrid w:val="0"/>
        </w:rPr>
        <w:tab/>
      </w:r>
      <w:r>
        <w:rPr>
          <w:snapToGrid w:val="0"/>
        </w:rPr>
        <w:tab/>
        <w:t>Subject to this Act, 2 or more persons constituting a firm who apply to the Board for a licence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454" w:name="_Toc480623726"/>
      <w:bookmarkStart w:id="455" w:name="_Toc520177760"/>
      <w:bookmarkStart w:id="456" w:name="_Toc102899353"/>
      <w:bookmarkStart w:id="457" w:name="_Toc124125395"/>
      <w:bookmarkStart w:id="458" w:name="_Toc172965483"/>
      <w:bookmarkStart w:id="459" w:name="_Toc163361783"/>
      <w:r>
        <w:rPr>
          <w:rStyle w:val="CharSectno"/>
        </w:rPr>
        <w:t>29</w:t>
      </w:r>
      <w:r>
        <w:rPr>
          <w:snapToGrid w:val="0"/>
        </w:rPr>
        <w:t>.</w:t>
      </w:r>
      <w:r>
        <w:rPr>
          <w:snapToGrid w:val="0"/>
        </w:rPr>
        <w:tab/>
      </w:r>
      <w:bookmarkEnd w:id="454"/>
      <w:r>
        <w:rPr>
          <w:snapToGrid w:val="0"/>
        </w:rPr>
        <w:t>Body corporate, grant of licence to</w:t>
      </w:r>
      <w:bookmarkEnd w:id="455"/>
      <w:bookmarkEnd w:id="456"/>
      <w:bookmarkEnd w:id="457"/>
      <w:bookmarkEnd w:id="458"/>
      <w:bookmarkEnd w:id="459"/>
    </w:p>
    <w:p>
      <w:pPr>
        <w:pStyle w:val="Subsection"/>
        <w:keepNext/>
        <w:rPr>
          <w:snapToGrid w:val="0"/>
        </w:rPr>
      </w:pPr>
      <w:r>
        <w:rPr>
          <w:snapToGrid w:val="0"/>
        </w:rPr>
        <w:tab/>
      </w:r>
      <w:r>
        <w:rPr>
          <w:snapToGrid w:val="0"/>
        </w:rPr>
        <w:tab/>
        <w:t>Subject to this Act, a body corporate which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or where there are more than 3 directors of the body corporate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460" w:name="_Toc480623727"/>
      <w:bookmarkStart w:id="461" w:name="_Toc520177761"/>
      <w:bookmarkStart w:id="462" w:name="_Toc102899354"/>
      <w:bookmarkStart w:id="463" w:name="_Toc124125396"/>
      <w:bookmarkStart w:id="464" w:name="_Toc172965484"/>
      <w:bookmarkStart w:id="465" w:name="_Toc163361784"/>
      <w:r>
        <w:rPr>
          <w:rStyle w:val="CharSectno"/>
        </w:rPr>
        <w:t>30</w:t>
      </w:r>
      <w:r>
        <w:rPr>
          <w:snapToGrid w:val="0"/>
        </w:rPr>
        <w:t>.</w:t>
      </w:r>
      <w:r>
        <w:rPr>
          <w:snapToGrid w:val="0"/>
        </w:rPr>
        <w:tab/>
      </w:r>
      <w:bookmarkEnd w:id="460"/>
      <w:r>
        <w:rPr>
          <w:snapToGrid w:val="0"/>
        </w:rPr>
        <w:t>Licence, effect of</w:t>
      </w:r>
      <w:bookmarkEnd w:id="461"/>
      <w:bookmarkEnd w:id="462"/>
      <w:bookmarkEnd w:id="463"/>
      <w:bookmarkEnd w:id="464"/>
      <w:bookmarkEnd w:id="465"/>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rPr>
          <w:snapToGrid w:val="0"/>
        </w:rPr>
      </w:pPr>
      <w:r>
        <w:rPr>
          <w:snapToGrid w:val="0"/>
        </w:rPr>
        <w:tab/>
        <w:t>(2a)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74 of 1980 s. 5; No. 56 of 1995 s. 40; No. 55 of 2004 s. 1006.] </w:t>
      </w:r>
    </w:p>
    <w:p>
      <w:pPr>
        <w:pStyle w:val="Heading5"/>
        <w:rPr>
          <w:snapToGrid w:val="0"/>
        </w:rPr>
      </w:pPr>
      <w:bookmarkStart w:id="466" w:name="_Toc480623728"/>
      <w:bookmarkStart w:id="467" w:name="_Toc520177762"/>
      <w:bookmarkStart w:id="468" w:name="_Toc102899355"/>
      <w:bookmarkStart w:id="469" w:name="_Toc124125397"/>
      <w:bookmarkStart w:id="470" w:name="_Toc172965485"/>
      <w:bookmarkStart w:id="471" w:name="_Toc163361785"/>
      <w:r>
        <w:rPr>
          <w:rStyle w:val="CharSectno"/>
        </w:rPr>
        <w:t>31</w:t>
      </w:r>
      <w:r>
        <w:rPr>
          <w:snapToGrid w:val="0"/>
        </w:rPr>
        <w:t>.</w:t>
      </w:r>
      <w:r>
        <w:rPr>
          <w:snapToGrid w:val="0"/>
        </w:rPr>
        <w:tab/>
        <w:t xml:space="preserve">Triennial certificate, grant and renewal </w:t>
      </w:r>
      <w:bookmarkEnd w:id="466"/>
      <w:r>
        <w:rPr>
          <w:snapToGrid w:val="0"/>
        </w:rPr>
        <w:t>of</w:t>
      </w:r>
      <w:bookmarkEnd w:id="467"/>
      <w:bookmarkEnd w:id="468"/>
      <w:bookmarkEnd w:id="469"/>
      <w:bookmarkEnd w:id="470"/>
      <w:bookmarkEnd w:id="471"/>
    </w:p>
    <w:p>
      <w:pPr>
        <w:pStyle w:val="Subsection"/>
        <w:rPr>
          <w:snapToGrid w:val="0"/>
        </w:rPr>
      </w:pPr>
      <w:r>
        <w:rPr>
          <w:snapToGrid w:val="0"/>
        </w:rPr>
        <w:tab/>
        <w:t>(1)</w:t>
      </w:r>
      <w:r>
        <w:rPr>
          <w:snapToGrid w:val="0"/>
        </w:rPr>
        <w:tab/>
        <w:t>Subject to this Act, the Board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Board may refuse to renew a licensee’s triennial certificate if — </w:t>
      </w:r>
    </w:p>
    <w:p>
      <w:pPr>
        <w:pStyle w:val="Indenta"/>
        <w:rPr>
          <w:snapToGrid w:val="0"/>
        </w:rPr>
      </w:pPr>
      <w:r>
        <w:rPr>
          <w:snapToGrid w:val="0"/>
        </w:rPr>
        <w:tab/>
        <w:t>(a)</w:t>
      </w:r>
      <w:r>
        <w:rPr>
          <w:snapToGrid w:val="0"/>
        </w:rPr>
        <w:tab/>
        <w:t>the Board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w:t>
      </w:r>
    </w:p>
    <w:p>
      <w:pPr>
        <w:pStyle w:val="Heading5"/>
        <w:rPr>
          <w:snapToGrid w:val="0"/>
        </w:rPr>
      </w:pPr>
      <w:bookmarkStart w:id="472" w:name="_Toc480623729"/>
      <w:bookmarkStart w:id="473" w:name="_Toc520177763"/>
      <w:bookmarkStart w:id="474" w:name="_Toc102899356"/>
      <w:bookmarkStart w:id="475" w:name="_Toc124125398"/>
      <w:bookmarkStart w:id="476" w:name="_Toc172965486"/>
      <w:bookmarkStart w:id="477" w:name="_Toc163361786"/>
      <w:r>
        <w:rPr>
          <w:rStyle w:val="CharSectno"/>
        </w:rPr>
        <w:t>32</w:t>
      </w:r>
      <w:r>
        <w:rPr>
          <w:snapToGrid w:val="0"/>
        </w:rPr>
        <w:t>.</w:t>
      </w:r>
      <w:r>
        <w:rPr>
          <w:snapToGrid w:val="0"/>
        </w:rPr>
        <w:tab/>
        <w:t>Triennial certificates</w:t>
      </w:r>
      <w:bookmarkEnd w:id="472"/>
      <w:r>
        <w:rPr>
          <w:snapToGrid w:val="0"/>
        </w:rPr>
        <w:t>, late renewal of</w:t>
      </w:r>
      <w:bookmarkEnd w:id="473"/>
      <w:bookmarkEnd w:id="474"/>
      <w:bookmarkEnd w:id="475"/>
      <w:bookmarkEnd w:id="476"/>
      <w:bookmarkEnd w:id="477"/>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than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478" w:name="_Toc480623730"/>
      <w:bookmarkStart w:id="479" w:name="_Toc520177764"/>
      <w:bookmarkStart w:id="480" w:name="_Toc102899357"/>
      <w:bookmarkStart w:id="481" w:name="_Toc124125399"/>
      <w:bookmarkStart w:id="482" w:name="_Toc172965487"/>
      <w:bookmarkStart w:id="483" w:name="_Toc163361787"/>
      <w:r>
        <w:rPr>
          <w:rStyle w:val="CharSectno"/>
        </w:rPr>
        <w:t>33</w:t>
      </w:r>
      <w:r>
        <w:rPr>
          <w:snapToGrid w:val="0"/>
        </w:rPr>
        <w:t>.</w:t>
      </w:r>
      <w:r>
        <w:rPr>
          <w:snapToGrid w:val="0"/>
        </w:rPr>
        <w:tab/>
        <w:t>Triennial certificates, renewal of in certain cases</w:t>
      </w:r>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484" w:name="_Toc480623731"/>
      <w:bookmarkStart w:id="485" w:name="_Toc520177765"/>
      <w:bookmarkStart w:id="486" w:name="_Toc102899358"/>
      <w:bookmarkStart w:id="487" w:name="_Toc124125400"/>
      <w:bookmarkStart w:id="488" w:name="_Toc172965488"/>
      <w:bookmarkStart w:id="489" w:name="_Toc163361788"/>
      <w:r>
        <w:rPr>
          <w:rStyle w:val="CharSectno"/>
        </w:rPr>
        <w:t>34</w:t>
      </w:r>
      <w:r>
        <w:rPr>
          <w:snapToGrid w:val="0"/>
        </w:rPr>
        <w:t>.</w:t>
      </w:r>
      <w:r>
        <w:rPr>
          <w:snapToGrid w:val="0"/>
        </w:rPr>
        <w:tab/>
        <w:t>Conditions on licences and triennial certificates</w:t>
      </w:r>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A licensee shall comply with the provisions of this Act and the agents code of conduct.</w:t>
      </w:r>
    </w:p>
    <w:p>
      <w:pPr>
        <w:pStyle w:val="Subsection"/>
        <w:spacing w:before="120"/>
        <w:rPr>
          <w:snapToGrid w:val="0"/>
        </w:rPr>
      </w:pPr>
      <w:r>
        <w:rPr>
          <w:snapToGrid w:val="0"/>
        </w:rPr>
        <w:tab/>
        <w:t>(2)</w:t>
      </w:r>
      <w:r>
        <w:rPr>
          <w:snapToGrid w:val="0"/>
        </w:rPr>
        <w:tab/>
        <w:t>The Board may grant a licence or grant or renew a triennial certificate subject to such special conditions as it thinks fit.</w:t>
      </w:r>
    </w:p>
    <w:p>
      <w:pPr>
        <w:pStyle w:val="Subsection"/>
        <w:spacing w:before="120"/>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 xml:space="preserve">[Section 34 amended by No. 56 of 1995 s. 41; No. 34 of 1998 s. 11.] </w:t>
      </w:r>
    </w:p>
    <w:p>
      <w:pPr>
        <w:pStyle w:val="Heading5"/>
      </w:pPr>
      <w:bookmarkStart w:id="490" w:name="_Toc102899359"/>
      <w:bookmarkStart w:id="491" w:name="_Toc124125401"/>
      <w:bookmarkStart w:id="492" w:name="_Toc172965489"/>
      <w:bookmarkStart w:id="493" w:name="_Toc163361789"/>
      <w:bookmarkStart w:id="494" w:name="_Toc480623732"/>
      <w:bookmarkStart w:id="495" w:name="_Toc520177766"/>
      <w:r>
        <w:rPr>
          <w:rStyle w:val="CharSectno"/>
        </w:rPr>
        <w:t>34A</w:t>
      </w:r>
      <w:r>
        <w:rPr>
          <w:snapToGrid w:val="0"/>
        </w:rPr>
        <w:t>.</w:t>
      </w:r>
      <w:r>
        <w:tab/>
        <w:t>Unopposed applications</w:t>
      </w:r>
      <w:bookmarkEnd w:id="490"/>
      <w:bookmarkEnd w:id="491"/>
      <w:bookmarkEnd w:id="492"/>
      <w:bookmarkEnd w:id="493"/>
    </w:p>
    <w:p>
      <w:pPr>
        <w:pStyle w:val="Subsection"/>
        <w:spacing w:before="120"/>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spacing w:before="120"/>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1008.]</w:t>
      </w:r>
    </w:p>
    <w:p>
      <w:pPr>
        <w:pStyle w:val="Heading5"/>
      </w:pPr>
      <w:bookmarkStart w:id="496" w:name="_Toc102899360"/>
      <w:bookmarkStart w:id="497" w:name="_Toc124125402"/>
      <w:bookmarkStart w:id="498" w:name="_Toc172965490"/>
      <w:bookmarkStart w:id="499" w:name="_Toc163361790"/>
      <w:r>
        <w:rPr>
          <w:rStyle w:val="CharSectno"/>
        </w:rPr>
        <w:t>34B</w:t>
      </w:r>
      <w:r>
        <w:t>.</w:t>
      </w:r>
      <w:r>
        <w:tab/>
        <w:t>Suspension of licence by State Administrative Tribunal</w:t>
      </w:r>
      <w:bookmarkEnd w:id="496"/>
      <w:bookmarkEnd w:id="497"/>
      <w:bookmarkEnd w:id="498"/>
      <w:bookmarkEnd w:id="499"/>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500" w:name="_Toc102899361"/>
      <w:bookmarkStart w:id="501" w:name="_Toc124125403"/>
      <w:bookmarkStart w:id="502" w:name="_Toc172965491"/>
      <w:bookmarkStart w:id="503" w:name="_Toc163361791"/>
      <w:r>
        <w:rPr>
          <w:rStyle w:val="CharSectno"/>
        </w:rPr>
        <w:t>35</w:t>
      </w:r>
      <w:r>
        <w:rPr>
          <w:snapToGrid w:val="0"/>
        </w:rPr>
        <w:t>.</w:t>
      </w:r>
      <w:r>
        <w:rPr>
          <w:snapToGrid w:val="0"/>
        </w:rPr>
        <w:tab/>
      </w:r>
      <w:bookmarkEnd w:id="494"/>
      <w:r>
        <w:rPr>
          <w:snapToGrid w:val="0"/>
        </w:rPr>
        <w:t>Commencing or ceasing business, Registrar to be notified</w:t>
      </w:r>
      <w:bookmarkEnd w:id="495"/>
      <w:bookmarkEnd w:id="500"/>
      <w:bookmarkEnd w:id="501"/>
      <w:bookmarkEnd w:id="502"/>
      <w:bookmarkEnd w:id="503"/>
    </w:p>
    <w:p>
      <w:pPr>
        <w:pStyle w:val="Subsection"/>
        <w:spacing w:before="120"/>
        <w:rPr>
          <w:snapToGrid w:val="0"/>
        </w:rPr>
      </w:pPr>
      <w:r>
        <w:rPr>
          <w:snapToGrid w:val="0"/>
        </w:rPr>
        <w:tab/>
      </w:r>
      <w:r>
        <w:rPr>
          <w:snapToGrid w:val="0"/>
        </w:rPr>
        <w:tab/>
        <w:t>A licensee shall, within 14 days after commencing or ceasing to carry on business as an agent, give to the Registrar notice in writing of that fact.</w:t>
      </w:r>
    </w:p>
    <w:p>
      <w:pPr>
        <w:pStyle w:val="Heading5"/>
        <w:rPr>
          <w:snapToGrid w:val="0"/>
        </w:rPr>
      </w:pPr>
      <w:bookmarkStart w:id="504" w:name="_Toc480623733"/>
      <w:bookmarkStart w:id="505" w:name="_Toc520177767"/>
      <w:bookmarkStart w:id="506" w:name="_Toc102899362"/>
      <w:bookmarkStart w:id="507" w:name="_Toc124125404"/>
      <w:bookmarkStart w:id="508" w:name="_Toc172965492"/>
      <w:bookmarkStart w:id="509" w:name="_Toc163361792"/>
      <w:r>
        <w:rPr>
          <w:rStyle w:val="CharSectno"/>
        </w:rPr>
        <w:t>36</w:t>
      </w:r>
      <w:r>
        <w:rPr>
          <w:snapToGrid w:val="0"/>
        </w:rPr>
        <w:t>.</w:t>
      </w:r>
      <w:r>
        <w:rPr>
          <w:snapToGrid w:val="0"/>
        </w:rPr>
        <w:tab/>
        <w:t>Registered office</w:t>
      </w:r>
      <w:bookmarkEnd w:id="504"/>
      <w:r>
        <w:rPr>
          <w:snapToGrid w:val="0"/>
        </w:rPr>
        <w:t xml:space="preserve"> of licensee</w:t>
      </w:r>
      <w:bookmarkEnd w:id="505"/>
      <w:bookmarkEnd w:id="506"/>
      <w:bookmarkEnd w:id="507"/>
      <w:bookmarkEnd w:id="508"/>
      <w:bookmarkEnd w:id="509"/>
    </w:p>
    <w:p>
      <w:pPr>
        <w:pStyle w:val="Subsection"/>
        <w:spacing w:before="120"/>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36 amended by No. 43 of 1994 s. 11.] </w:t>
      </w:r>
    </w:p>
    <w:p>
      <w:pPr>
        <w:pStyle w:val="Heading5"/>
        <w:rPr>
          <w:snapToGrid w:val="0"/>
        </w:rPr>
      </w:pPr>
      <w:bookmarkStart w:id="510" w:name="_Toc480623734"/>
      <w:bookmarkStart w:id="511" w:name="_Toc520177768"/>
      <w:bookmarkStart w:id="512" w:name="_Toc102899363"/>
      <w:bookmarkStart w:id="513" w:name="_Toc124125405"/>
      <w:bookmarkStart w:id="514" w:name="_Toc172965493"/>
      <w:bookmarkStart w:id="515" w:name="_Toc163361793"/>
      <w:r>
        <w:rPr>
          <w:rStyle w:val="CharSectno"/>
        </w:rPr>
        <w:t>37</w:t>
      </w:r>
      <w:r>
        <w:rPr>
          <w:snapToGrid w:val="0"/>
        </w:rPr>
        <w:t>.</w:t>
      </w:r>
      <w:r>
        <w:rPr>
          <w:snapToGrid w:val="0"/>
        </w:rPr>
        <w:tab/>
        <w:t>Branch office</w:t>
      </w:r>
      <w:bookmarkEnd w:id="510"/>
      <w:r>
        <w:rPr>
          <w:snapToGrid w:val="0"/>
        </w:rPr>
        <w:t xml:space="preserve"> of licensee</w:t>
      </w:r>
      <w:bookmarkEnd w:id="511"/>
      <w:bookmarkEnd w:id="512"/>
      <w:bookmarkEnd w:id="513"/>
      <w:bookmarkEnd w:id="514"/>
      <w:bookmarkEnd w:id="515"/>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 xml:space="preserve">[Section 37 amended by No. 43 of 1994 s. 11.] </w:t>
      </w:r>
    </w:p>
    <w:p>
      <w:pPr>
        <w:pStyle w:val="Heading5"/>
        <w:rPr>
          <w:snapToGrid w:val="0"/>
        </w:rPr>
      </w:pPr>
      <w:bookmarkStart w:id="516" w:name="_Toc480623735"/>
      <w:bookmarkStart w:id="517" w:name="_Toc520177769"/>
      <w:bookmarkStart w:id="518" w:name="_Toc102899364"/>
      <w:bookmarkStart w:id="519" w:name="_Toc124125406"/>
      <w:bookmarkStart w:id="520" w:name="_Toc172965494"/>
      <w:bookmarkStart w:id="521" w:name="_Toc163361794"/>
      <w:r>
        <w:rPr>
          <w:rStyle w:val="CharSectno"/>
        </w:rPr>
        <w:t>38</w:t>
      </w:r>
      <w:r>
        <w:rPr>
          <w:snapToGrid w:val="0"/>
        </w:rPr>
        <w:t>.</w:t>
      </w:r>
      <w:r>
        <w:rPr>
          <w:snapToGrid w:val="0"/>
        </w:rPr>
        <w:tab/>
        <w:t>Triennial certificate</w:t>
      </w:r>
      <w:bookmarkEnd w:id="516"/>
      <w:r>
        <w:rPr>
          <w:snapToGrid w:val="0"/>
        </w:rPr>
        <w:t xml:space="preserve"> to show place of business etc.</w:t>
      </w:r>
      <w:bookmarkEnd w:id="517"/>
      <w:bookmarkEnd w:id="518"/>
      <w:bookmarkEnd w:id="519"/>
      <w:bookmarkEnd w:id="520"/>
      <w:bookmarkEnd w:id="521"/>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522" w:name="_Toc480623736"/>
      <w:bookmarkStart w:id="523" w:name="_Toc520177770"/>
      <w:bookmarkStart w:id="524" w:name="_Toc102899365"/>
      <w:bookmarkStart w:id="525" w:name="_Toc124125407"/>
      <w:bookmarkStart w:id="526" w:name="_Toc172965495"/>
      <w:bookmarkStart w:id="527" w:name="_Toc163361795"/>
      <w:r>
        <w:rPr>
          <w:rStyle w:val="CharSectno"/>
        </w:rPr>
        <w:t>39</w:t>
      </w:r>
      <w:r>
        <w:rPr>
          <w:snapToGrid w:val="0"/>
        </w:rPr>
        <w:t>.</w:t>
      </w:r>
      <w:r>
        <w:rPr>
          <w:snapToGrid w:val="0"/>
        </w:rPr>
        <w:tab/>
        <w:t>Licence and triennial certificate not transferable</w:t>
      </w:r>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39 amended by No. 43 of 1994 s. 11.] </w:t>
      </w:r>
    </w:p>
    <w:p>
      <w:pPr>
        <w:pStyle w:val="Heading5"/>
        <w:rPr>
          <w:snapToGrid w:val="0"/>
        </w:rPr>
      </w:pPr>
      <w:bookmarkStart w:id="528" w:name="_Toc480623737"/>
      <w:bookmarkStart w:id="529" w:name="_Toc520177771"/>
      <w:bookmarkStart w:id="530" w:name="_Toc102899366"/>
      <w:bookmarkStart w:id="531" w:name="_Toc124125408"/>
      <w:bookmarkStart w:id="532" w:name="_Toc172965496"/>
      <w:bookmarkStart w:id="533" w:name="_Toc163361796"/>
      <w:r>
        <w:rPr>
          <w:rStyle w:val="CharSectno"/>
        </w:rPr>
        <w:t>40</w:t>
      </w:r>
      <w:r>
        <w:rPr>
          <w:snapToGrid w:val="0"/>
        </w:rPr>
        <w:t>.</w:t>
      </w:r>
      <w:r>
        <w:rPr>
          <w:snapToGrid w:val="0"/>
        </w:rPr>
        <w:tab/>
      </w:r>
      <w:bookmarkEnd w:id="528"/>
      <w:r>
        <w:rPr>
          <w:snapToGrid w:val="0"/>
        </w:rPr>
        <w:t>Business names, use of by licensees</w:t>
      </w:r>
      <w:bookmarkEnd w:id="529"/>
      <w:bookmarkEnd w:id="530"/>
      <w:bookmarkEnd w:id="531"/>
      <w:bookmarkEnd w:id="532"/>
      <w:bookmarkEnd w:id="533"/>
    </w:p>
    <w:p>
      <w:pPr>
        <w:pStyle w:val="Subsection"/>
        <w:keepNext/>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rPr>
          <w:snapToGrid w:val="0"/>
        </w:rPr>
      </w:pPr>
      <w:r>
        <w:rPr>
          <w:snapToGrid w:val="0"/>
        </w:rPr>
        <w:tab/>
        <w:t>(3)</w:t>
      </w:r>
      <w:r>
        <w:rPr>
          <w:snapToGrid w:val="0"/>
        </w:rPr>
        <w:tab/>
        <w:t>A licensee who alters the name, style, title, or designation under which he carries on business as an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40 amended by No. 43 of 1994 s. 11.] </w:t>
      </w:r>
    </w:p>
    <w:p>
      <w:pPr>
        <w:pStyle w:val="Heading5"/>
        <w:rPr>
          <w:snapToGrid w:val="0"/>
        </w:rPr>
      </w:pPr>
      <w:bookmarkStart w:id="534" w:name="_Toc480623738"/>
      <w:bookmarkStart w:id="535" w:name="_Toc520177772"/>
      <w:bookmarkStart w:id="536" w:name="_Toc102899367"/>
      <w:bookmarkStart w:id="537" w:name="_Toc124125409"/>
      <w:bookmarkStart w:id="538" w:name="_Toc172965497"/>
      <w:bookmarkStart w:id="539" w:name="_Toc163361797"/>
      <w:r>
        <w:rPr>
          <w:rStyle w:val="CharSectno"/>
        </w:rPr>
        <w:t>41</w:t>
      </w:r>
      <w:r>
        <w:rPr>
          <w:snapToGrid w:val="0"/>
        </w:rPr>
        <w:t>.</w:t>
      </w:r>
      <w:r>
        <w:rPr>
          <w:snapToGrid w:val="0"/>
        </w:rPr>
        <w:tab/>
        <w:t>Official details to be displayed in offices, on correspondence, etc.</w:t>
      </w:r>
      <w:bookmarkEnd w:id="534"/>
      <w:bookmarkEnd w:id="535"/>
      <w:bookmarkEnd w:id="536"/>
      <w:bookmarkEnd w:id="537"/>
      <w:bookmarkEnd w:id="538"/>
      <w:bookmarkEnd w:id="539"/>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540" w:name="_Toc72643412"/>
      <w:bookmarkStart w:id="541" w:name="_Toc89596377"/>
      <w:bookmarkStart w:id="542" w:name="_Toc91303103"/>
      <w:bookmarkStart w:id="543" w:name="_Toc92701213"/>
      <w:bookmarkStart w:id="544" w:name="_Toc96996938"/>
      <w:bookmarkStart w:id="545" w:name="_Toc98833449"/>
      <w:bookmarkStart w:id="546" w:name="_Toc99166057"/>
      <w:bookmarkStart w:id="547" w:name="_Toc100021716"/>
      <w:bookmarkStart w:id="548" w:name="_Toc100562070"/>
      <w:bookmarkStart w:id="549" w:name="_Toc100562445"/>
      <w:bookmarkStart w:id="550" w:name="_Toc102373463"/>
      <w:bookmarkStart w:id="551" w:name="_Toc102536124"/>
      <w:bookmarkStart w:id="552" w:name="_Toc102899368"/>
      <w:bookmarkStart w:id="553" w:name="_Toc107197846"/>
      <w:bookmarkStart w:id="554" w:name="_Toc116713276"/>
      <w:bookmarkStart w:id="555" w:name="_Toc116812985"/>
      <w:bookmarkStart w:id="556" w:name="_Toc121566524"/>
      <w:bookmarkStart w:id="557" w:name="_Toc124125410"/>
      <w:bookmarkStart w:id="558" w:name="_Toc124140860"/>
      <w:bookmarkStart w:id="559" w:name="_Toc139362642"/>
      <w:bookmarkStart w:id="560" w:name="_Toc139685839"/>
      <w:bookmarkStart w:id="561" w:name="_Toc154197200"/>
      <w:bookmarkStart w:id="562" w:name="_Toc158003590"/>
      <w:bookmarkStart w:id="563" w:name="_Toc163273815"/>
      <w:bookmarkStart w:id="564" w:name="_Toc163361798"/>
      <w:bookmarkStart w:id="565" w:name="_Toc172965297"/>
      <w:bookmarkStart w:id="566" w:name="_Toc172965498"/>
      <w:r>
        <w:rPr>
          <w:rStyle w:val="CharPartNo"/>
        </w:rPr>
        <w:t>Part IV</w:t>
      </w:r>
      <w:r>
        <w:rPr>
          <w:rStyle w:val="CharDivNo"/>
        </w:rPr>
        <w:t> </w:t>
      </w:r>
      <w:r>
        <w:t>—</w:t>
      </w:r>
      <w:r>
        <w:rPr>
          <w:rStyle w:val="CharDivText"/>
        </w:rPr>
        <w:t> </w:t>
      </w:r>
      <w:r>
        <w:rPr>
          <w:rStyle w:val="CharPartText"/>
        </w:rPr>
        <w:t>Registration of sales representatives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Pr>
          <w:rStyle w:val="CharPartText"/>
        </w:rPr>
        <w:t xml:space="preserve"> </w:t>
      </w:r>
    </w:p>
    <w:p>
      <w:pPr>
        <w:pStyle w:val="Heading5"/>
        <w:rPr>
          <w:snapToGrid w:val="0"/>
        </w:rPr>
      </w:pPr>
      <w:bookmarkStart w:id="567" w:name="_Toc480623739"/>
      <w:bookmarkStart w:id="568" w:name="_Toc520177773"/>
      <w:bookmarkStart w:id="569" w:name="_Toc102899369"/>
      <w:bookmarkStart w:id="570" w:name="_Toc124125411"/>
      <w:bookmarkStart w:id="571" w:name="_Toc172965499"/>
      <w:bookmarkStart w:id="572" w:name="_Toc163361799"/>
      <w:r>
        <w:rPr>
          <w:rStyle w:val="CharSectno"/>
        </w:rPr>
        <w:t>42</w:t>
      </w:r>
      <w:r>
        <w:rPr>
          <w:snapToGrid w:val="0"/>
        </w:rPr>
        <w:t>.</w:t>
      </w:r>
      <w:r>
        <w:rPr>
          <w:snapToGrid w:val="0"/>
        </w:rPr>
        <w:tab/>
        <w:t xml:space="preserve">Natural persons </w:t>
      </w:r>
      <w:bookmarkEnd w:id="567"/>
      <w:r>
        <w:rPr>
          <w:snapToGrid w:val="0"/>
        </w:rPr>
        <w:t>only may be registered</w:t>
      </w:r>
      <w:bookmarkEnd w:id="568"/>
      <w:bookmarkEnd w:id="569"/>
      <w:bookmarkEnd w:id="570"/>
      <w:bookmarkEnd w:id="571"/>
      <w:bookmarkEnd w:id="572"/>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573" w:name="_Toc480623740"/>
      <w:bookmarkStart w:id="574" w:name="_Toc520177774"/>
      <w:bookmarkStart w:id="575" w:name="_Toc102899370"/>
      <w:bookmarkStart w:id="576" w:name="_Toc124125412"/>
      <w:bookmarkStart w:id="577" w:name="_Toc172965500"/>
      <w:bookmarkStart w:id="578" w:name="_Toc163361800"/>
      <w:r>
        <w:rPr>
          <w:rStyle w:val="CharSectno"/>
        </w:rPr>
        <w:t>43</w:t>
      </w:r>
      <w:r>
        <w:rPr>
          <w:snapToGrid w:val="0"/>
        </w:rPr>
        <w:t>.</w:t>
      </w:r>
      <w:r>
        <w:rPr>
          <w:snapToGrid w:val="0"/>
        </w:rPr>
        <w:tab/>
        <w:t>Application</w:t>
      </w:r>
      <w:bookmarkEnd w:id="573"/>
      <w:r>
        <w:rPr>
          <w:snapToGrid w:val="0"/>
        </w:rPr>
        <w:t xml:space="preserve"> for registration</w:t>
      </w:r>
      <w:bookmarkEnd w:id="574"/>
      <w:bookmarkEnd w:id="575"/>
      <w:bookmarkEnd w:id="576"/>
      <w:bookmarkEnd w:id="577"/>
      <w:bookmarkEnd w:id="578"/>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 Board in respect of such an application and shall contain such information as is required by the Board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(4)</w:t>
      </w:r>
      <w:r>
        <w:rPr>
          <w:snapToGrid w:val="0"/>
        </w:rPr>
        <w:tab/>
        <w:t>An applicant is a party to proceedings before the Board on his application.</w:t>
      </w:r>
    </w:p>
    <w:p>
      <w:pPr>
        <w:pStyle w:val="Heading5"/>
        <w:rPr>
          <w:snapToGrid w:val="0"/>
        </w:rPr>
      </w:pPr>
      <w:bookmarkStart w:id="579" w:name="_Toc480623741"/>
      <w:bookmarkStart w:id="580" w:name="_Toc520177775"/>
      <w:bookmarkStart w:id="581" w:name="_Toc102899371"/>
      <w:bookmarkStart w:id="582" w:name="_Toc124125413"/>
      <w:bookmarkStart w:id="583" w:name="_Toc172965501"/>
      <w:bookmarkStart w:id="584" w:name="_Toc163361801"/>
      <w:r>
        <w:rPr>
          <w:rStyle w:val="CharSectno"/>
        </w:rPr>
        <w:t>44</w:t>
      </w:r>
      <w:r>
        <w:rPr>
          <w:snapToGrid w:val="0"/>
        </w:rPr>
        <w:t>.</w:t>
      </w:r>
      <w:r>
        <w:rPr>
          <w:snapToGrid w:val="0"/>
        </w:rPr>
        <w:tab/>
        <w:t>Real estate sales representatives</w:t>
      </w:r>
      <w:bookmarkEnd w:id="579"/>
      <w:r>
        <w:rPr>
          <w:snapToGrid w:val="0"/>
        </w:rPr>
        <w:t xml:space="preserve"> to be registered etc.</w:t>
      </w:r>
      <w:bookmarkEnd w:id="580"/>
      <w:bookmarkEnd w:id="581"/>
      <w:bookmarkEnd w:id="582"/>
      <w:bookmarkEnd w:id="583"/>
      <w:bookmarkEnd w:id="584"/>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spacing w:before="120"/>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 xml:space="preserve">[Section 44 amended by No. 43 of 1994 s. 11.] </w:t>
      </w:r>
    </w:p>
    <w:p>
      <w:pPr>
        <w:pStyle w:val="Heading5"/>
        <w:rPr>
          <w:snapToGrid w:val="0"/>
        </w:rPr>
      </w:pPr>
      <w:bookmarkStart w:id="585" w:name="_Toc480623742"/>
      <w:bookmarkStart w:id="586" w:name="_Toc520177776"/>
      <w:bookmarkStart w:id="587" w:name="_Toc102899372"/>
      <w:bookmarkStart w:id="588" w:name="_Toc124125414"/>
      <w:bookmarkStart w:id="589" w:name="_Toc172965502"/>
      <w:bookmarkStart w:id="590" w:name="_Toc163361802"/>
      <w:r>
        <w:rPr>
          <w:rStyle w:val="CharSectno"/>
        </w:rPr>
        <w:t>45</w:t>
      </w:r>
      <w:r>
        <w:rPr>
          <w:snapToGrid w:val="0"/>
        </w:rPr>
        <w:t>.</w:t>
      </w:r>
      <w:r>
        <w:rPr>
          <w:snapToGrid w:val="0"/>
        </w:rPr>
        <w:tab/>
        <w:t>Business sales representatives</w:t>
      </w:r>
      <w:bookmarkEnd w:id="585"/>
      <w:r>
        <w:rPr>
          <w:snapToGrid w:val="0"/>
        </w:rPr>
        <w:t xml:space="preserve"> to be registered etc.</w:t>
      </w:r>
      <w:bookmarkEnd w:id="586"/>
      <w:bookmarkEnd w:id="587"/>
      <w:bookmarkEnd w:id="588"/>
      <w:bookmarkEnd w:id="589"/>
      <w:bookmarkEnd w:id="590"/>
    </w:p>
    <w:p>
      <w:pPr>
        <w:pStyle w:val="Subsection"/>
        <w:spacing w:before="120"/>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 xml:space="preserve">[Section 45 amended by No. 43 of 1994 s. 11.] </w:t>
      </w:r>
    </w:p>
    <w:p>
      <w:pPr>
        <w:pStyle w:val="Heading5"/>
        <w:rPr>
          <w:snapToGrid w:val="0"/>
        </w:rPr>
      </w:pPr>
      <w:bookmarkStart w:id="591" w:name="_Toc480623743"/>
      <w:bookmarkStart w:id="592" w:name="_Toc520177777"/>
      <w:bookmarkStart w:id="593" w:name="_Toc102899373"/>
      <w:bookmarkStart w:id="594" w:name="_Toc124125415"/>
      <w:bookmarkStart w:id="595" w:name="_Toc172965503"/>
      <w:bookmarkStart w:id="596" w:name="_Toc163361803"/>
      <w:r>
        <w:rPr>
          <w:rStyle w:val="CharSectno"/>
        </w:rPr>
        <w:t>46</w:t>
      </w:r>
      <w:r>
        <w:rPr>
          <w:snapToGrid w:val="0"/>
        </w:rPr>
        <w:t>.</w:t>
      </w:r>
      <w:r>
        <w:rPr>
          <w:snapToGrid w:val="0"/>
        </w:rPr>
        <w:tab/>
        <w:t>Partners and directors of licensees</w:t>
      </w:r>
      <w:bookmarkEnd w:id="591"/>
      <w:r>
        <w:rPr>
          <w:snapToGrid w:val="0"/>
        </w:rPr>
        <w:t xml:space="preserve"> to be registered in certain cases</w:t>
      </w:r>
      <w:bookmarkEnd w:id="592"/>
      <w:bookmarkEnd w:id="593"/>
      <w:bookmarkEnd w:id="594"/>
      <w:bookmarkEnd w:id="595"/>
      <w:bookmarkEnd w:id="596"/>
    </w:p>
    <w:p>
      <w:pPr>
        <w:pStyle w:val="Subsection"/>
        <w:keepNext/>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 xml:space="preserve">[Section 46 amended by No. 43 of 1994 s. 11.] </w:t>
      </w:r>
    </w:p>
    <w:p>
      <w:pPr>
        <w:pStyle w:val="Heading5"/>
        <w:rPr>
          <w:snapToGrid w:val="0"/>
        </w:rPr>
      </w:pPr>
      <w:bookmarkStart w:id="597" w:name="_Toc480623744"/>
      <w:bookmarkStart w:id="598" w:name="_Toc520177778"/>
      <w:bookmarkStart w:id="599" w:name="_Toc102899374"/>
      <w:bookmarkStart w:id="600" w:name="_Toc124125416"/>
      <w:bookmarkStart w:id="601" w:name="_Toc172965504"/>
      <w:bookmarkStart w:id="602" w:name="_Toc163361804"/>
      <w:r>
        <w:rPr>
          <w:rStyle w:val="CharSectno"/>
        </w:rPr>
        <w:t>47</w:t>
      </w:r>
      <w:r>
        <w:rPr>
          <w:snapToGrid w:val="0"/>
        </w:rPr>
        <w:t>.</w:t>
      </w:r>
      <w:r>
        <w:rPr>
          <w:snapToGrid w:val="0"/>
        </w:rPr>
        <w:tab/>
      </w:r>
      <w:bookmarkEnd w:id="597"/>
      <w:r>
        <w:rPr>
          <w:snapToGrid w:val="0"/>
        </w:rPr>
        <w:t>Natural person, grant of certificate of registration to</w:t>
      </w:r>
      <w:bookmarkEnd w:id="598"/>
      <w:bookmarkEnd w:id="599"/>
      <w:bookmarkEnd w:id="600"/>
      <w:bookmarkEnd w:id="601"/>
      <w:bookmarkEnd w:id="602"/>
    </w:p>
    <w:p>
      <w:pPr>
        <w:pStyle w:val="Subsection"/>
        <w:rPr>
          <w:snapToGrid w:val="0"/>
        </w:rPr>
      </w:pPr>
      <w:r>
        <w:rPr>
          <w:snapToGrid w:val="0"/>
        </w:rPr>
        <w:tab/>
        <w:t>(1)</w:t>
      </w:r>
      <w:r>
        <w:rPr>
          <w:snapToGrid w:val="0"/>
        </w:rPr>
        <w:tab/>
        <w:t>Subject to this Act, an individual natural person who applies to the Board for a certificate of registration as a real estate and business sales representative and pays to the Board the prescribed fee for that certificate shall be granted and may hold a certificate of registration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Heading5"/>
        <w:rPr>
          <w:snapToGrid w:val="0"/>
        </w:rPr>
      </w:pPr>
      <w:bookmarkStart w:id="603" w:name="_Toc480623745"/>
      <w:bookmarkStart w:id="604" w:name="_Toc520177779"/>
      <w:bookmarkStart w:id="605" w:name="_Toc102899375"/>
      <w:bookmarkStart w:id="606" w:name="_Toc124125417"/>
      <w:bookmarkStart w:id="607" w:name="_Toc172965505"/>
      <w:bookmarkStart w:id="608" w:name="_Toc163361805"/>
      <w:r>
        <w:rPr>
          <w:rStyle w:val="CharSectno"/>
        </w:rPr>
        <w:t>48</w:t>
      </w:r>
      <w:r>
        <w:rPr>
          <w:snapToGrid w:val="0"/>
        </w:rPr>
        <w:t>.</w:t>
      </w:r>
      <w:r>
        <w:rPr>
          <w:snapToGrid w:val="0"/>
        </w:rPr>
        <w:tab/>
        <w:t>Certificate of registration, duration and renewal of</w:t>
      </w:r>
      <w:bookmarkEnd w:id="603"/>
      <w:bookmarkEnd w:id="604"/>
      <w:bookmarkEnd w:id="605"/>
      <w:bookmarkEnd w:id="606"/>
      <w:bookmarkEnd w:id="607"/>
      <w:bookmarkEnd w:id="608"/>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Board for renewal of a certificate shall be —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The Board shall not renew a certificate of registration unless it is satisfied that the sales representative was employed by a licensee at the time of making the application or will be employed by a licensee upon the renewal of the certificate.</w:t>
      </w:r>
    </w:p>
    <w:p>
      <w:pPr>
        <w:pStyle w:val="Subsection"/>
        <w:rPr>
          <w:snapToGrid w:val="0"/>
        </w:rPr>
      </w:pPr>
      <w:r>
        <w:rPr>
          <w:snapToGrid w:val="0"/>
        </w:rPr>
        <w:tab/>
        <w:t>(5)</w:t>
      </w:r>
      <w:r>
        <w:rPr>
          <w:snapToGrid w:val="0"/>
        </w:rPr>
        <w:tab/>
        <w:t xml:space="preserve">The Board may refuse to renew a sales representative’s certificate of registration if — </w:t>
      </w:r>
    </w:p>
    <w:p>
      <w:pPr>
        <w:pStyle w:val="Indenta"/>
        <w:rPr>
          <w:snapToGrid w:val="0"/>
        </w:rPr>
      </w:pPr>
      <w:r>
        <w:rPr>
          <w:snapToGrid w:val="0"/>
        </w:rPr>
        <w:tab/>
        <w:t>(a)</w:t>
      </w:r>
      <w:r>
        <w:rPr>
          <w:snapToGrid w:val="0"/>
        </w:rPr>
        <w:tab/>
        <w:t>the Board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 xml:space="preserve">[Section 48 amended by No. 56 of 1995 s. 42; No. 34 of 1998 s. 12; No. 55 of 2004 s. 1009.] </w:t>
      </w:r>
    </w:p>
    <w:p>
      <w:pPr>
        <w:pStyle w:val="Heading5"/>
        <w:rPr>
          <w:snapToGrid w:val="0"/>
        </w:rPr>
      </w:pPr>
      <w:bookmarkStart w:id="609" w:name="_Toc480623746"/>
      <w:bookmarkStart w:id="610" w:name="_Toc520177780"/>
      <w:bookmarkStart w:id="611" w:name="_Toc102899376"/>
      <w:bookmarkStart w:id="612" w:name="_Toc124125418"/>
      <w:bookmarkStart w:id="613" w:name="_Toc172965506"/>
      <w:bookmarkStart w:id="614" w:name="_Toc163361806"/>
      <w:r>
        <w:rPr>
          <w:rStyle w:val="CharSectno"/>
        </w:rPr>
        <w:t>49</w:t>
      </w:r>
      <w:r>
        <w:rPr>
          <w:snapToGrid w:val="0"/>
        </w:rPr>
        <w:t>.</w:t>
      </w:r>
      <w:r>
        <w:rPr>
          <w:snapToGrid w:val="0"/>
        </w:rPr>
        <w:tab/>
        <w:t>Certificates of registration, late renewal of</w:t>
      </w:r>
      <w:bookmarkEnd w:id="609"/>
      <w:bookmarkEnd w:id="610"/>
      <w:bookmarkEnd w:id="611"/>
      <w:bookmarkEnd w:id="612"/>
      <w:bookmarkEnd w:id="613"/>
      <w:bookmarkEnd w:id="614"/>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Board that there is reasonable cause for the renewal to be deemed to take effect for the prescribed period on and from the day next succeeding the day on which the certificate of registration expired, the Board shall so determine and the renewal shall take effect accordingly.</w:t>
      </w:r>
    </w:p>
    <w:p>
      <w:pPr>
        <w:pStyle w:val="Subsection"/>
        <w:rPr>
          <w:snapToGrid w:val="0"/>
        </w:rPr>
      </w:pPr>
      <w:r>
        <w:rPr>
          <w:snapToGrid w:val="0"/>
        </w:rPr>
        <w:tab/>
        <w:t>(3)</w:t>
      </w:r>
      <w:r>
        <w:rPr>
          <w:snapToGrid w:val="0"/>
        </w:rPr>
        <w:tab/>
        <w:t>Where a certificate of registration expires and is not renewed within the period of 12 months thereafter, an application for a renewal shall be made at least 28 days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(4)</w:t>
      </w:r>
      <w:r>
        <w:rPr>
          <w:snapToGrid w:val="0"/>
        </w:rPr>
        <w:tab/>
        <w:t>An application for renewal referred to in subsection (3)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In respect of any particular application referred to in subsection (3) the applicant shall furnish the Board with such further information as the Board determines, verified if the Board so determines by statutory declaration.</w:t>
      </w:r>
    </w:p>
    <w:p>
      <w:pPr>
        <w:pStyle w:val="Subsection"/>
        <w:keepNext/>
        <w:spacing w:before="120"/>
        <w:rPr>
          <w:snapToGrid w:val="0"/>
        </w:rPr>
      </w:pPr>
      <w:r>
        <w:rPr>
          <w:snapToGrid w:val="0"/>
        </w:rPr>
        <w:tab/>
        <w:t>(7)</w:t>
      </w:r>
      <w:r>
        <w:rPr>
          <w:snapToGrid w:val="0"/>
        </w:rPr>
        <w:tab/>
        <w:t>An applicant for a renewal referred to in subsection (3) is a party to proceedings on his application.</w:t>
      </w:r>
    </w:p>
    <w:p>
      <w:pPr>
        <w:pStyle w:val="Footnotesection"/>
      </w:pPr>
      <w:r>
        <w:tab/>
        <w:t xml:space="preserve">[Section 49 amended by No. 56 of 1995 s. 43.] </w:t>
      </w:r>
    </w:p>
    <w:p>
      <w:pPr>
        <w:pStyle w:val="Heading5"/>
        <w:rPr>
          <w:snapToGrid w:val="0"/>
        </w:rPr>
      </w:pPr>
      <w:bookmarkStart w:id="615" w:name="_Toc480623747"/>
      <w:bookmarkStart w:id="616" w:name="_Toc520177781"/>
      <w:bookmarkStart w:id="617" w:name="_Toc102899377"/>
      <w:bookmarkStart w:id="618" w:name="_Toc124125419"/>
      <w:bookmarkStart w:id="619" w:name="_Toc172965507"/>
      <w:bookmarkStart w:id="620" w:name="_Toc163361807"/>
      <w:r>
        <w:rPr>
          <w:rStyle w:val="CharSectno"/>
        </w:rPr>
        <w:t>50</w:t>
      </w:r>
      <w:r>
        <w:rPr>
          <w:snapToGrid w:val="0"/>
        </w:rPr>
        <w:t>.</w:t>
      </w:r>
      <w:r>
        <w:rPr>
          <w:snapToGrid w:val="0"/>
        </w:rPr>
        <w:tab/>
        <w:t>Conditions on certificates of registration</w:t>
      </w:r>
      <w:bookmarkEnd w:id="615"/>
      <w:bookmarkEnd w:id="616"/>
      <w:bookmarkEnd w:id="617"/>
      <w:bookmarkEnd w:id="618"/>
      <w:bookmarkEnd w:id="619"/>
      <w:bookmarkEnd w:id="620"/>
      <w:r>
        <w:rPr>
          <w:snapToGrid w:val="0"/>
        </w:rPr>
        <w:t xml:space="preserve"> </w:t>
      </w:r>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The Board may grant a certificate of registration or a renewal thereof subject to such special conditions as it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 xml:space="preserve">[Section 50 amended by No. 56 of 1995 s. 44; No. 34 of 1998 s. 13.] </w:t>
      </w:r>
    </w:p>
    <w:p>
      <w:pPr>
        <w:pStyle w:val="Heading5"/>
      </w:pPr>
      <w:bookmarkStart w:id="621" w:name="_Toc102899378"/>
      <w:bookmarkStart w:id="622" w:name="_Toc124125420"/>
      <w:bookmarkStart w:id="623" w:name="_Toc172965508"/>
      <w:bookmarkStart w:id="624" w:name="_Toc163361808"/>
      <w:bookmarkStart w:id="625" w:name="_Toc480623748"/>
      <w:bookmarkStart w:id="626" w:name="_Toc520177782"/>
      <w:r>
        <w:rPr>
          <w:rStyle w:val="CharSectno"/>
        </w:rPr>
        <w:t>50A</w:t>
      </w:r>
      <w:r>
        <w:rPr>
          <w:snapToGrid w:val="0"/>
        </w:rPr>
        <w:t>.</w:t>
      </w:r>
      <w:r>
        <w:tab/>
        <w:t>Unopposed applications</w:t>
      </w:r>
      <w:bookmarkEnd w:id="621"/>
      <w:bookmarkEnd w:id="622"/>
      <w:bookmarkEnd w:id="623"/>
      <w:bookmarkEnd w:id="624"/>
    </w:p>
    <w:p>
      <w:pPr>
        <w:pStyle w:val="Subsection"/>
        <w:spacing w:before="120"/>
        <w:rPr>
          <w:snapToGrid w:val="0"/>
        </w:rPr>
      </w:pPr>
      <w:r>
        <w:rPr>
          <w:snapToGrid w:val="0"/>
        </w:rPr>
        <w:tab/>
        <w:t>(1)</w:t>
      </w:r>
      <w:r>
        <w:rPr>
          <w:snapToGrid w:val="0"/>
        </w:rPr>
        <w:tab/>
        <w:t xml:space="preserve">Subject to this Part, a certificate of registration may be granted or renewed, (as long as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spacing w:before="120"/>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certificate of registration or the renewed certificate of registration, as the case may be, to the applicant.</w:t>
      </w:r>
    </w:p>
    <w:p>
      <w:pPr>
        <w:pStyle w:val="Subsection"/>
        <w:spacing w:before="120"/>
        <w:rPr>
          <w:snapToGrid w:val="0"/>
        </w:rPr>
      </w:pPr>
      <w:r>
        <w:rPr>
          <w:snapToGrid w:val="0"/>
        </w:rPr>
        <w:tab/>
        <w:t>(3)</w:t>
      </w:r>
      <w:r>
        <w:rPr>
          <w:snapToGrid w:val="0"/>
        </w:rPr>
        <w:tab/>
        <w:t>Section 47 applies to the Registrar in the performance of a function under subsection (1) as if a reference in that provision to the Board being satisfied as to a matter were a reference to the Registrar being satisfied as to the matter.</w:t>
      </w:r>
    </w:p>
    <w:p>
      <w:pPr>
        <w:pStyle w:val="Footnotesection"/>
        <w:keepLines w:val="0"/>
      </w:pPr>
      <w:r>
        <w:tab/>
        <w:t>[Section 50A inserted by No. 55 of 2004 s. 1010.]</w:t>
      </w:r>
    </w:p>
    <w:p>
      <w:pPr>
        <w:pStyle w:val="Heading5"/>
      </w:pPr>
      <w:bookmarkStart w:id="627" w:name="_Toc102899379"/>
      <w:bookmarkStart w:id="628" w:name="_Toc124125421"/>
      <w:bookmarkStart w:id="629" w:name="_Toc172965509"/>
      <w:bookmarkStart w:id="630" w:name="_Toc163361809"/>
      <w:r>
        <w:rPr>
          <w:rStyle w:val="CharSectno"/>
        </w:rPr>
        <w:t>50B</w:t>
      </w:r>
      <w:r>
        <w:t>.</w:t>
      </w:r>
      <w:r>
        <w:tab/>
        <w:t>Suspension of registration by State Administrative Tribunal</w:t>
      </w:r>
      <w:bookmarkEnd w:id="627"/>
      <w:bookmarkEnd w:id="628"/>
      <w:bookmarkEnd w:id="629"/>
      <w:bookmarkEnd w:id="630"/>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50B inserted by No. 55 of 2004 s. 1010.]</w:t>
      </w:r>
    </w:p>
    <w:p>
      <w:pPr>
        <w:pStyle w:val="Heading5"/>
        <w:rPr>
          <w:snapToGrid w:val="0"/>
        </w:rPr>
      </w:pPr>
      <w:bookmarkStart w:id="631" w:name="_Toc102899380"/>
      <w:bookmarkStart w:id="632" w:name="_Toc124125422"/>
      <w:bookmarkStart w:id="633" w:name="_Toc172965510"/>
      <w:bookmarkStart w:id="634" w:name="_Toc163361810"/>
      <w:r>
        <w:rPr>
          <w:rStyle w:val="CharSectno"/>
        </w:rPr>
        <w:t>51</w:t>
      </w:r>
      <w:r>
        <w:rPr>
          <w:snapToGrid w:val="0"/>
        </w:rPr>
        <w:t>.</w:t>
      </w:r>
      <w:r>
        <w:rPr>
          <w:snapToGrid w:val="0"/>
        </w:rPr>
        <w:tab/>
      </w:r>
      <w:bookmarkEnd w:id="625"/>
      <w:r>
        <w:rPr>
          <w:snapToGrid w:val="0"/>
        </w:rPr>
        <w:t>Commencing or ceasing as sales representative, Registrar to be notified</w:t>
      </w:r>
      <w:bookmarkEnd w:id="626"/>
      <w:bookmarkEnd w:id="631"/>
      <w:bookmarkEnd w:id="632"/>
      <w:bookmarkEnd w:id="633"/>
      <w:bookmarkEnd w:id="634"/>
    </w:p>
    <w:p>
      <w:pPr>
        <w:pStyle w:val="Subsection"/>
        <w:rPr>
          <w:snapToGrid w:val="0"/>
        </w:rPr>
      </w:pPr>
      <w:r>
        <w:rPr>
          <w:snapToGrid w:val="0"/>
        </w:rPr>
        <w:tab/>
        <w:t>(1)</w:t>
      </w:r>
      <w:r>
        <w:rPr>
          <w:snapToGrid w:val="0"/>
        </w:rPr>
        <w:tab/>
        <w:t>A registered sales representative shall, within 14 days after commencing or ceasing in the employment of, or to act for or on behalf of, a licensee or a developer, as the case may be, as a sales representative, give to the Registrar notice in writing of that fact and such further particulars thereof as are prescribed or as are required by the Board.</w:t>
      </w:r>
    </w:p>
    <w:p>
      <w:pPr>
        <w:pStyle w:val="Subsection"/>
        <w:rPr>
          <w:snapToGrid w:val="0"/>
        </w:rPr>
      </w:pPr>
      <w:r>
        <w:rPr>
          <w:snapToGrid w:val="0"/>
        </w:rPr>
        <w:tab/>
        <w:t>(2)</w:t>
      </w:r>
      <w:r>
        <w:rPr>
          <w:snapToGrid w:val="0"/>
        </w:rPr>
        <w:tab/>
        <w:t>A registered sales representative shall give to the Registrar notice in writing of any change in the address of the registered sales representative as soon as practicable after that change takes place.</w:t>
      </w:r>
    </w:p>
    <w:p>
      <w:pPr>
        <w:pStyle w:val="Footnotesection"/>
      </w:pPr>
      <w:r>
        <w:tab/>
        <w:t xml:space="preserve">[Section 51 amended by No. 56 of 1995 s. 45.] </w:t>
      </w:r>
    </w:p>
    <w:p>
      <w:pPr>
        <w:pStyle w:val="Heading5"/>
        <w:rPr>
          <w:snapToGrid w:val="0"/>
        </w:rPr>
      </w:pPr>
      <w:bookmarkStart w:id="635" w:name="_Toc480623749"/>
      <w:bookmarkStart w:id="636" w:name="_Toc520177783"/>
      <w:bookmarkStart w:id="637" w:name="_Toc102899381"/>
      <w:bookmarkStart w:id="638" w:name="_Toc124125423"/>
      <w:bookmarkStart w:id="639" w:name="_Toc172965511"/>
      <w:bookmarkStart w:id="640" w:name="_Toc163361811"/>
      <w:r>
        <w:rPr>
          <w:rStyle w:val="CharSectno"/>
        </w:rPr>
        <w:t>52</w:t>
      </w:r>
      <w:r>
        <w:rPr>
          <w:snapToGrid w:val="0"/>
        </w:rPr>
        <w:t>.</w:t>
      </w:r>
      <w:r>
        <w:rPr>
          <w:snapToGrid w:val="0"/>
        </w:rPr>
        <w:tab/>
        <w:t>Certificate of registration not transferable</w:t>
      </w:r>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A certificate of registration is not transferable.</w:t>
      </w:r>
    </w:p>
    <w:p>
      <w:pPr>
        <w:pStyle w:val="Subsection"/>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rPr>
          <w:snapToGrid w:val="0"/>
        </w:rPr>
      </w:pPr>
      <w:r>
        <w:rPr>
          <w:snapToGrid w:val="0"/>
        </w:rPr>
        <w:tab/>
        <w:t>Penalty: $3 000.</w:t>
      </w:r>
    </w:p>
    <w:p>
      <w:pPr>
        <w:pStyle w:val="Footnotesection"/>
      </w:pPr>
      <w:r>
        <w:tab/>
        <w:t xml:space="preserve">[Section 52 amended by No. 43 of 1994 s. 11.] </w:t>
      </w:r>
    </w:p>
    <w:p>
      <w:pPr>
        <w:pStyle w:val="Heading5"/>
        <w:rPr>
          <w:snapToGrid w:val="0"/>
        </w:rPr>
      </w:pPr>
      <w:bookmarkStart w:id="641" w:name="_Toc480623750"/>
      <w:bookmarkStart w:id="642" w:name="_Toc520177784"/>
      <w:bookmarkStart w:id="643" w:name="_Toc102899382"/>
      <w:bookmarkStart w:id="644" w:name="_Toc124125424"/>
      <w:bookmarkStart w:id="645" w:name="_Toc172965512"/>
      <w:bookmarkStart w:id="646" w:name="_Toc163361812"/>
      <w:r>
        <w:rPr>
          <w:rStyle w:val="CharSectno"/>
        </w:rPr>
        <w:t>53</w:t>
      </w:r>
      <w:r>
        <w:rPr>
          <w:snapToGrid w:val="0"/>
        </w:rPr>
        <w:t>.</w:t>
      </w:r>
      <w:r>
        <w:rPr>
          <w:snapToGrid w:val="0"/>
        </w:rPr>
        <w:tab/>
        <w:t>Certificate of registration</w:t>
      </w:r>
      <w:bookmarkEnd w:id="641"/>
      <w:r>
        <w:rPr>
          <w:snapToGrid w:val="0"/>
        </w:rPr>
        <w:t>, surrender of</w:t>
      </w:r>
      <w:bookmarkEnd w:id="642"/>
      <w:bookmarkEnd w:id="643"/>
      <w:bookmarkEnd w:id="644"/>
      <w:bookmarkEnd w:id="645"/>
      <w:bookmarkEnd w:id="646"/>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rPr>
          <w:snapToGrid w:val="0"/>
        </w:rPr>
      </w:pPr>
      <w:bookmarkStart w:id="647" w:name="_Toc480623751"/>
      <w:bookmarkStart w:id="648" w:name="_Toc520177785"/>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pPr>
      <w:r>
        <w:tab/>
        <w:t>[Section 53 amended by No. 55 of 2004 s. 1011.]</w:t>
      </w:r>
    </w:p>
    <w:p>
      <w:pPr>
        <w:pStyle w:val="Heading5"/>
        <w:rPr>
          <w:snapToGrid w:val="0"/>
        </w:rPr>
      </w:pPr>
      <w:bookmarkStart w:id="649" w:name="_Toc102899383"/>
      <w:bookmarkStart w:id="650" w:name="_Toc124125425"/>
      <w:bookmarkStart w:id="651" w:name="_Toc172965513"/>
      <w:bookmarkStart w:id="652" w:name="_Toc163361813"/>
      <w:r>
        <w:rPr>
          <w:rStyle w:val="CharSectno"/>
        </w:rPr>
        <w:t>54</w:t>
      </w:r>
      <w:r>
        <w:rPr>
          <w:snapToGrid w:val="0"/>
        </w:rPr>
        <w:t>.</w:t>
      </w:r>
      <w:r>
        <w:rPr>
          <w:snapToGrid w:val="0"/>
        </w:rPr>
        <w:tab/>
        <w:t>Sales representative</w:t>
      </w:r>
      <w:bookmarkEnd w:id="647"/>
      <w:r>
        <w:rPr>
          <w:snapToGrid w:val="0"/>
        </w:rPr>
        <w:t>s, employment of</w:t>
      </w:r>
      <w:bookmarkEnd w:id="648"/>
      <w:bookmarkEnd w:id="649"/>
      <w:bookmarkEnd w:id="650"/>
      <w:bookmarkEnd w:id="651"/>
      <w:bookmarkEnd w:id="652"/>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Footnotesection"/>
      </w:pPr>
      <w:r>
        <w:tab/>
        <w:t xml:space="preserve">[Section 54 amended by No. 43 of 1994 s. 11.] </w:t>
      </w:r>
    </w:p>
    <w:p>
      <w:pPr>
        <w:pStyle w:val="Heading5"/>
        <w:rPr>
          <w:snapToGrid w:val="0"/>
        </w:rPr>
      </w:pPr>
      <w:bookmarkStart w:id="653" w:name="_Toc480623752"/>
      <w:bookmarkStart w:id="654" w:name="_Toc520177786"/>
      <w:bookmarkStart w:id="655" w:name="_Toc102899384"/>
      <w:bookmarkStart w:id="656" w:name="_Toc124125426"/>
      <w:bookmarkStart w:id="657" w:name="_Toc172965514"/>
      <w:bookmarkStart w:id="658" w:name="_Toc163361814"/>
      <w:r>
        <w:rPr>
          <w:rStyle w:val="CharSectno"/>
        </w:rPr>
        <w:t>55</w:t>
      </w:r>
      <w:r>
        <w:rPr>
          <w:snapToGrid w:val="0"/>
        </w:rPr>
        <w:t>.</w:t>
      </w:r>
      <w:r>
        <w:rPr>
          <w:snapToGrid w:val="0"/>
        </w:rPr>
        <w:tab/>
        <w:t>Sales representative to be in service of one person</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 xml:space="preserve">[Section 55 amended by No. 43 of 1994 s. 11.] </w:t>
      </w:r>
    </w:p>
    <w:p>
      <w:pPr>
        <w:pStyle w:val="Heading2"/>
      </w:pPr>
      <w:bookmarkStart w:id="659" w:name="_Toc72643427"/>
      <w:bookmarkStart w:id="660" w:name="_Toc89596392"/>
      <w:bookmarkStart w:id="661" w:name="_Toc91303120"/>
      <w:bookmarkStart w:id="662" w:name="_Toc92701230"/>
      <w:bookmarkStart w:id="663" w:name="_Toc96996955"/>
      <w:bookmarkStart w:id="664" w:name="_Toc98833466"/>
      <w:bookmarkStart w:id="665" w:name="_Toc99166074"/>
      <w:bookmarkStart w:id="666" w:name="_Toc100021733"/>
      <w:bookmarkStart w:id="667" w:name="_Toc100562087"/>
      <w:bookmarkStart w:id="668" w:name="_Toc100562462"/>
      <w:bookmarkStart w:id="669" w:name="_Toc102373480"/>
      <w:bookmarkStart w:id="670" w:name="_Toc102536141"/>
      <w:bookmarkStart w:id="671" w:name="_Toc102899385"/>
      <w:bookmarkStart w:id="672" w:name="_Toc107197863"/>
      <w:bookmarkStart w:id="673" w:name="_Toc116713293"/>
      <w:bookmarkStart w:id="674" w:name="_Toc116813002"/>
      <w:bookmarkStart w:id="675" w:name="_Toc121566541"/>
      <w:bookmarkStart w:id="676" w:name="_Toc124125427"/>
      <w:bookmarkStart w:id="677" w:name="_Toc124140877"/>
      <w:bookmarkStart w:id="678" w:name="_Toc139362659"/>
      <w:bookmarkStart w:id="679" w:name="_Toc139685856"/>
      <w:bookmarkStart w:id="680" w:name="_Toc154197217"/>
      <w:bookmarkStart w:id="681" w:name="_Toc158003607"/>
      <w:bookmarkStart w:id="682" w:name="_Toc163273832"/>
      <w:bookmarkStart w:id="683" w:name="_Toc163361815"/>
      <w:bookmarkStart w:id="684" w:name="_Toc172965314"/>
      <w:bookmarkStart w:id="685" w:name="_Toc172965515"/>
      <w:r>
        <w:rPr>
          <w:rStyle w:val="CharPartNo"/>
        </w:rPr>
        <w:t>Part V</w:t>
      </w:r>
      <w:r>
        <w:rPr>
          <w:rStyle w:val="CharDivNo"/>
        </w:rPr>
        <w:t> </w:t>
      </w:r>
      <w:r>
        <w:t>—</w:t>
      </w:r>
      <w:r>
        <w:rPr>
          <w:rStyle w:val="CharDivText"/>
        </w:rPr>
        <w:t> </w:t>
      </w:r>
      <w:r>
        <w:rPr>
          <w:rStyle w:val="CharPartText"/>
        </w:rPr>
        <w:t>General controls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Pr>
          <w:rStyle w:val="CharPartText"/>
        </w:rPr>
        <w:t xml:space="preserve"> </w:t>
      </w:r>
    </w:p>
    <w:p>
      <w:pPr>
        <w:pStyle w:val="Heading5"/>
        <w:rPr>
          <w:snapToGrid w:val="0"/>
        </w:rPr>
      </w:pPr>
      <w:bookmarkStart w:id="686" w:name="_Toc480623753"/>
      <w:bookmarkStart w:id="687" w:name="_Toc520177787"/>
      <w:bookmarkStart w:id="688" w:name="_Toc102899386"/>
      <w:bookmarkStart w:id="689" w:name="_Toc124125428"/>
      <w:bookmarkStart w:id="690" w:name="_Toc172965516"/>
      <w:bookmarkStart w:id="691" w:name="_Toc163361816"/>
      <w:r>
        <w:rPr>
          <w:rStyle w:val="CharSectno"/>
        </w:rPr>
        <w:t>56</w:t>
      </w:r>
      <w:r>
        <w:rPr>
          <w:snapToGrid w:val="0"/>
        </w:rPr>
        <w:t>.</w:t>
      </w:r>
      <w:r>
        <w:rPr>
          <w:snapToGrid w:val="0"/>
        </w:rPr>
        <w:tab/>
        <w:t>Franchising agreements</w:t>
      </w:r>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A licensee shall not carry on business pursuant to a franchising agreement unless he has the approval of the Board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Approval of the Board for a licensee to carry on business pursuant to a franchising agreement may be subject to such conditions as the Board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 </w:t>
      </w:r>
    </w:p>
    <w:p>
      <w:pPr>
        <w:pStyle w:val="Indenta"/>
        <w:rPr>
          <w:snapToGrid w:val="0"/>
        </w:rPr>
      </w:pPr>
      <w:r>
        <w:rPr>
          <w:snapToGrid w:val="0"/>
        </w:rPr>
        <w:tab/>
        <w:t>(a)</w:t>
      </w:r>
      <w:r>
        <w:rPr>
          <w:snapToGrid w:val="0"/>
        </w:rPr>
        <w:tab/>
        <w:t xml:space="preserve">each party to the agreement is liable to penalties imposed for failure to comply with the provisions of Part VI; and </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 xml:space="preserve">[Section 56 amended by No. 43 of 1994 s. 11.] </w:t>
      </w:r>
    </w:p>
    <w:p>
      <w:pPr>
        <w:pStyle w:val="Heading5"/>
        <w:rPr>
          <w:snapToGrid w:val="0"/>
        </w:rPr>
      </w:pPr>
      <w:bookmarkStart w:id="692" w:name="_Toc480623754"/>
      <w:bookmarkStart w:id="693" w:name="_Toc520177788"/>
      <w:bookmarkStart w:id="694" w:name="_Toc102899387"/>
      <w:bookmarkStart w:id="695" w:name="_Toc124125429"/>
      <w:bookmarkStart w:id="696" w:name="_Toc172965517"/>
      <w:bookmarkStart w:id="697" w:name="_Toc163361817"/>
      <w:r>
        <w:rPr>
          <w:rStyle w:val="CharSectno"/>
        </w:rPr>
        <w:t>57</w:t>
      </w:r>
      <w:r>
        <w:rPr>
          <w:snapToGrid w:val="0"/>
        </w:rPr>
        <w:t>.</w:t>
      </w:r>
      <w:r>
        <w:rPr>
          <w:snapToGrid w:val="0"/>
        </w:rPr>
        <w:tab/>
        <w:t>Developer’s principal place of business to be registered</w:t>
      </w:r>
      <w:bookmarkEnd w:id="692"/>
      <w:bookmarkEnd w:id="693"/>
      <w:bookmarkEnd w:id="694"/>
      <w:bookmarkEnd w:id="695"/>
      <w:bookmarkEnd w:id="696"/>
      <w:bookmarkEnd w:id="697"/>
    </w:p>
    <w:p>
      <w:pPr>
        <w:pStyle w:val="Subsection"/>
        <w:rPr>
          <w:snapToGrid w:val="0"/>
        </w:rPr>
      </w:pPr>
      <w:r>
        <w:rPr>
          <w:snapToGrid w:val="0"/>
        </w:rPr>
        <w:tab/>
        <w:t>(1)</w:t>
      </w:r>
      <w:r>
        <w:rPr>
          <w:snapToGrid w:val="0"/>
        </w:rPr>
        <w:tab/>
        <w:t>A developer shall, on and after the day on which he commences to carry on business as a developer, and for so long as he carries on that business, have his principal place of business in the State registered with the Board by giving written notice of the situation of that place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 xml:space="preserve">[Section 57 amended by No. 43 of 1994 s. 11.] </w:t>
      </w:r>
    </w:p>
    <w:p>
      <w:pPr>
        <w:pStyle w:val="Heading5"/>
        <w:rPr>
          <w:snapToGrid w:val="0"/>
        </w:rPr>
      </w:pPr>
      <w:bookmarkStart w:id="698" w:name="_Toc480623755"/>
      <w:bookmarkStart w:id="699" w:name="_Toc520177789"/>
      <w:bookmarkStart w:id="700" w:name="_Toc102899388"/>
      <w:bookmarkStart w:id="701" w:name="_Toc124125430"/>
      <w:bookmarkStart w:id="702" w:name="_Toc172965518"/>
      <w:bookmarkStart w:id="703" w:name="_Toc163361818"/>
      <w:r>
        <w:rPr>
          <w:rStyle w:val="CharSectno"/>
        </w:rPr>
        <w:t>58</w:t>
      </w:r>
      <w:r>
        <w:rPr>
          <w:snapToGrid w:val="0"/>
        </w:rPr>
        <w:t>.</w:t>
      </w:r>
      <w:r>
        <w:rPr>
          <w:snapToGrid w:val="0"/>
        </w:rPr>
        <w:tab/>
        <w:t>Developer to give notice of change in principal place of business</w:t>
      </w:r>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written notice is given pursuant to subsection (1) the Registrar shall change the registration of the principal place of business of the developer accordingly.</w:t>
      </w:r>
    </w:p>
    <w:p>
      <w:pPr>
        <w:pStyle w:val="Footnotesection"/>
      </w:pPr>
      <w:r>
        <w:tab/>
        <w:t xml:space="preserve">[Section 58 amended by No. 43 of 1994 s. 11.] </w:t>
      </w:r>
    </w:p>
    <w:p>
      <w:pPr>
        <w:pStyle w:val="Heading5"/>
        <w:rPr>
          <w:snapToGrid w:val="0"/>
        </w:rPr>
      </w:pPr>
      <w:bookmarkStart w:id="704" w:name="_Toc480623756"/>
      <w:bookmarkStart w:id="705" w:name="_Toc520177790"/>
      <w:bookmarkStart w:id="706" w:name="_Toc102899389"/>
      <w:bookmarkStart w:id="707" w:name="_Toc124125431"/>
      <w:bookmarkStart w:id="708" w:name="_Toc172965519"/>
      <w:bookmarkStart w:id="709" w:name="_Toc163361819"/>
      <w:r>
        <w:rPr>
          <w:rStyle w:val="CharSectno"/>
        </w:rPr>
        <w:t>59</w:t>
      </w:r>
      <w:r>
        <w:rPr>
          <w:snapToGrid w:val="0"/>
        </w:rPr>
        <w:t>.</w:t>
      </w:r>
      <w:r>
        <w:rPr>
          <w:snapToGrid w:val="0"/>
        </w:rPr>
        <w:tab/>
        <w:t>Developer to keep records of real estate transactions</w:t>
      </w:r>
      <w:bookmarkEnd w:id="704"/>
      <w:bookmarkEnd w:id="705"/>
      <w:bookmarkEnd w:id="706"/>
      <w:bookmarkEnd w:id="707"/>
      <w:bookmarkEnd w:id="708"/>
      <w:bookmarkEnd w:id="709"/>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710" w:name="_Toc480623757"/>
      <w:bookmarkStart w:id="711" w:name="_Toc520177791"/>
      <w:bookmarkStart w:id="712" w:name="_Toc102899390"/>
      <w:bookmarkStart w:id="713" w:name="_Toc124125432"/>
      <w:bookmarkStart w:id="714" w:name="_Toc172965520"/>
      <w:bookmarkStart w:id="715" w:name="_Toc163361820"/>
      <w:r>
        <w:rPr>
          <w:rStyle w:val="CharSectno"/>
        </w:rPr>
        <w:t>60</w:t>
      </w:r>
      <w:r>
        <w:rPr>
          <w:snapToGrid w:val="0"/>
        </w:rPr>
        <w:t>.</w:t>
      </w:r>
      <w:r>
        <w:rPr>
          <w:snapToGrid w:val="0"/>
        </w:rPr>
        <w:tab/>
      </w:r>
      <w:bookmarkEnd w:id="710"/>
      <w:r>
        <w:rPr>
          <w:snapToGrid w:val="0"/>
        </w:rPr>
        <w:t>Agent not entitled to commission etc. unless licensed and validly appointed</w:t>
      </w:r>
      <w:bookmarkEnd w:id="711"/>
      <w:bookmarkEnd w:id="712"/>
      <w:bookmarkEnd w:id="713"/>
      <w:bookmarkEnd w:id="714"/>
      <w:bookmarkEnd w:id="715"/>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 </w:t>
      </w:r>
    </w:p>
    <w:p>
      <w:pPr>
        <w:pStyle w:val="Indenta"/>
        <w:keepNext/>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sets out the services that are or are to be rendered;</w:t>
      </w:r>
    </w:p>
    <w:p>
      <w:pPr>
        <w:pStyle w:val="Indenti"/>
        <w:rPr>
          <w:snapToGrid w:val="0"/>
        </w:rPr>
      </w:pPr>
      <w:r>
        <w:rPr>
          <w:snapToGrid w:val="0"/>
        </w:rPr>
        <w:tab/>
        <w:t>(ii)</w:t>
      </w:r>
      <w:r>
        <w:rPr>
          <w:snapToGrid w:val="0"/>
        </w:rPr>
        <w:tab/>
        <w:t xml:space="preserve">where specific property is to be the subject of those services, clearly identifies the property; </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 xml:space="preserve">[Section 60 amended by No. 43 of 1994 s. 11; No. 59 of 1995 s. 9; No. 34 of 1998 s. 14.] </w:t>
      </w:r>
    </w:p>
    <w:p>
      <w:pPr>
        <w:pStyle w:val="Heading5"/>
        <w:rPr>
          <w:snapToGrid w:val="0"/>
        </w:rPr>
      </w:pPr>
      <w:bookmarkStart w:id="716" w:name="_Toc480623758"/>
      <w:bookmarkStart w:id="717" w:name="_Toc520177792"/>
      <w:bookmarkStart w:id="718" w:name="_Toc102899391"/>
      <w:bookmarkStart w:id="719" w:name="_Toc124125433"/>
      <w:bookmarkStart w:id="720" w:name="_Toc172965521"/>
      <w:bookmarkStart w:id="721" w:name="_Toc163361821"/>
      <w:r>
        <w:rPr>
          <w:rStyle w:val="CharSectno"/>
        </w:rPr>
        <w:t>61</w:t>
      </w:r>
      <w:r>
        <w:rPr>
          <w:snapToGrid w:val="0"/>
        </w:rPr>
        <w:t>.</w:t>
      </w:r>
      <w:r>
        <w:rPr>
          <w:snapToGrid w:val="0"/>
        </w:rPr>
        <w:tab/>
        <w:t>Agents</w:t>
      </w:r>
      <w:bookmarkEnd w:id="716"/>
      <w:r>
        <w:rPr>
          <w:snapToGrid w:val="0"/>
        </w:rPr>
        <w:t>’ commissions etc. may be regulated</w:t>
      </w:r>
      <w:bookmarkEnd w:id="717"/>
      <w:bookmarkEnd w:id="718"/>
      <w:bookmarkEnd w:id="719"/>
      <w:bookmarkEnd w:id="720"/>
      <w:bookmarkEnd w:id="721"/>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The Board may fix an amount under subsection (1) by reference to —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rPr>
          <w:snapToGrid w:val="0"/>
        </w:rPr>
      </w:pPr>
      <w:r>
        <w:rPr>
          <w:snapToGrid w:val="0"/>
        </w:rPr>
        <w:tab/>
        <w:t>(4a)</w:t>
      </w:r>
      <w:r>
        <w:rPr>
          <w:snapToGrid w:val="0"/>
        </w:rPr>
        <w:tab/>
        <w:t xml:space="preserve">In subsection (4) — </w:t>
      </w:r>
    </w:p>
    <w:p>
      <w:pPr>
        <w:pStyle w:val="Defstart"/>
      </w:pPr>
      <w:r>
        <w:tab/>
      </w:r>
      <w:r>
        <w:rPr>
          <w:b/>
        </w:rPr>
        <w:t>“</w:t>
      </w:r>
      <w:r>
        <w:rPr>
          <w:rStyle w:val="CharDefText"/>
        </w:rPr>
        <w:t>settlement</w:t>
      </w:r>
      <w:r>
        <w:rPr>
          <w:b/>
        </w:rPr>
        <w:t>”</w:t>
      </w:r>
      <w:r>
        <w:t xml:space="preserve">, in relation to a transaction — </w:t>
      </w:r>
    </w:p>
    <w:p>
      <w:pPr>
        <w:pStyle w:val="Defpara"/>
      </w:pPr>
      <w:r>
        <w:tab/>
        <w:t>(a)</w:t>
      </w:r>
      <w:r>
        <w:tab/>
        <w:t>where the transaction is to be completed by the payment of the purchase price by way of a single payment (over and above the deposit), means the payment of the purchase price;</w:t>
      </w:r>
    </w:p>
    <w:p>
      <w:pPr>
        <w:pStyle w:val="Defpara"/>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pPr>
      <w:r>
        <w:tab/>
        <w:t>(c)</w:t>
      </w:r>
      <w:r>
        <w:tab/>
        <w:t>where the transaction is of a kind specified in regulations, has the meaning prescribed by the regulations in relation to that kind of transaction;</w:t>
      </w:r>
    </w:p>
    <w:p>
      <w:pPr>
        <w:pStyle w:val="Defstart"/>
      </w:pPr>
      <w:r>
        <w:tab/>
      </w:r>
      <w:r>
        <w:rPr>
          <w:b/>
        </w:rPr>
        <w:t>“</w:t>
      </w:r>
      <w:r>
        <w:rPr>
          <w:rStyle w:val="CharDefText"/>
        </w:rPr>
        <w:t>transaction</w:t>
      </w:r>
      <w:r>
        <w:rPr>
          <w:b/>
        </w:rPr>
        <w:t>”</w:t>
      </w:r>
      <w:r>
        <w:t xml:space="preserve"> means — </w:t>
      </w:r>
    </w:p>
    <w:p>
      <w:pPr>
        <w:pStyle w:val="Defpara"/>
      </w:pPr>
      <w:r>
        <w:tab/>
        <w:t>(a)</w:t>
      </w:r>
      <w:r>
        <w:tab/>
        <w:t>a sale, exchange, or other disposal and a purchase, exchange, or other acquisition of real estate and any exclusive right whether deriving from the ownership of a share or interest in a body corporate or partnership;</w:t>
      </w:r>
    </w:p>
    <w:p>
      <w:pPr>
        <w:pStyle w:val="Defpara"/>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“business transaction”, </w:t>
      </w:r>
    </w:p>
    <w:p>
      <w:pPr>
        <w:pStyle w:val="Defstart"/>
      </w:pPr>
      <w:r>
        <w:tab/>
      </w: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 xml:space="preserve">[Section 61 amended by No. 128 of 1987 s. 89; No. 43 of 1994 s. 11; No. 59 of 1995 s. 10; No. 34 of 1998 s. 15.] </w:t>
      </w:r>
    </w:p>
    <w:p>
      <w:pPr>
        <w:pStyle w:val="Heading5"/>
      </w:pPr>
      <w:bookmarkStart w:id="722" w:name="_Toc172965522"/>
      <w:bookmarkStart w:id="723" w:name="_Toc163361822"/>
      <w:bookmarkStart w:id="724" w:name="_Toc480623759"/>
      <w:bookmarkStart w:id="725" w:name="_Toc520177793"/>
      <w:bookmarkStart w:id="726" w:name="_Toc102899392"/>
      <w:bookmarkStart w:id="727" w:name="_Toc124125434"/>
      <w:r>
        <w:rPr>
          <w:rStyle w:val="CharSectno"/>
        </w:rPr>
        <w:t>61A</w:t>
      </w:r>
      <w:r>
        <w:t xml:space="preserve">. </w:t>
      </w:r>
      <w:r>
        <w:tab/>
        <w:t>Letting and management fees not payable by tenant</w:t>
      </w:r>
      <w:bookmarkEnd w:id="722"/>
      <w:bookmarkEnd w:id="723"/>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rPr>
          <w:snapToGrid w:val="0"/>
        </w:rPr>
      </w:pPr>
      <w:r>
        <w:rPr>
          <w:snapToGrid w:val="0"/>
        </w:rPr>
        <w:tab/>
        <w:t>(3)</w:t>
      </w:r>
      <w:r>
        <w:rPr>
          <w:snapToGrid w:val="0"/>
        </w:rPr>
        <w:tab/>
        <w:t>In this section — </w:t>
      </w:r>
    </w:p>
    <w:p>
      <w:pPr>
        <w:pStyle w:val="Defstart"/>
      </w:pPr>
      <w:r>
        <w:rPr>
          <w:b/>
          <w:bCs/>
        </w:rPr>
        <w:tab/>
        <w:t>“</w:t>
      </w:r>
      <w:r>
        <w:rPr>
          <w:rStyle w:val="CharDefText"/>
        </w:rPr>
        <w:t>residential premises</w:t>
      </w:r>
      <w:r>
        <w:rPr>
          <w:b/>
          <w:bCs/>
        </w:rPr>
        <w:t>”</w:t>
      </w:r>
      <w:r>
        <w:t xml:space="preserve">, </w:t>
      </w:r>
      <w:r>
        <w:rPr>
          <w:b/>
          <w:bCs/>
        </w:rPr>
        <w:t>“</w:t>
      </w:r>
      <w:r>
        <w:rPr>
          <w:rStyle w:val="CharDefText"/>
        </w:rPr>
        <w:t>tenancy</w:t>
      </w:r>
      <w:r>
        <w:rPr>
          <w:b/>
          <w:bCs/>
        </w:rPr>
        <w:t>”</w:t>
      </w:r>
      <w:r>
        <w:t xml:space="preserve"> and </w:t>
      </w:r>
      <w:r>
        <w:rPr>
          <w:b/>
          <w:bCs/>
        </w:rPr>
        <w:t>“</w:t>
      </w:r>
      <w:r>
        <w:rPr>
          <w:rStyle w:val="CharDefText"/>
        </w:rPr>
        <w:t>tenant</w:t>
      </w:r>
      <w:r>
        <w:rPr>
          <w:b/>
          <w:bCs/>
        </w:rPr>
        <w:t>”</w:t>
      </w:r>
      <w:r>
        <w:t xml:space="preserve"> have the same meanings as in section 3 of the </w:t>
      </w:r>
      <w:r>
        <w:rPr>
          <w:i/>
          <w:iCs/>
        </w:rPr>
        <w:t>Residential Tenancies Act 1987</w:t>
      </w:r>
      <w:r>
        <w:t>.</w:t>
      </w:r>
    </w:p>
    <w:p>
      <w:pPr>
        <w:pStyle w:val="Footnotesection"/>
      </w:pPr>
      <w:r>
        <w:tab/>
        <w:t>[Section 61A  inserted by No. 59 of 1995 s. 11.]</w:t>
      </w:r>
    </w:p>
    <w:p>
      <w:pPr>
        <w:pStyle w:val="Heading5"/>
        <w:rPr>
          <w:snapToGrid w:val="0"/>
        </w:rPr>
      </w:pPr>
      <w:bookmarkStart w:id="728" w:name="_Toc172965523"/>
      <w:bookmarkStart w:id="729" w:name="_Toc163361823"/>
      <w:r>
        <w:rPr>
          <w:rStyle w:val="CharSectno"/>
        </w:rPr>
        <w:t>62</w:t>
      </w:r>
      <w:r>
        <w:rPr>
          <w:snapToGrid w:val="0"/>
        </w:rPr>
        <w:t>.</w:t>
      </w:r>
      <w:r>
        <w:rPr>
          <w:snapToGrid w:val="0"/>
        </w:rPr>
        <w:tab/>
        <w:t>Advertising by agents and developers</w:t>
      </w:r>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Any advertisement in respect of the business of an agent or a developer shall not be published without his authority.</w:t>
      </w:r>
    </w:p>
    <w:p>
      <w:pPr>
        <w:pStyle w:val="Subsection"/>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rPr>
          <w:snapToGrid w:val="0"/>
        </w:rPr>
      </w:pPr>
      <w:r>
        <w:rPr>
          <w:snapToGrid w:val="0"/>
        </w:rPr>
        <w:tab/>
        <w:t>(4)</w:t>
      </w:r>
      <w:r>
        <w:rPr>
          <w:snapToGrid w:val="0"/>
        </w:rPr>
        <w:tab/>
        <w:t>In a proceeding under this Act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pPr>
      <w:r>
        <w:tab/>
        <w:t xml:space="preserve">[Section 62 amended by No. 84 of 2004 s. 82.] </w:t>
      </w:r>
    </w:p>
    <w:p>
      <w:pPr>
        <w:pStyle w:val="Heading5"/>
        <w:rPr>
          <w:rStyle w:val="CharSectno"/>
        </w:rPr>
      </w:pPr>
      <w:bookmarkStart w:id="730" w:name="_Toc480623760"/>
      <w:bookmarkStart w:id="731" w:name="_Toc520177794"/>
      <w:bookmarkStart w:id="732" w:name="_Toc102899393"/>
      <w:bookmarkStart w:id="733" w:name="_Toc124125435"/>
      <w:bookmarkStart w:id="734" w:name="_Toc172965524"/>
      <w:bookmarkStart w:id="735" w:name="_Toc163361824"/>
      <w:r>
        <w:rPr>
          <w:rStyle w:val="CharSectno"/>
        </w:rPr>
        <w:t>63.</w:t>
      </w:r>
      <w:r>
        <w:rPr>
          <w:rStyle w:val="CharSectno"/>
        </w:rPr>
        <w:tab/>
      </w:r>
      <w:bookmarkEnd w:id="730"/>
      <w:r>
        <w:rPr>
          <w:rStyle w:val="CharSectno"/>
        </w:rPr>
        <w:t>Agents etc. to supply copies of signed documents</w:t>
      </w:r>
      <w:bookmarkEnd w:id="731"/>
      <w:bookmarkEnd w:id="732"/>
      <w:bookmarkEnd w:id="733"/>
      <w:bookmarkEnd w:id="734"/>
      <w:bookmarkEnd w:id="735"/>
    </w:p>
    <w:p>
      <w:pPr>
        <w:pStyle w:val="Subsection"/>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736" w:name="_Toc480623761"/>
      <w:bookmarkStart w:id="737" w:name="_Toc520177795"/>
      <w:bookmarkStart w:id="738" w:name="_Toc102899394"/>
      <w:bookmarkStart w:id="739" w:name="_Toc124125436"/>
      <w:bookmarkStart w:id="740" w:name="_Toc172965525"/>
      <w:bookmarkStart w:id="741" w:name="_Toc163361825"/>
      <w:r>
        <w:rPr>
          <w:rStyle w:val="CharSectno"/>
        </w:rPr>
        <w:t>64</w:t>
      </w:r>
      <w:r>
        <w:rPr>
          <w:snapToGrid w:val="0"/>
        </w:rPr>
        <w:t>.</w:t>
      </w:r>
      <w:r>
        <w:rPr>
          <w:snapToGrid w:val="0"/>
        </w:rPr>
        <w:tab/>
        <w:t>Conflicts of interest</w:t>
      </w:r>
      <w:bookmarkEnd w:id="736"/>
      <w:r>
        <w:rPr>
          <w:snapToGrid w:val="0"/>
        </w:rPr>
        <w:t xml:space="preserve"> of agents etc.</w:t>
      </w:r>
      <w:bookmarkEnd w:id="737"/>
      <w:bookmarkEnd w:id="738"/>
      <w:bookmarkEnd w:id="739"/>
      <w:bookmarkEnd w:id="740"/>
      <w:bookmarkEnd w:id="741"/>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 xml:space="preserve">[Section 64 amended by No. 43 of 1994 s. 11; No. 50 of 2003 s. 88(2).] </w:t>
      </w:r>
    </w:p>
    <w:p>
      <w:pPr>
        <w:pStyle w:val="Heading5"/>
        <w:rPr>
          <w:snapToGrid w:val="0"/>
        </w:rPr>
      </w:pPr>
      <w:bookmarkStart w:id="742" w:name="_Toc480623762"/>
      <w:bookmarkStart w:id="743" w:name="_Toc520177796"/>
      <w:bookmarkStart w:id="744" w:name="_Toc102899395"/>
      <w:bookmarkStart w:id="745" w:name="_Toc124125437"/>
      <w:bookmarkStart w:id="746" w:name="_Toc172965526"/>
      <w:bookmarkStart w:id="747" w:name="_Toc163361826"/>
      <w:r>
        <w:rPr>
          <w:rStyle w:val="CharSectno"/>
        </w:rPr>
        <w:t>65</w:t>
      </w:r>
      <w:r>
        <w:rPr>
          <w:snapToGrid w:val="0"/>
        </w:rPr>
        <w:t>.</w:t>
      </w:r>
      <w:r>
        <w:rPr>
          <w:snapToGrid w:val="0"/>
        </w:rPr>
        <w:tab/>
      </w:r>
      <w:bookmarkEnd w:id="742"/>
      <w:r>
        <w:rPr>
          <w:snapToGrid w:val="0"/>
        </w:rPr>
        <w:t>Agents to ensure payment and apportionment of rates etc.</w:t>
      </w:r>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r>
      <w:r>
        <w:rPr>
          <w:snapToGrid w:val="0"/>
          <w:spacing w:val="-4"/>
        </w:rPr>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748" w:name="_Toc480623763"/>
      <w:bookmarkStart w:id="749" w:name="_Toc520177797"/>
      <w:bookmarkStart w:id="750" w:name="_Toc102899396"/>
      <w:bookmarkStart w:id="751" w:name="_Toc124125438"/>
      <w:bookmarkStart w:id="752" w:name="_Toc172965527"/>
      <w:bookmarkStart w:id="753" w:name="_Toc163361827"/>
      <w:r>
        <w:rPr>
          <w:rStyle w:val="CharSectno"/>
        </w:rPr>
        <w:t>66</w:t>
      </w:r>
      <w:r>
        <w:rPr>
          <w:snapToGrid w:val="0"/>
        </w:rPr>
        <w:t>.</w:t>
      </w:r>
      <w:r>
        <w:rPr>
          <w:snapToGrid w:val="0"/>
        </w:rPr>
        <w:tab/>
      </w:r>
      <w:bookmarkEnd w:id="748"/>
      <w:r>
        <w:rPr>
          <w:snapToGrid w:val="0"/>
        </w:rPr>
        <w:t>Keys to houses etc. and information about tenancies, payment for illegal</w:t>
      </w:r>
      <w:bookmarkEnd w:id="749"/>
      <w:bookmarkEnd w:id="750"/>
      <w:bookmarkEnd w:id="751"/>
      <w:bookmarkEnd w:id="752"/>
      <w:bookmarkEnd w:id="753"/>
      <w:r>
        <w:rPr>
          <w:snapToGrid w:val="0"/>
        </w:rPr>
        <w:t xml:space="preserve"> </w:t>
      </w:r>
    </w:p>
    <w:p>
      <w:pPr>
        <w:pStyle w:val="Subsection"/>
        <w:spacing w:before="120"/>
        <w:rPr>
          <w:snapToGrid w:val="0"/>
        </w:rPr>
      </w:pPr>
      <w:r>
        <w:rPr>
          <w:snapToGrid w:val="0"/>
        </w:rPr>
        <w:tab/>
        <w:t>(1)</w:t>
      </w:r>
      <w:r>
        <w:rPr>
          <w:snapToGrid w:val="0"/>
        </w:rPr>
        <w:tab/>
        <w:t>Any person who pays, gives, or receives, or offers, promises, or agrees to pay, give, or receive, a sum of money or other consideration —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 xml:space="preserve">[Section 66 amended by No. 74 of 1980 s. 6; No. 43 of 1994 s. 11.] </w:t>
      </w:r>
    </w:p>
    <w:p>
      <w:pPr>
        <w:pStyle w:val="Heading2"/>
      </w:pPr>
      <w:bookmarkStart w:id="754" w:name="_Toc72643439"/>
      <w:bookmarkStart w:id="755" w:name="_Toc89596404"/>
      <w:bookmarkStart w:id="756" w:name="_Toc91303132"/>
      <w:bookmarkStart w:id="757" w:name="_Toc92701242"/>
      <w:bookmarkStart w:id="758" w:name="_Toc96996967"/>
      <w:bookmarkStart w:id="759" w:name="_Toc98833478"/>
      <w:bookmarkStart w:id="760" w:name="_Toc99166086"/>
      <w:bookmarkStart w:id="761" w:name="_Toc100021745"/>
      <w:bookmarkStart w:id="762" w:name="_Toc100562099"/>
      <w:bookmarkStart w:id="763" w:name="_Toc100562474"/>
      <w:bookmarkStart w:id="764" w:name="_Toc102373492"/>
      <w:bookmarkStart w:id="765" w:name="_Toc102536153"/>
      <w:bookmarkStart w:id="766" w:name="_Toc102899397"/>
      <w:bookmarkStart w:id="767" w:name="_Toc107197875"/>
      <w:bookmarkStart w:id="768" w:name="_Toc116713305"/>
      <w:bookmarkStart w:id="769" w:name="_Toc116813014"/>
      <w:bookmarkStart w:id="770" w:name="_Toc121566553"/>
      <w:bookmarkStart w:id="771" w:name="_Toc124125439"/>
      <w:bookmarkStart w:id="772" w:name="_Toc124140889"/>
      <w:bookmarkStart w:id="773" w:name="_Toc139362671"/>
      <w:bookmarkStart w:id="774" w:name="_Toc139685868"/>
      <w:bookmarkStart w:id="775" w:name="_Toc154197229"/>
      <w:bookmarkStart w:id="776" w:name="_Toc158003619"/>
      <w:bookmarkStart w:id="777" w:name="_Toc163273845"/>
      <w:bookmarkStart w:id="778" w:name="_Toc163361828"/>
      <w:bookmarkStart w:id="779" w:name="_Toc172965327"/>
      <w:bookmarkStart w:id="780" w:name="_Toc172965528"/>
      <w:r>
        <w:rPr>
          <w:rStyle w:val="CharPartNo"/>
        </w:rPr>
        <w:t>Part VI</w:t>
      </w:r>
      <w:r>
        <w:rPr>
          <w:rStyle w:val="CharDivNo"/>
        </w:rPr>
        <w:t> </w:t>
      </w:r>
      <w:r>
        <w:t>—</w:t>
      </w:r>
      <w:r>
        <w:rPr>
          <w:rStyle w:val="CharDivText"/>
        </w:rPr>
        <w:t> </w:t>
      </w:r>
      <w:r>
        <w:rPr>
          <w:rStyle w:val="CharPartText"/>
        </w:rPr>
        <w:t>Agents’ trust accounts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rPr>
          <w:rStyle w:val="CharPartText"/>
        </w:rPr>
        <w:t xml:space="preserve"> </w:t>
      </w:r>
    </w:p>
    <w:p>
      <w:pPr>
        <w:pStyle w:val="Heading5"/>
        <w:rPr>
          <w:snapToGrid w:val="0"/>
        </w:rPr>
      </w:pPr>
      <w:bookmarkStart w:id="781" w:name="_Toc480623764"/>
      <w:bookmarkStart w:id="782" w:name="_Toc520177798"/>
      <w:bookmarkStart w:id="783" w:name="_Toc102899398"/>
      <w:bookmarkStart w:id="784" w:name="_Toc124125440"/>
      <w:bookmarkStart w:id="785" w:name="_Toc172965529"/>
      <w:bookmarkStart w:id="786" w:name="_Toc163361829"/>
      <w:r>
        <w:rPr>
          <w:rStyle w:val="CharSectno"/>
        </w:rPr>
        <w:t>67</w:t>
      </w:r>
      <w:r>
        <w:rPr>
          <w:snapToGrid w:val="0"/>
        </w:rPr>
        <w:t>.</w:t>
      </w:r>
      <w:r>
        <w:rPr>
          <w:snapToGrid w:val="0"/>
        </w:rPr>
        <w:tab/>
        <w:t>Interpretation</w:t>
      </w:r>
      <w:bookmarkEnd w:id="781"/>
      <w:bookmarkEnd w:id="782"/>
      <w:bookmarkEnd w:id="783"/>
      <w:bookmarkEnd w:id="784"/>
      <w:bookmarkEnd w:id="785"/>
      <w:bookmarkEnd w:id="786"/>
      <w:r>
        <w:rPr>
          <w:snapToGrid w:val="0"/>
        </w:rPr>
        <w:t xml:space="preserve"> </w:t>
      </w:r>
    </w:p>
    <w:p>
      <w:pPr>
        <w:pStyle w:val="Subsection"/>
        <w:keepNext/>
        <w:rPr>
          <w:snapToGrid w:val="0"/>
        </w:rPr>
      </w:pPr>
      <w:r>
        <w:rPr>
          <w:snapToGrid w:val="0"/>
        </w:rPr>
        <w:tab/>
      </w:r>
      <w:r>
        <w:rPr>
          <w:snapToGrid w:val="0"/>
        </w:rPr>
        <w:tab/>
        <w:t>In this Part, unless the context otherwise requires — </w:t>
      </w:r>
    </w:p>
    <w:p>
      <w:pPr>
        <w:pStyle w:val="Defstart"/>
        <w:rPr>
          <w:b/>
        </w:rPr>
      </w:pPr>
      <w:r>
        <w:tab/>
      </w:r>
      <w:r>
        <w:rPr>
          <w:b/>
        </w:rPr>
        <w:t>“</w:t>
      </w:r>
      <w:r>
        <w:rPr>
          <w:rStyle w:val="CharDefText"/>
        </w:rPr>
        <w:t>authorised financial institution</w:t>
      </w:r>
      <w:r>
        <w:rPr>
          <w:b/>
        </w:rPr>
        <w:t>”</w:t>
      </w:r>
      <w:r>
        <w:t xml:space="preserve"> means a bank or other body that is prescribed or belongs to a class of bodies that is prescribed;</w:t>
      </w:r>
    </w:p>
    <w:p>
      <w:pPr>
        <w:pStyle w:val="Defstart"/>
      </w:pPr>
      <w:r>
        <w:rPr>
          <w:b/>
        </w:rPr>
        <w:tab/>
        <w:t>“</w:t>
      </w:r>
      <w:r>
        <w:rPr>
          <w:rStyle w:val="CharDefText"/>
        </w:rPr>
        <w:t>bank account</w:t>
      </w:r>
      <w:r>
        <w:rPr>
          <w:b/>
        </w:rPr>
        <w:t>”</w:t>
      </w:r>
      <w:r>
        <w:t xml:space="preserve"> means an account kept with a bank or other similar body;</w:t>
      </w:r>
    </w:p>
    <w:p>
      <w:pPr>
        <w:pStyle w:val="Defstart"/>
      </w:pPr>
      <w:r>
        <w:rPr>
          <w:b/>
        </w:rPr>
        <w:tab/>
        <w:t>“</w:t>
      </w:r>
      <w:r>
        <w:rPr>
          <w:rStyle w:val="CharDefText"/>
        </w:rPr>
        <w:t>banker</w:t>
      </w:r>
      <w:r>
        <w:rPr>
          <w:b/>
        </w:rPr>
        <w:t>”</w:t>
      </w:r>
      <w:r>
        <w:t xml:space="preserve"> means the manager, or other officer, for the time being in charge of the office of a bank or other body in which any account of an agent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separate account</w:t>
      </w:r>
      <w:r>
        <w:rPr>
          <w:b/>
        </w:rPr>
        <w:t>”</w:t>
      </w:r>
      <w:r>
        <w:t xml:space="preserve"> means a trust account referred to in section 68A(1);</w:t>
      </w:r>
    </w:p>
    <w:p>
      <w:pPr>
        <w:pStyle w:val="Defstart"/>
      </w:pPr>
      <w:r>
        <w:rPr>
          <w:b/>
        </w:rPr>
        <w:tab/>
        <w:t>“</w:t>
      </w:r>
      <w:r>
        <w:rPr>
          <w:rStyle w:val="CharDefText"/>
        </w:rPr>
        <w:t>trust accounts</w:t>
      </w:r>
      <w:r>
        <w:rPr>
          <w:b/>
        </w:rPr>
        <w:t>”</w:t>
      </w:r>
      <w:r>
        <w:t xml:space="preserve"> means accounts relating to moneys received or held by an agent for or on behalf of any other person in respect of transactions;</w:t>
      </w:r>
    </w:p>
    <w:p>
      <w:pPr>
        <w:pStyle w:val="Defstart"/>
      </w:pPr>
      <w:r>
        <w:rPr>
          <w:b/>
        </w:rPr>
        <w:tab/>
        <w:t>“</w:t>
      </w:r>
      <w:r>
        <w:rPr>
          <w:rStyle w:val="CharDefText"/>
        </w:rPr>
        <w:t>year</w:t>
      </w:r>
      <w:r>
        <w:rPr>
          <w:b/>
        </w:rPr>
        <w:t>”</w:t>
      </w:r>
      <w:r>
        <w:t xml:space="preserve"> means a period of 12 months ending on 31 December, subject however to the provisions of section 71.</w:t>
      </w:r>
    </w:p>
    <w:p>
      <w:pPr>
        <w:pStyle w:val="Footnotesection"/>
      </w:pPr>
      <w:r>
        <w:tab/>
        <w:t xml:space="preserve">[Section 67 amended by No. 59 of 1995 s. 12; No. 26 of 1999 s. 99(3).] </w:t>
      </w:r>
    </w:p>
    <w:p>
      <w:pPr>
        <w:pStyle w:val="Heading5"/>
        <w:rPr>
          <w:snapToGrid w:val="0"/>
        </w:rPr>
      </w:pPr>
      <w:bookmarkStart w:id="787" w:name="_Toc480623765"/>
      <w:bookmarkStart w:id="788" w:name="_Toc520177799"/>
      <w:bookmarkStart w:id="789" w:name="_Toc102899399"/>
      <w:bookmarkStart w:id="790" w:name="_Toc124125441"/>
      <w:bookmarkStart w:id="791" w:name="_Toc172965530"/>
      <w:bookmarkStart w:id="792" w:name="_Toc163361830"/>
      <w:r>
        <w:rPr>
          <w:rStyle w:val="CharSectno"/>
        </w:rPr>
        <w:t>68</w:t>
      </w:r>
      <w:r>
        <w:rPr>
          <w:snapToGrid w:val="0"/>
        </w:rPr>
        <w:t>.</w:t>
      </w:r>
      <w:r>
        <w:rPr>
          <w:snapToGrid w:val="0"/>
        </w:rPr>
        <w:tab/>
        <w:t>Trust accounts</w:t>
      </w:r>
      <w:bookmarkEnd w:id="787"/>
      <w:r>
        <w:rPr>
          <w:snapToGrid w:val="0"/>
        </w:rPr>
        <w:t>, use of</w:t>
      </w:r>
      <w:bookmarkEnd w:id="788"/>
      <w:bookmarkEnd w:id="789"/>
      <w:bookmarkEnd w:id="790"/>
      <w:bookmarkEnd w:id="791"/>
      <w:bookmarkEnd w:id="792"/>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 xml:space="preserve">[Section 68 amended by No. 59 of 1995 s. 13.] </w:t>
      </w:r>
    </w:p>
    <w:p>
      <w:pPr>
        <w:pStyle w:val="Heading5"/>
        <w:rPr>
          <w:snapToGrid w:val="0"/>
        </w:rPr>
      </w:pPr>
      <w:bookmarkStart w:id="793" w:name="_Toc480623766"/>
      <w:bookmarkStart w:id="794" w:name="_Toc520177800"/>
      <w:bookmarkStart w:id="795" w:name="_Toc102899400"/>
      <w:bookmarkStart w:id="796" w:name="_Toc124125442"/>
      <w:bookmarkStart w:id="797" w:name="_Toc172965531"/>
      <w:bookmarkStart w:id="798" w:name="_Toc163361831"/>
      <w:r>
        <w:rPr>
          <w:rStyle w:val="CharSectno"/>
        </w:rPr>
        <w:t>68A</w:t>
      </w:r>
      <w:r>
        <w:rPr>
          <w:snapToGrid w:val="0"/>
        </w:rPr>
        <w:t>.</w:t>
      </w:r>
      <w:r>
        <w:rPr>
          <w:snapToGrid w:val="0"/>
        </w:rPr>
        <w:tab/>
        <w:t>Client may request agent to create separate trust account</w:t>
      </w:r>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 </w:t>
      </w:r>
    </w:p>
    <w:p>
      <w:pPr>
        <w:pStyle w:val="Defstart"/>
      </w:pPr>
      <w:r>
        <w:rPr>
          <w:b/>
        </w:rPr>
        <w:tab/>
        <w:t>“</w:t>
      </w:r>
      <w:r>
        <w:rPr>
          <w:rStyle w:val="CharDefText"/>
        </w:rPr>
        <w:t>request</w:t>
      </w:r>
      <w:r>
        <w:rPr>
          <w:b/>
        </w:rPr>
        <w:t>”</w:t>
      </w:r>
      <w:r>
        <w:t xml:space="preserve"> means a request under subsection (1).</w:t>
      </w:r>
    </w:p>
    <w:p>
      <w:pPr>
        <w:pStyle w:val="Footnotesection"/>
      </w:pPr>
      <w:r>
        <w:tab/>
        <w:t xml:space="preserve">[Section 68A inserted by No. 59 of 1995 s. 14.] </w:t>
      </w:r>
    </w:p>
    <w:p>
      <w:pPr>
        <w:pStyle w:val="Heading5"/>
        <w:rPr>
          <w:snapToGrid w:val="0"/>
        </w:rPr>
      </w:pPr>
      <w:bookmarkStart w:id="799" w:name="_Toc480623767"/>
      <w:bookmarkStart w:id="800" w:name="_Toc520177801"/>
      <w:bookmarkStart w:id="801" w:name="_Toc102899401"/>
      <w:bookmarkStart w:id="802" w:name="_Toc124125443"/>
      <w:bookmarkStart w:id="803" w:name="_Toc172965532"/>
      <w:bookmarkStart w:id="804" w:name="_Toc163361832"/>
      <w:r>
        <w:rPr>
          <w:rStyle w:val="CharSectno"/>
        </w:rPr>
        <w:t>68B</w:t>
      </w:r>
      <w:r>
        <w:rPr>
          <w:snapToGrid w:val="0"/>
        </w:rPr>
        <w:t>.</w:t>
      </w:r>
      <w:r>
        <w:rPr>
          <w:snapToGrid w:val="0"/>
        </w:rPr>
        <w:tab/>
        <w:t>Interest on trust accounts</w:t>
      </w:r>
      <w:bookmarkEnd w:id="799"/>
      <w:r>
        <w:rPr>
          <w:snapToGrid w:val="0"/>
        </w:rPr>
        <w:t xml:space="preserve"> to be paid by financial institutions</w:t>
      </w:r>
      <w:bookmarkEnd w:id="800"/>
      <w:bookmarkEnd w:id="801"/>
      <w:bookmarkEnd w:id="802"/>
      <w:bookmarkEnd w:id="803"/>
      <w:bookmarkEnd w:id="804"/>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 xml:space="preserve">[Section 68B inserted by No. 59 of 1995 s. 14.] </w:t>
      </w:r>
    </w:p>
    <w:p>
      <w:pPr>
        <w:pStyle w:val="Heading5"/>
        <w:rPr>
          <w:snapToGrid w:val="0"/>
        </w:rPr>
      </w:pPr>
      <w:bookmarkStart w:id="805" w:name="_Toc480623768"/>
      <w:bookmarkStart w:id="806" w:name="_Toc520177802"/>
      <w:bookmarkStart w:id="807" w:name="_Toc102899402"/>
      <w:bookmarkStart w:id="808" w:name="_Toc124125444"/>
      <w:bookmarkStart w:id="809" w:name="_Toc172965533"/>
      <w:bookmarkStart w:id="810" w:name="_Toc163361833"/>
      <w:r>
        <w:rPr>
          <w:rStyle w:val="CharSectno"/>
        </w:rPr>
        <w:t>68C</w:t>
      </w:r>
      <w:r>
        <w:rPr>
          <w:snapToGrid w:val="0"/>
        </w:rPr>
        <w:t>.</w:t>
      </w:r>
      <w:r>
        <w:rPr>
          <w:snapToGrid w:val="0"/>
        </w:rPr>
        <w:tab/>
      </w:r>
      <w:bookmarkEnd w:id="805"/>
      <w:r>
        <w:rPr>
          <w:snapToGrid w:val="0"/>
        </w:rPr>
        <w:t>Trust accounts, certain information about to be given to Board</w:t>
      </w:r>
      <w:bookmarkEnd w:id="806"/>
      <w:bookmarkEnd w:id="807"/>
      <w:bookmarkEnd w:id="808"/>
      <w:bookmarkEnd w:id="809"/>
      <w:bookmarkEnd w:id="810"/>
    </w:p>
    <w:p>
      <w:pPr>
        <w:pStyle w:val="Subsection"/>
        <w:keepNext/>
        <w:rPr>
          <w:snapToGrid w:val="0"/>
        </w:rPr>
      </w:pPr>
      <w:r>
        <w:rPr>
          <w:snapToGrid w:val="0"/>
        </w:rPr>
        <w:tab/>
        <w:t>(1)</w:t>
      </w:r>
      <w:r>
        <w:rPr>
          <w:snapToGrid w:val="0"/>
        </w:rPr>
        <w:tab/>
        <w:t>When an agent opens or closes a trust account, the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If an agent’s trust account is overdrawn, both the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 xml:space="preserve">[Section 68C inserted by No. 59 of 1995 s. 14.] </w:t>
      </w:r>
    </w:p>
    <w:p>
      <w:pPr>
        <w:pStyle w:val="Heading5"/>
        <w:rPr>
          <w:snapToGrid w:val="0"/>
        </w:rPr>
      </w:pPr>
      <w:bookmarkStart w:id="811" w:name="_Toc480623769"/>
      <w:bookmarkStart w:id="812" w:name="_Toc520177803"/>
      <w:bookmarkStart w:id="813" w:name="_Toc102899403"/>
      <w:bookmarkStart w:id="814" w:name="_Toc124125445"/>
      <w:bookmarkStart w:id="815" w:name="_Toc172965534"/>
      <w:bookmarkStart w:id="816" w:name="_Toc163361834"/>
      <w:r>
        <w:rPr>
          <w:rStyle w:val="CharSectno"/>
        </w:rPr>
        <w:t>69</w:t>
      </w:r>
      <w:r>
        <w:rPr>
          <w:snapToGrid w:val="0"/>
        </w:rPr>
        <w:t>.</w:t>
      </w:r>
      <w:r>
        <w:rPr>
          <w:snapToGrid w:val="0"/>
        </w:rPr>
        <w:tab/>
      </w:r>
      <w:bookmarkEnd w:id="811"/>
      <w:r>
        <w:rPr>
          <w:snapToGrid w:val="0"/>
        </w:rPr>
        <w:t>Trust accounts, records of and accounting for</w:t>
      </w:r>
      <w:bookmarkEnd w:id="812"/>
      <w:bookmarkEnd w:id="813"/>
      <w:bookmarkEnd w:id="814"/>
      <w:bookmarkEnd w:id="815"/>
      <w:bookmarkEnd w:id="816"/>
    </w:p>
    <w:p>
      <w:pPr>
        <w:pStyle w:val="Subsection"/>
        <w:keepNext/>
        <w:rPr>
          <w:snapToGrid w:val="0"/>
        </w:rPr>
      </w:pPr>
      <w:r>
        <w:rPr>
          <w:snapToGrid w:val="0"/>
        </w:rPr>
        <w:tab/>
        <w:t>(1)</w:t>
      </w:r>
      <w:r>
        <w:rPr>
          <w:snapToGrid w:val="0"/>
        </w:rPr>
        <w:tab/>
        <w:t>When an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an agent if the agent’s auditor certifies to the Board that he is satisfied with the system employed by the agent and that the records of moneys received are so kept and entered up as to enable the accounts to be properly and conveniently audited, and the Board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 xml:space="preserve">[Section 69 amended by No. 74 of 1980 s. 7; No. 59 of 1995 s. 15.] </w:t>
      </w:r>
    </w:p>
    <w:p>
      <w:pPr>
        <w:pStyle w:val="Heading5"/>
        <w:rPr>
          <w:snapToGrid w:val="0"/>
        </w:rPr>
      </w:pPr>
      <w:bookmarkStart w:id="817" w:name="_Toc480623770"/>
      <w:bookmarkStart w:id="818" w:name="_Toc520177804"/>
      <w:bookmarkStart w:id="819" w:name="_Toc102899404"/>
      <w:bookmarkStart w:id="820" w:name="_Toc124125446"/>
      <w:bookmarkStart w:id="821" w:name="_Toc172965535"/>
      <w:bookmarkStart w:id="822" w:name="_Toc163361835"/>
      <w:r>
        <w:rPr>
          <w:rStyle w:val="CharSectno"/>
        </w:rPr>
        <w:t>70</w:t>
      </w:r>
      <w:r>
        <w:rPr>
          <w:snapToGrid w:val="0"/>
        </w:rPr>
        <w:t>.</w:t>
      </w:r>
      <w:r>
        <w:rPr>
          <w:snapToGrid w:val="0"/>
        </w:rPr>
        <w:tab/>
      </w:r>
      <w:bookmarkEnd w:id="817"/>
      <w:r>
        <w:rPr>
          <w:snapToGrid w:val="0"/>
        </w:rPr>
        <w:t>Trust accounts, audit of</w:t>
      </w:r>
      <w:bookmarkEnd w:id="818"/>
      <w:bookmarkEnd w:id="819"/>
      <w:bookmarkEnd w:id="820"/>
      <w:bookmarkEnd w:id="821"/>
      <w:bookmarkEnd w:id="822"/>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agent or discovers any other matter in respect of those accounts which the auditor considers should be reported to the Board and he shall verify the interim report by statutory declaration and deliver a copy of the report so verified to the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agent if the Board so directs but otherwise shall be paid by the Board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Board a report of such termination audit.</w:t>
      </w:r>
    </w:p>
    <w:p>
      <w:pPr>
        <w:pStyle w:val="Footnotesection"/>
      </w:pPr>
      <w:r>
        <w:tab/>
        <w:t xml:space="preserve">[Section 70 amended by No. 29 of 1982 s. 12; No. 59 of 1995 s. 42; No. 77 of 2006 s. 17.] </w:t>
      </w:r>
    </w:p>
    <w:p>
      <w:pPr>
        <w:pStyle w:val="Heading5"/>
        <w:rPr>
          <w:snapToGrid w:val="0"/>
        </w:rPr>
      </w:pPr>
      <w:bookmarkStart w:id="823" w:name="_Toc480623771"/>
      <w:bookmarkStart w:id="824" w:name="_Toc520177805"/>
      <w:bookmarkStart w:id="825" w:name="_Toc102899405"/>
      <w:bookmarkStart w:id="826" w:name="_Toc124125447"/>
      <w:bookmarkStart w:id="827" w:name="_Toc172965536"/>
      <w:bookmarkStart w:id="828" w:name="_Toc163361836"/>
      <w:r>
        <w:rPr>
          <w:rStyle w:val="CharSectno"/>
        </w:rPr>
        <w:t>71</w:t>
      </w:r>
      <w:r>
        <w:rPr>
          <w:snapToGrid w:val="0"/>
        </w:rPr>
        <w:t>.</w:t>
      </w:r>
      <w:r>
        <w:rPr>
          <w:snapToGrid w:val="0"/>
        </w:rPr>
        <w:tab/>
      </w:r>
      <w:bookmarkEnd w:id="823"/>
      <w:r>
        <w:rPr>
          <w:snapToGrid w:val="0"/>
        </w:rPr>
        <w:t>Audit date may be varied by Board</w:t>
      </w:r>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Notwithstanding anything else in this Part, an agent may apply in writing to the Board to fix some date other than 31 December, as the date up to which his trust accounts are to be audited, and the Board may, in its discretion, permit the agent to substitute such other date for 31 December.</w:t>
      </w:r>
    </w:p>
    <w:p>
      <w:pPr>
        <w:pStyle w:val="Subsection"/>
        <w:rPr>
          <w:snapToGrid w:val="0"/>
        </w:rPr>
      </w:pPr>
      <w:r>
        <w:rPr>
          <w:snapToGrid w:val="0"/>
        </w:rPr>
        <w:tab/>
        <w:t>(2)</w:t>
      </w:r>
      <w:r>
        <w:rPr>
          <w:snapToGrid w:val="0"/>
        </w:rPr>
        <w:tab/>
        <w:t>The Board may, upon giving not less than one year’s notice to the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When any date has been substituted for 31 December under this section, the date so substituted shall not be further changed except by permission of the Board granted in accordance with this section.</w:t>
      </w:r>
    </w:p>
    <w:p>
      <w:pPr>
        <w:pStyle w:val="Heading5"/>
        <w:rPr>
          <w:snapToGrid w:val="0"/>
        </w:rPr>
      </w:pPr>
      <w:bookmarkStart w:id="829" w:name="_Toc520177806"/>
      <w:bookmarkStart w:id="830" w:name="_Toc102899406"/>
      <w:bookmarkStart w:id="831" w:name="_Toc124125448"/>
      <w:bookmarkStart w:id="832" w:name="_Toc172965537"/>
      <w:bookmarkStart w:id="833" w:name="_Toc163361837"/>
      <w:bookmarkStart w:id="834" w:name="_Toc480623772"/>
      <w:r>
        <w:rPr>
          <w:rStyle w:val="CharSectno"/>
        </w:rPr>
        <w:t>72</w:t>
      </w:r>
      <w:r>
        <w:rPr>
          <w:snapToGrid w:val="0"/>
        </w:rPr>
        <w:t>.</w:t>
      </w:r>
      <w:r>
        <w:rPr>
          <w:snapToGrid w:val="0"/>
        </w:rPr>
        <w:tab/>
        <w:t>Auditors, qualification and approval of</w:t>
      </w:r>
      <w:bookmarkEnd w:id="829"/>
      <w:bookmarkEnd w:id="830"/>
      <w:bookmarkEnd w:id="831"/>
      <w:bookmarkEnd w:id="832"/>
      <w:bookmarkEnd w:id="833"/>
      <w:r>
        <w:rPr>
          <w:snapToGrid w:val="0"/>
        </w:rPr>
        <w:t xml:space="preserve"> </w:t>
      </w:r>
      <w:bookmarkEnd w:id="834"/>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Part.</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Board may, if it thinks fit, disqualify that auditor from acting in that particular case.</w:t>
      </w:r>
    </w:p>
    <w:p>
      <w:pPr>
        <w:pStyle w:val="Footnotesection"/>
      </w:pPr>
      <w:r>
        <w:tab/>
        <w:t xml:space="preserve">[Section 72 amended by No. 10 of 1982 s. 28; No. 59 of 1995 s. 16; No. 10 of 2001 s. 220; No. 28 of 2003 s. 175.] </w:t>
      </w:r>
    </w:p>
    <w:p>
      <w:pPr>
        <w:pStyle w:val="Heading5"/>
        <w:rPr>
          <w:snapToGrid w:val="0"/>
        </w:rPr>
      </w:pPr>
      <w:bookmarkStart w:id="835" w:name="_Toc480623773"/>
      <w:bookmarkStart w:id="836" w:name="_Toc520177807"/>
      <w:bookmarkStart w:id="837" w:name="_Toc102899407"/>
      <w:bookmarkStart w:id="838" w:name="_Toc124125449"/>
      <w:bookmarkStart w:id="839" w:name="_Toc172965538"/>
      <w:bookmarkStart w:id="840" w:name="_Toc163361838"/>
      <w:r>
        <w:rPr>
          <w:rStyle w:val="CharSectno"/>
        </w:rPr>
        <w:t>73</w:t>
      </w:r>
      <w:r>
        <w:rPr>
          <w:snapToGrid w:val="0"/>
        </w:rPr>
        <w:t>.</w:t>
      </w:r>
      <w:r>
        <w:rPr>
          <w:snapToGrid w:val="0"/>
        </w:rPr>
        <w:tab/>
        <w:t>Auditor</w:t>
      </w:r>
      <w:bookmarkEnd w:id="835"/>
      <w:r>
        <w:rPr>
          <w:snapToGrid w:val="0"/>
        </w:rPr>
        <w:t>s, appointment of</w:t>
      </w:r>
      <w:bookmarkEnd w:id="836"/>
      <w:bookmarkEnd w:id="837"/>
      <w:bookmarkEnd w:id="838"/>
      <w:bookmarkEnd w:id="839"/>
      <w:bookmarkEnd w:id="840"/>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841" w:name="_Toc480623774"/>
      <w:bookmarkStart w:id="842" w:name="_Toc520177808"/>
      <w:bookmarkStart w:id="843" w:name="_Toc102899408"/>
      <w:bookmarkStart w:id="844" w:name="_Toc124125450"/>
      <w:bookmarkStart w:id="845" w:name="_Toc172965539"/>
      <w:bookmarkStart w:id="846" w:name="_Toc163361839"/>
      <w:r>
        <w:rPr>
          <w:rStyle w:val="CharSectno"/>
        </w:rPr>
        <w:t>74</w:t>
      </w:r>
      <w:r>
        <w:rPr>
          <w:snapToGrid w:val="0"/>
        </w:rPr>
        <w:t>.</w:t>
      </w:r>
      <w:r>
        <w:rPr>
          <w:snapToGrid w:val="0"/>
        </w:rPr>
        <w:tab/>
        <w:t>Audits of business carried on at more than one place</w:t>
      </w:r>
      <w:bookmarkEnd w:id="841"/>
      <w:bookmarkEnd w:id="842"/>
      <w:bookmarkEnd w:id="843"/>
      <w:bookmarkEnd w:id="844"/>
      <w:bookmarkEnd w:id="845"/>
      <w:bookmarkEnd w:id="846"/>
      <w:r>
        <w:rPr>
          <w:snapToGrid w:val="0"/>
        </w:rPr>
        <w:t xml:space="preserve"> </w:t>
      </w:r>
    </w:p>
    <w:p>
      <w:pPr>
        <w:pStyle w:val="Subsection"/>
        <w:rPr>
          <w:snapToGrid w:val="0"/>
        </w:rPr>
      </w:pPr>
      <w:r>
        <w:rPr>
          <w:snapToGrid w:val="0"/>
        </w:rPr>
        <w:tab/>
      </w:r>
      <w:r>
        <w:rPr>
          <w:snapToGrid w:val="0"/>
        </w:rPr>
        <w:tab/>
        <w:t>In the event of an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847" w:name="_Toc480623775"/>
      <w:bookmarkStart w:id="848" w:name="_Toc520177809"/>
      <w:bookmarkStart w:id="849" w:name="_Toc102899409"/>
      <w:bookmarkStart w:id="850" w:name="_Toc124125451"/>
      <w:bookmarkStart w:id="851" w:name="_Toc172965540"/>
      <w:bookmarkStart w:id="852" w:name="_Toc163361840"/>
      <w:r>
        <w:rPr>
          <w:rStyle w:val="CharSectno"/>
        </w:rPr>
        <w:t>75</w:t>
      </w:r>
      <w:r>
        <w:rPr>
          <w:snapToGrid w:val="0"/>
        </w:rPr>
        <w:t>.</w:t>
      </w:r>
      <w:r>
        <w:rPr>
          <w:snapToGrid w:val="0"/>
        </w:rPr>
        <w:tab/>
        <w:t>Board may change decisions made under this Part</w:t>
      </w:r>
      <w:bookmarkEnd w:id="847"/>
      <w:bookmarkEnd w:id="848"/>
      <w:bookmarkEnd w:id="849"/>
      <w:bookmarkEnd w:id="850"/>
      <w:bookmarkEnd w:id="851"/>
      <w:bookmarkEnd w:id="852"/>
      <w:r>
        <w:rPr>
          <w:snapToGrid w:val="0"/>
        </w:rPr>
        <w:t xml:space="preserve"> </w:t>
      </w:r>
    </w:p>
    <w:p>
      <w:pPr>
        <w:pStyle w:val="Subsection"/>
        <w:keepNext/>
        <w:rPr>
          <w:snapToGrid w:val="0"/>
        </w:rPr>
      </w:pPr>
      <w:r>
        <w:rPr>
          <w:snapToGrid w:val="0"/>
        </w:rPr>
        <w:tab/>
      </w:r>
      <w:r>
        <w:rPr>
          <w:snapToGrid w:val="0"/>
        </w:rPr>
        <w:tab/>
        <w:t>The Board may, if in its opinion just cause exists for doing so —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vary or revoke any other approval, direction, permission, or authority granted or given by it under this Part.</w:t>
      </w:r>
    </w:p>
    <w:p>
      <w:pPr>
        <w:pStyle w:val="Ednotesection"/>
        <w:ind w:left="0" w:firstLine="0"/>
      </w:pPr>
      <w:bookmarkStart w:id="853" w:name="_Toc480623777"/>
      <w:bookmarkStart w:id="854" w:name="_Toc520177811"/>
      <w:r>
        <w:t>[</w:t>
      </w:r>
      <w:r>
        <w:rPr>
          <w:b/>
        </w:rPr>
        <w:t>76.</w:t>
      </w:r>
      <w:r>
        <w:tab/>
        <w:t>Repealed by No. 55 of 2004 s. 1012.]</w:t>
      </w:r>
    </w:p>
    <w:p>
      <w:pPr>
        <w:pStyle w:val="Heading5"/>
        <w:rPr>
          <w:snapToGrid w:val="0"/>
        </w:rPr>
      </w:pPr>
      <w:bookmarkStart w:id="855" w:name="_Toc102899410"/>
      <w:bookmarkStart w:id="856" w:name="_Toc124125452"/>
      <w:bookmarkStart w:id="857" w:name="_Toc172965541"/>
      <w:bookmarkStart w:id="858" w:name="_Toc163361841"/>
      <w:r>
        <w:rPr>
          <w:rStyle w:val="CharSectno"/>
        </w:rPr>
        <w:t>77</w:t>
      </w:r>
      <w:r>
        <w:rPr>
          <w:snapToGrid w:val="0"/>
        </w:rPr>
        <w:t>.</w:t>
      </w:r>
      <w:r>
        <w:rPr>
          <w:snapToGrid w:val="0"/>
        </w:rPr>
        <w:tab/>
      </w:r>
      <w:bookmarkEnd w:id="853"/>
      <w:r>
        <w:rPr>
          <w:snapToGrid w:val="0"/>
        </w:rPr>
        <w:t>Audits, agents to obey auditors’ requests</w:t>
      </w:r>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859" w:name="_Toc480623778"/>
      <w:bookmarkStart w:id="860" w:name="_Toc520177812"/>
      <w:bookmarkStart w:id="861" w:name="_Toc102899411"/>
      <w:bookmarkStart w:id="862" w:name="_Toc124125453"/>
      <w:bookmarkStart w:id="863" w:name="_Toc172965542"/>
      <w:bookmarkStart w:id="864" w:name="_Toc163361842"/>
      <w:r>
        <w:rPr>
          <w:rStyle w:val="CharSectno"/>
        </w:rPr>
        <w:t>78</w:t>
      </w:r>
      <w:r>
        <w:rPr>
          <w:snapToGrid w:val="0"/>
        </w:rPr>
        <w:t>.</w:t>
      </w:r>
      <w:r>
        <w:rPr>
          <w:snapToGrid w:val="0"/>
        </w:rPr>
        <w:tab/>
      </w:r>
      <w:bookmarkEnd w:id="859"/>
      <w:r>
        <w:rPr>
          <w:snapToGrid w:val="0"/>
        </w:rPr>
        <w:t>Audits, bankers to obey auditors’ requests</w:t>
      </w:r>
      <w:bookmarkEnd w:id="860"/>
      <w:bookmarkEnd w:id="861"/>
      <w:bookmarkEnd w:id="862"/>
      <w:bookmarkEnd w:id="863"/>
      <w:bookmarkEnd w:id="864"/>
      <w:r>
        <w:rPr>
          <w:snapToGrid w:val="0"/>
        </w:rPr>
        <w:t xml:space="preserve"> </w:t>
      </w:r>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865" w:name="_Toc480623779"/>
      <w:bookmarkStart w:id="866" w:name="_Toc520177813"/>
      <w:bookmarkStart w:id="867" w:name="_Toc102899412"/>
      <w:bookmarkStart w:id="868" w:name="_Toc124125454"/>
      <w:bookmarkStart w:id="869" w:name="_Toc172965543"/>
      <w:bookmarkStart w:id="870" w:name="_Toc163361843"/>
      <w:r>
        <w:rPr>
          <w:rStyle w:val="CharSectno"/>
        </w:rPr>
        <w:t>79</w:t>
      </w:r>
      <w:r>
        <w:rPr>
          <w:snapToGrid w:val="0"/>
        </w:rPr>
        <w:t>.</w:t>
      </w:r>
      <w:r>
        <w:rPr>
          <w:snapToGrid w:val="0"/>
        </w:rPr>
        <w:tab/>
        <w:t>Auditors’ report</w:t>
      </w:r>
      <w:bookmarkEnd w:id="865"/>
      <w:r>
        <w:rPr>
          <w:snapToGrid w:val="0"/>
        </w:rPr>
        <w:t>s, contents of</w:t>
      </w:r>
      <w:bookmarkEnd w:id="866"/>
      <w:bookmarkEnd w:id="867"/>
      <w:bookmarkEnd w:id="868"/>
      <w:bookmarkEnd w:id="869"/>
      <w:bookmarkEnd w:id="870"/>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 </w:t>
      </w:r>
    </w:p>
    <w:p>
      <w:pPr>
        <w:pStyle w:val="Indenta"/>
        <w:rPr>
          <w:snapToGrid w:val="0"/>
        </w:rPr>
      </w:pPr>
      <w:r>
        <w:rPr>
          <w:snapToGrid w:val="0"/>
        </w:rPr>
        <w:tab/>
        <w:t>(a)</w:t>
      </w:r>
      <w:r>
        <w:rPr>
          <w:snapToGrid w:val="0"/>
        </w:rPr>
        <w:tab/>
        <w:t>whether the trust accounts of such agent have in the opinion of the auditor been kept regularly and properly written up;</w:t>
      </w:r>
    </w:p>
    <w:p>
      <w:pPr>
        <w:pStyle w:val="Indenta"/>
        <w:rPr>
          <w:snapToGrid w:val="0"/>
        </w:rPr>
      </w:pPr>
      <w:r>
        <w:rPr>
          <w:snapToGrid w:val="0"/>
        </w:rPr>
        <w:tab/>
        <w:t>(b)</w:t>
      </w:r>
      <w:r>
        <w:rPr>
          <w:snapToGrid w:val="0"/>
        </w:rPr>
        <w:tab/>
        <w:t>whether the trust accounts of such agent have been ready for examination at the periods appointed by the auditor;</w:t>
      </w:r>
    </w:p>
    <w:p>
      <w:pPr>
        <w:pStyle w:val="Indenta"/>
        <w:rPr>
          <w:snapToGrid w:val="0"/>
        </w:rPr>
      </w:pPr>
      <w:r>
        <w:rPr>
          <w:snapToGrid w:val="0"/>
        </w:rPr>
        <w:tab/>
        <w:t>(c)</w:t>
      </w:r>
      <w:r>
        <w:rPr>
          <w:snapToGrid w:val="0"/>
        </w:rPr>
        <w:tab/>
        <w:t>whether such agent has complied with the auditor’s requirements;</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 Board.</w:t>
      </w:r>
    </w:p>
    <w:p>
      <w:pPr>
        <w:pStyle w:val="Footnotesection"/>
      </w:pPr>
      <w:r>
        <w:tab/>
        <w:t xml:space="preserve">[Section 79 amended by No. 74 of 1980 s. 10; No. 59 of 1995 s. 17.] </w:t>
      </w:r>
    </w:p>
    <w:p>
      <w:pPr>
        <w:pStyle w:val="Heading5"/>
        <w:spacing w:before="180"/>
        <w:rPr>
          <w:snapToGrid w:val="0"/>
        </w:rPr>
      </w:pPr>
      <w:bookmarkStart w:id="871" w:name="_Toc480623780"/>
      <w:bookmarkStart w:id="872" w:name="_Toc520177814"/>
      <w:bookmarkStart w:id="873" w:name="_Toc102899413"/>
      <w:bookmarkStart w:id="874" w:name="_Toc124125455"/>
      <w:bookmarkStart w:id="875" w:name="_Toc172965544"/>
      <w:bookmarkStart w:id="876" w:name="_Toc163361844"/>
      <w:r>
        <w:rPr>
          <w:rStyle w:val="CharSectno"/>
        </w:rPr>
        <w:t>80</w:t>
      </w:r>
      <w:r>
        <w:rPr>
          <w:snapToGrid w:val="0"/>
        </w:rPr>
        <w:t>.</w:t>
      </w:r>
      <w:r>
        <w:rPr>
          <w:snapToGrid w:val="0"/>
        </w:rPr>
        <w:tab/>
      </w:r>
      <w:bookmarkEnd w:id="871"/>
      <w:r>
        <w:rPr>
          <w:snapToGrid w:val="0"/>
        </w:rPr>
        <w:t>Audits, agents to certify state of trust accounts</w:t>
      </w:r>
      <w:bookmarkEnd w:id="872"/>
      <w:bookmarkEnd w:id="873"/>
      <w:bookmarkEnd w:id="874"/>
      <w:bookmarkEnd w:id="875"/>
      <w:bookmarkEnd w:id="876"/>
    </w:p>
    <w:p>
      <w:pPr>
        <w:pStyle w:val="Subsection"/>
        <w:keepNext/>
        <w:spacing w:before="120"/>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spacing w:before="120"/>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877" w:name="_Toc520177815"/>
      <w:bookmarkStart w:id="878" w:name="_Toc102899414"/>
      <w:bookmarkStart w:id="879" w:name="_Toc124125456"/>
      <w:bookmarkStart w:id="880" w:name="_Toc172965545"/>
      <w:bookmarkStart w:id="881" w:name="_Toc163361845"/>
      <w:bookmarkStart w:id="882" w:name="_Toc480623781"/>
      <w:r>
        <w:rPr>
          <w:rStyle w:val="CharSectno"/>
        </w:rPr>
        <w:t>81</w:t>
      </w:r>
      <w:r>
        <w:rPr>
          <w:snapToGrid w:val="0"/>
        </w:rPr>
        <w:t>.</w:t>
      </w:r>
      <w:r>
        <w:rPr>
          <w:snapToGrid w:val="0"/>
        </w:rPr>
        <w:tab/>
        <w:t>Auditors to report on deficiencies etc. in trust accounts</w:t>
      </w:r>
      <w:bookmarkEnd w:id="877"/>
      <w:bookmarkEnd w:id="878"/>
      <w:bookmarkEnd w:id="879"/>
      <w:bookmarkEnd w:id="880"/>
      <w:bookmarkEnd w:id="881"/>
      <w:r>
        <w:rPr>
          <w:snapToGrid w:val="0"/>
        </w:rPr>
        <w:t xml:space="preserve"> </w:t>
      </w:r>
      <w:bookmarkEnd w:id="882"/>
    </w:p>
    <w:p>
      <w:pPr>
        <w:pStyle w:val="Subsection"/>
        <w:rPr>
          <w:snapToGrid w:val="0"/>
        </w:rPr>
      </w:pPr>
      <w:r>
        <w:rPr>
          <w:snapToGrid w:val="0"/>
        </w:rPr>
        <w:tab/>
      </w:r>
      <w:r>
        <w:rPr>
          <w:snapToGrid w:val="0"/>
        </w:rPr>
        <w:tab/>
        <w:t>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883" w:name="_Toc480623782"/>
      <w:bookmarkStart w:id="884" w:name="_Toc520177816"/>
      <w:bookmarkStart w:id="885" w:name="_Toc102899415"/>
      <w:bookmarkStart w:id="886" w:name="_Toc124125457"/>
      <w:bookmarkStart w:id="887" w:name="_Toc172965546"/>
      <w:bookmarkStart w:id="888" w:name="_Toc163361846"/>
      <w:r>
        <w:rPr>
          <w:rStyle w:val="CharSectno"/>
        </w:rPr>
        <w:t>82</w:t>
      </w:r>
      <w:r>
        <w:rPr>
          <w:snapToGrid w:val="0"/>
        </w:rPr>
        <w:t>.</w:t>
      </w:r>
      <w:r>
        <w:rPr>
          <w:snapToGrid w:val="0"/>
        </w:rPr>
        <w:tab/>
      </w:r>
      <w:bookmarkEnd w:id="883"/>
      <w:r>
        <w:rPr>
          <w:snapToGrid w:val="0"/>
        </w:rPr>
        <w:t>Auditors to keep information confidential</w:t>
      </w:r>
      <w:bookmarkEnd w:id="884"/>
      <w:bookmarkEnd w:id="885"/>
      <w:bookmarkEnd w:id="886"/>
      <w:bookmarkEnd w:id="887"/>
      <w:bookmarkEnd w:id="888"/>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889" w:name="_Toc480623783"/>
      <w:bookmarkStart w:id="890" w:name="_Toc520177817"/>
      <w:bookmarkStart w:id="891" w:name="_Toc102899416"/>
      <w:bookmarkStart w:id="892" w:name="_Toc124125458"/>
      <w:bookmarkStart w:id="893" w:name="_Toc172965547"/>
      <w:bookmarkStart w:id="894" w:name="_Toc163361847"/>
      <w:r>
        <w:rPr>
          <w:rStyle w:val="CharSectno"/>
        </w:rPr>
        <w:t>83</w:t>
      </w:r>
      <w:r>
        <w:rPr>
          <w:snapToGrid w:val="0"/>
        </w:rPr>
        <w:t>.</w:t>
      </w:r>
      <w:r>
        <w:rPr>
          <w:snapToGrid w:val="0"/>
        </w:rPr>
        <w:tab/>
        <w:t>Audit information</w:t>
      </w:r>
      <w:bookmarkEnd w:id="889"/>
      <w:r>
        <w:rPr>
          <w:snapToGrid w:val="0"/>
        </w:rPr>
        <w:t xml:space="preserve"> to be available to clients etc.</w:t>
      </w:r>
      <w:bookmarkEnd w:id="890"/>
      <w:bookmarkEnd w:id="891"/>
      <w:bookmarkEnd w:id="892"/>
      <w:bookmarkEnd w:id="893"/>
      <w:bookmarkEnd w:id="894"/>
    </w:p>
    <w:p>
      <w:pPr>
        <w:pStyle w:val="Subsection"/>
        <w:rPr>
          <w:snapToGrid w:val="0"/>
        </w:rPr>
      </w:pPr>
      <w:r>
        <w:rPr>
          <w:snapToGrid w:val="0"/>
        </w:rPr>
        <w:tab/>
        <w:t>(1)</w:t>
      </w:r>
      <w:r>
        <w:rPr>
          <w:snapToGrid w:val="0"/>
        </w:rPr>
        <w:tab/>
        <w:t>On request by any person interested in any moneys or securities held or which ought to be held or which have been received by an agent, the Board may disclose to such person or his solicitor such portion of any report of an auditor, or of any statutory declaration, statement, or other document delivered to the Board under this Part as affects or may affect such person.</w:t>
      </w:r>
    </w:p>
    <w:p>
      <w:pPr>
        <w:pStyle w:val="Subsection"/>
        <w:rPr>
          <w:snapToGrid w:val="0"/>
        </w:rPr>
      </w:pPr>
      <w:r>
        <w:rPr>
          <w:snapToGrid w:val="0"/>
        </w:rPr>
        <w:tab/>
        <w:t>(2)</w:t>
      </w:r>
      <w:r>
        <w:rPr>
          <w:snapToGrid w:val="0"/>
        </w:rPr>
        <w:tab/>
        <w:t>A report of an auditor under this Part or a statutory declaration, statement, or other document delivered to the Board under this Part shall be available in the hands of the Board for inspection by any other auditor appointed to audit the accounts of the same agent for the next succeeding year.</w:t>
      </w:r>
    </w:p>
    <w:p>
      <w:pPr>
        <w:pStyle w:val="Heading5"/>
        <w:rPr>
          <w:snapToGrid w:val="0"/>
        </w:rPr>
      </w:pPr>
      <w:bookmarkStart w:id="895" w:name="_Toc480623784"/>
      <w:bookmarkStart w:id="896" w:name="_Toc520177818"/>
      <w:bookmarkStart w:id="897" w:name="_Toc102899417"/>
      <w:bookmarkStart w:id="898" w:name="_Toc124125459"/>
      <w:bookmarkStart w:id="899" w:name="_Toc172965548"/>
      <w:bookmarkStart w:id="900" w:name="_Toc163361848"/>
      <w:r>
        <w:rPr>
          <w:rStyle w:val="CharSectno"/>
        </w:rPr>
        <w:t>84</w:t>
      </w:r>
      <w:r>
        <w:rPr>
          <w:snapToGrid w:val="0"/>
        </w:rPr>
        <w:t>.</w:t>
      </w:r>
      <w:r>
        <w:rPr>
          <w:snapToGrid w:val="0"/>
        </w:rPr>
        <w:tab/>
        <w:t>Penalty for breach</w:t>
      </w:r>
      <w:bookmarkEnd w:id="895"/>
      <w:r>
        <w:rPr>
          <w:snapToGrid w:val="0"/>
        </w:rPr>
        <w:t xml:space="preserve"> of Part VI</w:t>
      </w:r>
      <w:bookmarkEnd w:id="896"/>
      <w:bookmarkEnd w:id="897"/>
      <w:bookmarkEnd w:id="898"/>
      <w:bookmarkEnd w:id="899"/>
      <w:bookmarkEnd w:id="900"/>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84 amended by No. 43 of 1994 s. 11; No. 59 of 1995 s. 18.] </w:t>
      </w:r>
    </w:p>
    <w:p>
      <w:pPr>
        <w:pStyle w:val="Heading5"/>
        <w:rPr>
          <w:snapToGrid w:val="0"/>
        </w:rPr>
      </w:pPr>
      <w:bookmarkStart w:id="901" w:name="_Toc480623785"/>
      <w:bookmarkStart w:id="902" w:name="_Toc520177819"/>
      <w:bookmarkStart w:id="903" w:name="_Toc102899418"/>
      <w:bookmarkStart w:id="904" w:name="_Toc124125460"/>
      <w:bookmarkStart w:id="905" w:name="_Toc172965549"/>
      <w:bookmarkStart w:id="906" w:name="_Toc163361849"/>
      <w:r>
        <w:rPr>
          <w:rStyle w:val="CharSectno"/>
        </w:rPr>
        <w:t>85</w:t>
      </w:r>
      <w:r>
        <w:rPr>
          <w:snapToGrid w:val="0"/>
        </w:rPr>
        <w:t>.</w:t>
      </w:r>
      <w:r>
        <w:rPr>
          <w:snapToGrid w:val="0"/>
        </w:rPr>
        <w:tab/>
        <w:t>Auditor</w:t>
      </w:r>
      <w:bookmarkEnd w:id="901"/>
      <w:r>
        <w:rPr>
          <w:snapToGrid w:val="0"/>
        </w:rPr>
        <w:t>s, remuneration of</w:t>
      </w:r>
      <w:bookmarkEnd w:id="902"/>
      <w:bookmarkEnd w:id="903"/>
      <w:bookmarkEnd w:id="904"/>
      <w:bookmarkEnd w:id="905"/>
      <w:bookmarkEnd w:id="906"/>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907" w:name="_Toc480623786"/>
      <w:bookmarkStart w:id="908" w:name="_Toc520177820"/>
      <w:bookmarkStart w:id="909" w:name="_Toc102899419"/>
      <w:bookmarkStart w:id="910" w:name="_Toc124125461"/>
      <w:bookmarkStart w:id="911" w:name="_Toc172965550"/>
      <w:bookmarkStart w:id="912" w:name="_Toc163361850"/>
      <w:r>
        <w:rPr>
          <w:rStyle w:val="CharSectno"/>
        </w:rPr>
        <w:t>86</w:t>
      </w:r>
      <w:r>
        <w:rPr>
          <w:snapToGrid w:val="0"/>
        </w:rPr>
        <w:t>.</w:t>
      </w:r>
      <w:r>
        <w:rPr>
          <w:snapToGrid w:val="0"/>
        </w:rPr>
        <w:tab/>
        <w:t>Agents having no accounts to audit</w:t>
      </w:r>
      <w:bookmarkEnd w:id="907"/>
      <w:bookmarkEnd w:id="908"/>
      <w:bookmarkEnd w:id="909"/>
      <w:bookmarkEnd w:id="910"/>
      <w:bookmarkEnd w:id="911"/>
      <w:bookmarkEnd w:id="912"/>
      <w:r>
        <w:rPr>
          <w:snapToGrid w:val="0"/>
        </w:rPr>
        <w:t xml:space="preserve"> </w:t>
      </w:r>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 Board.</w:t>
      </w:r>
    </w:p>
    <w:p>
      <w:pPr>
        <w:pStyle w:val="Heading5"/>
        <w:rPr>
          <w:snapToGrid w:val="0"/>
        </w:rPr>
      </w:pPr>
      <w:bookmarkStart w:id="913" w:name="_Toc480623787"/>
      <w:bookmarkStart w:id="914" w:name="_Toc520177821"/>
      <w:bookmarkStart w:id="915" w:name="_Toc102899420"/>
      <w:bookmarkStart w:id="916" w:name="_Toc124125462"/>
      <w:bookmarkStart w:id="917" w:name="_Toc172965551"/>
      <w:bookmarkStart w:id="918" w:name="_Toc163361851"/>
      <w:r>
        <w:rPr>
          <w:rStyle w:val="CharSectno"/>
        </w:rPr>
        <w:t>87</w:t>
      </w:r>
      <w:r>
        <w:rPr>
          <w:snapToGrid w:val="0"/>
        </w:rPr>
        <w:t>.</w:t>
      </w:r>
      <w:r>
        <w:rPr>
          <w:snapToGrid w:val="0"/>
        </w:rPr>
        <w:tab/>
      </w:r>
      <w:bookmarkEnd w:id="913"/>
      <w:r>
        <w:rPr>
          <w:snapToGrid w:val="0"/>
        </w:rPr>
        <w:t>Audits of firms etc. operate as audits of agents who are members etc.</w:t>
      </w:r>
      <w:bookmarkEnd w:id="914"/>
      <w:bookmarkEnd w:id="915"/>
      <w:bookmarkEnd w:id="916"/>
      <w:bookmarkEnd w:id="917"/>
      <w:bookmarkEnd w:id="918"/>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919" w:name="_Toc480623788"/>
      <w:bookmarkStart w:id="920" w:name="_Toc520177822"/>
      <w:bookmarkStart w:id="921" w:name="_Toc102899421"/>
      <w:bookmarkStart w:id="922" w:name="_Toc124125463"/>
      <w:bookmarkStart w:id="923" w:name="_Toc172965552"/>
      <w:bookmarkStart w:id="924" w:name="_Toc163361852"/>
      <w:r>
        <w:rPr>
          <w:rStyle w:val="CharSectno"/>
        </w:rPr>
        <w:t>88</w:t>
      </w:r>
      <w:r>
        <w:rPr>
          <w:snapToGrid w:val="0"/>
        </w:rPr>
        <w:t>.</w:t>
      </w:r>
      <w:r>
        <w:rPr>
          <w:snapToGrid w:val="0"/>
        </w:rPr>
        <w:tab/>
        <w:t>Board may order audit of trust account</w:t>
      </w:r>
      <w:bookmarkEnd w:id="919"/>
      <w:bookmarkEnd w:id="920"/>
      <w:bookmarkEnd w:id="921"/>
      <w:bookmarkEnd w:id="922"/>
      <w:bookmarkEnd w:id="923"/>
      <w:bookmarkEnd w:id="924"/>
      <w:r>
        <w:rPr>
          <w:snapToGrid w:val="0"/>
        </w:rPr>
        <w:t xml:space="preserve"> </w:t>
      </w:r>
    </w:p>
    <w:p>
      <w:pPr>
        <w:pStyle w:val="Subsection"/>
        <w:rPr>
          <w:snapToGrid w:val="0"/>
        </w:rPr>
      </w:pPr>
      <w:r>
        <w:rPr>
          <w:snapToGrid w:val="0"/>
        </w:rPr>
        <w:tab/>
      </w:r>
      <w:r>
        <w:rPr>
          <w:snapToGrid w:val="0"/>
        </w:rPr>
        <w:tab/>
        <w:t>Without prejudice to the operation of the foregoing provisions of this Part, where the Board is of opinion that it is in the public interest to do so, it may, at any time, cause the trust accounts of an agent to be audited by an auditor nominated in writing by the Board for that purpose.</w:t>
      </w:r>
    </w:p>
    <w:p>
      <w:pPr>
        <w:pStyle w:val="Ednotesection"/>
      </w:pPr>
      <w:r>
        <w:t>[</w:t>
      </w:r>
      <w:r>
        <w:rPr>
          <w:b/>
        </w:rPr>
        <w:t>89.</w:t>
      </w:r>
      <w:r>
        <w:tab/>
        <w:t xml:space="preserve">Repealed by No. 74 of 1980 s. 9.] </w:t>
      </w:r>
    </w:p>
    <w:p>
      <w:pPr>
        <w:pStyle w:val="Heading5"/>
        <w:rPr>
          <w:snapToGrid w:val="0"/>
        </w:rPr>
      </w:pPr>
      <w:bookmarkStart w:id="925" w:name="_Toc480623789"/>
      <w:bookmarkStart w:id="926" w:name="_Toc520177823"/>
      <w:bookmarkStart w:id="927" w:name="_Toc102899422"/>
      <w:bookmarkStart w:id="928" w:name="_Toc124125464"/>
      <w:bookmarkStart w:id="929" w:name="_Toc172965553"/>
      <w:bookmarkStart w:id="930" w:name="_Toc163361853"/>
      <w:r>
        <w:rPr>
          <w:rStyle w:val="CharSectno"/>
        </w:rPr>
        <w:t>90</w:t>
      </w:r>
      <w:r>
        <w:rPr>
          <w:snapToGrid w:val="0"/>
        </w:rPr>
        <w:t>.</w:t>
      </w:r>
      <w:r>
        <w:rPr>
          <w:snapToGrid w:val="0"/>
        </w:rPr>
        <w:tab/>
        <w:t>Cost of audit</w:t>
      </w:r>
      <w:bookmarkEnd w:id="925"/>
      <w:r>
        <w:rPr>
          <w:snapToGrid w:val="0"/>
        </w:rPr>
        <w:t xml:space="preserve"> done under s. 88</w:t>
      </w:r>
      <w:bookmarkEnd w:id="926"/>
      <w:bookmarkEnd w:id="927"/>
      <w:bookmarkEnd w:id="928"/>
      <w:bookmarkEnd w:id="929"/>
      <w:bookmarkEnd w:id="930"/>
    </w:p>
    <w:p>
      <w:pPr>
        <w:pStyle w:val="Subsection"/>
        <w:rPr>
          <w:snapToGrid w:val="0"/>
        </w:rPr>
      </w:pPr>
      <w:r>
        <w:rPr>
          <w:snapToGrid w:val="0"/>
        </w:rPr>
        <w:tab/>
        <w:t>(1)</w:t>
      </w:r>
      <w:r>
        <w:rPr>
          <w:snapToGrid w:val="0"/>
        </w:rPr>
        <w:tab/>
        <w:t xml:space="preserve">The cost of an audit carried out pursuant to section 88 shall be as agreed between the Board and the auditor and paid as the Board in writing directs, either by the Board from moneys standing to the credit of the Fidelity </w:t>
      </w:r>
      <w:r>
        <w:t xml:space="preserve">Account </w:t>
      </w:r>
      <w:r>
        <w:rPr>
          <w:snapToGrid w:val="0"/>
        </w:rPr>
        <w:t>or by the agent whose trust accounts have been the subject of the audit.</w:t>
      </w:r>
    </w:p>
    <w:p>
      <w:pPr>
        <w:pStyle w:val="Subsection"/>
        <w:rPr>
          <w:snapToGrid w:val="0"/>
        </w:rPr>
      </w:pPr>
      <w:r>
        <w:rPr>
          <w:snapToGrid w:val="0"/>
        </w:rPr>
        <w:tab/>
        <w:t>(2)</w:t>
      </w:r>
      <w:r>
        <w:rPr>
          <w:snapToGrid w:val="0"/>
        </w:rPr>
        <w:tab/>
        <w:t>Where the cost of an audit referred to in subsection (1) is payable by the agent, the Board may in the first instance pay it from moneys standing to the credit of the Fidelity</w:t>
      </w:r>
      <w:r>
        <w:t xml:space="preserve"> Account</w:t>
      </w:r>
      <w:r>
        <w:rPr>
          <w:snapToGrid w:val="0"/>
        </w:rPr>
        <w:t>, but thereupon the amount of that cost is a civil debt recoverable summarily in any court of competent jurisdiction by the Board on behalf of the Fidelity</w:t>
      </w:r>
      <w:r>
        <w:t xml:space="preserve"> Account</w:t>
      </w:r>
      <w:r>
        <w:rPr>
          <w:snapToGrid w:val="0"/>
        </w:rPr>
        <w:t>.</w:t>
      </w:r>
    </w:p>
    <w:p>
      <w:pPr>
        <w:pStyle w:val="Footnotesection"/>
      </w:pPr>
      <w:r>
        <w:tab/>
        <w:t xml:space="preserve">[Section 90 amended by No. 29 of 1982 s. 12; No. 59 of 1995 s. 42; No. 77 of 2006 s. 17.] </w:t>
      </w:r>
    </w:p>
    <w:p>
      <w:pPr>
        <w:pStyle w:val="Heading5"/>
        <w:rPr>
          <w:snapToGrid w:val="0"/>
        </w:rPr>
      </w:pPr>
      <w:bookmarkStart w:id="931" w:name="_Toc480623790"/>
      <w:bookmarkStart w:id="932" w:name="_Toc520177824"/>
      <w:bookmarkStart w:id="933" w:name="_Toc102899423"/>
      <w:bookmarkStart w:id="934" w:name="_Toc124125465"/>
      <w:bookmarkStart w:id="935" w:name="_Toc172965554"/>
      <w:bookmarkStart w:id="936" w:name="_Toc163361854"/>
      <w:r>
        <w:rPr>
          <w:rStyle w:val="CharSectno"/>
        </w:rPr>
        <w:t>91</w:t>
      </w:r>
      <w:r>
        <w:rPr>
          <w:snapToGrid w:val="0"/>
        </w:rPr>
        <w:t>.</w:t>
      </w:r>
      <w:r>
        <w:rPr>
          <w:snapToGrid w:val="0"/>
        </w:rPr>
        <w:tab/>
      </w:r>
      <w:bookmarkEnd w:id="931"/>
      <w:r>
        <w:rPr>
          <w:snapToGrid w:val="0"/>
        </w:rPr>
        <w:t>Confidentiality of audit done under s. 88</w:t>
      </w:r>
      <w:bookmarkEnd w:id="932"/>
      <w:bookmarkEnd w:id="933"/>
      <w:bookmarkEnd w:id="934"/>
      <w:bookmarkEnd w:id="935"/>
      <w:bookmarkEnd w:id="936"/>
    </w:p>
    <w:p>
      <w:pPr>
        <w:pStyle w:val="Subsection"/>
        <w:rPr>
          <w:snapToGrid w:val="0"/>
          <w:spacing w:val="-4"/>
        </w:rPr>
      </w:pPr>
      <w:r>
        <w:rPr>
          <w:snapToGrid w:val="0"/>
        </w:rPr>
        <w:tab/>
      </w:r>
      <w:r>
        <w:rPr>
          <w:snapToGrid w:val="0"/>
        </w:rPr>
        <w:tab/>
      </w:r>
      <w:r>
        <w:rPr>
          <w:snapToGrid w:val="0"/>
          <w:spacing w:val="-4"/>
        </w:rPr>
        <w:t>The provisions of section 82 apply to an auditor nominated by the Board under section 88 with such modifications as circumstances require.</w:t>
      </w:r>
    </w:p>
    <w:p>
      <w:pPr>
        <w:pStyle w:val="Footnotesection"/>
      </w:pPr>
      <w:r>
        <w:tab/>
        <w:t>[Section 91 amended by No. 74 of 2003 s. 101.]</w:t>
      </w:r>
    </w:p>
    <w:p>
      <w:pPr>
        <w:pStyle w:val="Heading5"/>
        <w:keepNext w:val="0"/>
        <w:keepLines w:val="0"/>
        <w:rPr>
          <w:snapToGrid w:val="0"/>
        </w:rPr>
      </w:pPr>
      <w:bookmarkStart w:id="937" w:name="_Toc480623791"/>
      <w:bookmarkStart w:id="938" w:name="_Toc520177825"/>
      <w:bookmarkStart w:id="939" w:name="_Toc102899424"/>
      <w:bookmarkStart w:id="940" w:name="_Toc124125466"/>
      <w:bookmarkStart w:id="941" w:name="_Toc172965555"/>
      <w:bookmarkStart w:id="942" w:name="_Toc163361855"/>
      <w:r>
        <w:rPr>
          <w:rStyle w:val="CharSectno"/>
        </w:rPr>
        <w:t>92</w:t>
      </w:r>
      <w:r>
        <w:rPr>
          <w:snapToGrid w:val="0"/>
        </w:rPr>
        <w:t>.</w:t>
      </w:r>
      <w:r>
        <w:rPr>
          <w:snapToGrid w:val="0"/>
        </w:rPr>
        <w:tab/>
      </w:r>
      <w:bookmarkEnd w:id="937"/>
      <w:r>
        <w:rPr>
          <w:snapToGrid w:val="0"/>
        </w:rPr>
        <w:t xml:space="preserve">Trust accounts etc. may be frozen by </w:t>
      </w:r>
      <w:bookmarkEnd w:id="938"/>
      <w:r>
        <w:rPr>
          <w:snapToGrid w:val="0"/>
        </w:rPr>
        <w:t>State Administrative Tribunal</w:t>
      </w:r>
      <w:bookmarkEnd w:id="939"/>
      <w:bookmarkEnd w:id="940"/>
      <w:bookmarkEnd w:id="941"/>
      <w:bookmarkEnd w:id="942"/>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agent; or</w:t>
      </w:r>
    </w:p>
    <w:p>
      <w:pPr>
        <w:pStyle w:val="Indenta"/>
        <w:keepNext/>
        <w:rPr>
          <w:snapToGrid w:val="0"/>
        </w:rPr>
      </w:pPr>
      <w:r>
        <w:rPr>
          <w:snapToGrid w:val="0"/>
        </w:rPr>
        <w:tab/>
        <w:t>(b)</w:t>
      </w:r>
      <w:r>
        <w:rPr>
          <w:snapToGrid w:val="0"/>
        </w:rPr>
        <w:tab/>
        <w:t>there has been undue or unreasonable refusal, neglect, or delay on the part of any agent in paying moneys,</w:t>
      </w:r>
    </w:p>
    <w:p>
      <w:pPr>
        <w:pStyle w:val="Indenti"/>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 </w:t>
      </w:r>
    </w:p>
    <w:p>
      <w:pPr>
        <w:pStyle w:val="Indenta"/>
        <w:rPr>
          <w:snapToGrid w:val="0"/>
        </w:rPr>
      </w:pPr>
      <w:r>
        <w:rPr>
          <w:snapToGrid w:val="0"/>
        </w:rPr>
        <w:tab/>
        <w:t>(a)</w:t>
      </w:r>
      <w:r>
        <w:rPr>
          <w:snapToGrid w:val="0"/>
        </w:rPr>
        <w:tab/>
      </w:r>
      <w:r>
        <w:rPr>
          <w:b/>
          <w:snapToGrid w:val="0"/>
        </w:rPr>
        <w:t>“</w:t>
      </w:r>
      <w:r>
        <w:rPr>
          <w:rStyle w:val="CharDefText"/>
        </w:rPr>
        <w:t>trust account</w:t>
      </w:r>
      <w:r>
        <w:rPr>
          <w:b/>
          <w:snapToGrid w:val="0"/>
        </w:rPr>
        <w: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b/>
          <w:snapToGrid w:val="0"/>
        </w:rPr>
        <w:t>“</w:t>
      </w:r>
      <w:r>
        <w:rPr>
          <w:rStyle w:val="CharDefText"/>
        </w:rPr>
        <w:t>agent</w:t>
      </w:r>
      <w:r>
        <w:rPr>
          <w:b/>
          <w:snapToGrid w:val="0"/>
        </w:rPr>
        <w: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 xml:space="preserve">[Section 92 amended by No. 59 of 1995 s. 40(1); No. 26 of 1999 s. 99(4); No. 55 of 2004 s. 1021.] </w:t>
      </w:r>
    </w:p>
    <w:p>
      <w:pPr>
        <w:pStyle w:val="Heading5"/>
        <w:rPr>
          <w:snapToGrid w:val="0"/>
        </w:rPr>
      </w:pPr>
      <w:bookmarkStart w:id="943" w:name="_Toc480623792"/>
      <w:bookmarkStart w:id="944" w:name="_Toc520177826"/>
      <w:bookmarkStart w:id="945" w:name="_Toc102899425"/>
      <w:bookmarkStart w:id="946" w:name="_Toc124125467"/>
      <w:bookmarkStart w:id="947" w:name="_Toc172965556"/>
      <w:bookmarkStart w:id="948" w:name="_Toc163361856"/>
      <w:r>
        <w:rPr>
          <w:rStyle w:val="CharSectno"/>
        </w:rPr>
        <w:t>93</w:t>
      </w:r>
      <w:r>
        <w:rPr>
          <w:snapToGrid w:val="0"/>
        </w:rPr>
        <w:t>.</w:t>
      </w:r>
      <w:r>
        <w:rPr>
          <w:snapToGrid w:val="0"/>
        </w:rPr>
        <w:tab/>
      </w:r>
      <w:bookmarkEnd w:id="943"/>
      <w:r>
        <w:rPr>
          <w:snapToGrid w:val="0"/>
        </w:rPr>
        <w:t>State Administrative Tribunal may suspend agent, restrain use of accounts, and authorise appointment of supervisor</w:t>
      </w:r>
      <w:bookmarkEnd w:id="944"/>
      <w:bookmarkEnd w:id="945"/>
      <w:bookmarkEnd w:id="946"/>
      <w:bookmarkEnd w:id="947"/>
      <w:bookmarkEnd w:id="948"/>
    </w:p>
    <w:p>
      <w:pPr>
        <w:pStyle w:val="Subsection"/>
        <w:rPr>
          <w:snapToGrid w:val="0"/>
        </w:rPr>
      </w:pPr>
      <w:r>
        <w:rPr>
          <w:snapToGrid w:val="0"/>
        </w:rPr>
        <w:tab/>
        <w:t>(1)</w:t>
      </w:r>
      <w:r>
        <w:rPr>
          <w:snapToGrid w:val="0"/>
        </w:rPr>
        <w:tab/>
        <w:t>Where the State Administrative Tribunal, on the application of the Board, notice whereof shall be given to the agent, is satisfied that there are reasonable grounds for believing that an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agent from carrying on his business for such period as may be specified in the order;</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agent;</w:t>
      </w:r>
    </w:p>
    <w:p>
      <w:pPr>
        <w:pStyle w:val="Indenta"/>
        <w:rPr>
          <w:snapToGrid w:val="0"/>
        </w:rPr>
      </w:pPr>
      <w:r>
        <w:rPr>
          <w:snapToGrid w:val="0"/>
        </w:rPr>
        <w:tab/>
        <w:t>(d)</w:t>
      </w:r>
      <w:r>
        <w:rPr>
          <w:snapToGrid w:val="0"/>
        </w:rPr>
        <w:tab/>
        <w:t>authorise the Board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 Board, that a sole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Board </w:t>
      </w:r>
      <w:r>
        <w:t xml:space="preserve">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w:t>
      </w:r>
      <w:r>
        <w:t xml:space="preserve"> agency special purpose</w:t>
      </w:r>
      <w:r>
        <w:rPr>
          <w:snapToGrid w:val="0"/>
        </w:rPr>
        <w:t xml:space="preserve"> account under the order.</w:t>
      </w:r>
    </w:p>
    <w:p>
      <w:pPr>
        <w:pStyle w:val="Footnotesection"/>
      </w:pPr>
      <w:r>
        <w:tab/>
        <w:t xml:space="preserve">[Section 93 amended by No. 59 of 1995 s. 42; No. 55 of 2004 s. 1021; No. 77 of 2006 s. 17.] </w:t>
      </w:r>
    </w:p>
    <w:p>
      <w:pPr>
        <w:pStyle w:val="Heading5"/>
        <w:rPr>
          <w:snapToGrid w:val="0"/>
        </w:rPr>
      </w:pPr>
      <w:bookmarkStart w:id="949" w:name="_Toc480623793"/>
      <w:bookmarkStart w:id="950" w:name="_Toc520177827"/>
      <w:bookmarkStart w:id="951" w:name="_Toc102899426"/>
      <w:bookmarkStart w:id="952" w:name="_Toc124125468"/>
      <w:bookmarkStart w:id="953" w:name="_Toc172965557"/>
      <w:bookmarkStart w:id="954" w:name="_Toc163361857"/>
      <w:r>
        <w:rPr>
          <w:rStyle w:val="CharSectno"/>
        </w:rPr>
        <w:t>94</w:t>
      </w:r>
      <w:r>
        <w:rPr>
          <w:snapToGrid w:val="0"/>
        </w:rPr>
        <w:t>.</w:t>
      </w:r>
      <w:r>
        <w:rPr>
          <w:snapToGrid w:val="0"/>
        </w:rPr>
        <w:tab/>
      </w:r>
      <w:bookmarkEnd w:id="949"/>
      <w:r>
        <w:rPr>
          <w:snapToGrid w:val="0"/>
        </w:rPr>
        <w:t>Supervisors, appointment and remuneration of</w:t>
      </w:r>
      <w:bookmarkEnd w:id="950"/>
      <w:bookmarkEnd w:id="951"/>
      <w:bookmarkEnd w:id="952"/>
      <w:bookmarkEnd w:id="953"/>
      <w:bookmarkEnd w:id="954"/>
    </w:p>
    <w:p>
      <w:pPr>
        <w:pStyle w:val="Subsection"/>
        <w:keepNext/>
        <w:rPr>
          <w:snapToGrid w:val="0"/>
        </w:rPr>
      </w:pPr>
      <w:r>
        <w:rPr>
          <w:snapToGrid w:val="0"/>
        </w:rPr>
        <w:tab/>
        <w:t>(1)</w:t>
      </w:r>
      <w:r>
        <w:rPr>
          <w:snapToGrid w:val="0"/>
        </w:rPr>
        <w:tab/>
        <w:t>Where an order made under section 93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agent or deceased agent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may determine what, if any, proportion of remuneration or other proper charges recovered on account of the agent or deceased agent, shall be paid to the agent or the personal representative of the deceased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Heading5"/>
        <w:rPr>
          <w:snapToGrid w:val="0"/>
        </w:rPr>
      </w:pPr>
      <w:bookmarkStart w:id="955" w:name="_Toc480623794"/>
      <w:bookmarkStart w:id="956" w:name="_Toc520177828"/>
      <w:bookmarkStart w:id="957" w:name="_Toc102899427"/>
      <w:bookmarkStart w:id="958" w:name="_Toc124125469"/>
      <w:bookmarkStart w:id="959" w:name="_Toc172965558"/>
      <w:bookmarkStart w:id="960" w:name="_Toc163361858"/>
      <w:r>
        <w:rPr>
          <w:rStyle w:val="CharSectno"/>
        </w:rPr>
        <w:t>95</w:t>
      </w:r>
      <w:r>
        <w:rPr>
          <w:snapToGrid w:val="0"/>
        </w:rPr>
        <w:t>.</w:t>
      </w:r>
      <w:r>
        <w:rPr>
          <w:snapToGrid w:val="0"/>
        </w:rPr>
        <w:tab/>
        <w:t>Supervisor</w:t>
      </w:r>
      <w:bookmarkEnd w:id="955"/>
      <w:r>
        <w:rPr>
          <w:snapToGrid w:val="0"/>
        </w:rPr>
        <w:t>s, duties of</w:t>
      </w:r>
      <w:bookmarkEnd w:id="956"/>
      <w:bookmarkEnd w:id="957"/>
      <w:bookmarkEnd w:id="958"/>
      <w:bookmarkEnd w:id="959"/>
      <w:bookmarkEnd w:id="960"/>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961" w:name="_Toc480623795"/>
      <w:bookmarkStart w:id="962" w:name="_Toc520177829"/>
      <w:bookmarkStart w:id="963" w:name="_Toc102899428"/>
      <w:bookmarkStart w:id="964" w:name="_Toc124125470"/>
      <w:bookmarkStart w:id="965" w:name="_Toc172965559"/>
      <w:bookmarkStart w:id="966" w:name="_Toc163361859"/>
      <w:r>
        <w:rPr>
          <w:rStyle w:val="CharSectno"/>
        </w:rPr>
        <w:t>96</w:t>
      </w:r>
      <w:r>
        <w:rPr>
          <w:snapToGrid w:val="0"/>
        </w:rPr>
        <w:t>.</w:t>
      </w:r>
      <w:r>
        <w:rPr>
          <w:snapToGrid w:val="0"/>
        </w:rPr>
        <w:tab/>
      </w:r>
      <w:bookmarkEnd w:id="961"/>
      <w:r>
        <w:rPr>
          <w:snapToGrid w:val="0"/>
        </w:rPr>
        <w:t>Supervisors, obstruction etc. of</w:t>
      </w:r>
      <w:bookmarkEnd w:id="962"/>
      <w:bookmarkEnd w:id="963"/>
      <w:bookmarkEnd w:id="964"/>
      <w:bookmarkEnd w:id="965"/>
      <w:bookmarkEnd w:id="966"/>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96 amended by No. 43 of 1994 s. 11.] </w:t>
      </w:r>
    </w:p>
    <w:p>
      <w:pPr>
        <w:pStyle w:val="Heading5"/>
        <w:rPr>
          <w:snapToGrid w:val="0"/>
        </w:rPr>
      </w:pPr>
      <w:bookmarkStart w:id="967" w:name="_Toc480623796"/>
      <w:bookmarkStart w:id="968" w:name="_Toc520177830"/>
      <w:bookmarkStart w:id="969" w:name="_Toc102899429"/>
      <w:bookmarkStart w:id="970" w:name="_Toc124125471"/>
      <w:bookmarkStart w:id="971" w:name="_Toc172965560"/>
      <w:bookmarkStart w:id="972" w:name="_Toc163361860"/>
      <w:r>
        <w:rPr>
          <w:rStyle w:val="CharSectno"/>
        </w:rPr>
        <w:t>97</w:t>
      </w:r>
      <w:r>
        <w:rPr>
          <w:snapToGrid w:val="0"/>
        </w:rPr>
        <w:t>.</w:t>
      </w:r>
      <w:r>
        <w:rPr>
          <w:snapToGrid w:val="0"/>
        </w:rPr>
        <w:tab/>
        <w:t>Discharge or variation of order</w:t>
      </w:r>
      <w:bookmarkEnd w:id="967"/>
      <w:r>
        <w:rPr>
          <w:snapToGrid w:val="0"/>
        </w:rPr>
        <w:t>s under s. 92 or 93</w:t>
      </w:r>
      <w:bookmarkEnd w:id="968"/>
      <w:bookmarkEnd w:id="969"/>
      <w:bookmarkEnd w:id="970"/>
      <w:bookmarkEnd w:id="971"/>
      <w:bookmarkEnd w:id="972"/>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bookmarkStart w:id="973" w:name="_Toc480623797"/>
      <w:bookmarkStart w:id="974" w:name="_Toc520177831"/>
      <w:r>
        <w:tab/>
        <w:t xml:space="preserve">[Section 97 amended by No. 55 of 2004 s. 1021.] </w:t>
      </w:r>
    </w:p>
    <w:p>
      <w:pPr>
        <w:pStyle w:val="Heading5"/>
        <w:rPr>
          <w:snapToGrid w:val="0"/>
        </w:rPr>
      </w:pPr>
      <w:bookmarkStart w:id="975" w:name="_Toc102899430"/>
      <w:bookmarkStart w:id="976" w:name="_Toc124125472"/>
      <w:bookmarkStart w:id="977" w:name="_Toc172965561"/>
      <w:bookmarkStart w:id="978" w:name="_Toc163361861"/>
      <w:r>
        <w:rPr>
          <w:rStyle w:val="CharSectno"/>
        </w:rPr>
        <w:t>98</w:t>
      </w:r>
      <w:r>
        <w:rPr>
          <w:snapToGrid w:val="0"/>
        </w:rPr>
        <w:t>.</w:t>
      </w:r>
      <w:r>
        <w:rPr>
          <w:snapToGrid w:val="0"/>
        </w:rPr>
        <w:tab/>
      </w:r>
      <w:bookmarkEnd w:id="973"/>
      <w:r>
        <w:rPr>
          <w:snapToGrid w:val="0"/>
        </w:rPr>
        <w:t>Schemes for distribution of trust funds</w:t>
      </w:r>
      <w:bookmarkEnd w:id="974"/>
      <w:bookmarkEnd w:id="975"/>
      <w:bookmarkEnd w:id="976"/>
      <w:bookmarkEnd w:id="977"/>
      <w:bookmarkEnd w:id="978"/>
    </w:p>
    <w:p>
      <w:pPr>
        <w:pStyle w:val="Subsection"/>
        <w:keepNext/>
        <w:rPr>
          <w:snapToGrid w:val="0"/>
        </w:rPr>
      </w:pPr>
      <w:r>
        <w:rPr>
          <w:snapToGrid w:val="0"/>
        </w:rPr>
        <w:tab/>
        <w:t>(1)</w:t>
      </w:r>
      <w:r>
        <w:rPr>
          <w:snapToGrid w:val="0"/>
        </w:rPr>
        <w:tab/>
        <w:t>The State Administrative Tribunal may, on the application of the Board, the Treasurer, or the agent, or the personal representative of a deceased agent, referred to in an order made under the provisions of section 92, 93, or 97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98 amended by No. 59 of 1995 s. 40(1) and 42; No. 26 of 1999 s. 99(5); No. 55 of 2004 s. 1021; No. 77 of 2006 s. 17.] </w:t>
      </w:r>
    </w:p>
    <w:p>
      <w:pPr>
        <w:pStyle w:val="Heading5"/>
        <w:rPr>
          <w:snapToGrid w:val="0"/>
        </w:rPr>
      </w:pPr>
      <w:bookmarkStart w:id="979" w:name="_Toc480623798"/>
      <w:bookmarkStart w:id="980" w:name="_Toc520177832"/>
      <w:bookmarkStart w:id="981" w:name="_Toc102899431"/>
      <w:bookmarkStart w:id="982" w:name="_Toc124125473"/>
      <w:bookmarkStart w:id="983" w:name="_Toc172965562"/>
      <w:bookmarkStart w:id="984" w:name="_Toc163361862"/>
      <w:r>
        <w:rPr>
          <w:rStyle w:val="CharSectno"/>
        </w:rPr>
        <w:t>99</w:t>
      </w:r>
      <w:r>
        <w:rPr>
          <w:snapToGrid w:val="0"/>
        </w:rPr>
        <w:t>.</w:t>
      </w:r>
      <w:r>
        <w:rPr>
          <w:snapToGrid w:val="0"/>
        </w:rPr>
        <w:tab/>
      </w:r>
      <w:bookmarkEnd w:id="979"/>
      <w:r>
        <w:rPr>
          <w:snapToGrid w:val="0"/>
        </w:rPr>
        <w:t>Orders under s. 92, 93, or 98 to be served and complied with</w:t>
      </w:r>
      <w:bookmarkEnd w:id="980"/>
      <w:bookmarkEnd w:id="981"/>
      <w:bookmarkEnd w:id="982"/>
      <w:bookmarkEnd w:id="983"/>
      <w:bookmarkEnd w:id="984"/>
    </w:p>
    <w:p>
      <w:pPr>
        <w:pStyle w:val="Subsection"/>
        <w:keepNext/>
        <w:rPr>
          <w:snapToGrid w:val="0"/>
        </w:rPr>
      </w:pPr>
      <w:r>
        <w:rPr>
          <w:snapToGrid w:val="0"/>
        </w:rPr>
        <w:tab/>
        <w:t>(1)</w:t>
      </w:r>
      <w:r>
        <w:rPr>
          <w:snapToGrid w:val="0"/>
        </w:rPr>
        <w:tab/>
        <w:t>The Board shall, as soon as practicable after any order is, on the application of the Board, made under the provisions of section 92, 93,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20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spacing w:before="200"/>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 xml:space="preserve">(8).] </w:t>
      </w:r>
    </w:p>
    <w:p>
      <w:pPr>
        <w:pStyle w:val="Heading5"/>
        <w:rPr>
          <w:snapToGrid w:val="0"/>
        </w:rPr>
      </w:pPr>
      <w:bookmarkStart w:id="985" w:name="_Toc480623799"/>
      <w:bookmarkStart w:id="986" w:name="_Toc520177833"/>
      <w:bookmarkStart w:id="987" w:name="_Toc102899432"/>
      <w:bookmarkStart w:id="988" w:name="_Toc124125474"/>
      <w:bookmarkStart w:id="989" w:name="_Toc172965563"/>
      <w:bookmarkStart w:id="990" w:name="_Toc163361863"/>
      <w:r>
        <w:rPr>
          <w:rStyle w:val="CharSectno"/>
        </w:rPr>
        <w:t>100</w:t>
      </w:r>
      <w:r>
        <w:rPr>
          <w:snapToGrid w:val="0"/>
        </w:rPr>
        <w:t>.</w:t>
      </w:r>
      <w:r>
        <w:rPr>
          <w:snapToGrid w:val="0"/>
        </w:rPr>
        <w:tab/>
      </w:r>
      <w:bookmarkEnd w:id="985"/>
      <w:r>
        <w:rPr>
          <w:snapToGrid w:val="0"/>
        </w:rPr>
        <w:t>Financial institutions to disclose agent’s accounts on request</w:t>
      </w:r>
      <w:bookmarkEnd w:id="986"/>
      <w:bookmarkEnd w:id="987"/>
      <w:bookmarkEnd w:id="988"/>
      <w:bookmarkEnd w:id="989"/>
      <w:bookmarkEnd w:id="990"/>
    </w:p>
    <w:p>
      <w:pPr>
        <w:pStyle w:val="Subsection"/>
        <w:spacing w:before="200"/>
        <w:rPr>
          <w:snapToGrid w:val="0"/>
        </w:rPr>
      </w:pPr>
      <w:r>
        <w:rPr>
          <w:snapToGrid w:val="0"/>
        </w:rPr>
        <w:tab/>
      </w:r>
      <w:r>
        <w:rPr>
          <w:snapToGrid w:val="0"/>
        </w:rPr>
        <w:tab/>
        <w:t>Where the Registrar, an inspector, a supervisor or a member of the Police Force duly authorised to make an investigation or inquiry for the purposes of this Act has reasonable cause to believe that an agent has deposited any money with a bank or other financial institution, whether in an account in the name of the agent or in some other account, he may by notice in writing addressed to the manager or other officer for the time being in charge of the bank or other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permit the Registrar, inspector, supervisor, or member of the Police Force to inspect, and make a copy or extract of, the nominated accounts and any book, document, or other record that relates thereto and is in the possession or control of that bank or other institution.</w:t>
      </w:r>
    </w:p>
    <w:p>
      <w:pPr>
        <w:pStyle w:val="Footnotesection"/>
      </w:pPr>
      <w:r>
        <w:tab/>
        <w:t>[Section 100 amended by No. 26 of 1999 s. 99(9).]</w:t>
      </w:r>
    </w:p>
    <w:p>
      <w:pPr>
        <w:pStyle w:val="Heading5"/>
        <w:rPr>
          <w:snapToGrid w:val="0"/>
        </w:rPr>
      </w:pPr>
      <w:bookmarkStart w:id="991" w:name="_Toc480623800"/>
      <w:bookmarkStart w:id="992" w:name="_Toc520177834"/>
      <w:bookmarkStart w:id="993" w:name="_Toc102899433"/>
      <w:bookmarkStart w:id="994" w:name="_Toc124125475"/>
      <w:bookmarkStart w:id="995" w:name="_Toc172965564"/>
      <w:bookmarkStart w:id="996" w:name="_Toc163361864"/>
      <w:r>
        <w:rPr>
          <w:rStyle w:val="CharSectno"/>
        </w:rPr>
        <w:t>100A</w:t>
      </w:r>
      <w:r>
        <w:rPr>
          <w:snapToGrid w:val="0"/>
        </w:rPr>
        <w:t>.</w:t>
      </w:r>
      <w:r>
        <w:rPr>
          <w:snapToGrid w:val="0"/>
        </w:rPr>
        <w:tab/>
        <w:t>Registrar may obtain information about trust accounts</w:t>
      </w:r>
      <w:bookmarkEnd w:id="991"/>
      <w:bookmarkEnd w:id="992"/>
      <w:bookmarkEnd w:id="993"/>
      <w:bookmarkEnd w:id="994"/>
      <w:bookmarkEnd w:id="995"/>
      <w:bookmarkEnd w:id="996"/>
      <w:r>
        <w:rPr>
          <w:snapToGrid w:val="0"/>
        </w:rPr>
        <w:t xml:space="preserve"> </w:t>
      </w:r>
    </w:p>
    <w:p>
      <w:pPr>
        <w:pStyle w:val="Subsection"/>
        <w:keepNext/>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an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keepNext/>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keepNext/>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100A inserted by No. 59 of 1995 s. 19; amended by No. 10 of 2001 s. 220.] </w:t>
      </w:r>
    </w:p>
    <w:p>
      <w:pPr>
        <w:pStyle w:val="Heading2"/>
      </w:pPr>
      <w:bookmarkStart w:id="997" w:name="_Toc72643477"/>
      <w:bookmarkStart w:id="998" w:name="_Toc89596442"/>
      <w:bookmarkStart w:id="999" w:name="_Toc91303170"/>
      <w:bookmarkStart w:id="1000" w:name="_Toc92701279"/>
      <w:bookmarkStart w:id="1001" w:name="_Toc96997004"/>
      <w:bookmarkStart w:id="1002" w:name="_Toc98833515"/>
      <w:bookmarkStart w:id="1003" w:name="_Toc99166123"/>
      <w:bookmarkStart w:id="1004" w:name="_Toc100021782"/>
      <w:bookmarkStart w:id="1005" w:name="_Toc100562136"/>
      <w:bookmarkStart w:id="1006" w:name="_Toc100562511"/>
      <w:bookmarkStart w:id="1007" w:name="_Toc102373529"/>
      <w:bookmarkStart w:id="1008" w:name="_Toc102536190"/>
      <w:bookmarkStart w:id="1009" w:name="_Toc102899434"/>
      <w:bookmarkStart w:id="1010" w:name="_Toc107197912"/>
      <w:bookmarkStart w:id="1011" w:name="_Toc116713342"/>
      <w:bookmarkStart w:id="1012" w:name="_Toc116813051"/>
      <w:bookmarkStart w:id="1013" w:name="_Toc121566590"/>
      <w:bookmarkStart w:id="1014" w:name="_Toc124125476"/>
      <w:bookmarkStart w:id="1015" w:name="_Toc124140926"/>
      <w:bookmarkStart w:id="1016" w:name="_Toc139362708"/>
      <w:bookmarkStart w:id="1017" w:name="_Toc139685905"/>
      <w:bookmarkStart w:id="1018" w:name="_Toc154197266"/>
      <w:bookmarkStart w:id="1019" w:name="_Toc158003656"/>
      <w:bookmarkStart w:id="1020" w:name="_Toc163273882"/>
      <w:bookmarkStart w:id="1021" w:name="_Toc163361865"/>
      <w:bookmarkStart w:id="1022" w:name="_Toc172965364"/>
      <w:bookmarkStart w:id="1023" w:name="_Toc172965565"/>
      <w:r>
        <w:rPr>
          <w:rStyle w:val="CharPartNo"/>
        </w:rPr>
        <w:t>Part VII</w:t>
      </w:r>
      <w:r>
        <w:rPr>
          <w:rStyle w:val="CharDivNo"/>
        </w:rPr>
        <w:t> </w:t>
      </w:r>
      <w:r>
        <w:t>—</w:t>
      </w:r>
      <w:r>
        <w:rPr>
          <w:rStyle w:val="CharDivText"/>
        </w:rPr>
        <w:t> </w:t>
      </w:r>
      <w:r>
        <w:rPr>
          <w:rStyle w:val="CharPartText"/>
        </w:rPr>
        <w:t>Discipline of agents and sales representatives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r>
        <w:rPr>
          <w:rStyle w:val="CharPartText"/>
        </w:rPr>
        <w:t xml:space="preserve"> </w:t>
      </w:r>
    </w:p>
    <w:p>
      <w:pPr>
        <w:pStyle w:val="Heading5"/>
        <w:rPr>
          <w:snapToGrid w:val="0"/>
        </w:rPr>
      </w:pPr>
      <w:bookmarkStart w:id="1024" w:name="_Toc480623801"/>
      <w:bookmarkStart w:id="1025" w:name="_Toc520177835"/>
      <w:bookmarkStart w:id="1026" w:name="_Toc102899435"/>
      <w:bookmarkStart w:id="1027" w:name="_Toc124125477"/>
      <w:bookmarkStart w:id="1028" w:name="_Toc172965566"/>
      <w:bookmarkStart w:id="1029" w:name="_Toc163361866"/>
      <w:r>
        <w:rPr>
          <w:rStyle w:val="CharSectno"/>
        </w:rPr>
        <w:t>101</w:t>
      </w:r>
      <w:r>
        <w:rPr>
          <w:snapToGrid w:val="0"/>
        </w:rPr>
        <w:t>.</w:t>
      </w:r>
      <w:r>
        <w:rPr>
          <w:snapToGrid w:val="0"/>
        </w:rPr>
        <w:tab/>
        <w:t>Codes of conduct</w:t>
      </w:r>
      <w:bookmarkEnd w:id="1024"/>
      <w:r>
        <w:rPr>
          <w:snapToGrid w:val="0"/>
        </w:rPr>
        <w:t>, Board may prescribe</w:t>
      </w:r>
      <w:bookmarkEnd w:id="1025"/>
      <w:bookmarkEnd w:id="1026"/>
      <w:bookmarkEnd w:id="1027"/>
      <w:bookmarkEnd w:id="1028"/>
      <w:bookmarkEnd w:id="1029"/>
    </w:p>
    <w:p>
      <w:pPr>
        <w:pStyle w:val="Subsection"/>
        <w:keepNext/>
        <w:rPr>
          <w:snapToGrid w:val="0"/>
        </w:rPr>
      </w:pPr>
      <w:r>
        <w:rPr>
          <w:snapToGrid w:val="0"/>
        </w:rPr>
        <w:tab/>
      </w:r>
      <w:r>
        <w:rPr>
          <w:snapToGrid w:val="0"/>
        </w:rPr>
        <w:tab/>
        <w:t>The Board may from time to time prescribe, and publish in the manner prescribed by the regulations —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Heading5"/>
        <w:rPr>
          <w:snapToGrid w:val="0"/>
        </w:rPr>
      </w:pPr>
      <w:bookmarkStart w:id="1030" w:name="_Toc480623802"/>
      <w:bookmarkStart w:id="1031" w:name="_Toc520177836"/>
      <w:bookmarkStart w:id="1032" w:name="_Toc102899436"/>
      <w:bookmarkStart w:id="1033" w:name="_Toc124125478"/>
      <w:bookmarkStart w:id="1034" w:name="_Toc172965567"/>
      <w:bookmarkStart w:id="1035" w:name="_Toc163361867"/>
      <w:r>
        <w:rPr>
          <w:rStyle w:val="CharSectno"/>
        </w:rPr>
        <w:t>102</w:t>
      </w:r>
      <w:r>
        <w:rPr>
          <w:snapToGrid w:val="0"/>
        </w:rPr>
        <w:t>.</w:t>
      </w:r>
      <w:r>
        <w:rPr>
          <w:snapToGrid w:val="0"/>
        </w:rPr>
        <w:tab/>
        <w:t>Inquiries into conduct of agents and sales representatives</w:t>
      </w:r>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 xml:space="preserve">The Board may allege to the State </w:t>
      </w:r>
      <w:r>
        <w:rPr>
          <w:snapToGrid w:val="0"/>
          <w:spacing w:val="-4"/>
        </w:rPr>
        <w:t>Administrative Tribunal</w:t>
      </w:r>
      <w:r>
        <w:rPr>
          <w:snapToGrid w:val="0"/>
        </w:rPr>
        <w:t xml:space="preserve"> that —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tabs>
          <w:tab w:val="clear" w:pos="879"/>
          <w:tab w:val="left" w:pos="1200"/>
        </w:tabs>
        <w:ind w:hanging="650"/>
      </w:pPr>
      <w:r>
        <w:tab/>
        <w:t>[(2)</w:t>
      </w:r>
      <w:r>
        <w:noBreakHyphen/>
        <w:t>(5)</w:t>
      </w:r>
      <w:r>
        <w:tab/>
        <w:t>repealed]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 xml:space="preserve">[Section 102 amended by No. 74 of 1980 s. 10; No. 34 of 1998 s. 16; No. 55 of 2004 s. 1013 and 1020.] </w:t>
      </w:r>
    </w:p>
    <w:p>
      <w:pPr>
        <w:pStyle w:val="Heading5"/>
        <w:rPr>
          <w:snapToGrid w:val="0"/>
        </w:rPr>
      </w:pPr>
      <w:bookmarkStart w:id="1036" w:name="_Toc480623803"/>
      <w:bookmarkStart w:id="1037" w:name="_Toc520177837"/>
      <w:bookmarkStart w:id="1038" w:name="_Toc102899437"/>
      <w:bookmarkStart w:id="1039" w:name="_Toc124125479"/>
      <w:bookmarkStart w:id="1040" w:name="_Toc172965568"/>
      <w:bookmarkStart w:id="1041" w:name="_Toc163361868"/>
      <w:r>
        <w:rPr>
          <w:rStyle w:val="CharSectno"/>
        </w:rPr>
        <w:t>103</w:t>
      </w:r>
      <w:r>
        <w:rPr>
          <w:snapToGrid w:val="0"/>
        </w:rPr>
        <w:t>.</w:t>
      </w:r>
      <w:r>
        <w:rPr>
          <w:snapToGrid w:val="0"/>
        </w:rPr>
        <w:tab/>
      </w:r>
      <w:bookmarkEnd w:id="1036"/>
      <w:r>
        <w:rPr>
          <w:snapToGrid w:val="0"/>
        </w:rPr>
        <w:t>Disciplinary action, grounds for and forms of</w:t>
      </w:r>
      <w:bookmarkEnd w:id="1037"/>
      <w:bookmarkEnd w:id="1038"/>
      <w:bookmarkEnd w:id="1039"/>
      <w:bookmarkEnd w:id="1040"/>
      <w:bookmarkEnd w:id="1041"/>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b/>
          <w:snapToGrid w:val="0"/>
        </w:rPr>
        <w:t>“</w:t>
      </w:r>
      <w:r>
        <w:rPr>
          <w:rStyle w:val="CharDefText"/>
        </w:rPr>
        <w:t>subsection</w:t>
      </w:r>
      <w:r>
        <w:rPr>
          <w:b/>
          <w:snapToGrid w:val="0"/>
        </w:rPr>
        <w:t>”</w:t>
      </w:r>
      <w:r>
        <w:rPr>
          <w:snapToGrid w:val="0"/>
        </w:rPr>
        <w:t xml:space="preserve">) — </w:t>
      </w:r>
    </w:p>
    <w:p>
      <w:pPr>
        <w:pStyle w:val="Indenti"/>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rPr>
          <w:snapToGrid w:val="0"/>
        </w:rPr>
      </w:pPr>
      <w:r>
        <w:rPr>
          <w:snapToGrid w:val="0"/>
        </w:rPr>
        <w:tab/>
        <w:t>(ii)</w:t>
      </w:r>
      <w:r>
        <w:rPr>
          <w:snapToGrid w:val="0"/>
        </w:rPr>
        <w:tab/>
        <w:t xml:space="preserve">order that a demand by the agent in contravention of a provision referred to in the subsection for the whole or part of any commission, reward or other valuable consideration not be made, or if made, be withdrawn or varied in accordance with the order; </w:t>
      </w:r>
    </w:p>
    <w:p>
      <w:pPr>
        <w:pStyle w:val="Indenta"/>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 </w:t>
      </w:r>
    </w:p>
    <w:p>
      <w:pPr>
        <w:pStyle w:val="Indenta"/>
        <w:rPr>
          <w:snapToGrid w:val="0"/>
        </w:rPr>
      </w:pPr>
      <w:r>
        <w:rPr>
          <w:snapToGrid w:val="0"/>
        </w:rPr>
        <w:tab/>
        <w:t>(a)</w:t>
      </w:r>
      <w:r>
        <w:rPr>
          <w:snapToGrid w:val="0"/>
        </w:rPr>
        <w:tab/>
        <w:t>the agent improperly obtained a licence or triennial certificate;</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keepNext/>
        <w:rPr>
          <w:snapToGrid w:val="0"/>
        </w:rPr>
      </w:pPr>
      <w:r>
        <w:rPr>
          <w:snapToGrid w:val="0"/>
        </w:rPr>
        <w:tab/>
        <w:t>(c)</w:t>
      </w:r>
      <w:r>
        <w:rPr>
          <w:snapToGrid w:val="0"/>
        </w:rPr>
        <w:tab/>
        <w:t>the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 </w:t>
      </w:r>
    </w:p>
    <w:p>
      <w:pPr>
        <w:pStyle w:val="Indenta"/>
        <w:rPr>
          <w:snapToGrid w:val="0"/>
        </w:rPr>
      </w:pPr>
      <w:r>
        <w:rPr>
          <w:snapToGrid w:val="0"/>
        </w:rPr>
        <w:tab/>
        <w:t>(a)</w:t>
      </w:r>
      <w:r>
        <w:rPr>
          <w:snapToGrid w:val="0"/>
        </w:rPr>
        <w:tab/>
        <w:t>the sales representative improperly obtained registration;</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w:t>
      </w:r>
    </w:p>
    <w:p>
      <w:pPr>
        <w:pStyle w:val="Indenta"/>
        <w:keepNext/>
        <w:rPr>
          <w:snapToGrid w:val="0"/>
        </w:rPr>
      </w:pPr>
      <w:r>
        <w:rPr>
          <w:snapToGrid w:val="0"/>
        </w:rPr>
        <w:tab/>
        <w:t>(c)</w:t>
      </w:r>
      <w:r>
        <w:rPr>
          <w:snapToGrid w:val="0"/>
        </w:rPr>
        <w:tab/>
        <w:t>the sales representative is acting or has acted in breach of — </w:t>
      </w:r>
    </w:p>
    <w:p>
      <w:pPr>
        <w:pStyle w:val="Indenti"/>
        <w:rPr>
          <w:snapToGrid w:val="0"/>
        </w:rPr>
      </w:pPr>
      <w:r>
        <w:rPr>
          <w:snapToGrid w:val="0"/>
        </w:rPr>
        <w:tab/>
        <w:t>(i)</w:t>
      </w:r>
      <w:r>
        <w:rPr>
          <w:snapToGrid w:val="0"/>
        </w:rPr>
        <w:tab/>
        <w:t>a special condition of his registration;</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code of conduct for sales representatives;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triennial certificate, or certificate of registration, as the case requires shall be immediately delivered to the Registrar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 xml:space="preserve">[Section 103 amended by No. 43 of 1994 s. 11; No. 59 of 1995 s. 20; No. 34 of 1998 s. 17; No. 55 of 2004 s. 1014 and 1020.] </w:t>
      </w:r>
    </w:p>
    <w:p>
      <w:pPr>
        <w:pStyle w:val="Heading5"/>
        <w:rPr>
          <w:snapToGrid w:val="0"/>
        </w:rPr>
      </w:pPr>
      <w:bookmarkStart w:id="1042" w:name="_Toc480623804"/>
      <w:bookmarkStart w:id="1043" w:name="_Toc520177838"/>
      <w:bookmarkStart w:id="1044" w:name="_Toc102899438"/>
      <w:bookmarkStart w:id="1045" w:name="_Toc124125480"/>
      <w:bookmarkStart w:id="1046" w:name="_Toc172965569"/>
      <w:bookmarkStart w:id="1047" w:name="_Toc163361869"/>
      <w:r>
        <w:rPr>
          <w:rStyle w:val="CharSectno"/>
        </w:rPr>
        <w:t>104</w:t>
      </w:r>
      <w:r>
        <w:rPr>
          <w:snapToGrid w:val="0"/>
        </w:rPr>
        <w:t>.</w:t>
      </w:r>
      <w:r>
        <w:rPr>
          <w:snapToGrid w:val="0"/>
        </w:rPr>
        <w:tab/>
        <w:t>Automatic cancellation of licence and triennial certificate</w:t>
      </w:r>
      <w:bookmarkEnd w:id="1042"/>
      <w:bookmarkEnd w:id="1043"/>
      <w:bookmarkEnd w:id="1044"/>
      <w:bookmarkEnd w:id="1045"/>
      <w:bookmarkEnd w:id="1046"/>
      <w:bookmarkEnd w:id="1047"/>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convicting him shall forthwith notify the Registrar of the Board accordingly.</w:t>
      </w:r>
    </w:p>
    <w:p>
      <w:pPr>
        <w:pStyle w:val="Footnotesection"/>
      </w:pPr>
      <w:r>
        <w:tab/>
        <w:t xml:space="preserve">[Section 104 amended by No. 59 of 2004 s. 141.] </w:t>
      </w:r>
    </w:p>
    <w:p>
      <w:pPr>
        <w:pStyle w:val="Heading5"/>
        <w:rPr>
          <w:snapToGrid w:val="0"/>
        </w:rPr>
      </w:pPr>
      <w:bookmarkStart w:id="1048" w:name="_Toc480623805"/>
      <w:bookmarkStart w:id="1049" w:name="_Toc520177839"/>
      <w:bookmarkStart w:id="1050" w:name="_Toc102899439"/>
      <w:bookmarkStart w:id="1051" w:name="_Toc124125481"/>
      <w:bookmarkStart w:id="1052" w:name="_Toc172965570"/>
      <w:bookmarkStart w:id="1053" w:name="_Toc163361870"/>
      <w:r>
        <w:rPr>
          <w:rStyle w:val="CharSectno"/>
        </w:rPr>
        <w:t>105</w:t>
      </w:r>
      <w:r>
        <w:rPr>
          <w:snapToGrid w:val="0"/>
        </w:rPr>
        <w:t>.</w:t>
      </w:r>
      <w:r>
        <w:rPr>
          <w:snapToGrid w:val="0"/>
        </w:rPr>
        <w:tab/>
      </w:r>
      <w:bookmarkEnd w:id="1048"/>
      <w:r>
        <w:rPr>
          <w:snapToGrid w:val="0"/>
        </w:rPr>
        <w:t>Conviction of licensee of certain offences, additional sentencing powers</w:t>
      </w:r>
      <w:bookmarkEnd w:id="1049"/>
      <w:bookmarkEnd w:id="1050"/>
      <w:bookmarkEnd w:id="1051"/>
      <w:bookmarkEnd w:id="1052"/>
      <w:bookmarkEnd w:id="1053"/>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 </w:t>
      </w:r>
    </w:p>
    <w:p>
      <w:pPr>
        <w:pStyle w:val="Indenta"/>
        <w:rPr>
          <w:snapToGrid w:val="0"/>
        </w:rPr>
      </w:pPr>
      <w:r>
        <w:rPr>
          <w:snapToGrid w:val="0"/>
        </w:rPr>
        <w:tab/>
        <w:t>(a)</w:t>
      </w:r>
      <w:r>
        <w:rPr>
          <w:snapToGrid w:val="0"/>
        </w:rPr>
        <w:tab/>
        <w:t>reprimand or caution the licensee;</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rPr>
          <w:snapToGrid w:val="0"/>
        </w:rPr>
      </w:pPr>
      <w:r>
        <w:rPr>
          <w:snapToGrid w:val="0"/>
        </w:rPr>
        <w:tab/>
      </w:r>
      <w:r>
        <w:rPr>
          <w:snapToGrid w:val="0"/>
        </w:rPr>
        <w:tab/>
        <w:t xml:space="preserve">and when the Court does so, the </w:t>
      </w:r>
      <w:r>
        <w:t xml:space="preserve">registrar of the court </w:t>
      </w:r>
      <w:r>
        <w:rPr>
          <w:snapToGrid w:val="0"/>
        </w:rPr>
        <w:t>shall forthwith notify the Registrar of the Board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 xml:space="preserve">[Section 105 amended by No. 43 of 1994 s. 11; No. 55 of 2004 s. 1020; No. 59 of 2004 s. 141.] </w:t>
      </w:r>
    </w:p>
    <w:p>
      <w:pPr>
        <w:pStyle w:val="Heading5"/>
        <w:rPr>
          <w:snapToGrid w:val="0"/>
        </w:rPr>
      </w:pPr>
      <w:bookmarkStart w:id="1054" w:name="_Toc480623806"/>
      <w:bookmarkStart w:id="1055" w:name="_Toc520177840"/>
      <w:bookmarkStart w:id="1056" w:name="_Toc102899440"/>
      <w:bookmarkStart w:id="1057" w:name="_Toc124125482"/>
      <w:bookmarkStart w:id="1058" w:name="_Toc172965571"/>
      <w:bookmarkStart w:id="1059" w:name="_Toc163361871"/>
      <w:r>
        <w:rPr>
          <w:rStyle w:val="CharSectno"/>
        </w:rPr>
        <w:t>106</w:t>
      </w:r>
      <w:r>
        <w:rPr>
          <w:snapToGrid w:val="0"/>
        </w:rPr>
        <w:t>.</w:t>
      </w:r>
      <w:r>
        <w:rPr>
          <w:snapToGrid w:val="0"/>
        </w:rPr>
        <w:tab/>
      </w:r>
      <w:bookmarkEnd w:id="1054"/>
      <w:r>
        <w:rPr>
          <w:snapToGrid w:val="0"/>
        </w:rPr>
        <w:t>Persons carrying on business after licence cancelled etc.</w:t>
      </w:r>
      <w:bookmarkEnd w:id="1055"/>
      <w:bookmarkEnd w:id="1056"/>
      <w:bookmarkEnd w:id="1057"/>
      <w:bookmarkEnd w:id="1058"/>
      <w:bookmarkEnd w:id="1059"/>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 xml:space="preserve">[Section 106 amended by No. 43 of 1994 s. 11.] </w:t>
      </w:r>
    </w:p>
    <w:p>
      <w:pPr>
        <w:pStyle w:val="Heading2"/>
        <w:rPr>
          <w:rStyle w:val="CharPartText"/>
        </w:rPr>
      </w:pPr>
      <w:bookmarkStart w:id="1060" w:name="_Toc72643484"/>
      <w:bookmarkStart w:id="1061" w:name="_Toc89596449"/>
      <w:bookmarkStart w:id="1062" w:name="_Toc91303177"/>
      <w:bookmarkStart w:id="1063" w:name="_Toc92701286"/>
      <w:bookmarkStart w:id="1064" w:name="_Toc96997011"/>
      <w:bookmarkStart w:id="1065" w:name="_Toc98833522"/>
      <w:bookmarkStart w:id="1066" w:name="_Toc99166130"/>
      <w:bookmarkStart w:id="1067" w:name="_Toc100021789"/>
      <w:bookmarkStart w:id="1068" w:name="_Toc100562143"/>
      <w:bookmarkStart w:id="1069" w:name="_Toc100562518"/>
      <w:bookmarkStart w:id="1070" w:name="_Toc102373536"/>
      <w:bookmarkStart w:id="1071" w:name="_Toc102536197"/>
      <w:bookmarkStart w:id="1072" w:name="_Toc102899441"/>
      <w:bookmarkStart w:id="1073" w:name="_Toc107197919"/>
      <w:bookmarkStart w:id="1074" w:name="_Toc116713349"/>
      <w:bookmarkStart w:id="1075" w:name="_Toc116813058"/>
      <w:bookmarkStart w:id="1076" w:name="_Toc121566597"/>
      <w:bookmarkStart w:id="1077" w:name="_Toc124125483"/>
      <w:bookmarkStart w:id="1078" w:name="_Toc124140933"/>
      <w:bookmarkStart w:id="1079" w:name="_Toc139362715"/>
      <w:bookmarkStart w:id="1080" w:name="_Toc139685912"/>
      <w:bookmarkStart w:id="1081" w:name="_Toc154197273"/>
      <w:bookmarkStart w:id="1082" w:name="_Toc158003663"/>
      <w:bookmarkStart w:id="1083" w:name="_Toc163273889"/>
      <w:bookmarkStart w:id="1084" w:name="_Toc163361872"/>
      <w:bookmarkStart w:id="1085" w:name="_Toc172965371"/>
      <w:bookmarkStart w:id="1086" w:name="_Toc172965572"/>
      <w:r>
        <w:rPr>
          <w:rStyle w:val="CharPartNo"/>
        </w:rPr>
        <w:t>Part VIII</w:t>
      </w:r>
      <w:r>
        <w:rPr>
          <w:rStyle w:val="CharDivNo"/>
        </w:rPr>
        <w:t> </w:t>
      </w:r>
      <w:r>
        <w:t>—</w:t>
      </w:r>
      <w:r>
        <w:rPr>
          <w:rStyle w:val="CharDivText"/>
        </w:rPr>
        <w:t> </w:t>
      </w:r>
      <w:r>
        <w:rPr>
          <w:rStyle w:val="CharPartText"/>
        </w:rPr>
        <w:t>Fidelity Guarantee</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r>
        <w:rPr>
          <w:rStyle w:val="CharPartText"/>
        </w:rPr>
        <w:t xml:space="preserve"> Account</w:t>
      </w:r>
      <w:bookmarkEnd w:id="1082"/>
      <w:bookmarkEnd w:id="1083"/>
      <w:bookmarkEnd w:id="1084"/>
      <w:bookmarkEnd w:id="1085"/>
      <w:bookmarkEnd w:id="1086"/>
    </w:p>
    <w:p>
      <w:pPr>
        <w:pStyle w:val="Footnoteheading"/>
      </w:pPr>
      <w:r>
        <w:tab/>
        <w:t>[Heading amended by No. 77 of 2006 s. 17.]</w:t>
      </w:r>
    </w:p>
    <w:p>
      <w:pPr>
        <w:pStyle w:val="Heading5"/>
      </w:pPr>
      <w:bookmarkStart w:id="1087" w:name="_Toc154313440"/>
      <w:bookmarkStart w:id="1088" w:name="_Toc154556353"/>
      <w:bookmarkStart w:id="1089" w:name="_Toc156193009"/>
      <w:bookmarkStart w:id="1090" w:name="_Toc172965573"/>
      <w:bookmarkStart w:id="1091" w:name="_Toc163361873"/>
      <w:bookmarkStart w:id="1092" w:name="_Toc480623808"/>
      <w:bookmarkStart w:id="1093" w:name="_Toc520177842"/>
      <w:bookmarkStart w:id="1094" w:name="_Toc102899443"/>
      <w:bookmarkStart w:id="1095" w:name="_Toc124125485"/>
      <w:r>
        <w:rPr>
          <w:rStyle w:val="CharSectno"/>
        </w:rPr>
        <w:t>107</w:t>
      </w:r>
      <w:r>
        <w:t>.</w:t>
      </w:r>
      <w:r>
        <w:tab/>
        <w:t>Real Estate and Business Agents Fidelity Guarantee Account established</w:t>
      </w:r>
      <w:bookmarkEnd w:id="1087"/>
      <w:bookmarkEnd w:id="1088"/>
      <w:bookmarkEnd w:id="1089"/>
      <w:bookmarkEnd w:id="1090"/>
      <w:bookmarkEnd w:id="1091"/>
    </w:p>
    <w:p>
      <w:pPr>
        <w:pStyle w:val="Subsection"/>
      </w:pPr>
      <w:r>
        <w:tab/>
      </w:r>
      <w:r>
        <w:tab/>
        <w:t xml:space="preserve">An account called the Real Estate and Business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amended by No. 77 of 2006 s. 17.]</w:t>
      </w:r>
    </w:p>
    <w:p>
      <w:pPr>
        <w:pStyle w:val="Heading5"/>
        <w:rPr>
          <w:snapToGrid w:val="0"/>
        </w:rPr>
      </w:pPr>
      <w:bookmarkStart w:id="1096" w:name="_Toc172965574"/>
      <w:bookmarkStart w:id="1097" w:name="_Toc163361874"/>
      <w:r>
        <w:rPr>
          <w:rStyle w:val="CharSectno"/>
        </w:rPr>
        <w:t>108</w:t>
      </w:r>
      <w:r>
        <w:rPr>
          <w:snapToGrid w:val="0"/>
        </w:rPr>
        <w:t>.</w:t>
      </w:r>
      <w:r>
        <w:rPr>
          <w:snapToGrid w:val="0"/>
        </w:rPr>
        <w:tab/>
        <w:t>Fidelity</w:t>
      </w:r>
      <w:bookmarkEnd w:id="1092"/>
      <w:r>
        <w:t xml:space="preserve"> Account</w:t>
      </w:r>
      <w:r>
        <w:rPr>
          <w:snapToGrid w:val="0"/>
        </w:rPr>
        <w:t>, investment of</w:t>
      </w:r>
      <w:bookmarkEnd w:id="1093"/>
      <w:bookmarkEnd w:id="1094"/>
      <w:bookmarkEnd w:id="1095"/>
      <w:bookmarkEnd w:id="1096"/>
      <w:bookmarkEnd w:id="1097"/>
    </w:p>
    <w:p>
      <w:pPr>
        <w:pStyle w:val="Indenta"/>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 xml:space="preserve">[Section 108 inserted by No. 59 of 1995 s. 22; amended by No. 77 of 2006 s. 17.] </w:t>
      </w:r>
    </w:p>
    <w:p>
      <w:pPr>
        <w:pStyle w:val="Heading5"/>
        <w:rPr>
          <w:snapToGrid w:val="0"/>
        </w:rPr>
      </w:pPr>
      <w:bookmarkStart w:id="1098" w:name="_Toc480623809"/>
      <w:bookmarkStart w:id="1099" w:name="_Toc520177843"/>
      <w:bookmarkStart w:id="1100" w:name="_Toc102899444"/>
      <w:bookmarkStart w:id="1101" w:name="_Toc124125486"/>
      <w:bookmarkStart w:id="1102" w:name="_Toc172965575"/>
      <w:bookmarkStart w:id="1103" w:name="_Toc163361875"/>
      <w:r>
        <w:rPr>
          <w:rStyle w:val="CharSectno"/>
        </w:rPr>
        <w:t>109</w:t>
      </w:r>
      <w:r>
        <w:rPr>
          <w:snapToGrid w:val="0"/>
        </w:rPr>
        <w:t>.</w:t>
      </w:r>
      <w:r>
        <w:rPr>
          <w:snapToGrid w:val="0"/>
        </w:rPr>
        <w:tab/>
        <w:t>Fidelity</w:t>
      </w:r>
      <w:bookmarkEnd w:id="1098"/>
      <w:r>
        <w:t xml:space="preserve"> Account</w:t>
      </w:r>
      <w:r>
        <w:rPr>
          <w:snapToGrid w:val="0"/>
        </w:rPr>
        <w:t>, income</w:t>
      </w:r>
      <w:bookmarkEnd w:id="1099"/>
      <w:bookmarkEnd w:id="1100"/>
      <w:bookmarkEnd w:id="1101"/>
      <w:bookmarkEnd w:id="1102"/>
      <w:bookmarkEnd w:id="1103"/>
    </w:p>
    <w:p>
      <w:pPr>
        <w:pStyle w:val="Subsection"/>
        <w:keepNext/>
        <w:rPr>
          <w:snapToGrid w:val="0"/>
        </w:rPr>
      </w:pPr>
      <w:r>
        <w:rPr>
          <w:snapToGrid w:val="0"/>
        </w:rPr>
        <w:tab/>
      </w:r>
      <w:r>
        <w:rPr>
          <w:snapToGrid w:val="0"/>
        </w:rPr>
        <w:tab/>
        <w:t>There shall be credited to the Fidelity</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w:t>
      </w:r>
    </w:p>
    <w:p>
      <w:pPr>
        <w:pStyle w:val="Indenta"/>
        <w:rPr>
          <w:snapToGrid w:val="0"/>
        </w:rPr>
      </w:pPr>
      <w:r>
        <w:rPr>
          <w:snapToGrid w:val="0"/>
        </w:rPr>
        <w:tab/>
        <w:t>(d)</w:t>
      </w:r>
      <w:r>
        <w:rPr>
          <w:snapToGrid w:val="0"/>
        </w:rPr>
        <w:tab/>
        <w:t xml:space="preserve">all money recovered by or on behalf of the Board for the benefit of the Fidelity </w:t>
      </w:r>
      <w:r>
        <w:t xml:space="preserve">Account </w:t>
      </w:r>
      <w:r>
        <w:rPr>
          <w:snapToGrid w:val="0"/>
        </w:rPr>
        <w:t>in the exercise of any right of action conferred by this Act;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 xml:space="preserve">[Section 109 amended by No. 29 of 1982 s. 5 and 12; No. 59 of 1995 s. 23 and 42; No. 77 of 2006 s. 17.] </w:t>
      </w:r>
    </w:p>
    <w:p>
      <w:pPr>
        <w:pStyle w:val="Heading5"/>
        <w:rPr>
          <w:snapToGrid w:val="0"/>
        </w:rPr>
      </w:pPr>
      <w:bookmarkStart w:id="1104" w:name="_Toc480623810"/>
      <w:bookmarkStart w:id="1105" w:name="_Toc520177844"/>
      <w:bookmarkStart w:id="1106" w:name="_Toc102899445"/>
      <w:bookmarkStart w:id="1107" w:name="_Toc124125487"/>
      <w:bookmarkStart w:id="1108" w:name="_Toc172965576"/>
      <w:bookmarkStart w:id="1109" w:name="_Toc163361876"/>
      <w:r>
        <w:rPr>
          <w:rStyle w:val="CharSectno"/>
        </w:rPr>
        <w:t>110</w:t>
      </w:r>
      <w:r>
        <w:rPr>
          <w:snapToGrid w:val="0"/>
        </w:rPr>
        <w:t>.</w:t>
      </w:r>
      <w:r>
        <w:rPr>
          <w:snapToGrid w:val="0"/>
        </w:rPr>
        <w:tab/>
      </w:r>
      <w:bookmarkEnd w:id="1104"/>
      <w:r>
        <w:rPr>
          <w:snapToGrid w:val="0"/>
        </w:rPr>
        <w:t>Fidelity</w:t>
      </w:r>
      <w:r>
        <w:t xml:space="preserve"> Account</w:t>
      </w:r>
      <w:r>
        <w:rPr>
          <w:snapToGrid w:val="0"/>
        </w:rPr>
        <w:t>, expenditure</w:t>
      </w:r>
      <w:bookmarkEnd w:id="1105"/>
      <w:bookmarkEnd w:id="1106"/>
      <w:bookmarkEnd w:id="1107"/>
      <w:bookmarkEnd w:id="1108"/>
      <w:bookmarkEnd w:id="1109"/>
    </w:p>
    <w:p>
      <w:pPr>
        <w:pStyle w:val="Subsection"/>
        <w:keepNext/>
        <w:rPr>
          <w:snapToGrid w:val="0"/>
        </w:rPr>
      </w:pPr>
      <w:r>
        <w:rPr>
          <w:snapToGrid w:val="0"/>
        </w:rPr>
        <w:tab/>
      </w:r>
      <w:r>
        <w:rPr>
          <w:snapToGrid w:val="0"/>
        </w:rPr>
        <w:tab/>
        <w:t>There shall from time to time be charged to the Fidelity</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121;</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 xml:space="preserve">[Section 110 amended by No. 29 of 1982 s. 12; No. 59 of 1995 s. 24 and 42; No. 77 of 2006 s. 17.] </w:t>
      </w:r>
    </w:p>
    <w:p>
      <w:pPr>
        <w:pStyle w:val="Ednotesection"/>
      </w:pPr>
      <w:r>
        <w:t>[</w:t>
      </w:r>
      <w:r>
        <w:rPr>
          <w:b/>
        </w:rPr>
        <w:t>111.</w:t>
      </w:r>
      <w:r>
        <w:tab/>
        <w:t xml:space="preserve">Repealed by No. 98 of 1985 s. 3.] </w:t>
      </w:r>
    </w:p>
    <w:p>
      <w:pPr>
        <w:pStyle w:val="Heading5"/>
        <w:rPr>
          <w:snapToGrid w:val="0"/>
        </w:rPr>
      </w:pPr>
      <w:bookmarkStart w:id="1110" w:name="_Toc480623811"/>
      <w:bookmarkStart w:id="1111" w:name="_Toc520177845"/>
      <w:bookmarkStart w:id="1112" w:name="_Toc102899446"/>
      <w:bookmarkStart w:id="1113" w:name="_Toc124125488"/>
      <w:bookmarkStart w:id="1114" w:name="_Toc172965577"/>
      <w:bookmarkStart w:id="1115" w:name="_Toc163361877"/>
      <w:r>
        <w:rPr>
          <w:rStyle w:val="CharSectno"/>
        </w:rPr>
        <w:t>112</w:t>
      </w:r>
      <w:r>
        <w:rPr>
          <w:snapToGrid w:val="0"/>
        </w:rPr>
        <w:t>.</w:t>
      </w:r>
      <w:r>
        <w:rPr>
          <w:snapToGrid w:val="0"/>
        </w:rPr>
        <w:tab/>
        <w:t xml:space="preserve">Fidelity </w:t>
      </w:r>
      <w:bookmarkEnd w:id="1110"/>
      <w:r>
        <w:t xml:space="preserve">Account </w:t>
      </w:r>
      <w:r>
        <w:rPr>
          <w:snapToGrid w:val="0"/>
        </w:rPr>
        <w:t>to be administered by Board</w:t>
      </w:r>
      <w:bookmarkEnd w:id="1111"/>
      <w:bookmarkEnd w:id="1112"/>
      <w:bookmarkEnd w:id="1113"/>
      <w:bookmarkEnd w:id="1114"/>
      <w:bookmarkEnd w:id="1115"/>
    </w:p>
    <w:p>
      <w:pPr>
        <w:pStyle w:val="Subsection"/>
        <w:rPr>
          <w:snapToGrid w:val="0"/>
        </w:rPr>
      </w:pPr>
      <w:r>
        <w:rPr>
          <w:snapToGrid w:val="0"/>
        </w:rPr>
        <w:tab/>
      </w:r>
      <w:r>
        <w:rPr>
          <w:snapToGrid w:val="0"/>
        </w:rPr>
        <w:tab/>
        <w:t xml:space="preserve">The Fidelity </w:t>
      </w:r>
      <w:r>
        <w:t xml:space="preserve">Account </w:t>
      </w:r>
      <w:r>
        <w:rPr>
          <w:snapToGrid w:val="0"/>
        </w:rPr>
        <w:t>shall be administered by the Board.</w:t>
      </w:r>
    </w:p>
    <w:p>
      <w:pPr>
        <w:pStyle w:val="Footnotesection"/>
      </w:pPr>
      <w:r>
        <w:tab/>
        <w:t xml:space="preserve">[Section 112 amended by No. 29 of 1982 s. 12; No. 77 of 2006 s. 17.] </w:t>
      </w:r>
    </w:p>
    <w:p>
      <w:pPr>
        <w:pStyle w:val="Heading5"/>
        <w:rPr>
          <w:snapToGrid w:val="0"/>
        </w:rPr>
      </w:pPr>
      <w:bookmarkStart w:id="1116" w:name="_Toc480623812"/>
      <w:bookmarkStart w:id="1117" w:name="_Toc520177846"/>
      <w:bookmarkStart w:id="1118" w:name="_Toc102899447"/>
      <w:bookmarkStart w:id="1119" w:name="_Toc124125489"/>
      <w:bookmarkStart w:id="1120" w:name="_Toc172965578"/>
      <w:bookmarkStart w:id="1121" w:name="_Toc163361878"/>
      <w:r>
        <w:rPr>
          <w:rStyle w:val="CharSectno"/>
        </w:rPr>
        <w:t>113</w:t>
      </w:r>
      <w:r>
        <w:rPr>
          <w:snapToGrid w:val="0"/>
        </w:rPr>
        <w:t>.</w:t>
      </w:r>
      <w:r>
        <w:rPr>
          <w:snapToGrid w:val="0"/>
        </w:rPr>
        <w:tab/>
        <w:t>Fidelity</w:t>
      </w:r>
      <w:bookmarkEnd w:id="1116"/>
      <w:r>
        <w:t xml:space="preserve"> Account</w:t>
      </w:r>
      <w:r>
        <w:rPr>
          <w:snapToGrid w:val="0"/>
        </w:rPr>
        <w:t>, contributions to by agents etc.</w:t>
      </w:r>
      <w:bookmarkEnd w:id="1117"/>
      <w:bookmarkEnd w:id="1118"/>
      <w:bookmarkEnd w:id="1119"/>
      <w:bookmarkEnd w:id="1120"/>
      <w:bookmarkEnd w:id="1121"/>
    </w:p>
    <w:p>
      <w:pPr>
        <w:pStyle w:val="Subsection"/>
        <w:rPr>
          <w:snapToGrid w:val="0"/>
        </w:rPr>
      </w:pPr>
      <w:r>
        <w:rPr>
          <w:snapToGrid w:val="0"/>
        </w:rPr>
        <w:tab/>
        <w:t>(1)</w:t>
      </w:r>
      <w:r>
        <w:rPr>
          <w:snapToGrid w:val="0"/>
        </w:rPr>
        <w:tab/>
        <w:t>Each agent, on making application in any year for a licence or the renewal of a triennial certificate shall, in addition to all other fees payable in respect thereof, pay to the Board a sum of $150 or such other sum as the Board approves, but limited to an increase in any one year of 6.7%,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Each sales representative, on making application for a certificate of registration or a renewal thereof, shall in addition to all other fees payable in respect thereof, pay to the Board a sum of $45 or such other sum as the Board approves, but limited to an increase in any one year of 20%, and no such certificate of registration or renewal thereof shall be issued until the appropriate payment has been made to the Board.</w:t>
      </w:r>
    </w:p>
    <w:p>
      <w:pPr>
        <w:pStyle w:val="Subsection"/>
        <w:keepNext/>
        <w:rPr>
          <w:snapToGrid w:val="0"/>
        </w:rPr>
      </w:pPr>
      <w:r>
        <w:rPr>
          <w:snapToGrid w:val="0"/>
        </w:rPr>
        <w:tab/>
        <w:t>(3)</w:t>
      </w:r>
      <w:r>
        <w:rPr>
          <w:snapToGrid w:val="0"/>
        </w:rPr>
        <w:tab/>
        <w:t>The amounts paid to the Board under this section shall forthwith be credited by the Board to the Fidelity</w:t>
      </w:r>
      <w:r>
        <w:t xml:space="preserve"> Account</w:t>
      </w:r>
      <w:r>
        <w:rPr>
          <w:snapToGrid w:val="0"/>
        </w:rPr>
        <w:t>.</w:t>
      </w:r>
    </w:p>
    <w:p>
      <w:pPr>
        <w:pStyle w:val="Footnotesection"/>
      </w:pPr>
      <w:r>
        <w:tab/>
        <w:t xml:space="preserve">[Section 113 amended by No. 29 of 1982 s. 12; No. 56 of 1995 s. 46; No. 59 of 1995 s. 42; No. 77 of 2006 s. 17.] </w:t>
      </w:r>
    </w:p>
    <w:p>
      <w:pPr>
        <w:pStyle w:val="Heading5"/>
        <w:rPr>
          <w:snapToGrid w:val="0"/>
        </w:rPr>
      </w:pPr>
      <w:bookmarkStart w:id="1122" w:name="_Toc480623813"/>
      <w:bookmarkStart w:id="1123" w:name="_Toc520177847"/>
      <w:bookmarkStart w:id="1124" w:name="_Toc102899448"/>
      <w:bookmarkStart w:id="1125" w:name="_Toc124125490"/>
      <w:bookmarkStart w:id="1126" w:name="_Toc172965579"/>
      <w:bookmarkStart w:id="1127" w:name="_Toc163361879"/>
      <w:r>
        <w:rPr>
          <w:rStyle w:val="CharSectno"/>
        </w:rPr>
        <w:t>114</w:t>
      </w:r>
      <w:r>
        <w:rPr>
          <w:snapToGrid w:val="0"/>
        </w:rPr>
        <w:t>.</w:t>
      </w:r>
      <w:r>
        <w:rPr>
          <w:snapToGrid w:val="0"/>
        </w:rPr>
        <w:tab/>
        <w:t xml:space="preserve">Fidelity </w:t>
      </w:r>
      <w:bookmarkEnd w:id="1122"/>
      <w:r>
        <w:t xml:space="preserve">Account </w:t>
      </w:r>
      <w:r>
        <w:rPr>
          <w:snapToGrid w:val="0"/>
        </w:rPr>
        <w:t>contributions capped</w:t>
      </w:r>
      <w:bookmarkEnd w:id="1123"/>
      <w:bookmarkEnd w:id="1124"/>
      <w:bookmarkEnd w:id="1125"/>
      <w:bookmarkEnd w:id="1126"/>
      <w:bookmarkEnd w:id="1127"/>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 xml:space="preserve">[Section 114 amended by No. 74 of 1980 s. 11; No. 29 of 1982 s. 12; No. 59 of 1995 s. 42; No. 77 of 2006 s. 17.] </w:t>
      </w:r>
    </w:p>
    <w:p>
      <w:pPr>
        <w:pStyle w:val="Heading5"/>
        <w:rPr>
          <w:snapToGrid w:val="0"/>
        </w:rPr>
      </w:pPr>
      <w:bookmarkStart w:id="1128" w:name="_Toc480623814"/>
      <w:bookmarkStart w:id="1129" w:name="_Toc520177848"/>
      <w:bookmarkStart w:id="1130" w:name="_Toc102899449"/>
      <w:bookmarkStart w:id="1131" w:name="_Toc124125491"/>
      <w:bookmarkStart w:id="1132" w:name="_Toc172965580"/>
      <w:bookmarkStart w:id="1133" w:name="_Toc163361880"/>
      <w:r>
        <w:rPr>
          <w:rStyle w:val="CharSectno"/>
        </w:rPr>
        <w:t>115</w:t>
      </w:r>
      <w:r>
        <w:rPr>
          <w:snapToGrid w:val="0"/>
        </w:rPr>
        <w:t>.</w:t>
      </w:r>
      <w:r>
        <w:rPr>
          <w:snapToGrid w:val="0"/>
        </w:rPr>
        <w:tab/>
      </w:r>
      <w:bookmarkEnd w:id="1128"/>
      <w:r>
        <w:rPr>
          <w:snapToGrid w:val="0"/>
        </w:rPr>
        <w:t>Fidelity</w:t>
      </w:r>
      <w:r>
        <w:t xml:space="preserve"> Account</w:t>
      </w:r>
      <w:r>
        <w:rPr>
          <w:snapToGrid w:val="0"/>
        </w:rPr>
        <w:t>, levies for</w:t>
      </w:r>
      <w:bookmarkEnd w:id="1129"/>
      <w:bookmarkEnd w:id="1130"/>
      <w:bookmarkEnd w:id="1131"/>
      <w:bookmarkEnd w:id="1132"/>
      <w:bookmarkEnd w:id="1133"/>
    </w:p>
    <w:p>
      <w:pPr>
        <w:pStyle w:val="Subsection"/>
        <w:rPr>
          <w:snapToGrid w:val="0"/>
        </w:rPr>
      </w:pPr>
      <w:r>
        <w:rPr>
          <w:snapToGrid w:val="0"/>
        </w:rPr>
        <w:tab/>
        <w:t>(1)</w:t>
      </w:r>
      <w:r>
        <w:rPr>
          <w:snapToGrid w:val="0"/>
        </w:rPr>
        <w:tab/>
        <w:t xml:space="preserve">If at any time the Fidelity </w:t>
      </w:r>
      <w:r>
        <w:t xml:space="preserve">Account </w:t>
      </w:r>
      <w:r>
        <w:rPr>
          <w:snapToGrid w:val="0"/>
        </w:rPr>
        <w:t>is, in the opinion of the Board, not sufficient to satisfy the liabilities of the Board in relation thereto, the Board may by resolution impose on each holder of a current triennial certificate and each holder of a current certificate of registration, to be credited to the Fidelity</w:t>
      </w:r>
      <w:r>
        <w:t xml:space="preserve"> Account</w:t>
      </w:r>
      <w:r>
        <w:rPr>
          <w:snapToGrid w:val="0"/>
        </w:rPr>
        <w:t>, a levy of such amount as it thinks fit not exceeding the relevant amount referred to in subsection (2).</w:t>
      </w:r>
    </w:p>
    <w:p>
      <w:pPr>
        <w:pStyle w:val="Subsection"/>
        <w:keepNext/>
        <w:rPr>
          <w:snapToGrid w:val="0"/>
        </w:rPr>
      </w:pPr>
      <w:r>
        <w:rPr>
          <w:snapToGrid w:val="0"/>
        </w:rPr>
        <w:tab/>
        <w:t>(2)</w:t>
      </w:r>
      <w:r>
        <w:rPr>
          <w:snapToGrid w:val="0"/>
        </w:rPr>
        <w:tab/>
        <w:t>The amount of the levy shall not exceed —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The amount of the levy shall become payable on a date and in a manner to be fixed by the Board, and notice thereof shall be sent by the Board to each holder of a current triennial certificate and each holder of a current certificate of registration.</w:t>
      </w:r>
    </w:p>
    <w:p>
      <w:pPr>
        <w:pStyle w:val="Subsection"/>
        <w:keepNext/>
        <w:keepLines/>
        <w:spacing w:before="120"/>
        <w:rPr>
          <w:snapToGrid w:val="0"/>
        </w:rPr>
      </w:pPr>
      <w:r>
        <w:rPr>
          <w:snapToGrid w:val="0"/>
        </w:rPr>
        <w:tab/>
        <w:t>(4)</w:t>
      </w:r>
      <w:r>
        <w:rPr>
          <w:snapToGrid w:val="0"/>
        </w:rPr>
        <w:tab/>
        <w:t>A person who fails to comply with any notice sent to him under subsection (3) is guilty of an offence against this Act.</w:t>
      </w:r>
    </w:p>
    <w:p>
      <w:pPr>
        <w:pStyle w:val="Footnotesection"/>
        <w:keepNext/>
      </w:pPr>
      <w:r>
        <w:tab/>
        <w:t xml:space="preserve">[Section 115 amended by No. 29 of 1982 s. 7; No. 77 of 1984 s. 3; No. 59 of 1995 s. 42; No. 77 of 2006 s. 17.] </w:t>
      </w:r>
    </w:p>
    <w:p>
      <w:pPr>
        <w:pStyle w:val="Heading5"/>
        <w:spacing w:before="180"/>
        <w:rPr>
          <w:snapToGrid w:val="0"/>
        </w:rPr>
      </w:pPr>
      <w:bookmarkStart w:id="1134" w:name="_Toc480623815"/>
      <w:bookmarkStart w:id="1135" w:name="_Toc520177849"/>
      <w:bookmarkStart w:id="1136" w:name="_Toc102899450"/>
      <w:bookmarkStart w:id="1137" w:name="_Toc124125492"/>
      <w:bookmarkStart w:id="1138" w:name="_Toc172965581"/>
      <w:bookmarkStart w:id="1139" w:name="_Toc163361881"/>
      <w:r>
        <w:rPr>
          <w:rStyle w:val="CharSectno"/>
        </w:rPr>
        <w:t>116</w:t>
      </w:r>
      <w:r>
        <w:rPr>
          <w:snapToGrid w:val="0"/>
        </w:rPr>
        <w:t>.</w:t>
      </w:r>
      <w:r>
        <w:rPr>
          <w:snapToGrid w:val="0"/>
        </w:rPr>
        <w:tab/>
        <w:t>Fidelity</w:t>
      </w:r>
      <w:bookmarkEnd w:id="1134"/>
      <w:r>
        <w:t xml:space="preserve"> Account</w:t>
      </w:r>
      <w:r>
        <w:rPr>
          <w:snapToGrid w:val="0"/>
        </w:rPr>
        <w:t>, purpose of</w:t>
      </w:r>
      <w:bookmarkEnd w:id="1135"/>
      <w:bookmarkEnd w:id="1136"/>
      <w:bookmarkEnd w:id="1137"/>
      <w:bookmarkEnd w:id="1138"/>
      <w:bookmarkEnd w:id="1139"/>
    </w:p>
    <w:p>
      <w:pPr>
        <w:pStyle w:val="Subsection"/>
        <w:spacing w:before="120"/>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spacing w:before="120"/>
      </w:pPr>
      <w:r>
        <w:tab/>
        <w:t>(2)</w:t>
      </w:r>
      <w:r>
        <w:tab/>
        <w:t>The Board is to disallow a claim against the Fidelity Account unless —</w:t>
      </w:r>
    </w:p>
    <w:p>
      <w:pPr>
        <w:pStyle w:val="Indenta"/>
      </w:pPr>
      <w:r>
        <w:tab/>
        <w:t>(a)</w:t>
      </w:r>
      <w:r>
        <w:tab/>
        <w:t>notice of the claim is given in writing to the Board within 3 years after the day on which the claimant became aware of the defalcation; or</w:t>
      </w:r>
    </w:p>
    <w:p>
      <w:pPr>
        <w:pStyle w:val="Indenta"/>
      </w:pPr>
      <w:r>
        <w:tab/>
        <w:t>(b)</w:t>
      </w:r>
      <w:r>
        <w:tab/>
        <w:t xml:space="preserve">the Board —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 xml:space="preserve">[Section 116 amended by No. 29 of 1982 s. 12; No. 3 of 2000 s. 4(1); No. 77 of 2006 s. 17.] </w:t>
      </w:r>
    </w:p>
    <w:p>
      <w:pPr>
        <w:pStyle w:val="Heading5"/>
        <w:spacing w:before="180"/>
        <w:rPr>
          <w:snapToGrid w:val="0"/>
        </w:rPr>
      </w:pPr>
      <w:bookmarkStart w:id="1140" w:name="_Toc480623816"/>
      <w:bookmarkStart w:id="1141" w:name="_Toc520177850"/>
      <w:bookmarkStart w:id="1142" w:name="_Toc102899451"/>
      <w:bookmarkStart w:id="1143" w:name="_Toc124125493"/>
      <w:bookmarkStart w:id="1144" w:name="_Toc172965582"/>
      <w:bookmarkStart w:id="1145" w:name="_Toc163361882"/>
      <w:r>
        <w:rPr>
          <w:rStyle w:val="CharSectno"/>
        </w:rPr>
        <w:t>117</w:t>
      </w:r>
      <w:r>
        <w:rPr>
          <w:snapToGrid w:val="0"/>
        </w:rPr>
        <w:t>.</w:t>
      </w:r>
      <w:r>
        <w:rPr>
          <w:snapToGrid w:val="0"/>
        </w:rPr>
        <w:tab/>
        <w:t>Fidelity</w:t>
      </w:r>
      <w:bookmarkEnd w:id="1140"/>
      <w:r>
        <w:t xml:space="preserve"> Account</w:t>
      </w:r>
      <w:r>
        <w:rPr>
          <w:snapToGrid w:val="0"/>
        </w:rPr>
        <w:t>, claims against</w:t>
      </w:r>
      <w:bookmarkEnd w:id="1141"/>
      <w:bookmarkEnd w:id="1142"/>
      <w:bookmarkEnd w:id="1143"/>
      <w:bookmarkEnd w:id="1144"/>
      <w:bookmarkEnd w:id="1145"/>
    </w:p>
    <w:p>
      <w:pPr>
        <w:pStyle w:val="Subsection"/>
        <w:spacing w:before="120"/>
        <w:rPr>
          <w:snapToGrid w:val="0"/>
        </w:rPr>
      </w:pPr>
      <w:r>
        <w:rPr>
          <w:snapToGrid w:val="0"/>
        </w:rPr>
        <w:tab/>
        <w:t>(1)</w:t>
      </w:r>
      <w:r>
        <w:rPr>
          <w:snapToGrid w:val="0"/>
        </w:rPr>
        <w:tab/>
        <w:t xml:space="preserve">The Board may </w:t>
      </w:r>
      <w:r>
        <w:t>receive and, subject to section 116(2), settle</w:t>
      </w:r>
      <w:r>
        <w:rPr>
          <w:snapToGrid w:val="0"/>
        </w:rPr>
        <w:t xml:space="preserve"> any claim against the Fidelity </w:t>
      </w:r>
      <w:r>
        <w:t xml:space="preserve">Account </w:t>
      </w:r>
      <w:r>
        <w:rPr>
          <w:snapToGrid w:val="0"/>
        </w:rPr>
        <w:t>at any time after the defalcation in respect of which the claim arose has occurred, but no person is entitled, without the leave of the Board, to commence any action in relation to the Fidelity</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spacing w:before="120"/>
        <w:rPr>
          <w:snapToGrid w:val="0"/>
        </w:rPr>
      </w:pPr>
      <w:r>
        <w:rPr>
          <w:snapToGrid w:val="0"/>
        </w:rPr>
        <w:tab/>
        <w:t>(2)</w:t>
      </w:r>
      <w:r>
        <w:rPr>
          <w:snapToGrid w:val="0"/>
        </w:rPr>
        <w:tab/>
        <w:t xml:space="preserve">A person is not entitled to recover from the Fidelity an </w:t>
      </w:r>
      <w:r>
        <w:t xml:space="preserve">Account </w:t>
      </w:r>
      <w:r>
        <w:rPr>
          <w:snapToGrid w:val="0"/>
        </w:rPr>
        <w:t xml:space="preserve">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spacing w:before="120"/>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spacing w:before="120"/>
        <w:rPr>
          <w:snapToGrid w:val="0"/>
        </w:rPr>
      </w:pPr>
      <w:r>
        <w:rPr>
          <w:snapToGrid w:val="0"/>
        </w:rPr>
        <w:tab/>
        <w:t>(4)</w:t>
      </w:r>
      <w:r>
        <w:rPr>
          <w:snapToGrid w:val="0"/>
        </w:rPr>
        <w:tab/>
        <w:t xml:space="preserve">No right of action lies in relation to the Fidelity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“defalcation by a licensee” in section 4.</w:t>
      </w:r>
    </w:p>
    <w:p>
      <w:pPr>
        <w:pStyle w:val="Footnotesection"/>
      </w:pPr>
      <w:r>
        <w:tab/>
        <w:t xml:space="preserve">[Section 117 amended by No. 29 of 1982 s. 12; No. 59 of 1995 s. 42; No. 3 of 2000 s. 5; No. 28 of 2003 s. 176; No. 77 of 2006 s. 17.] </w:t>
      </w:r>
    </w:p>
    <w:p>
      <w:pPr>
        <w:pStyle w:val="Heading5"/>
        <w:spacing w:before="180"/>
        <w:rPr>
          <w:snapToGrid w:val="0"/>
        </w:rPr>
      </w:pPr>
      <w:bookmarkStart w:id="1146" w:name="_Toc480623817"/>
      <w:bookmarkStart w:id="1147" w:name="_Toc520177851"/>
      <w:bookmarkStart w:id="1148" w:name="_Toc102899452"/>
      <w:bookmarkStart w:id="1149" w:name="_Toc124125494"/>
      <w:bookmarkStart w:id="1150" w:name="_Toc172965583"/>
      <w:bookmarkStart w:id="1151" w:name="_Toc163361883"/>
      <w:r>
        <w:rPr>
          <w:rStyle w:val="CharSectno"/>
        </w:rPr>
        <w:t>118</w:t>
      </w:r>
      <w:r>
        <w:rPr>
          <w:snapToGrid w:val="0"/>
        </w:rPr>
        <w:t>.</w:t>
      </w:r>
      <w:r>
        <w:rPr>
          <w:snapToGrid w:val="0"/>
        </w:rPr>
        <w:tab/>
        <w:t>Fidelity</w:t>
      </w:r>
      <w:bookmarkEnd w:id="1146"/>
      <w:r>
        <w:t xml:space="preserve"> Account</w:t>
      </w:r>
      <w:r>
        <w:rPr>
          <w:snapToGrid w:val="0"/>
        </w:rPr>
        <w:t>, defences to claims against</w:t>
      </w:r>
      <w:bookmarkEnd w:id="1147"/>
      <w:bookmarkEnd w:id="1148"/>
      <w:bookmarkEnd w:id="1149"/>
      <w:bookmarkEnd w:id="1150"/>
      <w:bookmarkEnd w:id="1151"/>
    </w:p>
    <w:p>
      <w:pPr>
        <w:pStyle w:val="Subsection"/>
        <w:spacing w:before="120"/>
        <w:rPr>
          <w:snapToGrid w:val="0"/>
        </w:rPr>
      </w:pPr>
      <w:r>
        <w:rPr>
          <w:snapToGrid w:val="0"/>
        </w:rPr>
        <w:tab/>
      </w:r>
      <w:r>
        <w:rPr>
          <w:snapToGrid w:val="0"/>
        </w:rPr>
        <w:tab/>
        <w:t>In any action brought against the Board in relation to the Fidelity</w:t>
      </w:r>
      <w:r>
        <w:t xml:space="preserve"> Account</w:t>
      </w:r>
      <w:r>
        <w:rPr>
          <w:snapToGrid w:val="0"/>
        </w:rPr>
        <w:t>, all defences that would have been available to the defaulting licensee are available to the Board.</w:t>
      </w:r>
    </w:p>
    <w:p>
      <w:pPr>
        <w:pStyle w:val="Footnotesection"/>
      </w:pPr>
      <w:r>
        <w:tab/>
        <w:t xml:space="preserve">[Section 118 amended by No. 28 of 1982 s. 12; No. 77 of 2006 s. 17.] </w:t>
      </w:r>
    </w:p>
    <w:p>
      <w:pPr>
        <w:pStyle w:val="Heading5"/>
        <w:rPr>
          <w:snapToGrid w:val="0"/>
        </w:rPr>
      </w:pPr>
      <w:bookmarkStart w:id="1152" w:name="_Toc480623818"/>
      <w:bookmarkStart w:id="1153" w:name="_Toc520177852"/>
      <w:bookmarkStart w:id="1154" w:name="_Toc102899453"/>
      <w:bookmarkStart w:id="1155" w:name="_Toc124125495"/>
      <w:bookmarkStart w:id="1156" w:name="_Toc172965584"/>
      <w:bookmarkStart w:id="1157" w:name="_Toc163361884"/>
      <w:r>
        <w:rPr>
          <w:rStyle w:val="CharSectno"/>
        </w:rPr>
        <w:t>119</w:t>
      </w:r>
      <w:r>
        <w:rPr>
          <w:snapToGrid w:val="0"/>
        </w:rPr>
        <w:t>.</w:t>
      </w:r>
      <w:r>
        <w:rPr>
          <w:snapToGrid w:val="0"/>
        </w:rPr>
        <w:tab/>
        <w:t xml:space="preserve">Board subrogated </w:t>
      </w:r>
      <w:bookmarkEnd w:id="1152"/>
      <w:r>
        <w:rPr>
          <w:snapToGrid w:val="0"/>
        </w:rPr>
        <w:t>to successful claimant</w:t>
      </w:r>
      <w:bookmarkEnd w:id="1153"/>
      <w:bookmarkEnd w:id="1154"/>
      <w:bookmarkEnd w:id="1155"/>
      <w:bookmarkEnd w:id="1156"/>
      <w:bookmarkEnd w:id="1157"/>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Board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119 amended by No. 59 of 1995 s. 42; No. 77 of 2006 s. 17.] </w:t>
      </w:r>
    </w:p>
    <w:p>
      <w:pPr>
        <w:pStyle w:val="Heading5"/>
        <w:rPr>
          <w:snapToGrid w:val="0"/>
        </w:rPr>
      </w:pPr>
      <w:bookmarkStart w:id="1158" w:name="_Toc480623819"/>
      <w:bookmarkStart w:id="1159" w:name="_Toc520177853"/>
      <w:bookmarkStart w:id="1160" w:name="_Toc102899454"/>
      <w:bookmarkStart w:id="1161" w:name="_Toc124125496"/>
      <w:bookmarkStart w:id="1162" w:name="_Toc172965585"/>
      <w:bookmarkStart w:id="1163" w:name="_Toc163361885"/>
      <w:r>
        <w:rPr>
          <w:rStyle w:val="CharSectno"/>
        </w:rPr>
        <w:t>120</w:t>
      </w:r>
      <w:r>
        <w:rPr>
          <w:snapToGrid w:val="0"/>
        </w:rPr>
        <w:t>.</w:t>
      </w:r>
      <w:r>
        <w:rPr>
          <w:snapToGrid w:val="0"/>
        </w:rPr>
        <w:tab/>
        <w:t xml:space="preserve">Insufficiency in Fidelity </w:t>
      </w:r>
      <w:bookmarkEnd w:id="1158"/>
      <w:bookmarkEnd w:id="1159"/>
      <w:bookmarkEnd w:id="1160"/>
      <w:bookmarkEnd w:id="1161"/>
      <w:r>
        <w:t>Account</w:t>
      </w:r>
      <w:bookmarkEnd w:id="1162"/>
      <w:bookmarkEnd w:id="1163"/>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Board available for the satisfaction of any judgment obtained against the Board in relation to the Fidelity</w:t>
      </w:r>
      <w:r>
        <w:t xml:space="preserve"> Account</w:t>
      </w:r>
      <w:r>
        <w:rPr>
          <w:snapToGrid w:val="0"/>
        </w:rPr>
        <w:t xml:space="preserve">, or for the payment of any claim allowed by the Board; 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Board, the Board shall in applying the Fidelity </w:t>
      </w:r>
      <w:r>
        <w:t xml:space="preserve">Account </w:t>
      </w:r>
      <w:r>
        <w:rPr>
          <w:snapToGrid w:val="0"/>
        </w:rPr>
        <w:t>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the priority as between themselves, according to the dates of the judgments or the dates when the claims were admitted by the Board, as the case may be.</w:t>
      </w:r>
    </w:p>
    <w:p>
      <w:pPr>
        <w:pStyle w:val="Footnotesection"/>
      </w:pPr>
      <w:r>
        <w:tab/>
        <w:t xml:space="preserve">[Section 120 amended by No. 28 of 1982 s. 12; No. 59 of 1995 s. 25 and 42; No. 77 of 2006 s. 17.] </w:t>
      </w:r>
    </w:p>
    <w:p>
      <w:pPr>
        <w:pStyle w:val="Heading5"/>
        <w:rPr>
          <w:snapToGrid w:val="0"/>
        </w:rPr>
      </w:pPr>
      <w:bookmarkStart w:id="1164" w:name="_Toc480623820"/>
      <w:bookmarkStart w:id="1165" w:name="_Toc520177854"/>
      <w:bookmarkStart w:id="1166" w:name="_Toc102899455"/>
      <w:bookmarkStart w:id="1167" w:name="_Toc124125497"/>
      <w:bookmarkStart w:id="1168" w:name="_Toc172965586"/>
      <w:bookmarkStart w:id="1169" w:name="_Toc163361886"/>
      <w:r>
        <w:rPr>
          <w:rStyle w:val="CharSectno"/>
        </w:rPr>
        <w:t>121</w:t>
      </w:r>
      <w:r>
        <w:rPr>
          <w:snapToGrid w:val="0"/>
        </w:rPr>
        <w:t>.</w:t>
      </w:r>
      <w:r>
        <w:rPr>
          <w:snapToGrid w:val="0"/>
        </w:rPr>
        <w:tab/>
        <w:t>Board may insure against claims</w:t>
      </w:r>
      <w:bookmarkEnd w:id="1164"/>
      <w:bookmarkEnd w:id="1165"/>
      <w:bookmarkEnd w:id="1166"/>
      <w:bookmarkEnd w:id="1167"/>
      <w:bookmarkEnd w:id="1168"/>
      <w:bookmarkEnd w:id="1169"/>
    </w:p>
    <w:p>
      <w:pPr>
        <w:pStyle w:val="Subsection"/>
        <w:rPr>
          <w:snapToGrid w:val="0"/>
        </w:rPr>
      </w:pPr>
      <w:r>
        <w:rPr>
          <w:snapToGrid w:val="0"/>
        </w:rPr>
        <w:tab/>
        <w:t>(1)</w:t>
      </w:r>
      <w:r>
        <w:rPr>
          <w:snapToGrid w:val="0"/>
        </w:rPr>
        <w:tab/>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Footnotesection"/>
      </w:pPr>
      <w:r>
        <w:tab/>
        <w:t xml:space="preserve">[Section 121 amended by No. 51 of 1986 s. 46(2).] </w:t>
      </w:r>
    </w:p>
    <w:p>
      <w:pPr>
        <w:pStyle w:val="Heading5"/>
        <w:rPr>
          <w:snapToGrid w:val="0"/>
        </w:rPr>
      </w:pPr>
      <w:bookmarkStart w:id="1170" w:name="_Toc480623821"/>
      <w:bookmarkStart w:id="1171" w:name="_Toc520177855"/>
      <w:bookmarkStart w:id="1172" w:name="_Toc102899456"/>
      <w:bookmarkStart w:id="1173" w:name="_Toc124125498"/>
      <w:bookmarkStart w:id="1174" w:name="_Toc172965587"/>
      <w:bookmarkStart w:id="1175" w:name="_Toc163361887"/>
      <w:r>
        <w:rPr>
          <w:rStyle w:val="CharSectno"/>
        </w:rPr>
        <w:t>122</w:t>
      </w:r>
      <w:r>
        <w:rPr>
          <w:snapToGrid w:val="0"/>
        </w:rPr>
        <w:t>.</w:t>
      </w:r>
      <w:r>
        <w:rPr>
          <w:snapToGrid w:val="0"/>
        </w:rPr>
        <w:tab/>
      </w:r>
      <w:bookmarkEnd w:id="1170"/>
      <w:r>
        <w:rPr>
          <w:snapToGrid w:val="0"/>
        </w:rPr>
        <w:t xml:space="preserve">Insurance payouts to be credited to Fidelity </w:t>
      </w:r>
      <w:bookmarkEnd w:id="1171"/>
      <w:bookmarkEnd w:id="1172"/>
      <w:bookmarkEnd w:id="1173"/>
      <w:r>
        <w:t>Account</w:t>
      </w:r>
      <w:bookmarkEnd w:id="1174"/>
      <w:bookmarkEnd w:id="1175"/>
    </w:p>
    <w:p>
      <w:pPr>
        <w:pStyle w:val="Subsection"/>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 xml:space="preserve">[Section 122 amended by No. 29 of 1982 s. 12; No. 59 of 1995 s. 42; No. 77 of 2006 s. 17.] </w:t>
      </w:r>
    </w:p>
    <w:p>
      <w:pPr>
        <w:pStyle w:val="Heading5"/>
        <w:rPr>
          <w:snapToGrid w:val="0"/>
        </w:rPr>
      </w:pPr>
      <w:bookmarkStart w:id="1176" w:name="_Toc480623822"/>
      <w:bookmarkStart w:id="1177" w:name="_Toc520177856"/>
      <w:bookmarkStart w:id="1178" w:name="_Toc102899457"/>
      <w:bookmarkStart w:id="1179" w:name="_Toc124125499"/>
      <w:bookmarkStart w:id="1180" w:name="_Toc172965588"/>
      <w:bookmarkStart w:id="1181" w:name="_Toc163361888"/>
      <w:r>
        <w:rPr>
          <w:rStyle w:val="CharSectno"/>
        </w:rPr>
        <w:t>123</w:t>
      </w:r>
      <w:r>
        <w:rPr>
          <w:snapToGrid w:val="0"/>
        </w:rPr>
        <w:t>.</w:t>
      </w:r>
      <w:r>
        <w:rPr>
          <w:snapToGrid w:val="0"/>
        </w:rPr>
        <w:tab/>
      </w:r>
      <w:bookmarkEnd w:id="1176"/>
      <w:r>
        <w:rPr>
          <w:snapToGrid w:val="0"/>
        </w:rPr>
        <w:t xml:space="preserve">Advertising for claims against Fidelity </w:t>
      </w:r>
      <w:bookmarkEnd w:id="1177"/>
      <w:bookmarkEnd w:id="1178"/>
      <w:bookmarkEnd w:id="1179"/>
      <w:r>
        <w:t>Account</w:t>
      </w:r>
      <w:bookmarkEnd w:id="1180"/>
      <w:bookmarkEnd w:id="1181"/>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 xml:space="preserve">[Section 123 amended by No. 29 of 1982 s. 12; No. 77 of 2006 s. 17.] </w:t>
      </w:r>
    </w:p>
    <w:p>
      <w:pPr>
        <w:pStyle w:val="Heading5"/>
        <w:rPr>
          <w:snapToGrid w:val="0"/>
        </w:rPr>
      </w:pPr>
      <w:bookmarkStart w:id="1182" w:name="_Toc480623823"/>
      <w:bookmarkStart w:id="1183" w:name="_Toc520177857"/>
      <w:bookmarkStart w:id="1184" w:name="_Toc102899458"/>
      <w:bookmarkStart w:id="1185" w:name="_Toc124125500"/>
      <w:bookmarkStart w:id="1186" w:name="_Toc172965589"/>
      <w:bookmarkStart w:id="1187" w:name="_Toc163361889"/>
      <w:r>
        <w:rPr>
          <w:rStyle w:val="CharSectno"/>
        </w:rPr>
        <w:t>124</w:t>
      </w:r>
      <w:r>
        <w:rPr>
          <w:snapToGrid w:val="0"/>
        </w:rPr>
        <w:t>.</w:t>
      </w:r>
      <w:r>
        <w:rPr>
          <w:snapToGrid w:val="0"/>
        </w:rPr>
        <w:tab/>
      </w:r>
      <w:bookmarkEnd w:id="1182"/>
      <w:r>
        <w:rPr>
          <w:snapToGrid w:val="0"/>
        </w:rPr>
        <w:t>Board may require documents etc. in support of claims</w:t>
      </w:r>
      <w:bookmarkEnd w:id="1183"/>
      <w:bookmarkEnd w:id="1184"/>
      <w:bookmarkEnd w:id="1185"/>
      <w:bookmarkEnd w:id="1186"/>
      <w:bookmarkEnd w:id="1187"/>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188" w:name="_Toc72643502"/>
      <w:bookmarkStart w:id="1189" w:name="_Toc89596467"/>
      <w:bookmarkStart w:id="1190" w:name="_Toc91303195"/>
      <w:bookmarkStart w:id="1191" w:name="_Toc92701304"/>
      <w:bookmarkStart w:id="1192" w:name="_Toc96997029"/>
      <w:bookmarkStart w:id="1193" w:name="_Toc98833540"/>
      <w:bookmarkStart w:id="1194" w:name="_Toc99166148"/>
      <w:bookmarkStart w:id="1195" w:name="_Toc100021807"/>
      <w:bookmarkStart w:id="1196" w:name="_Toc100562161"/>
      <w:bookmarkStart w:id="1197" w:name="_Toc100562536"/>
      <w:bookmarkStart w:id="1198" w:name="_Toc102373554"/>
      <w:bookmarkStart w:id="1199" w:name="_Toc102536215"/>
      <w:bookmarkStart w:id="1200" w:name="_Toc102899459"/>
      <w:bookmarkStart w:id="1201" w:name="_Toc107197937"/>
      <w:bookmarkStart w:id="1202" w:name="_Toc116713367"/>
      <w:bookmarkStart w:id="1203" w:name="_Toc116813076"/>
      <w:bookmarkStart w:id="1204" w:name="_Toc121566615"/>
      <w:bookmarkStart w:id="1205" w:name="_Toc124125501"/>
      <w:bookmarkStart w:id="1206" w:name="_Toc124140951"/>
      <w:bookmarkStart w:id="1207" w:name="_Toc139362733"/>
      <w:bookmarkStart w:id="1208" w:name="_Toc139685930"/>
      <w:bookmarkStart w:id="1209" w:name="_Toc154197291"/>
      <w:bookmarkStart w:id="1210" w:name="_Toc158003681"/>
      <w:bookmarkStart w:id="1211" w:name="_Toc163273907"/>
      <w:bookmarkStart w:id="1212" w:name="_Toc163361890"/>
      <w:bookmarkStart w:id="1213" w:name="_Toc172965389"/>
      <w:bookmarkStart w:id="1214" w:name="_Toc172965590"/>
      <w:r>
        <w:rPr>
          <w:rStyle w:val="CharPartNo"/>
        </w:rPr>
        <w:t>Part VIIIA</w:t>
      </w:r>
      <w:r>
        <w:rPr>
          <w:rStyle w:val="CharDivNo"/>
        </w:rPr>
        <w:t> </w:t>
      </w:r>
      <w:r>
        <w:t>—</w:t>
      </w:r>
      <w:r>
        <w:rPr>
          <w:rStyle w:val="CharDivText"/>
        </w:rPr>
        <w:t> </w:t>
      </w:r>
      <w:r>
        <w:rPr>
          <w:rStyle w:val="CharPartText"/>
        </w:rPr>
        <w:t>Education and General Purpose</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r>
        <w:rPr>
          <w:rStyle w:val="CharPartText"/>
        </w:rPr>
        <w:t xml:space="preserve"> Account</w:t>
      </w:r>
      <w:bookmarkEnd w:id="1210"/>
      <w:bookmarkEnd w:id="1211"/>
      <w:bookmarkEnd w:id="1212"/>
      <w:bookmarkEnd w:id="1213"/>
      <w:bookmarkEnd w:id="1214"/>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s. 17.] </w:t>
      </w:r>
    </w:p>
    <w:p>
      <w:pPr>
        <w:pStyle w:val="Heading5"/>
        <w:rPr>
          <w:snapToGrid w:val="0"/>
        </w:rPr>
      </w:pPr>
      <w:bookmarkStart w:id="1215" w:name="_Toc480623824"/>
      <w:bookmarkStart w:id="1216" w:name="_Toc520177858"/>
      <w:bookmarkStart w:id="1217" w:name="_Toc102899460"/>
      <w:bookmarkStart w:id="1218" w:name="_Toc124125502"/>
      <w:bookmarkStart w:id="1219" w:name="_Toc172965591"/>
      <w:bookmarkStart w:id="1220" w:name="_Toc163361891"/>
      <w:r>
        <w:rPr>
          <w:rStyle w:val="CharSectno"/>
        </w:rPr>
        <w:t>124A</w:t>
      </w:r>
      <w:r>
        <w:rPr>
          <w:snapToGrid w:val="0"/>
        </w:rPr>
        <w:t>.</w:t>
      </w:r>
      <w:r>
        <w:rPr>
          <w:snapToGrid w:val="0"/>
        </w:rPr>
        <w:tab/>
        <w:t>Education and General Purpose Fund established</w:t>
      </w:r>
      <w:bookmarkEnd w:id="1215"/>
      <w:bookmarkEnd w:id="1216"/>
      <w:bookmarkEnd w:id="1217"/>
      <w:bookmarkEnd w:id="1218"/>
      <w:bookmarkEnd w:id="1219"/>
      <w:bookmarkEnd w:id="1220"/>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 Board.</w:t>
      </w:r>
    </w:p>
    <w:p>
      <w:pPr>
        <w:pStyle w:val="Footnotesection"/>
      </w:pPr>
      <w:r>
        <w:tab/>
        <w:t xml:space="preserve">[Section 124A inserted by No. 59 of 1995 s. 26; amended by No. 77 of 2006 s. 17.] </w:t>
      </w:r>
    </w:p>
    <w:p>
      <w:pPr>
        <w:pStyle w:val="Heading5"/>
        <w:rPr>
          <w:snapToGrid w:val="0"/>
        </w:rPr>
      </w:pPr>
      <w:bookmarkStart w:id="1221" w:name="_Toc480623825"/>
      <w:bookmarkStart w:id="1222" w:name="_Toc520177859"/>
      <w:bookmarkStart w:id="1223" w:name="_Toc102899461"/>
      <w:bookmarkStart w:id="1224" w:name="_Toc124125503"/>
      <w:bookmarkStart w:id="1225" w:name="_Toc172965592"/>
      <w:bookmarkStart w:id="1226" w:name="_Toc163361892"/>
      <w:r>
        <w:rPr>
          <w:rStyle w:val="CharSectno"/>
        </w:rPr>
        <w:t>124B</w:t>
      </w:r>
      <w:r>
        <w:rPr>
          <w:snapToGrid w:val="0"/>
        </w:rPr>
        <w:t>.</w:t>
      </w:r>
      <w:r>
        <w:rPr>
          <w:snapToGrid w:val="0"/>
        </w:rPr>
        <w:tab/>
        <w:t>General Purpose</w:t>
      </w:r>
      <w:bookmarkEnd w:id="1221"/>
      <w:r>
        <w:t xml:space="preserve"> Account</w:t>
      </w:r>
      <w:r>
        <w:rPr>
          <w:snapToGrid w:val="0"/>
        </w:rPr>
        <w:t>, income</w:t>
      </w:r>
      <w:bookmarkEnd w:id="1222"/>
      <w:bookmarkEnd w:id="1223"/>
      <w:bookmarkEnd w:id="1224"/>
      <w:bookmarkEnd w:id="1225"/>
      <w:bookmarkEnd w:id="1226"/>
    </w:p>
    <w:p>
      <w:pPr>
        <w:pStyle w:val="Subsection"/>
        <w:keepNext/>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w:t>
      </w:r>
    </w:p>
    <w:p>
      <w:pPr>
        <w:pStyle w:val="Indenta"/>
        <w:rPr>
          <w:snapToGrid w:val="0"/>
        </w:rPr>
      </w:pPr>
      <w:r>
        <w:rPr>
          <w:snapToGrid w:val="0"/>
        </w:rPr>
        <w:tab/>
        <w:t>(c)</w:t>
      </w:r>
      <w:r>
        <w:rPr>
          <w:snapToGrid w:val="0"/>
        </w:rPr>
        <w:tab/>
        <w:t>fees, costs and other moneys lawfully received by or payable to the Board;</w:t>
      </w:r>
    </w:p>
    <w:p>
      <w:pPr>
        <w:pStyle w:val="Indenta"/>
        <w:rPr>
          <w:snapToGrid w:val="0"/>
        </w:rPr>
      </w:pPr>
      <w:r>
        <w:rPr>
          <w:snapToGrid w:val="0"/>
        </w:rPr>
        <w:tab/>
        <w:t>(d)</w:t>
      </w:r>
      <w:r>
        <w:rPr>
          <w:snapToGrid w:val="0"/>
        </w:rPr>
        <w:tab/>
        <w:t>fines imposed under section 105;</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 xml:space="preserve">[Section 124B inserted by No. 59 of 1995 s. 26; amended by No. 55 of 2004 s. 1015; No. 77 of 2006 s. 17.] </w:t>
      </w:r>
    </w:p>
    <w:p>
      <w:pPr>
        <w:pStyle w:val="Heading5"/>
        <w:rPr>
          <w:snapToGrid w:val="0"/>
        </w:rPr>
      </w:pPr>
      <w:bookmarkStart w:id="1227" w:name="_Toc480623826"/>
      <w:bookmarkStart w:id="1228" w:name="_Toc520177860"/>
      <w:bookmarkStart w:id="1229" w:name="_Toc102899462"/>
      <w:bookmarkStart w:id="1230" w:name="_Toc124125504"/>
      <w:bookmarkStart w:id="1231" w:name="_Toc172965593"/>
      <w:bookmarkStart w:id="1232" w:name="_Toc163361893"/>
      <w:r>
        <w:rPr>
          <w:rStyle w:val="CharSectno"/>
        </w:rPr>
        <w:t>124C</w:t>
      </w:r>
      <w:r>
        <w:rPr>
          <w:snapToGrid w:val="0"/>
        </w:rPr>
        <w:t>.</w:t>
      </w:r>
      <w:r>
        <w:rPr>
          <w:snapToGrid w:val="0"/>
        </w:rPr>
        <w:tab/>
        <w:t>General Purpose</w:t>
      </w:r>
      <w:bookmarkEnd w:id="1227"/>
      <w:r>
        <w:t xml:space="preserve"> Account</w:t>
      </w:r>
      <w:r>
        <w:rPr>
          <w:snapToGrid w:val="0"/>
        </w:rPr>
        <w:t>, expenditure</w:t>
      </w:r>
      <w:bookmarkEnd w:id="1228"/>
      <w:bookmarkEnd w:id="1229"/>
      <w:bookmarkEnd w:id="1230"/>
      <w:bookmarkEnd w:id="1231"/>
      <w:bookmarkEnd w:id="1232"/>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 and members of advisory committees established under Division 4 of Part II;</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124C inserted by No. 59 of 1995 s. 26; amended by No. 34 of 1998 s. 18; No. 77 of 2006 s. 17.] </w:t>
      </w:r>
    </w:p>
    <w:p>
      <w:pPr>
        <w:pStyle w:val="Heading5"/>
        <w:rPr>
          <w:snapToGrid w:val="0"/>
        </w:rPr>
      </w:pPr>
      <w:bookmarkStart w:id="1233" w:name="_Toc480623827"/>
      <w:bookmarkStart w:id="1234" w:name="_Toc520177861"/>
      <w:bookmarkStart w:id="1235" w:name="_Toc102899463"/>
      <w:bookmarkStart w:id="1236" w:name="_Toc124125505"/>
      <w:bookmarkStart w:id="1237" w:name="_Toc172965594"/>
      <w:bookmarkStart w:id="1238" w:name="_Toc163361894"/>
      <w:r>
        <w:rPr>
          <w:rStyle w:val="CharSectno"/>
        </w:rPr>
        <w:t>124D</w:t>
      </w:r>
      <w:r>
        <w:rPr>
          <w:snapToGrid w:val="0"/>
        </w:rPr>
        <w:t>.</w:t>
      </w:r>
      <w:r>
        <w:rPr>
          <w:snapToGrid w:val="0"/>
        </w:rPr>
        <w:tab/>
        <w:t>General Purpose</w:t>
      </w:r>
      <w:bookmarkEnd w:id="1233"/>
      <w:r>
        <w:t xml:space="preserve"> Account</w:t>
      </w:r>
      <w:r>
        <w:rPr>
          <w:snapToGrid w:val="0"/>
        </w:rPr>
        <w:t>, investment of</w:t>
      </w:r>
      <w:bookmarkEnd w:id="1234"/>
      <w:bookmarkEnd w:id="1235"/>
      <w:bookmarkEnd w:id="1236"/>
      <w:bookmarkEnd w:id="1237"/>
      <w:bookmarkEnd w:id="1238"/>
    </w:p>
    <w:p>
      <w:pPr>
        <w:pStyle w:val="Indenta"/>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124D inserted by No. 59 of 1995 s. 26; amended by No. 77 of 2006 s. 17.] </w:t>
      </w:r>
    </w:p>
    <w:p>
      <w:pPr>
        <w:pStyle w:val="Heading2"/>
      </w:pPr>
      <w:bookmarkStart w:id="1239" w:name="_Toc72643507"/>
      <w:bookmarkStart w:id="1240" w:name="_Toc89596472"/>
      <w:bookmarkStart w:id="1241" w:name="_Toc91303200"/>
      <w:bookmarkStart w:id="1242" w:name="_Toc92701309"/>
      <w:bookmarkStart w:id="1243" w:name="_Toc96997034"/>
      <w:bookmarkStart w:id="1244" w:name="_Toc98833545"/>
      <w:bookmarkStart w:id="1245" w:name="_Toc99166153"/>
      <w:bookmarkStart w:id="1246" w:name="_Toc100021812"/>
      <w:bookmarkStart w:id="1247" w:name="_Toc100562166"/>
      <w:bookmarkStart w:id="1248" w:name="_Toc100562541"/>
      <w:bookmarkStart w:id="1249" w:name="_Toc102373559"/>
      <w:bookmarkStart w:id="1250" w:name="_Toc102536220"/>
      <w:bookmarkStart w:id="1251" w:name="_Toc102899464"/>
      <w:bookmarkStart w:id="1252" w:name="_Toc107197942"/>
      <w:bookmarkStart w:id="1253" w:name="_Toc116713372"/>
      <w:bookmarkStart w:id="1254" w:name="_Toc116813081"/>
      <w:bookmarkStart w:id="1255" w:name="_Toc121566620"/>
      <w:bookmarkStart w:id="1256" w:name="_Toc124125506"/>
      <w:bookmarkStart w:id="1257" w:name="_Toc124140956"/>
      <w:bookmarkStart w:id="1258" w:name="_Toc139362738"/>
      <w:bookmarkStart w:id="1259" w:name="_Toc139685935"/>
      <w:bookmarkStart w:id="1260" w:name="_Toc154197296"/>
      <w:bookmarkStart w:id="1261" w:name="_Toc158003686"/>
      <w:bookmarkStart w:id="1262" w:name="_Toc163273912"/>
      <w:bookmarkStart w:id="1263" w:name="_Toc163361895"/>
      <w:bookmarkStart w:id="1264" w:name="_Toc172965394"/>
      <w:bookmarkStart w:id="1265" w:name="_Toc172965595"/>
      <w:r>
        <w:rPr>
          <w:rStyle w:val="CharPartNo"/>
        </w:rPr>
        <w:t>Part IX</w:t>
      </w:r>
      <w:r>
        <w:rPr>
          <w:rStyle w:val="CharDivNo"/>
        </w:rPr>
        <w:t> </w:t>
      </w:r>
      <w:r>
        <w:t>—</w:t>
      </w:r>
      <w:r>
        <w:rPr>
          <w:rStyle w:val="CharDivText"/>
        </w:rPr>
        <w:t> </w:t>
      </w:r>
      <w:r>
        <w:rPr>
          <w:rStyle w:val="CharPartText"/>
        </w:rPr>
        <w:t>Board Interest Account</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r>
        <w:rPr>
          <w:rStyle w:val="CharPartText"/>
        </w:rPr>
        <w:t xml:space="preserve"> </w:t>
      </w:r>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w:t>
      </w:r>
    </w:p>
    <w:p>
      <w:pPr>
        <w:pStyle w:val="Heading5"/>
        <w:rPr>
          <w:snapToGrid w:val="0"/>
        </w:rPr>
      </w:pPr>
      <w:bookmarkStart w:id="1266" w:name="_Toc480623828"/>
      <w:bookmarkStart w:id="1267" w:name="_Toc520177862"/>
      <w:bookmarkStart w:id="1268" w:name="_Toc102899465"/>
      <w:bookmarkStart w:id="1269" w:name="_Toc124125507"/>
      <w:bookmarkStart w:id="1270" w:name="_Toc172965596"/>
      <w:bookmarkStart w:id="1271" w:name="_Toc163361896"/>
      <w:r>
        <w:rPr>
          <w:rStyle w:val="CharSectno"/>
        </w:rPr>
        <w:t>125</w:t>
      </w:r>
      <w:r>
        <w:rPr>
          <w:snapToGrid w:val="0"/>
        </w:rPr>
        <w:t>.</w:t>
      </w:r>
      <w:r>
        <w:rPr>
          <w:snapToGrid w:val="0"/>
        </w:rPr>
        <w:tab/>
        <w:t>Board Interest Account established</w:t>
      </w:r>
      <w:bookmarkEnd w:id="1266"/>
      <w:bookmarkEnd w:id="1267"/>
      <w:bookmarkEnd w:id="1268"/>
      <w:bookmarkEnd w:id="1269"/>
      <w:bookmarkEnd w:id="1270"/>
      <w:bookmarkEnd w:id="1271"/>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125 inserted by No. 59 of 1995 s. 27; amended by No. 77 of 2006 s. 17.] </w:t>
      </w:r>
    </w:p>
    <w:p>
      <w:pPr>
        <w:pStyle w:val="Heading5"/>
        <w:rPr>
          <w:snapToGrid w:val="0"/>
        </w:rPr>
      </w:pPr>
      <w:bookmarkStart w:id="1272" w:name="_Toc480623829"/>
      <w:bookmarkStart w:id="1273" w:name="_Toc520177863"/>
      <w:bookmarkStart w:id="1274" w:name="_Toc102899466"/>
      <w:bookmarkStart w:id="1275" w:name="_Toc124125508"/>
      <w:bookmarkStart w:id="1276" w:name="_Toc172965597"/>
      <w:bookmarkStart w:id="1277" w:name="_Toc163361897"/>
      <w:r>
        <w:rPr>
          <w:rStyle w:val="CharSectno"/>
        </w:rPr>
        <w:t>126</w:t>
      </w:r>
      <w:r>
        <w:rPr>
          <w:snapToGrid w:val="0"/>
        </w:rPr>
        <w:t>.</w:t>
      </w:r>
      <w:r>
        <w:rPr>
          <w:snapToGrid w:val="0"/>
        </w:rPr>
        <w:tab/>
        <w:t>Board Interest Account</w:t>
      </w:r>
      <w:bookmarkEnd w:id="1272"/>
      <w:r>
        <w:rPr>
          <w:snapToGrid w:val="0"/>
        </w:rPr>
        <w:t>, income</w:t>
      </w:r>
      <w:bookmarkEnd w:id="1273"/>
      <w:bookmarkEnd w:id="1274"/>
      <w:bookmarkEnd w:id="1275"/>
      <w:bookmarkEnd w:id="1276"/>
      <w:bookmarkEnd w:id="1277"/>
    </w:p>
    <w:p>
      <w:pPr>
        <w:pStyle w:val="Subsection"/>
        <w:keepNext/>
        <w:rPr>
          <w:snapToGrid w:val="0"/>
        </w:rPr>
      </w:pPr>
      <w:r>
        <w:rPr>
          <w:snapToGrid w:val="0"/>
        </w:rPr>
        <w:tab/>
      </w:r>
      <w:r>
        <w:rPr>
          <w:snapToGrid w:val="0"/>
        </w:rPr>
        <w:tab/>
        <w:t>There are to be credited to the Account — </w:t>
      </w:r>
    </w:p>
    <w:p>
      <w:pPr>
        <w:pStyle w:val="Indenta"/>
        <w:rPr>
          <w:snapToGrid w:val="0"/>
        </w:rPr>
      </w:pPr>
      <w:r>
        <w:rPr>
          <w:snapToGrid w:val="0"/>
        </w:rPr>
        <w:tab/>
        <w:t>(a)</w:t>
      </w:r>
      <w:r>
        <w:rPr>
          <w:snapToGrid w:val="0"/>
        </w:rPr>
        <w:tab/>
        <w:t>all moneys paid to the credit of the Account under section 68B;</w:t>
      </w:r>
    </w:p>
    <w:p>
      <w:pPr>
        <w:pStyle w:val="Indenta"/>
        <w:rPr>
          <w:snapToGrid w:val="0"/>
        </w:rPr>
      </w:pPr>
      <w:r>
        <w:rPr>
          <w:snapToGrid w:val="0"/>
        </w:rPr>
        <w:tab/>
        <w:t>(b)</w:t>
      </w:r>
      <w:r>
        <w:rPr>
          <w:snapToGrid w:val="0"/>
        </w:rPr>
        <w:tab/>
        <w:t>income derived from the investment, under section 128, of moneys standing to the credit of the Account; and</w:t>
      </w:r>
    </w:p>
    <w:p>
      <w:pPr>
        <w:pStyle w:val="Indenta"/>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126 inserted by No. 59 of 1995 s. 27.] </w:t>
      </w:r>
    </w:p>
    <w:p>
      <w:pPr>
        <w:pStyle w:val="Heading5"/>
        <w:rPr>
          <w:snapToGrid w:val="0"/>
        </w:rPr>
      </w:pPr>
      <w:bookmarkStart w:id="1278" w:name="_Toc480623830"/>
      <w:bookmarkStart w:id="1279" w:name="_Toc520177864"/>
      <w:bookmarkStart w:id="1280" w:name="_Toc102899467"/>
      <w:bookmarkStart w:id="1281" w:name="_Toc124125509"/>
      <w:bookmarkStart w:id="1282" w:name="_Toc172965598"/>
      <w:bookmarkStart w:id="1283" w:name="_Toc163361898"/>
      <w:r>
        <w:rPr>
          <w:rStyle w:val="CharSectno"/>
        </w:rPr>
        <w:t>127</w:t>
      </w:r>
      <w:r>
        <w:rPr>
          <w:snapToGrid w:val="0"/>
        </w:rPr>
        <w:t>.</w:t>
      </w:r>
      <w:r>
        <w:rPr>
          <w:snapToGrid w:val="0"/>
        </w:rPr>
        <w:tab/>
        <w:t>Board Interest Account</w:t>
      </w:r>
      <w:bookmarkEnd w:id="1278"/>
      <w:r>
        <w:rPr>
          <w:snapToGrid w:val="0"/>
        </w:rPr>
        <w:t>, expenditure</w:t>
      </w:r>
      <w:bookmarkEnd w:id="1279"/>
      <w:bookmarkEnd w:id="1280"/>
      <w:bookmarkEnd w:id="1281"/>
      <w:bookmarkEnd w:id="1282"/>
      <w:bookmarkEnd w:id="1283"/>
    </w:p>
    <w:p>
      <w:pPr>
        <w:pStyle w:val="Subsection"/>
        <w:keepNext/>
        <w:rPr>
          <w:snapToGrid w:val="0"/>
        </w:rPr>
      </w:pPr>
      <w:r>
        <w:rPr>
          <w:snapToGrid w:val="0"/>
        </w:rPr>
        <w:tab/>
      </w:r>
      <w:r>
        <w:rPr>
          <w:snapToGrid w:val="0"/>
        </w:rPr>
        <w:tab/>
        <w:t>Moneys standing to the credit of the Account are to be applied at such times as are prescribed — </w:t>
      </w:r>
    </w:p>
    <w:p>
      <w:pPr>
        <w:pStyle w:val="Indenta"/>
        <w:rPr>
          <w:snapToGrid w:val="0"/>
        </w:rPr>
      </w:pPr>
      <w:r>
        <w:rPr>
          <w:snapToGrid w:val="0"/>
        </w:rPr>
        <w:tab/>
        <w:t>(a)</w:t>
      </w:r>
      <w:r>
        <w:rPr>
          <w:snapToGrid w:val="0"/>
        </w:rPr>
        <w:tab/>
        <w:t>first, in payment of the costs involved in administering the 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w:t>
      </w:r>
      <w:r>
        <w:t xml:space="preserve"> Account</w:t>
      </w:r>
      <w:r>
        <w:rPr>
          <w:snapToGrid w:val="0"/>
        </w:rPr>
        <w:t>;</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 xml:space="preserve">[Section 127 inserted by No. 59 of 1995 s. 27; amended by No. 77 of 2006 s. 17.] </w:t>
      </w:r>
    </w:p>
    <w:p>
      <w:pPr>
        <w:pStyle w:val="Heading5"/>
        <w:rPr>
          <w:snapToGrid w:val="0"/>
        </w:rPr>
      </w:pPr>
      <w:bookmarkStart w:id="1284" w:name="_Toc480623831"/>
      <w:bookmarkStart w:id="1285" w:name="_Toc520177865"/>
      <w:bookmarkStart w:id="1286" w:name="_Toc102899468"/>
      <w:bookmarkStart w:id="1287" w:name="_Toc124125510"/>
      <w:bookmarkStart w:id="1288" w:name="_Toc172965599"/>
      <w:bookmarkStart w:id="1289" w:name="_Toc163361899"/>
      <w:r>
        <w:rPr>
          <w:rStyle w:val="CharSectno"/>
        </w:rPr>
        <w:t>128</w:t>
      </w:r>
      <w:r>
        <w:rPr>
          <w:snapToGrid w:val="0"/>
        </w:rPr>
        <w:t>.</w:t>
      </w:r>
      <w:r>
        <w:rPr>
          <w:snapToGrid w:val="0"/>
        </w:rPr>
        <w:tab/>
        <w:t>Board Interest Account</w:t>
      </w:r>
      <w:bookmarkEnd w:id="1284"/>
      <w:r>
        <w:rPr>
          <w:snapToGrid w:val="0"/>
        </w:rPr>
        <w:t>, investment of</w:t>
      </w:r>
      <w:bookmarkEnd w:id="1285"/>
      <w:bookmarkEnd w:id="1286"/>
      <w:bookmarkEnd w:id="1287"/>
      <w:bookmarkEnd w:id="1288"/>
      <w:bookmarkEnd w:id="1289"/>
    </w:p>
    <w:p>
      <w:pPr>
        <w:pStyle w:val="Indenta"/>
        <w:rPr>
          <w:snapToGrid w:val="0"/>
        </w:rPr>
      </w:pPr>
      <w:r>
        <w:rPr>
          <w:snapToGrid w:val="0"/>
        </w:rPr>
        <w:tab/>
        <w:t>(1)</w:t>
      </w:r>
      <w:r>
        <w:rPr>
          <w:snapToGrid w:val="0"/>
        </w:rPr>
        <w:tab/>
        <w:t>Moneys standing to the credit of the 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128 inserted by No. 59 of 1995 s. 27; amended by No. 77 of 2006 s. 17.] </w:t>
      </w:r>
    </w:p>
    <w:p>
      <w:pPr>
        <w:pStyle w:val="Ednotesection"/>
      </w:pPr>
      <w:r>
        <w:t>[</w:t>
      </w:r>
      <w:r>
        <w:rPr>
          <w:b/>
        </w:rPr>
        <w:t>129, 130.</w:t>
      </w:r>
      <w:r>
        <w:tab/>
        <w:t xml:space="preserve">Repealed by No. 59 of 1995 s. 27.] </w:t>
      </w:r>
    </w:p>
    <w:p>
      <w:pPr>
        <w:pStyle w:val="Ednotesection"/>
      </w:pPr>
      <w:r>
        <w:t>[</w:t>
      </w:r>
      <w:r>
        <w:rPr>
          <w:b/>
        </w:rPr>
        <w:t>131.</w:t>
      </w:r>
      <w:r>
        <w:tab/>
        <w:t xml:space="preserve">Repealed by No. 98 of 1985 s. 3.] </w:t>
      </w:r>
    </w:p>
    <w:p>
      <w:pPr>
        <w:pStyle w:val="Heading2"/>
      </w:pPr>
      <w:bookmarkStart w:id="1290" w:name="_Toc72643512"/>
      <w:bookmarkStart w:id="1291" w:name="_Toc89596477"/>
      <w:bookmarkStart w:id="1292" w:name="_Toc91303205"/>
      <w:bookmarkStart w:id="1293" w:name="_Toc92701314"/>
      <w:bookmarkStart w:id="1294" w:name="_Toc96997039"/>
      <w:bookmarkStart w:id="1295" w:name="_Toc98833550"/>
      <w:bookmarkStart w:id="1296" w:name="_Toc99166158"/>
      <w:bookmarkStart w:id="1297" w:name="_Toc100021817"/>
      <w:bookmarkStart w:id="1298" w:name="_Toc100562171"/>
      <w:bookmarkStart w:id="1299" w:name="_Toc100562546"/>
      <w:bookmarkStart w:id="1300" w:name="_Toc102373564"/>
      <w:bookmarkStart w:id="1301" w:name="_Toc102536225"/>
      <w:bookmarkStart w:id="1302" w:name="_Toc102899469"/>
      <w:bookmarkStart w:id="1303" w:name="_Toc107197947"/>
      <w:bookmarkStart w:id="1304" w:name="_Toc116713377"/>
      <w:bookmarkStart w:id="1305" w:name="_Toc116813086"/>
      <w:bookmarkStart w:id="1306" w:name="_Toc121566625"/>
      <w:bookmarkStart w:id="1307" w:name="_Toc124125511"/>
      <w:bookmarkStart w:id="1308" w:name="_Toc124140961"/>
      <w:bookmarkStart w:id="1309" w:name="_Toc139362743"/>
      <w:bookmarkStart w:id="1310" w:name="_Toc139685940"/>
      <w:bookmarkStart w:id="1311" w:name="_Toc154197301"/>
      <w:bookmarkStart w:id="1312" w:name="_Toc158003691"/>
      <w:bookmarkStart w:id="1313" w:name="_Toc163273917"/>
      <w:bookmarkStart w:id="1314" w:name="_Toc163361900"/>
      <w:bookmarkStart w:id="1315" w:name="_Toc172965399"/>
      <w:bookmarkStart w:id="1316" w:name="_Toc172965600"/>
      <w:r>
        <w:rPr>
          <w:rStyle w:val="CharPartNo"/>
        </w:rPr>
        <w:t>Part IXA</w:t>
      </w:r>
      <w:r>
        <w:rPr>
          <w:rStyle w:val="CharDivNo"/>
        </w:rPr>
        <w:t> </w:t>
      </w:r>
      <w:r>
        <w:t>—</w:t>
      </w:r>
      <w:r>
        <w:rPr>
          <w:rStyle w:val="CharDivText"/>
        </w:rPr>
        <w:t> </w:t>
      </w:r>
      <w:r>
        <w:rPr>
          <w:rStyle w:val="CharPartText"/>
        </w:rPr>
        <w:t>Assistance to home buyers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pPr>
        <w:pStyle w:val="Heading5"/>
        <w:rPr>
          <w:snapToGrid w:val="0"/>
        </w:rPr>
      </w:pPr>
      <w:bookmarkStart w:id="1317" w:name="_Toc480623832"/>
      <w:bookmarkStart w:id="1318" w:name="_Toc520177866"/>
      <w:bookmarkStart w:id="1319" w:name="_Toc102899470"/>
      <w:bookmarkStart w:id="1320" w:name="_Toc124125512"/>
      <w:bookmarkStart w:id="1321" w:name="_Toc172965601"/>
      <w:bookmarkStart w:id="1322" w:name="_Toc163361901"/>
      <w:r>
        <w:rPr>
          <w:rStyle w:val="CharSectno"/>
        </w:rPr>
        <w:t>131A</w:t>
      </w:r>
      <w:r>
        <w:rPr>
          <w:snapToGrid w:val="0"/>
        </w:rPr>
        <w:t>.</w:t>
      </w:r>
      <w:r>
        <w:rPr>
          <w:snapToGrid w:val="0"/>
        </w:rPr>
        <w:tab/>
        <w:t>Interpretation</w:t>
      </w:r>
      <w:bookmarkEnd w:id="1317"/>
      <w:bookmarkEnd w:id="1318"/>
      <w:bookmarkEnd w:id="1319"/>
      <w:bookmarkEnd w:id="1320"/>
      <w:bookmarkEnd w:id="1321"/>
      <w:bookmarkEnd w:id="1322"/>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applicant</w:t>
      </w:r>
      <w:r>
        <w:rPr>
          <w:b/>
        </w:rPr>
        <w:t>”</w:t>
      </w:r>
      <w:r>
        <w:t xml:space="preserve"> means person on whose behalf an application has been lodged under section 131L(1);</w:t>
      </w:r>
    </w:p>
    <w:p>
      <w:pPr>
        <w:pStyle w:val="Defstart"/>
      </w:pPr>
      <w:r>
        <w:rPr>
          <w:b/>
        </w:rPr>
        <w:tab/>
        <w:t>“</w:t>
      </w:r>
      <w:r>
        <w:rPr>
          <w:rStyle w:val="CharDefText"/>
        </w:rPr>
        <w:t>assisted person</w:t>
      </w:r>
      <w:r>
        <w:rPr>
          <w:b/>
        </w:rPr>
        <w:t>”</w:t>
      </w:r>
      <w:r>
        <w:t xml:space="preserve"> means applicant to whom a grant has been made under section 131M(3);</w:t>
      </w:r>
    </w:p>
    <w:p>
      <w:pPr>
        <w:pStyle w:val="Defstart"/>
        <w:keepNext/>
      </w:pPr>
      <w:r>
        <w:rPr>
          <w:b/>
        </w:rPr>
        <w:tab/>
        <w:t>“</w:t>
      </w:r>
      <w:r>
        <w:rPr>
          <w:rStyle w:val="CharDefText"/>
        </w:rPr>
        <w:t>dwelling</w:t>
      </w:r>
      <w:r>
        <w:rPr>
          <w:b/>
        </w:rPr>
        <w:t>”</w:t>
      </w:r>
      <w:r>
        <w:t xml:space="preserve"> includes — </w:t>
      </w:r>
    </w:p>
    <w:p>
      <w:pPr>
        <w:pStyle w:val="Defpara"/>
      </w:pPr>
      <w:r>
        <w:tab/>
        <w:t>(a)</w:t>
      </w:r>
      <w:r>
        <w:tab/>
        <w:t xml:space="preserve">lot within the meaning of the </w:t>
      </w:r>
      <w:r>
        <w:rPr>
          <w:i/>
        </w:rPr>
        <w:t>Strata Titles Act 1985</w:t>
      </w:r>
      <w:r>
        <w:t>; and</w:t>
      </w:r>
    </w:p>
    <w:p>
      <w:pPr>
        <w:pStyle w:val="Defpara"/>
      </w:pPr>
      <w:r>
        <w:tab/>
        <w:t>(b)</w:t>
      </w:r>
      <w:r>
        <w:tab/>
        <w:t>except in the case of a dwelling which is a lot referred to in paragraph (a), land on which the dwelling concerned is erected or is being erected, as the case requires;</w:t>
      </w:r>
    </w:p>
    <w:p>
      <w:pPr>
        <w:pStyle w:val="Defstart"/>
        <w:keepNext/>
      </w:pPr>
      <w:r>
        <w:rPr>
          <w:b/>
        </w:rPr>
        <w:tab/>
        <w:t>“</w:t>
      </w:r>
      <w:r>
        <w:rPr>
          <w:rStyle w:val="CharDefText"/>
        </w:rPr>
        <w:t>incidental expenses</w:t>
      </w:r>
      <w:r>
        <w:rPr>
          <w:b/>
        </w:rPr>
        <w:t>”</w:t>
      </w:r>
      <w:r>
        <w:t>, in relation to a purchase, or purchase and completion, referred to in section 131L(1), includes —</w:t>
      </w:r>
    </w:p>
    <w:p>
      <w:pPr>
        <w:pStyle w:val="Defpara"/>
      </w:pPr>
      <w:r>
        <w:tab/>
        <w:t>(a)</w:t>
      </w:r>
      <w:r>
        <w:tab/>
        <w:t>stamp duty;</w:t>
      </w:r>
    </w:p>
    <w:p>
      <w:pPr>
        <w:pStyle w:val="Defpara"/>
      </w:pPr>
      <w:r>
        <w:tab/>
        <w:t>(b)</w:t>
      </w:r>
      <w:r>
        <w:tab/>
        <w:t>registration fees;</w:t>
      </w:r>
    </w:p>
    <w:p>
      <w:pPr>
        <w:pStyle w:val="Defpara"/>
      </w:pPr>
      <w:r>
        <w:tab/>
        <w:t>(c)</w:t>
      </w:r>
      <w:r>
        <w:tab/>
        <w:t xml:space="preserve">the remuneration of a real estate settlement agent within the meaning of the </w:t>
      </w:r>
      <w:r>
        <w:rPr>
          <w:i/>
        </w:rPr>
        <w:t>Settlement Agents Act 1981</w:t>
      </w:r>
      <w:r>
        <w:t>;</w:t>
      </w:r>
    </w:p>
    <w:p>
      <w:pPr>
        <w:pStyle w:val="Defpara"/>
      </w:pPr>
      <w:r>
        <w:tab/>
        <w:t>(d)</w:t>
      </w:r>
      <w:r>
        <w:tab/>
        <w:t>the costs of a legal practitioner;</w:t>
      </w:r>
    </w:p>
    <w:p>
      <w:pPr>
        <w:pStyle w:val="Defpara"/>
      </w:pPr>
      <w:r>
        <w:tab/>
        <w:t>(e)</w:t>
      </w:r>
      <w:r>
        <w:tab/>
        <w:t>valuation fees;</w:t>
      </w:r>
    </w:p>
    <w:p>
      <w:pPr>
        <w:pStyle w:val="Defpara"/>
      </w:pPr>
      <w:r>
        <w:tab/>
        <w:t>(f)</w:t>
      </w:r>
      <w:r>
        <w:tab/>
        <w:t>inspection fees;</w:t>
      </w:r>
    </w:p>
    <w:p>
      <w:pPr>
        <w:pStyle w:val="Defpara"/>
      </w:pPr>
      <w:r>
        <w:tab/>
        <w:t>(g)</w:t>
      </w:r>
      <w:r>
        <w:tab/>
        <w:t>any fees payable to the lending institution lodging an application under section 131L(1) on behalf of the applicant concerned to assist him in that purchase or purchase and completion; and</w:t>
      </w:r>
    </w:p>
    <w:p>
      <w:pPr>
        <w:pStyle w:val="Defpara"/>
      </w:pPr>
      <w:r>
        <w:tab/>
        <w:t>(h)</w:t>
      </w:r>
      <w:r>
        <w:tab/>
        <w:t>any mortgage guarantee fee or mortgage insurance premium;</w:t>
      </w:r>
    </w:p>
    <w:p>
      <w:pPr>
        <w:pStyle w:val="Defstart"/>
        <w:keepNext/>
      </w:pPr>
      <w:r>
        <w:rPr>
          <w:b/>
        </w:rPr>
        <w:tab/>
        <w:t>“</w:t>
      </w:r>
      <w:r>
        <w:rPr>
          <w:rStyle w:val="CharDefText"/>
        </w:rPr>
        <w:t>lending institution</w:t>
      </w:r>
      <w:r>
        <w:rPr>
          <w:b/>
        </w:rPr>
        <w:t>”</w:t>
      </w:r>
      <w:r>
        <w:t xml:space="preserve"> means — </w:t>
      </w:r>
    </w:p>
    <w:p>
      <w:pPr>
        <w:pStyle w:val="Defpara"/>
      </w:pPr>
      <w:r>
        <w:tab/>
        <w:t>(a)</w:t>
      </w:r>
      <w:r>
        <w:tab/>
        <w:t>a bank;</w:t>
      </w:r>
    </w:p>
    <w:p>
      <w:pPr>
        <w:pStyle w:val="Ednotedefpara"/>
        <w:spacing w:before="80"/>
      </w:pPr>
      <w:r>
        <w:tab/>
        <w:t>[(b)</w:t>
      </w:r>
      <w:r>
        <w:tab/>
        <w:t>deleted]</w:t>
      </w:r>
    </w:p>
    <w:p>
      <w:pPr>
        <w:pStyle w:val="Defpara"/>
      </w:pPr>
      <w:r>
        <w:tab/>
        <w:t>(c)</w:t>
      </w:r>
      <w:r>
        <w:tab/>
        <w:t>a society registered under the</w:t>
      </w:r>
      <w:r>
        <w:rPr>
          <w:i/>
        </w:rPr>
        <w:t xml:space="preserve"> Housing Societies Act 1976</w:t>
      </w:r>
      <w:r>
        <w:t>; or</w:t>
      </w:r>
    </w:p>
    <w:p>
      <w:pPr>
        <w:pStyle w:val="Defpara"/>
      </w:pPr>
      <w:r>
        <w:tab/>
        <w:t>(d)</w:t>
      </w:r>
      <w:r>
        <w:tab/>
        <w:t>a body that is prescribed, or that belongs to a class of bodies that is prescribed.</w:t>
      </w:r>
    </w:p>
    <w:p>
      <w:pPr>
        <w:pStyle w:val="Footnotesection"/>
      </w:pPr>
      <w:r>
        <w:tab/>
        <w:t xml:space="preserve">[Section 131A inserted by No. 29 of 1982 s. 10; amended by No. 59 of 1995 s. 28; No. 26 of 1999 s. 99(10); No. 12 of 2001 s. 51; No. 65 of 2003 s. 59(3).] </w:t>
      </w:r>
    </w:p>
    <w:p>
      <w:pPr>
        <w:pStyle w:val="Heading5"/>
      </w:pPr>
      <w:bookmarkStart w:id="1323" w:name="_Toc154313441"/>
      <w:bookmarkStart w:id="1324" w:name="_Toc154556354"/>
      <w:bookmarkStart w:id="1325" w:name="_Toc156193010"/>
      <w:bookmarkStart w:id="1326" w:name="_Toc172965602"/>
      <w:bookmarkStart w:id="1327" w:name="_Toc163361902"/>
      <w:bookmarkStart w:id="1328" w:name="_Toc480623834"/>
      <w:bookmarkStart w:id="1329" w:name="_Toc520177868"/>
      <w:bookmarkStart w:id="1330" w:name="_Toc102899472"/>
      <w:bookmarkStart w:id="1331" w:name="_Toc124125514"/>
      <w:r>
        <w:rPr>
          <w:rStyle w:val="CharSectno"/>
        </w:rPr>
        <w:t>131B</w:t>
      </w:r>
      <w:r>
        <w:t>.</w:t>
      </w:r>
      <w:r>
        <w:tab/>
        <w:t>Home Buyers Assistance Account established</w:t>
      </w:r>
      <w:bookmarkEnd w:id="1323"/>
      <w:bookmarkEnd w:id="1324"/>
      <w:bookmarkEnd w:id="1325"/>
      <w:bookmarkEnd w:id="1326"/>
      <w:bookmarkEnd w:id="1327"/>
    </w:p>
    <w:p>
      <w:pPr>
        <w:pStyle w:val="Subsection"/>
      </w:pPr>
      <w:r>
        <w:tab/>
      </w:r>
      <w:r>
        <w:tab/>
        <w:t xml:space="preserve">An account called the Home Buyers Assistance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 xml:space="preserve">[Section 131B inserted by No. 77 of 2006 s. 17.] </w:t>
      </w:r>
    </w:p>
    <w:p>
      <w:pPr>
        <w:pStyle w:val="Heading5"/>
        <w:rPr>
          <w:snapToGrid w:val="0"/>
        </w:rPr>
      </w:pPr>
      <w:bookmarkStart w:id="1332" w:name="_Toc172965603"/>
      <w:bookmarkStart w:id="1333" w:name="_Toc163361903"/>
      <w:r>
        <w:rPr>
          <w:rStyle w:val="CharSectno"/>
        </w:rPr>
        <w:t>131C</w:t>
      </w:r>
      <w:r>
        <w:rPr>
          <w:snapToGrid w:val="0"/>
        </w:rPr>
        <w:t>.</w:t>
      </w:r>
      <w:r>
        <w:rPr>
          <w:snapToGrid w:val="0"/>
        </w:rPr>
        <w:tab/>
        <w:t>Assistance</w:t>
      </w:r>
      <w:bookmarkEnd w:id="1328"/>
      <w:r>
        <w:t xml:space="preserve"> Account</w:t>
      </w:r>
      <w:r>
        <w:rPr>
          <w:snapToGrid w:val="0"/>
        </w:rPr>
        <w:t>, investment of</w:t>
      </w:r>
      <w:bookmarkEnd w:id="1329"/>
      <w:bookmarkEnd w:id="1330"/>
      <w:bookmarkEnd w:id="1331"/>
      <w:bookmarkEnd w:id="1332"/>
      <w:bookmarkEnd w:id="1333"/>
    </w:p>
    <w:p>
      <w:pPr>
        <w:pStyle w:val="Indenta"/>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 xml:space="preserve">[Section 131C inserted by No. 59 of 1995 s. 30; amended by No. 77 of 2006 s. 17.] </w:t>
      </w:r>
    </w:p>
    <w:p>
      <w:pPr>
        <w:pStyle w:val="Heading5"/>
        <w:rPr>
          <w:snapToGrid w:val="0"/>
        </w:rPr>
      </w:pPr>
      <w:bookmarkStart w:id="1334" w:name="_Toc480623835"/>
      <w:bookmarkStart w:id="1335" w:name="_Toc520177869"/>
      <w:bookmarkStart w:id="1336" w:name="_Toc102899473"/>
      <w:bookmarkStart w:id="1337" w:name="_Toc124125515"/>
      <w:bookmarkStart w:id="1338" w:name="_Toc172965604"/>
      <w:bookmarkStart w:id="1339" w:name="_Toc163361904"/>
      <w:r>
        <w:rPr>
          <w:rStyle w:val="CharSectno"/>
        </w:rPr>
        <w:t>131D</w:t>
      </w:r>
      <w:r>
        <w:rPr>
          <w:snapToGrid w:val="0"/>
        </w:rPr>
        <w:t>.</w:t>
      </w:r>
      <w:r>
        <w:rPr>
          <w:snapToGrid w:val="0"/>
        </w:rPr>
        <w:tab/>
        <w:t>Assistance</w:t>
      </w:r>
      <w:bookmarkEnd w:id="1334"/>
      <w:r>
        <w:t xml:space="preserve"> Account</w:t>
      </w:r>
      <w:r>
        <w:rPr>
          <w:snapToGrid w:val="0"/>
        </w:rPr>
        <w:t>, income</w:t>
      </w:r>
      <w:bookmarkEnd w:id="1335"/>
      <w:bookmarkEnd w:id="1336"/>
      <w:bookmarkEnd w:id="1337"/>
      <w:bookmarkEnd w:id="1338"/>
      <w:bookmarkEnd w:id="1339"/>
    </w:p>
    <w:p>
      <w:pPr>
        <w:pStyle w:val="Subsection"/>
        <w:keepNext/>
        <w:rPr>
          <w:snapToGrid w:val="0"/>
        </w:rPr>
      </w:pPr>
      <w:r>
        <w:rPr>
          <w:snapToGrid w:val="0"/>
        </w:rPr>
        <w:tab/>
      </w:r>
      <w:r>
        <w:rPr>
          <w:snapToGrid w:val="0"/>
        </w:rPr>
        <w:tab/>
        <w:t>There shall be credited to the Assistance</w:t>
      </w:r>
      <w:r>
        <w:t xml:space="preserve"> Account</w:t>
      </w:r>
      <w:r>
        <w:rPr>
          <w:snapToGrid w:val="0"/>
        </w:rPr>
        <w:t> —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w:t>
      </w:r>
    </w:p>
    <w:p>
      <w:pPr>
        <w:pStyle w:val="Indenta"/>
        <w:rPr>
          <w:snapToGrid w:val="0"/>
        </w:rPr>
      </w:pPr>
      <w:r>
        <w:rPr>
          <w:snapToGrid w:val="0"/>
        </w:rPr>
        <w:tab/>
        <w:t>(c)</w:t>
      </w:r>
      <w:r>
        <w:rPr>
          <w:snapToGrid w:val="0"/>
        </w:rPr>
        <w:tab/>
        <w:t xml:space="preserve">all moneys recovered by or on behalf of the Board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 xml:space="preserve">[Section 131D inserted by No. 29 of 1982 s. 10; amended by No. 59 of 1995 s. 31 and 42; amended by No. 77 of 2006 s. 17.] </w:t>
      </w:r>
    </w:p>
    <w:p>
      <w:pPr>
        <w:pStyle w:val="Heading5"/>
        <w:rPr>
          <w:snapToGrid w:val="0"/>
        </w:rPr>
      </w:pPr>
      <w:bookmarkStart w:id="1340" w:name="_Toc480623836"/>
      <w:bookmarkStart w:id="1341" w:name="_Toc520177870"/>
      <w:bookmarkStart w:id="1342" w:name="_Toc102899474"/>
      <w:bookmarkStart w:id="1343" w:name="_Toc124125516"/>
      <w:bookmarkStart w:id="1344" w:name="_Toc172965605"/>
      <w:bookmarkStart w:id="1345" w:name="_Toc163361905"/>
      <w:r>
        <w:rPr>
          <w:rStyle w:val="CharSectno"/>
        </w:rPr>
        <w:t>131E</w:t>
      </w:r>
      <w:r>
        <w:rPr>
          <w:snapToGrid w:val="0"/>
        </w:rPr>
        <w:t>.</w:t>
      </w:r>
      <w:r>
        <w:rPr>
          <w:snapToGrid w:val="0"/>
        </w:rPr>
        <w:tab/>
        <w:t>Assistance</w:t>
      </w:r>
      <w:bookmarkEnd w:id="1340"/>
      <w:r>
        <w:t xml:space="preserve"> Account</w:t>
      </w:r>
      <w:r>
        <w:rPr>
          <w:snapToGrid w:val="0"/>
        </w:rPr>
        <w:t>, expenditure</w:t>
      </w:r>
      <w:bookmarkEnd w:id="1341"/>
      <w:bookmarkEnd w:id="1342"/>
      <w:bookmarkEnd w:id="1343"/>
      <w:bookmarkEnd w:id="1344"/>
      <w:bookmarkEnd w:id="1345"/>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 </w:t>
      </w:r>
    </w:p>
    <w:p>
      <w:pPr>
        <w:pStyle w:val="Indenta"/>
        <w:rPr>
          <w:snapToGrid w:val="0"/>
        </w:rPr>
      </w:pPr>
      <w:r>
        <w:rPr>
          <w:snapToGrid w:val="0"/>
        </w:rPr>
        <w:tab/>
        <w:t>(a)</w:t>
      </w:r>
      <w:r>
        <w:rPr>
          <w:snapToGrid w:val="0"/>
        </w:rPr>
        <w:tab/>
        <w:t>the amounts of all grants made by the Board under section 131M(3);</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 xml:space="preserve">[Section 131E inserted by No. 29 of 1982 s. 10; amended by No. 59 of 1995 s. 32 and 42; No. 77 of 2006 s. 17.] </w:t>
      </w:r>
    </w:p>
    <w:p>
      <w:pPr>
        <w:pStyle w:val="Ednotesection"/>
      </w:pPr>
      <w:r>
        <w:t>[</w:t>
      </w:r>
      <w:r>
        <w:rPr>
          <w:b/>
        </w:rPr>
        <w:t>131F.</w:t>
      </w:r>
      <w:r>
        <w:tab/>
        <w:t xml:space="preserve">Repealed by No. 98 of 1985 s. 3.] </w:t>
      </w:r>
    </w:p>
    <w:p>
      <w:pPr>
        <w:pStyle w:val="Heading5"/>
        <w:rPr>
          <w:snapToGrid w:val="0"/>
        </w:rPr>
      </w:pPr>
      <w:bookmarkStart w:id="1346" w:name="_Toc480623837"/>
      <w:bookmarkStart w:id="1347" w:name="_Toc520177871"/>
      <w:bookmarkStart w:id="1348" w:name="_Toc102899475"/>
      <w:bookmarkStart w:id="1349" w:name="_Toc124125517"/>
      <w:bookmarkStart w:id="1350" w:name="_Toc172965606"/>
      <w:bookmarkStart w:id="1351" w:name="_Toc163361906"/>
      <w:r>
        <w:rPr>
          <w:rStyle w:val="CharSectno"/>
        </w:rPr>
        <w:t>131G</w:t>
      </w:r>
      <w:r>
        <w:rPr>
          <w:snapToGrid w:val="0"/>
        </w:rPr>
        <w:t>.</w:t>
      </w:r>
      <w:r>
        <w:rPr>
          <w:snapToGrid w:val="0"/>
        </w:rPr>
        <w:tab/>
        <w:t xml:space="preserve">Assistance </w:t>
      </w:r>
      <w:bookmarkEnd w:id="1346"/>
      <w:r>
        <w:t xml:space="preserve">Account </w:t>
      </w:r>
      <w:r>
        <w:rPr>
          <w:snapToGrid w:val="0"/>
        </w:rPr>
        <w:t>to be administered by Board</w:t>
      </w:r>
      <w:bookmarkEnd w:id="1347"/>
      <w:bookmarkEnd w:id="1348"/>
      <w:bookmarkEnd w:id="1349"/>
      <w:bookmarkEnd w:id="1350"/>
      <w:bookmarkEnd w:id="1351"/>
    </w:p>
    <w:p>
      <w:pPr>
        <w:pStyle w:val="Subsection"/>
        <w:rPr>
          <w:snapToGrid w:val="0"/>
        </w:rPr>
      </w:pPr>
      <w:r>
        <w:rPr>
          <w:snapToGrid w:val="0"/>
        </w:rPr>
        <w:tab/>
      </w:r>
      <w:r>
        <w:rPr>
          <w:snapToGrid w:val="0"/>
        </w:rPr>
        <w:tab/>
        <w:t>The Board shall administer the Assistance</w:t>
      </w:r>
      <w:r>
        <w:t xml:space="preserve"> Account</w:t>
      </w:r>
      <w:r>
        <w:rPr>
          <w:snapToGrid w:val="0"/>
        </w:rPr>
        <w:t>.</w:t>
      </w:r>
    </w:p>
    <w:p>
      <w:pPr>
        <w:pStyle w:val="Footnotesection"/>
      </w:pPr>
      <w:r>
        <w:tab/>
        <w:t xml:space="preserve">[Section 131G inserted by No. 29 of 1982 s. 10; amended by No. 77 of 2006 s. 17.] </w:t>
      </w:r>
    </w:p>
    <w:p>
      <w:pPr>
        <w:pStyle w:val="Heading5"/>
        <w:rPr>
          <w:snapToGrid w:val="0"/>
        </w:rPr>
      </w:pPr>
      <w:bookmarkStart w:id="1352" w:name="_Toc480623838"/>
      <w:bookmarkStart w:id="1353" w:name="_Toc520177872"/>
      <w:bookmarkStart w:id="1354" w:name="_Toc102899476"/>
      <w:bookmarkStart w:id="1355" w:name="_Toc124125518"/>
      <w:bookmarkStart w:id="1356" w:name="_Toc172965607"/>
      <w:bookmarkStart w:id="1357" w:name="_Toc163361907"/>
      <w:r>
        <w:rPr>
          <w:rStyle w:val="CharSectno"/>
        </w:rPr>
        <w:t>131H</w:t>
      </w:r>
      <w:r>
        <w:rPr>
          <w:snapToGrid w:val="0"/>
        </w:rPr>
        <w:t>.</w:t>
      </w:r>
      <w:r>
        <w:rPr>
          <w:snapToGrid w:val="0"/>
        </w:rPr>
        <w:tab/>
        <w:t>Home Buyers Assistance Advisory Committee</w:t>
      </w:r>
      <w:bookmarkEnd w:id="1352"/>
      <w:r>
        <w:rPr>
          <w:snapToGrid w:val="0"/>
        </w:rPr>
        <w:t xml:space="preserve"> established</w:t>
      </w:r>
      <w:bookmarkEnd w:id="1353"/>
      <w:bookmarkEnd w:id="1354"/>
      <w:bookmarkEnd w:id="1355"/>
      <w:bookmarkEnd w:id="1356"/>
      <w:bookmarkEnd w:id="1357"/>
    </w:p>
    <w:p>
      <w:pPr>
        <w:pStyle w:val="Subsection"/>
        <w:rPr>
          <w:snapToGrid w:val="0"/>
        </w:rPr>
      </w:pPr>
      <w:r>
        <w:rPr>
          <w:snapToGrid w:val="0"/>
        </w:rPr>
        <w:tab/>
        <w:t>(1)</w:t>
      </w:r>
      <w:r>
        <w:rPr>
          <w:snapToGrid w:val="0"/>
        </w:rPr>
        <w:tab/>
        <w:t>There is hereby established a committee to be known as the Home Buyers Assistance Advisory Committee.</w:t>
      </w:r>
    </w:p>
    <w:p>
      <w:pPr>
        <w:pStyle w:val="Subsection"/>
        <w:keepNext/>
        <w:rPr>
          <w:snapToGrid w:val="0"/>
        </w:rPr>
      </w:pPr>
      <w:r>
        <w:rPr>
          <w:snapToGrid w:val="0"/>
        </w:rPr>
        <w:tab/>
        <w:t>(2)</w:t>
      </w:r>
      <w:r>
        <w:rPr>
          <w:snapToGrid w:val="0"/>
        </w:rPr>
        <w:tab/>
        <w:t>The Advisory Committee shall consist of 3 members of whom — </w:t>
      </w:r>
    </w:p>
    <w:p>
      <w:pPr>
        <w:pStyle w:val="Indenta"/>
        <w:rPr>
          <w:snapToGrid w:val="0"/>
        </w:rPr>
      </w:pPr>
      <w:r>
        <w:rPr>
          <w:snapToGrid w:val="0"/>
        </w:rPr>
        <w:tab/>
        <w:t>(a)</w:t>
      </w:r>
      <w:r>
        <w:rPr>
          <w:snapToGrid w:val="0"/>
        </w:rPr>
        <w:tab/>
        <w:t>one shall be a person with experience in commercial finance appointed by the Minister;</w:t>
      </w:r>
    </w:p>
    <w:p>
      <w:pPr>
        <w:pStyle w:val="Indenta"/>
        <w:rPr>
          <w:snapToGrid w:val="0"/>
        </w:rPr>
      </w:pPr>
      <w:r>
        <w:rPr>
          <w:snapToGrid w:val="0"/>
        </w:rPr>
        <w:tab/>
        <w:t>(b)</w:t>
      </w:r>
      <w:r>
        <w:rPr>
          <w:snapToGrid w:val="0"/>
        </w:rPr>
        <w:tab/>
        <w:t xml:space="preserve">one shall be the Chairman </w:t>
      </w:r>
      <w:r>
        <w:rPr>
          <w:i/>
          <w:snapToGrid w:val="0"/>
        </w:rPr>
        <w:t>ex officio</w:t>
      </w:r>
      <w:r>
        <w:rPr>
          <w:snapToGrid w:val="0"/>
        </w:rPr>
        <w:t>; and</w:t>
      </w:r>
    </w:p>
    <w:p>
      <w:pPr>
        <w:pStyle w:val="Indenta"/>
        <w:rPr>
          <w:snapToGrid w:val="0"/>
        </w:rPr>
      </w:pPr>
      <w:r>
        <w:rPr>
          <w:snapToGrid w:val="0"/>
        </w:rPr>
        <w:tab/>
        <w:t>(c)</w:t>
      </w:r>
      <w:r>
        <w:rPr>
          <w:snapToGrid w:val="0"/>
        </w:rPr>
        <w:tab/>
        <w:t xml:space="preserve">one shall be an officer of </w:t>
      </w:r>
      <w:r>
        <w:t>the Housing Authority</w:t>
      </w:r>
      <w:r>
        <w:rPr>
          <w:snapToGrid w:val="0"/>
        </w:rPr>
        <w:t xml:space="preserve"> appointed by the Minister on the nomination of</w:t>
      </w:r>
      <w:r>
        <w:t xml:space="preserve"> the Housing Authority</w:t>
      </w:r>
      <w:r>
        <w:rPr>
          <w:snapToGrid w:val="0"/>
        </w:rPr>
        <w:t>.</w:t>
      </w:r>
    </w:p>
    <w:p>
      <w:pPr>
        <w:pStyle w:val="Subsection"/>
        <w:keepNext/>
        <w:rPr>
          <w:snapToGrid w:val="0"/>
        </w:rPr>
      </w:pPr>
      <w:r>
        <w:rPr>
          <w:snapToGrid w:val="0"/>
        </w:rPr>
        <w:tab/>
        <w:t>(3)</w:t>
      </w:r>
      <w:r>
        <w:rPr>
          <w:snapToGrid w:val="0"/>
        </w:rPr>
        <w:tab/>
        <w:t>The Minister may appoint a person to be the deputy of the member who is — </w:t>
      </w:r>
    </w:p>
    <w:p>
      <w:pPr>
        <w:pStyle w:val="Indenta"/>
        <w:rPr>
          <w:snapToGrid w:val="0"/>
        </w:rPr>
      </w:pPr>
      <w:r>
        <w:rPr>
          <w:snapToGrid w:val="0"/>
        </w:rPr>
        <w:tab/>
        <w:t>(a)</w:t>
      </w:r>
      <w:r>
        <w:rPr>
          <w:snapToGrid w:val="0"/>
        </w:rPr>
        <w:tab/>
        <w:t>the member referred to in subsection (2)(a);</w:t>
      </w:r>
    </w:p>
    <w:p>
      <w:pPr>
        <w:pStyle w:val="Indenta"/>
        <w:rPr>
          <w:snapToGrid w:val="0"/>
        </w:rPr>
      </w:pPr>
      <w:r>
        <w:rPr>
          <w:snapToGrid w:val="0"/>
        </w:rPr>
        <w:tab/>
        <w:t>(b)</w:t>
      </w:r>
      <w:r>
        <w:rPr>
          <w:snapToGrid w:val="0"/>
        </w:rPr>
        <w:tab/>
        <w:t>the Chairman on the recommendation of the Chairman; and</w:t>
      </w:r>
    </w:p>
    <w:p>
      <w:pPr>
        <w:pStyle w:val="Indenta"/>
        <w:rPr>
          <w:snapToGrid w:val="0"/>
        </w:rPr>
      </w:pPr>
      <w:r>
        <w:rPr>
          <w:snapToGrid w:val="0"/>
        </w:rPr>
        <w:tab/>
        <w:t>(c)</w:t>
      </w:r>
      <w:r>
        <w:rPr>
          <w:snapToGrid w:val="0"/>
        </w:rPr>
        <w:tab/>
        <w:t xml:space="preserve">an officer of </w:t>
      </w:r>
      <w:r>
        <w:t>the Housing Authority</w:t>
      </w:r>
      <w:r>
        <w:rPr>
          <w:snapToGrid w:val="0"/>
        </w:rPr>
        <w:t xml:space="preserve"> on the recommendation of</w:t>
      </w:r>
      <w:r>
        <w:t xml:space="preserve"> the Housing Authority</w:t>
      </w:r>
      <w:r>
        <w:rPr>
          <w:snapToGrid w:val="0"/>
        </w:rPr>
        <w:t>.</w:t>
      </w:r>
    </w:p>
    <w:p>
      <w:pPr>
        <w:pStyle w:val="Subsection"/>
        <w:rPr>
          <w:snapToGrid w:val="0"/>
        </w:rPr>
      </w:pPr>
      <w:r>
        <w:rPr>
          <w:snapToGrid w:val="0"/>
        </w:rPr>
        <w:tab/>
        <w:t>(4)</w:t>
      </w:r>
      <w:r>
        <w:rPr>
          <w:snapToGrid w:val="0"/>
        </w:rPr>
        <w:tab/>
        <w:t>A person appointed under subsection (3) to be the deputy of a member is, when the member of whom he is the deputy is absent from a meeting of the Advisory Committee, entitled to attend that meeting and, when so attending, is deemed to be a member and has all the powers, functions and duties of a member.</w:t>
      </w:r>
    </w:p>
    <w:p>
      <w:pPr>
        <w:pStyle w:val="Footnotesection"/>
      </w:pPr>
      <w:r>
        <w:tab/>
        <w:t xml:space="preserve">[Section 131H inserted by No. 29 of 1982 s. 10; amended by No. 43 of 1994 s. 5; No. 28 of 2006 s. 131.] </w:t>
      </w:r>
    </w:p>
    <w:p>
      <w:pPr>
        <w:pStyle w:val="Heading5"/>
        <w:rPr>
          <w:snapToGrid w:val="0"/>
        </w:rPr>
      </w:pPr>
      <w:bookmarkStart w:id="1358" w:name="_Toc480623839"/>
      <w:bookmarkStart w:id="1359" w:name="_Toc520177873"/>
      <w:bookmarkStart w:id="1360" w:name="_Toc102899477"/>
      <w:bookmarkStart w:id="1361" w:name="_Toc124125519"/>
      <w:bookmarkStart w:id="1362" w:name="_Toc172965608"/>
      <w:bookmarkStart w:id="1363" w:name="_Toc163361908"/>
      <w:r>
        <w:rPr>
          <w:rStyle w:val="CharSectno"/>
        </w:rPr>
        <w:t>131I</w:t>
      </w:r>
      <w:r>
        <w:rPr>
          <w:snapToGrid w:val="0"/>
        </w:rPr>
        <w:t>.</w:t>
      </w:r>
      <w:r>
        <w:rPr>
          <w:snapToGrid w:val="0"/>
        </w:rPr>
        <w:tab/>
        <w:t>Advisory Committee</w:t>
      </w:r>
      <w:bookmarkEnd w:id="1358"/>
      <w:r>
        <w:rPr>
          <w:snapToGrid w:val="0"/>
        </w:rPr>
        <w:t>, functions of</w:t>
      </w:r>
      <w:bookmarkEnd w:id="1359"/>
      <w:bookmarkEnd w:id="1360"/>
      <w:bookmarkEnd w:id="1361"/>
      <w:bookmarkEnd w:id="1362"/>
      <w:bookmarkEnd w:id="1363"/>
    </w:p>
    <w:p>
      <w:pPr>
        <w:pStyle w:val="Subsection"/>
        <w:rPr>
          <w:snapToGrid w:val="0"/>
        </w:rPr>
      </w:pPr>
      <w:r>
        <w:rPr>
          <w:snapToGrid w:val="0"/>
        </w:rPr>
        <w:tab/>
        <w:t>(1)</w:t>
      </w:r>
      <w:r>
        <w:rPr>
          <w:snapToGrid w:val="0"/>
        </w:rPr>
        <w:tab/>
        <w:t>The functions of the Advisory Committee are — </w:t>
      </w:r>
    </w:p>
    <w:p>
      <w:pPr>
        <w:pStyle w:val="Indenta"/>
        <w:rPr>
          <w:snapToGrid w:val="0"/>
        </w:rPr>
      </w:pPr>
      <w:r>
        <w:rPr>
          <w:snapToGrid w:val="0"/>
        </w:rPr>
        <w:tab/>
        <w:t>(aa)</w:t>
      </w:r>
      <w:r>
        <w:rPr>
          <w:snapToGrid w:val="0"/>
        </w:rPr>
        <w:tab/>
        <w:t>to issue guidelines to the Registrar under section 131M(1a);</w:t>
      </w:r>
    </w:p>
    <w:p>
      <w:pPr>
        <w:pStyle w:val="Indenta"/>
        <w:rPr>
          <w:snapToGrid w:val="0"/>
        </w:rPr>
      </w:pPr>
      <w:r>
        <w:rPr>
          <w:snapToGrid w:val="0"/>
        </w:rPr>
        <w:tab/>
        <w:t>(a)</w:t>
      </w:r>
      <w:r>
        <w:rPr>
          <w:snapToGrid w:val="0"/>
        </w:rPr>
        <w:tab/>
        <w:t>to consider applications referred to the Advisory Committee under section 131M(1)(b) and to make recommendations to the Board thereon;</w:t>
      </w:r>
    </w:p>
    <w:p>
      <w:pPr>
        <w:pStyle w:val="Indenta"/>
        <w:rPr>
          <w:snapToGrid w:val="0"/>
        </w:rPr>
      </w:pPr>
      <w:r>
        <w:rPr>
          <w:snapToGrid w:val="0"/>
        </w:rPr>
        <w:tab/>
        <w:t>(b)</w:t>
      </w:r>
      <w:r>
        <w:rPr>
          <w:snapToGrid w:val="0"/>
        </w:rPr>
        <w:tab/>
        <w:t>to make recommendations to the Board on the formulation of criteria under section 131O(2); and</w:t>
      </w:r>
    </w:p>
    <w:p>
      <w:pPr>
        <w:pStyle w:val="Indenta"/>
        <w:rPr>
          <w:snapToGrid w:val="0"/>
        </w:rPr>
      </w:pPr>
      <w:r>
        <w:rPr>
          <w:snapToGrid w:val="0"/>
        </w:rPr>
        <w:tab/>
        <w:t>(c)</w:t>
      </w:r>
      <w:r>
        <w:rPr>
          <w:snapToGrid w:val="0"/>
        </w:rPr>
        <w:tab/>
        <w:t>to consider any proposals, matters or questions concerned with this Part that may be referred to the Advisory Committee by the Board and to advise the Board thereon.</w:t>
      </w:r>
    </w:p>
    <w:p>
      <w:pPr>
        <w:pStyle w:val="Subsection"/>
        <w:rPr>
          <w:snapToGrid w:val="0"/>
        </w:rPr>
      </w:pPr>
      <w:r>
        <w:rPr>
          <w:snapToGrid w:val="0"/>
        </w:rPr>
        <w:tab/>
        <w:t>(2)</w:t>
      </w:r>
      <w:r>
        <w:rPr>
          <w:snapToGrid w:val="0"/>
        </w:rPr>
        <w:tab/>
        <w:t>The Advisory Committee shall determine its own procedure.</w:t>
      </w:r>
    </w:p>
    <w:p>
      <w:pPr>
        <w:pStyle w:val="Footnotesection"/>
      </w:pPr>
      <w:r>
        <w:tab/>
        <w:t xml:space="preserve">[Section 131I inserted by No. 29 of 1982 s. 10; amended by No. 59 of 1995 s. 33.] </w:t>
      </w:r>
    </w:p>
    <w:p>
      <w:pPr>
        <w:pStyle w:val="Heading5"/>
        <w:rPr>
          <w:snapToGrid w:val="0"/>
        </w:rPr>
      </w:pPr>
      <w:bookmarkStart w:id="1364" w:name="_Toc480623840"/>
      <w:bookmarkStart w:id="1365" w:name="_Toc520177874"/>
      <w:bookmarkStart w:id="1366" w:name="_Toc102899478"/>
      <w:bookmarkStart w:id="1367" w:name="_Toc124125520"/>
      <w:bookmarkStart w:id="1368" w:name="_Toc172965609"/>
      <w:bookmarkStart w:id="1369" w:name="_Toc163361909"/>
      <w:r>
        <w:rPr>
          <w:rStyle w:val="CharSectno"/>
        </w:rPr>
        <w:t>131J</w:t>
      </w:r>
      <w:r>
        <w:rPr>
          <w:snapToGrid w:val="0"/>
        </w:rPr>
        <w:t>.</w:t>
      </w:r>
      <w:r>
        <w:rPr>
          <w:snapToGrid w:val="0"/>
        </w:rPr>
        <w:tab/>
        <w:t>Advisory Committee</w:t>
      </w:r>
      <w:bookmarkEnd w:id="1364"/>
      <w:r>
        <w:rPr>
          <w:snapToGrid w:val="0"/>
        </w:rPr>
        <w:t>, Chairman etc.</w:t>
      </w:r>
      <w:bookmarkEnd w:id="1365"/>
      <w:bookmarkEnd w:id="1366"/>
      <w:bookmarkEnd w:id="1367"/>
      <w:bookmarkEnd w:id="1368"/>
      <w:bookmarkEnd w:id="1369"/>
    </w:p>
    <w:p>
      <w:pPr>
        <w:pStyle w:val="Subsection"/>
        <w:spacing w:before="120"/>
        <w:rPr>
          <w:snapToGrid w:val="0"/>
        </w:rPr>
      </w:pPr>
      <w:r>
        <w:rPr>
          <w:snapToGrid w:val="0"/>
        </w:rPr>
        <w:tab/>
        <w:t>(1)</w:t>
      </w:r>
      <w:r>
        <w:rPr>
          <w:snapToGrid w:val="0"/>
        </w:rPr>
        <w:tab/>
        <w:t>The members shall elect one of their number to be the Chairman of the Advisory Committee and another of their number to be the Deputy Chairman of the Advisory Committee.</w:t>
      </w:r>
    </w:p>
    <w:p>
      <w:pPr>
        <w:pStyle w:val="Subsection"/>
        <w:spacing w:before="120"/>
        <w:rPr>
          <w:snapToGrid w:val="0"/>
        </w:rPr>
      </w:pPr>
      <w:r>
        <w:rPr>
          <w:snapToGrid w:val="0"/>
        </w:rPr>
        <w:tab/>
        <w:t>(2)</w:t>
      </w:r>
      <w:r>
        <w:rPr>
          <w:snapToGrid w:val="0"/>
        </w:rPr>
        <w:tab/>
        <w:t>The Deputy Chairman of the Advisory Committee shall, when the Chairman of the Advisory Committee is absent from a meeting of the Advisory Committee, act as chairman of the Advisory Committee.</w:t>
      </w:r>
    </w:p>
    <w:p>
      <w:pPr>
        <w:pStyle w:val="Footnotesection"/>
      </w:pPr>
      <w:r>
        <w:tab/>
        <w:t xml:space="preserve">[Section 131J inserted by No. 29 of 1982 s. 10.] </w:t>
      </w:r>
    </w:p>
    <w:p>
      <w:pPr>
        <w:pStyle w:val="Heading5"/>
        <w:rPr>
          <w:snapToGrid w:val="0"/>
        </w:rPr>
      </w:pPr>
      <w:bookmarkStart w:id="1370" w:name="_Toc480623841"/>
      <w:bookmarkStart w:id="1371" w:name="_Toc520177875"/>
      <w:bookmarkStart w:id="1372" w:name="_Toc102899479"/>
      <w:bookmarkStart w:id="1373" w:name="_Toc124125521"/>
      <w:bookmarkStart w:id="1374" w:name="_Toc172965610"/>
      <w:bookmarkStart w:id="1375" w:name="_Toc163361910"/>
      <w:r>
        <w:rPr>
          <w:rStyle w:val="CharSectno"/>
        </w:rPr>
        <w:t>131K</w:t>
      </w:r>
      <w:r>
        <w:rPr>
          <w:snapToGrid w:val="0"/>
        </w:rPr>
        <w:t>.</w:t>
      </w:r>
      <w:r>
        <w:rPr>
          <w:snapToGrid w:val="0"/>
        </w:rPr>
        <w:tab/>
      </w:r>
      <w:bookmarkEnd w:id="1370"/>
      <w:r>
        <w:rPr>
          <w:snapToGrid w:val="0"/>
        </w:rPr>
        <w:t>Advisory Committee members, term of office</w:t>
      </w:r>
      <w:bookmarkEnd w:id="1371"/>
      <w:bookmarkEnd w:id="1372"/>
      <w:bookmarkEnd w:id="1373"/>
      <w:bookmarkEnd w:id="1374"/>
      <w:bookmarkEnd w:id="1375"/>
    </w:p>
    <w:p>
      <w:pPr>
        <w:pStyle w:val="Subsection"/>
        <w:rPr>
          <w:snapToGrid w:val="0"/>
        </w:rPr>
      </w:pPr>
      <w:r>
        <w:rPr>
          <w:snapToGrid w:val="0"/>
        </w:rPr>
        <w:tab/>
        <w:t>(1)</w:t>
      </w:r>
      <w:r>
        <w:rPr>
          <w:snapToGrid w:val="0"/>
        </w:rPr>
        <w:tab/>
        <w:t>Subject to this section, a member or deputy of a member referred to in section 131H(2)(a) or (c) shall hold office for such period not exceeding 3 years as is specified in the instrument of his appointment and is, on the expiry of that period eligible for reappointment.</w:t>
      </w:r>
    </w:p>
    <w:p>
      <w:pPr>
        <w:pStyle w:val="Subsection"/>
        <w:keepNext/>
        <w:rPr>
          <w:snapToGrid w:val="0"/>
        </w:rPr>
      </w:pPr>
      <w:r>
        <w:rPr>
          <w:snapToGrid w:val="0"/>
        </w:rPr>
        <w:tab/>
        <w:t>(2)</w:t>
      </w:r>
      <w:r>
        <w:rPr>
          <w:snapToGrid w:val="0"/>
        </w:rPr>
        <w:tab/>
        <w:t>If a member or deputy of a member referred to in section 131H(2)(a) or (c) — </w:t>
      </w:r>
    </w:p>
    <w:p>
      <w:pPr>
        <w:pStyle w:val="Indenta"/>
        <w:rPr>
          <w:snapToGrid w:val="0"/>
        </w:rPr>
      </w:pPr>
      <w:r>
        <w:rPr>
          <w:snapToGrid w:val="0"/>
        </w:rPr>
        <w:tab/>
        <w:t>(a)</w:t>
      </w:r>
      <w:r>
        <w:rPr>
          <w:snapToGrid w:val="0"/>
        </w:rPr>
        <w:tab/>
        <w:t>resigns his office by writing signed by him and delivered to the Minister; or</w:t>
      </w:r>
    </w:p>
    <w:p>
      <w:pPr>
        <w:pStyle w:val="Indenta"/>
        <w:rPr>
          <w:snapToGrid w:val="0"/>
        </w:rPr>
      </w:pPr>
      <w:r>
        <w:rPr>
          <w:snapToGrid w:val="0"/>
        </w:rPr>
        <w:tab/>
        <w:t>(b)</w:t>
      </w:r>
      <w:r>
        <w:rPr>
          <w:snapToGrid w:val="0"/>
        </w:rPr>
        <w:tab/>
        <w:t>ceases to be an officer of</w:t>
      </w:r>
      <w:r>
        <w:t xml:space="preserve"> the Housing Authority</w:t>
      </w:r>
      <w:r>
        <w:rPr>
          <w:snapToGrid w:val="0"/>
        </w:rPr>
        <w:t xml:space="preserve">, </w:t>
      </w:r>
    </w:p>
    <w:p>
      <w:pPr>
        <w:pStyle w:val="Subsection"/>
        <w:rPr>
          <w:snapToGrid w:val="0"/>
        </w:rPr>
      </w:pPr>
      <w:r>
        <w:rPr>
          <w:snapToGrid w:val="0"/>
        </w:rPr>
        <w:tab/>
      </w:r>
      <w:r>
        <w:rPr>
          <w:snapToGrid w:val="0"/>
        </w:rPr>
        <w:tab/>
        <w:t>the office of that member or deputy becomes vacant.</w:t>
      </w:r>
    </w:p>
    <w:p>
      <w:pPr>
        <w:pStyle w:val="Footnotesection"/>
      </w:pPr>
      <w:r>
        <w:tab/>
        <w:t xml:space="preserve">[Section 131K inserted by No. 29 of 1982 s. 10; amended by No. 43 of 1994 s. 6; No. 28 of 2006 s. 131.] </w:t>
      </w:r>
    </w:p>
    <w:p>
      <w:pPr>
        <w:pStyle w:val="Heading5"/>
        <w:rPr>
          <w:snapToGrid w:val="0"/>
        </w:rPr>
      </w:pPr>
      <w:bookmarkStart w:id="1376" w:name="_Toc480623842"/>
      <w:bookmarkStart w:id="1377" w:name="_Toc520177876"/>
      <w:bookmarkStart w:id="1378" w:name="_Toc102899480"/>
      <w:bookmarkStart w:id="1379" w:name="_Toc124125522"/>
      <w:bookmarkStart w:id="1380" w:name="_Toc172965611"/>
      <w:bookmarkStart w:id="1381" w:name="_Toc163361911"/>
      <w:r>
        <w:rPr>
          <w:rStyle w:val="CharSectno"/>
        </w:rPr>
        <w:t>131KA</w:t>
      </w:r>
      <w:r>
        <w:rPr>
          <w:snapToGrid w:val="0"/>
        </w:rPr>
        <w:t>.</w:t>
      </w:r>
      <w:r>
        <w:rPr>
          <w:snapToGrid w:val="0"/>
        </w:rPr>
        <w:tab/>
        <w:t>Remuneration and allowances of s. 113H(2)(a)</w:t>
      </w:r>
      <w:bookmarkEnd w:id="1376"/>
      <w:r>
        <w:rPr>
          <w:snapToGrid w:val="0"/>
        </w:rPr>
        <w:t xml:space="preserve"> member</w:t>
      </w:r>
      <w:bookmarkEnd w:id="1377"/>
      <w:bookmarkEnd w:id="1378"/>
      <w:bookmarkEnd w:id="1379"/>
      <w:bookmarkEnd w:id="1380"/>
      <w:bookmarkEnd w:id="1381"/>
    </w:p>
    <w:p>
      <w:pPr>
        <w:pStyle w:val="Subsection"/>
        <w:rPr>
          <w:snapToGrid w:val="0"/>
        </w:rPr>
      </w:pPr>
      <w:r>
        <w:rPr>
          <w:snapToGrid w:val="0"/>
        </w:rPr>
        <w:tab/>
      </w:r>
      <w:r>
        <w:rPr>
          <w:snapToGrid w:val="0"/>
        </w:rPr>
        <w:tab/>
        <w:t xml:space="preserve">The member referred to in section 131H(2)(a) is to be paid from moneys standing to the credit of the Assistance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131KA inserted by No. 59 of 1995 s. 34; amended by No. 77 of 2006 s. 17.] </w:t>
      </w:r>
    </w:p>
    <w:p>
      <w:pPr>
        <w:pStyle w:val="Heading5"/>
        <w:rPr>
          <w:snapToGrid w:val="0"/>
        </w:rPr>
      </w:pPr>
      <w:bookmarkStart w:id="1382" w:name="_Toc480623843"/>
      <w:bookmarkStart w:id="1383" w:name="_Toc520177877"/>
      <w:bookmarkStart w:id="1384" w:name="_Toc102899481"/>
      <w:bookmarkStart w:id="1385" w:name="_Toc124125523"/>
      <w:bookmarkStart w:id="1386" w:name="_Toc172965612"/>
      <w:bookmarkStart w:id="1387" w:name="_Toc163361912"/>
      <w:r>
        <w:rPr>
          <w:rStyle w:val="CharSectno"/>
        </w:rPr>
        <w:t>131L</w:t>
      </w:r>
      <w:r>
        <w:rPr>
          <w:snapToGrid w:val="0"/>
        </w:rPr>
        <w:t>.</w:t>
      </w:r>
      <w:r>
        <w:rPr>
          <w:snapToGrid w:val="0"/>
        </w:rPr>
        <w:tab/>
        <w:t>Applying for assistance</w:t>
      </w:r>
      <w:bookmarkEnd w:id="1382"/>
      <w:bookmarkEnd w:id="1383"/>
      <w:bookmarkEnd w:id="1384"/>
      <w:bookmarkEnd w:id="1385"/>
      <w:bookmarkEnd w:id="1386"/>
      <w:bookmarkEnd w:id="1387"/>
      <w:r>
        <w:rPr>
          <w:snapToGrid w:val="0"/>
        </w:rPr>
        <w:t xml:space="preserve"> </w:t>
      </w:r>
    </w:p>
    <w:p>
      <w:pPr>
        <w:pStyle w:val="Subsection"/>
        <w:keepNext/>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rPr>
          <w:snapToGrid w:val="0"/>
        </w:rPr>
      </w:pPr>
      <w:r>
        <w:rPr>
          <w:snapToGrid w:val="0"/>
        </w:rPr>
        <w:tab/>
      </w:r>
      <w:r>
        <w:rPr>
          <w:snapToGrid w:val="0"/>
        </w:rPr>
        <w:tab/>
        <w:t>may, not later than 90 days after the date of the contract to purchase the dwelling, on behalf of the person lodge with the Registrar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rPr>
          <w:snapToGrid w:val="0"/>
        </w:rPr>
      </w:pPr>
      <w:r>
        <w:rPr>
          <w:snapToGrid w:val="0"/>
        </w:rPr>
        <w:tab/>
        <w:t>(1a)</w:t>
      </w:r>
      <w:r>
        <w:rPr>
          <w:snapToGrid w:val="0"/>
        </w:rPr>
        <w:tab/>
        <w:t>Despite subsection (1), the Registrar may, in a particular case, allow an application to be lodged after the expiry of the period referred to in that subsection if the Registrar is satisfied that reasonable grounds exist to justify late lodgement of the application.</w:t>
      </w:r>
    </w:p>
    <w:p>
      <w:pPr>
        <w:pStyle w:val="Subsection"/>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 xml:space="preserve">[Section 131L inserted by No. 29 of 1982 s. 10; amended by No. 43 of 1994 s. 7; No. 59 of 1995 s. 35 and 40(2).] </w:t>
      </w:r>
    </w:p>
    <w:p>
      <w:pPr>
        <w:pStyle w:val="Heading5"/>
        <w:rPr>
          <w:snapToGrid w:val="0"/>
        </w:rPr>
      </w:pPr>
      <w:bookmarkStart w:id="1388" w:name="_Toc480623844"/>
      <w:bookmarkStart w:id="1389" w:name="_Toc520177878"/>
      <w:bookmarkStart w:id="1390" w:name="_Toc102899482"/>
      <w:bookmarkStart w:id="1391" w:name="_Toc124125524"/>
      <w:bookmarkStart w:id="1392" w:name="_Toc172965613"/>
      <w:bookmarkStart w:id="1393" w:name="_Toc163361913"/>
      <w:r>
        <w:rPr>
          <w:rStyle w:val="CharSectno"/>
        </w:rPr>
        <w:t>131M</w:t>
      </w:r>
      <w:r>
        <w:rPr>
          <w:snapToGrid w:val="0"/>
        </w:rPr>
        <w:t>.</w:t>
      </w:r>
      <w:r>
        <w:rPr>
          <w:snapToGrid w:val="0"/>
        </w:rPr>
        <w:tab/>
        <w:t>Applications for assistance</w:t>
      </w:r>
      <w:bookmarkEnd w:id="1388"/>
      <w:r>
        <w:rPr>
          <w:snapToGrid w:val="0"/>
        </w:rPr>
        <w:t>, Board to decide</w:t>
      </w:r>
      <w:bookmarkEnd w:id="1389"/>
      <w:bookmarkEnd w:id="1390"/>
      <w:bookmarkEnd w:id="1391"/>
      <w:bookmarkEnd w:id="1392"/>
      <w:bookmarkEnd w:id="1393"/>
    </w:p>
    <w:p>
      <w:pPr>
        <w:pStyle w:val="Subsection"/>
        <w:keepNext/>
        <w:rPr>
          <w:snapToGrid w:val="0"/>
        </w:rPr>
      </w:pPr>
      <w:r>
        <w:rPr>
          <w:snapToGrid w:val="0"/>
        </w:rPr>
        <w:tab/>
        <w:t>(1)</w:t>
      </w:r>
      <w:r>
        <w:rPr>
          <w:snapToGrid w:val="0"/>
        </w:rPr>
        <w:tab/>
        <w:t>On receiving an application lodged with him under section 131L, the Registrar shall, after satisfying himself that that application is in order, deal with the application, in accordance with guidelines issued by the Advisory Committee, by — </w:t>
      </w:r>
    </w:p>
    <w:p>
      <w:pPr>
        <w:pStyle w:val="Indenta"/>
        <w:rPr>
          <w:snapToGrid w:val="0"/>
        </w:rPr>
      </w:pPr>
      <w:r>
        <w:rPr>
          <w:snapToGrid w:val="0"/>
        </w:rPr>
        <w:tab/>
        <w:t>(a)</w:t>
      </w:r>
      <w:r>
        <w:rPr>
          <w:snapToGrid w:val="0"/>
        </w:rPr>
        <w:tab/>
        <w:t>considering the application and if, in the opinion of the Registrar the application contains sufficient information to enable the Board properly to assess the merits of the application, forwarding the application to the Board together with the recommendation of the Registrar on the application; or</w:t>
      </w:r>
    </w:p>
    <w:p>
      <w:pPr>
        <w:pStyle w:val="Indenta"/>
        <w:rPr>
          <w:snapToGrid w:val="0"/>
        </w:rPr>
      </w:pPr>
      <w:r>
        <w:rPr>
          <w:snapToGrid w:val="0"/>
        </w:rPr>
        <w:tab/>
        <w:t>(b)</w:t>
      </w:r>
      <w:r>
        <w:rPr>
          <w:snapToGrid w:val="0"/>
        </w:rPr>
        <w:tab/>
        <w:t>referring the application to the Advisory Committee for consideration.</w:t>
      </w:r>
    </w:p>
    <w:p>
      <w:pPr>
        <w:pStyle w:val="Subsection"/>
        <w:rPr>
          <w:snapToGrid w:val="0"/>
        </w:rPr>
      </w:pPr>
      <w:r>
        <w:rPr>
          <w:snapToGrid w:val="0"/>
        </w:rPr>
        <w:tab/>
        <w:t>(1a)</w:t>
      </w:r>
      <w:r>
        <w:rPr>
          <w:snapToGrid w:val="0"/>
        </w:rPr>
        <w:tab/>
        <w:t>The Advisory Committee shall issue guidelines to the Registrar setting out the criteria to be applied by the Registrar in determining whether an application should be dealt with under subsection (1)(a) or (b).</w:t>
      </w:r>
    </w:p>
    <w:p>
      <w:pPr>
        <w:pStyle w:val="Subsection"/>
        <w:rPr>
          <w:snapToGrid w:val="0"/>
        </w:rPr>
      </w:pPr>
      <w:r>
        <w:rPr>
          <w:snapToGrid w:val="0"/>
        </w:rPr>
        <w:tab/>
        <w:t>(2)</w:t>
      </w:r>
      <w:r>
        <w:rPr>
          <w:snapToGrid w:val="0"/>
        </w:rPr>
        <w:tab/>
        <w:t>The Advisory Committee shall consider each application referred to it under subsection (1)(b) and, if in its opinion that application contains information sufficient to enable the Board properly to assess the merits of that application, forward that application to the Board together with the recommendation of the Advisory Committee thereon.</w:t>
      </w:r>
    </w:p>
    <w:p>
      <w:pPr>
        <w:pStyle w:val="Subsection"/>
        <w:rPr>
          <w:snapToGrid w:val="0"/>
        </w:rPr>
      </w:pPr>
      <w:r>
        <w:rPr>
          <w:snapToGrid w:val="0"/>
        </w:rPr>
        <w:tab/>
        <w:t>(3)</w:t>
      </w:r>
      <w:r>
        <w:rPr>
          <w:snapToGrid w:val="0"/>
        </w:rPr>
        <w:tab/>
        <w:t>On receiving an application and recommendation forwarded to it under subsection (1) or (2), the Board may, in accordance with the criteria formulated under section 131O(2) which were current at the date of the lodging of the application under section 131L(1) —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rPr>
          <w:snapToGrid w:val="0"/>
        </w:rPr>
      </w:pPr>
      <w:r>
        <w:rPr>
          <w:snapToGrid w:val="0"/>
        </w:rPr>
        <w:tab/>
        <w:t>(b)</w:t>
      </w:r>
      <w:r>
        <w:rPr>
          <w:snapToGrid w:val="0"/>
        </w:rPr>
        <w:tab/>
        <w:t>refuse that application.</w:t>
      </w:r>
    </w:p>
    <w:p>
      <w:pPr>
        <w:pStyle w:val="Footnotesection"/>
      </w:pPr>
      <w:r>
        <w:tab/>
        <w:t xml:space="preserve">[Section 131M inserted by No. 29 of 1982 s. 10; amended by No. 43 of 1994 s. 8; No. 59 of 1995 s. 36.] </w:t>
      </w:r>
    </w:p>
    <w:p>
      <w:pPr>
        <w:pStyle w:val="Heading5"/>
        <w:rPr>
          <w:snapToGrid w:val="0"/>
        </w:rPr>
      </w:pPr>
      <w:bookmarkStart w:id="1394" w:name="_Toc480623845"/>
      <w:bookmarkStart w:id="1395" w:name="_Toc520177879"/>
      <w:bookmarkStart w:id="1396" w:name="_Toc102899483"/>
      <w:bookmarkStart w:id="1397" w:name="_Toc124125525"/>
      <w:bookmarkStart w:id="1398" w:name="_Toc172965614"/>
      <w:bookmarkStart w:id="1399" w:name="_Toc163361914"/>
      <w:r>
        <w:rPr>
          <w:rStyle w:val="CharSectno"/>
        </w:rPr>
        <w:t>131N</w:t>
      </w:r>
      <w:r>
        <w:rPr>
          <w:snapToGrid w:val="0"/>
        </w:rPr>
        <w:t>.</w:t>
      </w:r>
      <w:r>
        <w:rPr>
          <w:snapToGrid w:val="0"/>
        </w:rPr>
        <w:tab/>
      </w:r>
      <w:bookmarkEnd w:id="1394"/>
      <w:r>
        <w:rPr>
          <w:snapToGrid w:val="0"/>
        </w:rPr>
        <w:t>Assistance, how grants are paid</w:t>
      </w:r>
      <w:bookmarkEnd w:id="1395"/>
      <w:bookmarkEnd w:id="1396"/>
      <w:bookmarkEnd w:id="1397"/>
      <w:bookmarkEnd w:id="1398"/>
      <w:bookmarkEnd w:id="1399"/>
      <w:r>
        <w:rPr>
          <w:snapToGrid w:val="0"/>
        </w:rPr>
        <w:t xml:space="preserve"> </w:t>
      </w:r>
    </w:p>
    <w:p>
      <w:pPr>
        <w:pStyle w:val="Subsection"/>
        <w:rPr>
          <w:snapToGrid w:val="0"/>
        </w:rPr>
      </w:pPr>
      <w:r>
        <w:rPr>
          <w:snapToGrid w:val="0"/>
        </w:rPr>
        <w:tab/>
        <w:t>(1)</w:t>
      </w:r>
      <w:r>
        <w:rPr>
          <w:snapToGrid w:val="0"/>
        </w:rPr>
        <w:tab/>
        <w:t>The Board shall, after it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Whenever the amount of a grant has been paid to a lending institution under subsection (1) and the assisted person to whom the grant has been made by the Board under section 131M(3) ceases for any reason to be required to pay — </w:t>
      </w:r>
    </w:p>
    <w:p>
      <w:pPr>
        <w:pStyle w:val="Indenta"/>
        <w:rPr>
          <w:snapToGrid w:val="0"/>
        </w:rPr>
      </w:pPr>
      <w:r>
        <w:rPr>
          <w:snapToGrid w:val="0"/>
        </w:rPr>
        <w:tab/>
        <w:t>(a)</w:t>
      </w:r>
      <w:r>
        <w:rPr>
          <w:snapToGrid w:val="0"/>
        </w:rPr>
        <w:tab/>
        <w:t>the whole of the incidental expenses to which the grant relates, the lending institution shall repay to the Board the whole of the grant; or</w:t>
      </w:r>
    </w:p>
    <w:p>
      <w:pPr>
        <w:pStyle w:val="Indenta"/>
        <w:rPr>
          <w:snapToGrid w:val="0"/>
        </w:rPr>
      </w:pPr>
      <w:r>
        <w:rPr>
          <w:snapToGrid w:val="0"/>
        </w:rPr>
        <w:tab/>
        <w:t>(b)</w:t>
      </w:r>
      <w:r>
        <w:rPr>
          <w:snapToGrid w:val="0"/>
        </w:rPr>
        <w:tab/>
        <w:t>any part of the incidental expenses to which the grant relates, the lending institution shall, if that part exceeds the amount, if any, by which the whole of those incidental expenses is greater than the amount of the grant, repay to the Board the amount of that excess.</w:t>
      </w:r>
    </w:p>
    <w:p>
      <w:pPr>
        <w:pStyle w:val="Subsection"/>
        <w:rPr>
          <w:snapToGrid w:val="0"/>
        </w:rPr>
      </w:pPr>
      <w:r>
        <w:rPr>
          <w:snapToGrid w:val="0"/>
        </w:rPr>
        <w:tab/>
        <w:t>(4)</w:t>
      </w:r>
      <w:r>
        <w:rPr>
          <w:snapToGrid w:val="0"/>
        </w:rPr>
        <w:tab/>
        <w:t>If a lending institution is required by subsection (3) to repay an amount to the Board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 xml:space="preserve">[Section 131N inserted by No. 29 of 1982 s. 10; amended by No. 59 of 1995 s. 40(2); No. 77 of 2006 s. 17.] </w:t>
      </w:r>
    </w:p>
    <w:p>
      <w:pPr>
        <w:pStyle w:val="Heading5"/>
        <w:rPr>
          <w:snapToGrid w:val="0"/>
        </w:rPr>
      </w:pPr>
      <w:bookmarkStart w:id="1400" w:name="_Toc480623846"/>
      <w:bookmarkStart w:id="1401" w:name="_Toc520177880"/>
      <w:bookmarkStart w:id="1402" w:name="_Toc102899484"/>
      <w:bookmarkStart w:id="1403" w:name="_Toc124125526"/>
      <w:bookmarkStart w:id="1404" w:name="_Toc172965615"/>
      <w:bookmarkStart w:id="1405" w:name="_Toc163361915"/>
      <w:r>
        <w:rPr>
          <w:rStyle w:val="CharSectno"/>
        </w:rPr>
        <w:t>131O</w:t>
      </w:r>
      <w:r>
        <w:rPr>
          <w:snapToGrid w:val="0"/>
        </w:rPr>
        <w:t>.</w:t>
      </w:r>
      <w:r>
        <w:rPr>
          <w:snapToGrid w:val="0"/>
        </w:rPr>
        <w:tab/>
      </w:r>
      <w:bookmarkEnd w:id="1400"/>
      <w:r>
        <w:rPr>
          <w:snapToGrid w:val="0"/>
        </w:rPr>
        <w:t>Criteria for granting assistance, Board to formulate</w:t>
      </w:r>
      <w:bookmarkEnd w:id="1401"/>
      <w:bookmarkEnd w:id="1402"/>
      <w:bookmarkEnd w:id="1403"/>
      <w:bookmarkEnd w:id="1404"/>
      <w:bookmarkEnd w:id="1405"/>
      <w:r>
        <w:rPr>
          <w:snapToGrid w:val="0"/>
        </w:rPr>
        <w:t xml:space="preserve"> </w:t>
      </w:r>
    </w:p>
    <w:p>
      <w:pPr>
        <w:pStyle w:val="Subsection"/>
        <w:keepNext/>
        <w:rPr>
          <w:snapToGrid w:val="0"/>
        </w:rPr>
      </w:pPr>
      <w:r>
        <w:rPr>
          <w:snapToGrid w:val="0"/>
        </w:rPr>
        <w:tab/>
        <w:t>(1)</w:t>
      </w:r>
      <w:r>
        <w:rPr>
          <w:snapToGrid w:val="0"/>
        </w:rPr>
        <w:tab/>
        <w:t>The Advisory Committee may of its own motion or shall at the request of the Board, after consulting — </w:t>
      </w:r>
    </w:p>
    <w:p>
      <w:pPr>
        <w:pStyle w:val="Ednotepara"/>
      </w:pPr>
      <w:r>
        <w:tab/>
        <w:t>[(a)</w:t>
      </w:r>
      <w:r>
        <w:tab/>
        <w:t xml:space="preserve">deleted] </w:t>
      </w:r>
    </w:p>
    <w:p>
      <w:pPr>
        <w:pStyle w:val="Indenta"/>
        <w:rPr>
          <w:snapToGrid w:val="0"/>
        </w:rPr>
      </w:pPr>
      <w:r>
        <w:rPr>
          <w:snapToGrid w:val="0"/>
        </w:rPr>
        <w:tab/>
        <w:t>(b)</w:t>
      </w:r>
      <w:r>
        <w:rPr>
          <w:snapToGrid w:val="0"/>
        </w:rPr>
        <w:tab/>
        <w:t xml:space="preserve">the person holding or acting in the office of the Chairman of the Commonwealth Banking Corporation Board constituted under the </w:t>
      </w:r>
      <w:r>
        <w:rPr>
          <w:i/>
          <w:snapToGrid w:val="0"/>
        </w:rPr>
        <w:t>Commonwealth Banks Act 1959</w:t>
      </w:r>
      <w:r>
        <w:rPr>
          <w:snapToGrid w:val="0"/>
        </w:rPr>
        <w:t xml:space="preserve"> of the Parliament of the Commonwealth;</w:t>
      </w:r>
    </w:p>
    <w:p>
      <w:pPr>
        <w:pStyle w:val="Ednotepara"/>
      </w:pPr>
      <w:r>
        <w:tab/>
        <w:t>[(c) and (d)</w:t>
      </w:r>
      <w:r>
        <w:tab/>
        <w:t xml:space="preserve">deleted] </w:t>
      </w:r>
    </w:p>
    <w:p>
      <w:pPr>
        <w:pStyle w:val="Indenta"/>
        <w:rPr>
          <w:snapToGrid w:val="0"/>
        </w:rPr>
      </w:pPr>
      <w:r>
        <w:rPr>
          <w:snapToGrid w:val="0"/>
        </w:rPr>
        <w:tab/>
        <w:t>(e)</w:t>
      </w:r>
      <w:r>
        <w:rPr>
          <w:snapToGrid w:val="0"/>
        </w:rPr>
        <w:tab/>
        <w:t>the person holding or acting in the office of the Director of the body known as the Federation of</w:t>
      </w:r>
      <w:r>
        <w:t xml:space="preserve"> Housing Societies</w:t>
      </w:r>
      <w:r>
        <w:rPr>
          <w:snapToGrid w:val="0"/>
        </w:rPr>
        <w:t>; and</w:t>
      </w:r>
    </w:p>
    <w:p>
      <w:pPr>
        <w:pStyle w:val="Indenta"/>
        <w:rPr>
          <w:snapToGrid w:val="0"/>
        </w:rPr>
      </w:pPr>
      <w:r>
        <w:rPr>
          <w:snapToGrid w:val="0"/>
        </w:rPr>
        <w:tab/>
        <w:t>(f)</w:t>
      </w:r>
      <w:r>
        <w:rPr>
          <w:snapToGrid w:val="0"/>
        </w:rPr>
        <w:tab/>
        <w:t>such other persons as may be prescribed,</w:t>
      </w:r>
    </w:p>
    <w:p>
      <w:pPr>
        <w:pStyle w:val="Subsection"/>
        <w:rPr>
          <w:snapToGrid w:val="0"/>
        </w:rPr>
      </w:pPr>
      <w:r>
        <w:rPr>
          <w:snapToGrid w:val="0"/>
        </w:rPr>
        <w:tab/>
      </w:r>
      <w:r>
        <w:rPr>
          <w:snapToGrid w:val="0"/>
        </w:rPr>
        <w:tab/>
        <w:t>make recommendations to the Board on the formulation of criteria under subsection (2).</w:t>
      </w:r>
    </w:p>
    <w:p>
      <w:pPr>
        <w:pStyle w:val="Subsection"/>
        <w:rPr>
          <w:snapToGrid w:val="0"/>
        </w:rPr>
      </w:pPr>
      <w:r>
        <w:rPr>
          <w:snapToGrid w:val="0"/>
        </w:rPr>
        <w:tab/>
        <w:t>(2)</w:t>
      </w:r>
      <w:r>
        <w:rPr>
          <w:snapToGrid w:val="0"/>
        </w:rPr>
        <w:tab/>
        <w:t>The Board shall from time to time, with the approval of the Minister and after considering any recommendations made to it under subsection (1), formulate the criteria in accordance with which applications forwarded to the Board under section 131M(1) or (2) are to be decided.</w:t>
      </w:r>
    </w:p>
    <w:p>
      <w:pPr>
        <w:pStyle w:val="Footnotesection"/>
      </w:pPr>
      <w:r>
        <w:tab/>
        <w:t xml:space="preserve">[Section 131O inserted by No. 29 of 1982 s. 10; amended by No. 6 of 1994 s. 13; No. 43 of 1994 s. 9; No. 14 of 1995 s. 44; No. 59 of 1995 s. 37; No. 12 of 2001 s. 50.] </w:t>
      </w:r>
    </w:p>
    <w:p>
      <w:pPr>
        <w:pStyle w:val="Heading2"/>
      </w:pPr>
      <w:bookmarkStart w:id="1406" w:name="_Toc72643528"/>
      <w:bookmarkStart w:id="1407" w:name="_Toc89596493"/>
      <w:bookmarkStart w:id="1408" w:name="_Toc91303221"/>
      <w:bookmarkStart w:id="1409" w:name="_Toc92701330"/>
      <w:bookmarkStart w:id="1410" w:name="_Toc96997055"/>
      <w:bookmarkStart w:id="1411" w:name="_Toc98833566"/>
      <w:bookmarkStart w:id="1412" w:name="_Toc99166174"/>
      <w:bookmarkStart w:id="1413" w:name="_Toc100021833"/>
      <w:bookmarkStart w:id="1414" w:name="_Toc100562187"/>
      <w:bookmarkStart w:id="1415" w:name="_Toc100562562"/>
      <w:bookmarkStart w:id="1416" w:name="_Toc102373580"/>
      <w:bookmarkStart w:id="1417" w:name="_Toc102536241"/>
      <w:bookmarkStart w:id="1418" w:name="_Toc102899485"/>
      <w:bookmarkStart w:id="1419" w:name="_Toc107197963"/>
      <w:bookmarkStart w:id="1420" w:name="_Toc116713393"/>
      <w:bookmarkStart w:id="1421" w:name="_Toc116813102"/>
      <w:bookmarkStart w:id="1422" w:name="_Toc121566641"/>
      <w:bookmarkStart w:id="1423" w:name="_Toc124125527"/>
      <w:bookmarkStart w:id="1424" w:name="_Toc124140977"/>
      <w:bookmarkStart w:id="1425" w:name="_Toc139362759"/>
      <w:bookmarkStart w:id="1426" w:name="_Toc139685956"/>
      <w:bookmarkStart w:id="1427" w:name="_Toc154197317"/>
      <w:bookmarkStart w:id="1428" w:name="_Toc158003707"/>
      <w:bookmarkStart w:id="1429" w:name="_Toc163273933"/>
      <w:bookmarkStart w:id="1430" w:name="_Toc163361916"/>
      <w:bookmarkStart w:id="1431" w:name="_Toc172965415"/>
      <w:bookmarkStart w:id="1432" w:name="_Toc172965616"/>
      <w:r>
        <w:rPr>
          <w:rStyle w:val="CharPartNo"/>
        </w:rPr>
        <w:t>Part X</w:t>
      </w:r>
      <w:r>
        <w:rPr>
          <w:rStyle w:val="CharDivNo"/>
        </w:rPr>
        <w:t> </w:t>
      </w:r>
      <w:r>
        <w:t>—</w:t>
      </w:r>
      <w:r>
        <w:rPr>
          <w:rStyle w:val="CharDivText"/>
        </w:rPr>
        <w:t> </w:t>
      </w:r>
      <w:r>
        <w:rPr>
          <w:rStyle w:val="CharPartText"/>
        </w:rPr>
        <w:t>Miscellaneous</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r>
        <w:rPr>
          <w:rStyle w:val="CharPartText"/>
        </w:rPr>
        <w:t xml:space="preserve"> </w:t>
      </w:r>
    </w:p>
    <w:p>
      <w:pPr>
        <w:pStyle w:val="Heading5"/>
        <w:rPr>
          <w:snapToGrid w:val="0"/>
        </w:rPr>
      </w:pPr>
      <w:bookmarkStart w:id="1433" w:name="_Toc480623847"/>
      <w:bookmarkStart w:id="1434" w:name="_Toc520177881"/>
      <w:bookmarkStart w:id="1435" w:name="_Toc102899486"/>
      <w:bookmarkStart w:id="1436" w:name="_Toc124125528"/>
      <w:bookmarkStart w:id="1437" w:name="_Toc172965617"/>
      <w:bookmarkStart w:id="1438" w:name="_Toc163361917"/>
      <w:r>
        <w:rPr>
          <w:rStyle w:val="CharSectno"/>
        </w:rPr>
        <w:t>132</w:t>
      </w:r>
      <w:r>
        <w:rPr>
          <w:snapToGrid w:val="0"/>
        </w:rPr>
        <w:t>.</w:t>
      </w:r>
      <w:r>
        <w:rPr>
          <w:snapToGrid w:val="0"/>
        </w:rPr>
        <w:tab/>
        <w:t>Unlicensed assistants</w:t>
      </w:r>
      <w:bookmarkEnd w:id="1433"/>
      <w:r>
        <w:rPr>
          <w:snapToGrid w:val="0"/>
        </w:rPr>
        <w:t xml:space="preserve"> to be supervised etc.</w:t>
      </w:r>
      <w:bookmarkEnd w:id="1434"/>
      <w:bookmarkEnd w:id="1435"/>
      <w:bookmarkEnd w:id="1436"/>
      <w:bookmarkEnd w:id="1437"/>
      <w:bookmarkEnd w:id="1438"/>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 </w:t>
      </w:r>
    </w:p>
    <w:p>
      <w:pPr>
        <w:pStyle w:val="Indenta"/>
        <w:keepNext/>
        <w:rPr>
          <w:snapToGrid w:val="0"/>
        </w:rPr>
      </w:pPr>
      <w:r>
        <w:rPr>
          <w:snapToGrid w:val="0"/>
        </w:rPr>
        <w:tab/>
        <w:t>(a)</w:t>
      </w:r>
      <w:r>
        <w:rPr>
          <w:snapToGrid w:val="0"/>
        </w:rPr>
        <w:tab/>
        <w:t>where the licensee of the business involved is not a firm or a body corporate —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 xml:space="preserve">the manager of a branch office of the business shall give substantial time and attention to the business at that office;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439" w:name="_Toc480623848"/>
      <w:bookmarkStart w:id="1440" w:name="_Toc520177882"/>
      <w:bookmarkStart w:id="1441" w:name="_Toc102899487"/>
      <w:bookmarkStart w:id="1442" w:name="_Toc124125529"/>
      <w:bookmarkStart w:id="1443" w:name="_Toc172965618"/>
      <w:bookmarkStart w:id="1444" w:name="_Toc163361918"/>
      <w:r>
        <w:rPr>
          <w:rStyle w:val="CharSectno"/>
        </w:rPr>
        <w:t>133</w:t>
      </w:r>
      <w:r>
        <w:rPr>
          <w:snapToGrid w:val="0"/>
        </w:rPr>
        <w:t>.</w:t>
      </w:r>
      <w:r>
        <w:rPr>
          <w:snapToGrid w:val="0"/>
        </w:rPr>
        <w:tab/>
        <w:t>Registers</w:t>
      </w:r>
      <w:bookmarkEnd w:id="1439"/>
      <w:r>
        <w:rPr>
          <w:snapToGrid w:val="0"/>
        </w:rPr>
        <w:t xml:space="preserve"> to be kept by Registrar</w:t>
      </w:r>
      <w:bookmarkEnd w:id="1440"/>
      <w:bookmarkEnd w:id="1441"/>
      <w:bookmarkEnd w:id="1442"/>
      <w:bookmarkEnd w:id="1443"/>
      <w:bookmarkEnd w:id="1444"/>
    </w:p>
    <w:p>
      <w:pPr>
        <w:pStyle w:val="Subsection"/>
        <w:keepNext/>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The Registrar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The Registrar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Footnotesection"/>
      </w:pPr>
      <w:r>
        <w:tab/>
        <w:t xml:space="preserve">[Section 133 amended by No. 56 of 1995 s. 47.] </w:t>
      </w:r>
    </w:p>
    <w:p>
      <w:pPr>
        <w:pStyle w:val="Heading5"/>
        <w:rPr>
          <w:snapToGrid w:val="0"/>
        </w:rPr>
      </w:pPr>
      <w:bookmarkStart w:id="1445" w:name="_Toc480623849"/>
      <w:bookmarkStart w:id="1446" w:name="_Toc520177883"/>
      <w:bookmarkStart w:id="1447" w:name="_Toc102899488"/>
      <w:bookmarkStart w:id="1448" w:name="_Toc124125530"/>
      <w:bookmarkStart w:id="1449" w:name="_Toc172965619"/>
      <w:bookmarkStart w:id="1450" w:name="_Toc163361919"/>
      <w:r>
        <w:rPr>
          <w:rStyle w:val="CharSectno"/>
        </w:rPr>
        <w:t>134</w:t>
      </w:r>
      <w:r>
        <w:rPr>
          <w:snapToGrid w:val="0"/>
        </w:rPr>
        <w:t>.</w:t>
      </w:r>
      <w:r>
        <w:rPr>
          <w:snapToGrid w:val="0"/>
        </w:rPr>
        <w:tab/>
        <w:t xml:space="preserve">Lists </w:t>
      </w:r>
      <w:bookmarkEnd w:id="1445"/>
      <w:r>
        <w:rPr>
          <w:snapToGrid w:val="0"/>
        </w:rPr>
        <w:t>of licensees etc. to be published; proof of licences</w:t>
      </w:r>
      <w:bookmarkEnd w:id="1446"/>
      <w:bookmarkEnd w:id="1447"/>
      <w:bookmarkEnd w:id="1448"/>
      <w:bookmarkEnd w:id="1449"/>
      <w:bookmarkEnd w:id="1450"/>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451" w:name="_Toc480623850"/>
      <w:bookmarkStart w:id="1452" w:name="_Toc520177884"/>
      <w:bookmarkStart w:id="1453" w:name="_Toc102899489"/>
      <w:bookmarkStart w:id="1454" w:name="_Toc124125531"/>
      <w:bookmarkStart w:id="1455" w:name="_Toc172965620"/>
      <w:bookmarkStart w:id="1456" w:name="_Toc163361920"/>
      <w:r>
        <w:rPr>
          <w:rStyle w:val="CharSectno"/>
        </w:rPr>
        <w:t>135</w:t>
      </w:r>
      <w:r>
        <w:rPr>
          <w:snapToGrid w:val="0"/>
        </w:rPr>
        <w:t>.</w:t>
      </w:r>
      <w:r>
        <w:rPr>
          <w:snapToGrid w:val="0"/>
        </w:rPr>
        <w:tab/>
      </w:r>
      <w:bookmarkEnd w:id="1451"/>
      <w:r>
        <w:rPr>
          <w:i/>
        </w:rPr>
        <w:t>Financial Management Act 2006</w:t>
      </w:r>
      <w:r>
        <w:t xml:space="preserve"> and the </w:t>
      </w:r>
      <w:r>
        <w:rPr>
          <w:i/>
        </w:rPr>
        <w:t>Auditor General Act 2006</w:t>
      </w:r>
      <w:r>
        <w:rPr>
          <w:snapToGrid w:val="0"/>
        </w:rPr>
        <w:t xml:space="preserve"> applies to Board</w:t>
      </w:r>
      <w:bookmarkEnd w:id="1452"/>
      <w:bookmarkEnd w:id="1453"/>
      <w:bookmarkEnd w:id="1454"/>
      <w:bookmarkEnd w:id="1455"/>
      <w:bookmarkEnd w:id="1456"/>
    </w:p>
    <w:p>
      <w:pPr>
        <w:pStyle w:val="Subsection"/>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or the Registrar;</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pPr>
      <w:r>
        <w:tab/>
        <w:t xml:space="preserve">[Section 135 inserted by No. 98 of 1985 s. 3; amended by No. 59 of 1995 s. 38; No. 55 of 2004 s. 1016; No. 77 of 2006 s. 17.] </w:t>
      </w:r>
    </w:p>
    <w:p>
      <w:pPr>
        <w:pStyle w:val="Heading5"/>
        <w:rPr>
          <w:snapToGrid w:val="0"/>
        </w:rPr>
      </w:pPr>
      <w:bookmarkStart w:id="1457" w:name="_Toc480623851"/>
      <w:bookmarkStart w:id="1458" w:name="_Toc520177885"/>
      <w:bookmarkStart w:id="1459" w:name="_Toc102899490"/>
      <w:bookmarkStart w:id="1460" w:name="_Toc124125532"/>
      <w:bookmarkStart w:id="1461" w:name="_Toc172965621"/>
      <w:bookmarkStart w:id="1462" w:name="_Toc163361921"/>
      <w:r>
        <w:rPr>
          <w:rStyle w:val="CharSectno"/>
        </w:rPr>
        <w:t>136</w:t>
      </w:r>
      <w:r>
        <w:rPr>
          <w:snapToGrid w:val="0"/>
        </w:rPr>
        <w:t>.</w:t>
      </w:r>
      <w:r>
        <w:rPr>
          <w:snapToGrid w:val="0"/>
        </w:rPr>
        <w:tab/>
      </w:r>
      <w:bookmarkEnd w:id="1457"/>
      <w:r>
        <w:rPr>
          <w:snapToGrid w:val="0"/>
        </w:rPr>
        <w:t>Effectiveness of Act, Board to report on</w:t>
      </w:r>
      <w:bookmarkEnd w:id="1458"/>
      <w:bookmarkEnd w:id="1459"/>
      <w:bookmarkEnd w:id="1460"/>
      <w:bookmarkEnd w:id="1461"/>
      <w:bookmarkEnd w:id="1462"/>
    </w:p>
    <w:p>
      <w:pPr>
        <w:pStyle w:val="Subsection"/>
        <w:keepNext/>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463" w:name="_Toc480623852"/>
      <w:bookmarkStart w:id="1464" w:name="_Toc520177886"/>
      <w:bookmarkStart w:id="1465" w:name="_Toc102899491"/>
      <w:bookmarkStart w:id="1466" w:name="_Toc124125533"/>
      <w:bookmarkStart w:id="1467" w:name="_Toc172965622"/>
      <w:bookmarkStart w:id="1468" w:name="_Toc163361922"/>
      <w:r>
        <w:rPr>
          <w:rStyle w:val="CharSectno"/>
        </w:rPr>
        <w:t>136A</w:t>
      </w:r>
      <w:r>
        <w:rPr>
          <w:snapToGrid w:val="0"/>
        </w:rPr>
        <w:t>.</w:t>
      </w:r>
      <w:r>
        <w:rPr>
          <w:snapToGrid w:val="0"/>
        </w:rPr>
        <w:tab/>
        <w:t>Refund of fees</w:t>
      </w:r>
      <w:bookmarkEnd w:id="1463"/>
      <w:bookmarkEnd w:id="1464"/>
      <w:bookmarkEnd w:id="1465"/>
      <w:bookmarkEnd w:id="1466"/>
      <w:bookmarkEnd w:id="1467"/>
      <w:bookmarkEnd w:id="1468"/>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Fidelity</w:t>
      </w:r>
      <w:r>
        <w:t xml:space="preserve"> Account</w:t>
      </w:r>
      <w:r>
        <w:rPr>
          <w:snapToGrid w:val="0"/>
        </w:rPr>
        <w:t>.</w:t>
      </w:r>
    </w:p>
    <w:p>
      <w:pPr>
        <w:pStyle w:val="Footnotesection"/>
      </w:pPr>
      <w:r>
        <w:tab/>
        <w:t xml:space="preserve">[Section 136A inserted by No. 74 of 1980 s. 12; amended by No. 29 of 1982 s. 12; No. 77 of 2006 s. 17.] </w:t>
      </w:r>
    </w:p>
    <w:p>
      <w:pPr>
        <w:pStyle w:val="Heading5"/>
        <w:rPr>
          <w:snapToGrid w:val="0"/>
        </w:rPr>
      </w:pPr>
      <w:bookmarkStart w:id="1469" w:name="_Toc480623853"/>
      <w:bookmarkStart w:id="1470" w:name="_Toc520177887"/>
      <w:bookmarkStart w:id="1471" w:name="_Toc102899492"/>
      <w:bookmarkStart w:id="1472" w:name="_Toc124125534"/>
      <w:bookmarkStart w:id="1473" w:name="_Toc172965623"/>
      <w:bookmarkStart w:id="1474" w:name="_Toc163361923"/>
      <w:r>
        <w:rPr>
          <w:rStyle w:val="CharSectno"/>
        </w:rPr>
        <w:t>137</w:t>
      </w:r>
      <w:r>
        <w:rPr>
          <w:snapToGrid w:val="0"/>
        </w:rPr>
        <w:t>.</w:t>
      </w:r>
      <w:r>
        <w:rPr>
          <w:snapToGrid w:val="0"/>
        </w:rPr>
        <w:tab/>
        <w:t>Legal immunity of Board and officers</w:t>
      </w:r>
      <w:bookmarkEnd w:id="1469"/>
      <w:bookmarkEnd w:id="1470"/>
      <w:bookmarkEnd w:id="1471"/>
      <w:bookmarkEnd w:id="1472"/>
      <w:bookmarkEnd w:id="1473"/>
      <w:bookmarkEnd w:id="1474"/>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475" w:name="_Toc480623854"/>
      <w:bookmarkStart w:id="1476" w:name="_Toc520177888"/>
      <w:bookmarkStart w:id="1477" w:name="_Toc102899493"/>
      <w:bookmarkStart w:id="1478" w:name="_Toc124125535"/>
      <w:bookmarkStart w:id="1479" w:name="_Toc172965624"/>
      <w:bookmarkStart w:id="1480" w:name="_Toc163361924"/>
      <w:r>
        <w:rPr>
          <w:rStyle w:val="CharSectno"/>
        </w:rPr>
        <w:t>138</w:t>
      </w:r>
      <w:r>
        <w:rPr>
          <w:snapToGrid w:val="0"/>
        </w:rPr>
        <w:t>.</w:t>
      </w:r>
      <w:r>
        <w:rPr>
          <w:snapToGrid w:val="0"/>
        </w:rPr>
        <w:tab/>
        <w:t>Secrecy</w:t>
      </w:r>
      <w:bookmarkEnd w:id="1475"/>
      <w:bookmarkEnd w:id="1476"/>
      <w:bookmarkEnd w:id="1477"/>
      <w:bookmarkEnd w:id="1478"/>
      <w:bookmarkEnd w:id="1479"/>
      <w:bookmarkEnd w:id="1480"/>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 or a person engaged under section 12AA(b).</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pPr>
      <w:r>
        <w:tab/>
        <w:t xml:space="preserve">[Section 138 amended by No. 59 of 1995 s. 41; No. 34 of 1998 s. 19.] </w:t>
      </w:r>
    </w:p>
    <w:p>
      <w:pPr>
        <w:pStyle w:val="Heading5"/>
        <w:rPr>
          <w:snapToGrid w:val="0"/>
        </w:rPr>
      </w:pPr>
      <w:bookmarkStart w:id="1481" w:name="_Toc480623855"/>
      <w:bookmarkStart w:id="1482" w:name="_Toc520177889"/>
      <w:bookmarkStart w:id="1483" w:name="_Toc102899494"/>
      <w:bookmarkStart w:id="1484" w:name="_Toc124125536"/>
      <w:bookmarkStart w:id="1485" w:name="_Toc172965625"/>
      <w:bookmarkStart w:id="1486" w:name="_Toc163361925"/>
      <w:r>
        <w:rPr>
          <w:rStyle w:val="CharSectno"/>
        </w:rPr>
        <w:t>139</w:t>
      </w:r>
      <w:r>
        <w:rPr>
          <w:snapToGrid w:val="0"/>
        </w:rPr>
        <w:t>.</w:t>
      </w:r>
      <w:r>
        <w:rPr>
          <w:snapToGrid w:val="0"/>
        </w:rPr>
        <w:tab/>
        <w:t>Directors of body corporate</w:t>
      </w:r>
      <w:bookmarkEnd w:id="1481"/>
      <w:r>
        <w:rPr>
          <w:snapToGrid w:val="0"/>
        </w:rPr>
        <w:t>, liability of</w:t>
      </w:r>
      <w:bookmarkEnd w:id="1482"/>
      <w:bookmarkEnd w:id="1483"/>
      <w:bookmarkEnd w:id="1484"/>
      <w:bookmarkEnd w:id="1485"/>
      <w:bookmarkEnd w:id="1486"/>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 Board,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w:t>
      </w:r>
    </w:p>
    <w:p>
      <w:pPr>
        <w:pStyle w:val="Heading5"/>
        <w:rPr>
          <w:snapToGrid w:val="0"/>
        </w:rPr>
      </w:pPr>
      <w:bookmarkStart w:id="1487" w:name="_Toc480623856"/>
      <w:bookmarkStart w:id="1488" w:name="_Toc520177890"/>
      <w:bookmarkStart w:id="1489" w:name="_Toc102899495"/>
      <w:bookmarkStart w:id="1490" w:name="_Toc124125537"/>
      <w:bookmarkStart w:id="1491" w:name="_Toc172965626"/>
      <w:bookmarkStart w:id="1492" w:name="_Toc163361926"/>
      <w:r>
        <w:rPr>
          <w:rStyle w:val="CharSectno"/>
        </w:rPr>
        <w:t>140</w:t>
      </w:r>
      <w:r>
        <w:rPr>
          <w:snapToGrid w:val="0"/>
        </w:rPr>
        <w:t>.</w:t>
      </w:r>
      <w:r>
        <w:rPr>
          <w:snapToGrid w:val="0"/>
        </w:rPr>
        <w:tab/>
        <w:t>Rights and remedies</w:t>
      </w:r>
      <w:bookmarkEnd w:id="1487"/>
      <w:r>
        <w:rPr>
          <w:snapToGrid w:val="0"/>
        </w:rPr>
        <w:t xml:space="preserve"> not affected by Act</w:t>
      </w:r>
      <w:bookmarkEnd w:id="1488"/>
      <w:bookmarkEnd w:id="1489"/>
      <w:bookmarkEnd w:id="1490"/>
      <w:bookmarkEnd w:id="1491"/>
      <w:bookmarkEnd w:id="1492"/>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493" w:name="_Toc480623857"/>
      <w:bookmarkStart w:id="1494" w:name="_Toc520177891"/>
      <w:bookmarkStart w:id="1495" w:name="_Toc102899496"/>
      <w:bookmarkStart w:id="1496" w:name="_Toc124125538"/>
      <w:bookmarkStart w:id="1497" w:name="_Toc172965627"/>
      <w:bookmarkStart w:id="1498" w:name="_Toc163361927"/>
      <w:r>
        <w:rPr>
          <w:rStyle w:val="CharSectno"/>
        </w:rPr>
        <w:t>141</w:t>
      </w:r>
      <w:r>
        <w:rPr>
          <w:snapToGrid w:val="0"/>
        </w:rPr>
        <w:t>.</w:t>
      </w:r>
      <w:r>
        <w:rPr>
          <w:snapToGrid w:val="0"/>
        </w:rPr>
        <w:tab/>
        <w:t>Rights</w:t>
      </w:r>
      <w:bookmarkEnd w:id="1493"/>
      <w:r>
        <w:rPr>
          <w:snapToGrid w:val="0"/>
        </w:rPr>
        <w:t xml:space="preserve"> under Act cannot be waived</w:t>
      </w:r>
      <w:bookmarkEnd w:id="1494"/>
      <w:bookmarkEnd w:id="1495"/>
      <w:bookmarkEnd w:id="1496"/>
      <w:bookmarkEnd w:id="1497"/>
      <w:bookmarkEnd w:id="1498"/>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499" w:name="_Toc480623858"/>
      <w:bookmarkStart w:id="1500" w:name="_Toc520177892"/>
      <w:bookmarkStart w:id="1501" w:name="_Toc102899497"/>
      <w:bookmarkStart w:id="1502" w:name="_Toc124125539"/>
      <w:bookmarkStart w:id="1503" w:name="_Toc172965628"/>
      <w:bookmarkStart w:id="1504" w:name="_Toc163361928"/>
      <w:r>
        <w:rPr>
          <w:rStyle w:val="CharSectno"/>
        </w:rPr>
        <w:t>142</w:t>
      </w:r>
      <w:r>
        <w:rPr>
          <w:snapToGrid w:val="0"/>
        </w:rPr>
        <w:t>.</w:t>
      </w:r>
      <w:r>
        <w:rPr>
          <w:snapToGrid w:val="0"/>
        </w:rPr>
        <w:tab/>
        <w:t>General penalty</w:t>
      </w:r>
      <w:bookmarkEnd w:id="1499"/>
      <w:bookmarkEnd w:id="1500"/>
      <w:bookmarkEnd w:id="1501"/>
      <w:bookmarkEnd w:id="1502"/>
      <w:bookmarkEnd w:id="1503"/>
      <w:bookmarkEnd w:id="1504"/>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142 amended by No. 43 of 1994 s. 11.] </w:t>
      </w:r>
    </w:p>
    <w:p>
      <w:pPr>
        <w:pStyle w:val="Heading5"/>
        <w:rPr>
          <w:snapToGrid w:val="0"/>
        </w:rPr>
      </w:pPr>
      <w:bookmarkStart w:id="1505" w:name="_Toc480623859"/>
      <w:bookmarkStart w:id="1506" w:name="_Toc520177893"/>
      <w:bookmarkStart w:id="1507" w:name="_Toc102899498"/>
      <w:bookmarkStart w:id="1508" w:name="_Toc124125540"/>
      <w:bookmarkStart w:id="1509" w:name="_Toc172965629"/>
      <w:bookmarkStart w:id="1510" w:name="_Toc163361929"/>
      <w:r>
        <w:rPr>
          <w:rStyle w:val="CharSectno"/>
        </w:rPr>
        <w:t>143</w:t>
      </w:r>
      <w:r>
        <w:rPr>
          <w:snapToGrid w:val="0"/>
        </w:rPr>
        <w:t>.</w:t>
      </w:r>
      <w:r>
        <w:rPr>
          <w:snapToGrid w:val="0"/>
        </w:rPr>
        <w:tab/>
      </w:r>
      <w:bookmarkEnd w:id="1505"/>
      <w:r>
        <w:rPr>
          <w:snapToGrid w:val="0"/>
        </w:rPr>
        <w:t>Prosecution proceedings</w:t>
      </w:r>
      <w:bookmarkEnd w:id="1506"/>
      <w:bookmarkEnd w:id="1507"/>
      <w:bookmarkEnd w:id="1508"/>
      <w:bookmarkEnd w:id="1509"/>
      <w:bookmarkEnd w:id="1510"/>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 xml:space="preserve">[Section 143 amended by No. 59 of 2004 s. 141; No. 84 of 2004 s. 80.] </w:t>
      </w:r>
    </w:p>
    <w:p>
      <w:pPr>
        <w:pStyle w:val="Heading5"/>
        <w:rPr>
          <w:snapToGrid w:val="0"/>
        </w:rPr>
      </w:pPr>
      <w:bookmarkStart w:id="1511" w:name="_Toc480623860"/>
      <w:bookmarkStart w:id="1512" w:name="_Toc520177894"/>
      <w:bookmarkStart w:id="1513" w:name="_Toc102899499"/>
      <w:bookmarkStart w:id="1514" w:name="_Toc124125541"/>
      <w:bookmarkStart w:id="1515" w:name="_Toc172965630"/>
      <w:bookmarkStart w:id="1516" w:name="_Toc163361930"/>
      <w:r>
        <w:rPr>
          <w:rStyle w:val="CharSectno"/>
        </w:rPr>
        <w:t>144</w:t>
      </w:r>
      <w:r>
        <w:rPr>
          <w:snapToGrid w:val="0"/>
        </w:rPr>
        <w:t>.</w:t>
      </w:r>
      <w:r>
        <w:rPr>
          <w:snapToGrid w:val="0"/>
        </w:rPr>
        <w:tab/>
        <w:t>Forms</w:t>
      </w:r>
      <w:bookmarkEnd w:id="1511"/>
      <w:r>
        <w:rPr>
          <w:snapToGrid w:val="0"/>
        </w:rPr>
        <w:t xml:space="preserve"> may be determined by Board</w:t>
      </w:r>
      <w:bookmarkEnd w:id="1512"/>
      <w:bookmarkEnd w:id="1513"/>
      <w:bookmarkEnd w:id="1514"/>
      <w:bookmarkEnd w:id="1515"/>
      <w:bookmarkEnd w:id="1516"/>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517" w:name="_Toc480623861"/>
      <w:bookmarkStart w:id="1518" w:name="_Toc520177895"/>
      <w:bookmarkStart w:id="1519" w:name="_Toc102899500"/>
      <w:bookmarkStart w:id="1520" w:name="_Toc124125542"/>
      <w:bookmarkStart w:id="1521" w:name="_Toc172965631"/>
      <w:bookmarkStart w:id="1522" w:name="_Toc163361931"/>
      <w:r>
        <w:rPr>
          <w:rStyle w:val="CharSectno"/>
        </w:rPr>
        <w:t>145</w:t>
      </w:r>
      <w:r>
        <w:rPr>
          <w:snapToGrid w:val="0"/>
        </w:rPr>
        <w:t>.</w:t>
      </w:r>
      <w:r>
        <w:rPr>
          <w:snapToGrid w:val="0"/>
        </w:rPr>
        <w:tab/>
        <w:t>Regulations</w:t>
      </w:r>
      <w:bookmarkEnd w:id="1517"/>
      <w:bookmarkEnd w:id="1518"/>
      <w:bookmarkEnd w:id="1519"/>
      <w:bookmarkEnd w:id="1520"/>
      <w:bookmarkEnd w:id="1521"/>
      <w:bookmarkEnd w:id="1522"/>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prescribe a body or class of bodies for the purposes of the definition of “authorised financial institution”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prescribe a body or class of bodies for the purposes of the definition of “lending institution”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145 amended by No. 29 of 1982 s. 11; No. 77 of 1984 s. 5; No. 65 of 1987 s. 42; No. 18 of 1988 s. 5; No. 43 of 1994 s. 10; No. 56 of 1995 s. 48; No. 59 of 1995 s. 39 and 41; No. 55 of 2004 s. 1018; No. 77 of 2006 s. 17.] </w:t>
      </w:r>
    </w:p>
    <w:p>
      <w:pPr>
        <w:pStyle w:val="Heading2"/>
      </w:pPr>
      <w:bookmarkStart w:id="1523" w:name="_Toc72643544"/>
      <w:bookmarkStart w:id="1524" w:name="_Toc89596509"/>
      <w:bookmarkStart w:id="1525" w:name="_Toc91303237"/>
      <w:bookmarkStart w:id="1526" w:name="_Toc92701346"/>
      <w:bookmarkStart w:id="1527" w:name="_Toc96997071"/>
      <w:bookmarkStart w:id="1528" w:name="_Toc98833582"/>
      <w:bookmarkStart w:id="1529" w:name="_Toc99166190"/>
      <w:bookmarkStart w:id="1530" w:name="_Toc100021849"/>
      <w:bookmarkStart w:id="1531" w:name="_Toc100562203"/>
      <w:bookmarkStart w:id="1532" w:name="_Toc100562578"/>
      <w:bookmarkStart w:id="1533" w:name="_Toc102373596"/>
      <w:bookmarkStart w:id="1534" w:name="_Toc102536257"/>
      <w:bookmarkStart w:id="1535" w:name="_Toc102899501"/>
      <w:bookmarkStart w:id="1536" w:name="_Toc107197979"/>
      <w:bookmarkStart w:id="1537" w:name="_Toc116713409"/>
      <w:bookmarkStart w:id="1538" w:name="_Toc116813118"/>
      <w:bookmarkStart w:id="1539" w:name="_Toc121566657"/>
      <w:bookmarkStart w:id="1540" w:name="_Toc124125543"/>
      <w:bookmarkStart w:id="1541" w:name="_Toc124140993"/>
      <w:bookmarkStart w:id="1542" w:name="_Toc139362775"/>
      <w:bookmarkStart w:id="1543" w:name="_Toc139685972"/>
      <w:bookmarkStart w:id="1544" w:name="_Toc154197333"/>
      <w:bookmarkStart w:id="1545" w:name="_Toc158003723"/>
      <w:bookmarkStart w:id="1546" w:name="_Toc163273949"/>
      <w:bookmarkStart w:id="1547" w:name="_Toc163361932"/>
      <w:bookmarkStart w:id="1548" w:name="_Toc172965431"/>
      <w:bookmarkStart w:id="1549" w:name="_Toc172965632"/>
      <w:r>
        <w:rPr>
          <w:rStyle w:val="CharPartNo"/>
        </w:rPr>
        <w:t>Part XI</w:t>
      </w:r>
      <w:r>
        <w:rPr>
          <w:rStyle w:val="CharDivNo"/>
        </w:rPr>
        <w:t> </w:t>
      </w:r>
      <w:r>
        <w:t>—</w:t>
      </w:r>
      <w:r>
        <w:rPr>
          <w:rStyle w:val="CharDivText"/>
        </w:rPr>
        <w:t> </w:t>
      </w:r>
      <w:r>
        <w:rPr>
          <w:rStyle w:val="CharPartText"/>
        </w:rPr>
        <w:t>Savings and transitional</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r>
        <w:rPr>
          <w:rStyle w:val="CharPartText"/>
        </w:rPr>
        <w:t xml:space="preserve"> </w:t>
      </w:r>
    </w:p>
    <w:p>
      <w:pPr>
        <w:pStyle w:val="Heading5"/>
        <w:rPr>
          <w:snapToGrid w:val="0"/>
        </w:rPr>
      </w:pPr>
      <w:bookmarkStart w:id="1550" w:name="_Toc480623862"/>
      <w:bookmarkStart w:id="1551" w:name="_Toc520177896"/>
      <w:bookmarkStart w:id="1552" w:name="_Toc102899502"/>
      <w:bookmarkStart w:id="1553" w:name="_Toc124125544"/>
      <w:bookmarkStart w:id="1554" w:name="_Toc172965633"/>
      <w:bookmarkStart w:id="1555" w:name="_Toc163361933"/>
      <w:r>
        <w:rPr>
          <w:rStyle w:val="CharSectno"/>
        </w:rPr>
        <w:t>146</w:t>
      </w:r>
      <w:r>
        <w:rPr>
          <w:snapToGrid w:val="0"/>
        </w:rPr>
        <w:t>.</w:t>
      </w:r>
      <w:r>
        <w:rPr>
          <w:snapToGrid w:val="0"/>
        </w:rPr>
        <w:tab/>
        <w:t>Modifications of other Parts</w:t>
      </w:r>
      <w:bookmarkEnd w:id="1550"/>
      <w:bookmarkEnd w:id="1551"/>
      <w:bookmarkEnd w:id="1552"/>
      <w:bookmarkEnd w:id="1553"/>
      <w:bookmarkEnd w:id="1554"/>
      <w:bookmarkEnd w:id="1555"/>
      <w:r>
        <w:rPr>
          <w:snapToGrid w:val="0"/>
        </w:rPr>
        <w:t xml:space="preserve"> </w:t>
      </w:r>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1556" w:name="_Toc480623863"/>
      <w:bookmarkStart w:id="1557" w:name="_Toc520177897"/>
      <w:bookmarkStart w:id="1558" w:name="_Toc102899503"/>
      <w:bookmarkStart w:id="1559" w:name="_Toc124125545"/>
      <w:bookmarkStart w:id="1560" w:name="_Toc172965634"/>
      <w:bookmarkStart w:id="1561" w:name="_Toc163361934"/>
      <w:r>
        <w:rPr>
          <w:rStyle w:val="CharSectno"/>
        </w:rPr>
        <w:t>147</w:t>
      </w:r>
      <w:r>
        <w:rPr>
          <w:snapToGrid w:val="0"/>
        </w:rPr>
        <w:t>.</w:t>
      </w:r>
      <w:r>
        <w:rPr>
          <w:snapToGrid w:val="0"/>
        </w:rPr>
        <w:tab/>
      </w:r>
      <w:r>
        <w:rPr>
          <w:i/>
          <w:snapToGrid w:val="0"/>
        </w:rPr>
        <w:t>Interpretation Act 1918</w:t>
      </w:r>
      <w:r>
        <w:rPr>
          <w:snapToGrid w:val="0"/>
        </w:rPr>
        <w:t xml:space="preserve"> not affected</w:t>
      </w:r>
      <w:bookmarkEnd w:id="1556"/>
      <w:bookmarkEnd w:id="1557"/>
      <w:bookmarkEnd w:id="1558"/>
      <w:bookmarkEnd w:id="1559"/>
      <w:bookmarkEnd w:id="1560"/>
      <w:bookmarkEnd w:id="1561"/>
      <w:r>
        <w:rPr>
          <w:snapToGrid w:val="0"/>
        </w:rPr>
        <w:t xml:space="preserve"> </w:t>
      </w:r>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snapToGrid w:val="0"/>
        </w:rPr>
        <w:t> </w:t>
      </w:r>
      <w:r>
        <w:rPr>
          <w:snapToGrid w:val="0"/>
          <w:vertAlign w:val="superscript"/>
        </w:rPr>
        <w:t>5</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562" w:name="_Toc102899504"/>
      <w:bookmarkStart w:id="1563" w:name="_Toc116713412"/>
    </w:p>
    <w:p>
      <w:pPr>
        <w:pStyle w:val="yScheduleHeading"/>
      </w:pPr>
      <w:bookmarkStart w:id="1564" w:name="_Toc121566660"/>
      <w:bookmarkStart w:id="1565" w:name="_Toc124125546"/>
      <w:bookmarkStart w:id="1566" w:name="_Toc124140996"/>
      <w:bookmarkStart w:id="1567" w:name="_Toc139362778"/>
      <w:bookmarkStart w:id="1568" w:name="_Toc139685975"/>
      <w:bookmarkStart w:id="1569" w:name="_Toc154197336"/>
      <w:bookmarkStart w:id="1570" w:name="_Toc158003726"/>
      <w:bookmarkStart w:id="1571" w:name="_Toc163273952"/>
      <w:bookmarkStart w:id="1572" w:name="_Toc163361935"/>
      <w:bookmarkStart w:id="1573" w:name="_Toc172965434"/>
      <w:bookmarkStart w:id="1574" w:name="_Toc172965635"/>
      <w:r>
        <w:rPr>
          <w:rStyle w:val="CharSchNo"/>
        </w:rPr>
        <w:t>Schedule</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r>
        <w:t xml:space="preserve"> </w:t>
      </w:r>
    </w:p>
    <w:p>
      <w:pPr>
        <w:pStyle w:val="yHeading3"/>
        <w:spacing w:before="160"/>
        <w:outlineLvl w:val="9"/>
        <w:rPr>
          <w:snapToGrid w:val="0"/>
        </w:rPr>
      </w:pPr>
      <w:bookmarkStart w:id="1575" w:name="_Toc102899505"/>
      <w:bookmarkStart w:id="1576" w:name="_Toc124125547"/>
      <w:bookmarkStart w:id="1577" w:name="_Toc124140997"/>
      <w:bookmarkStart w:id="1578" w:name="_Toc139362779"/>
      <w:bookmarkStart w:id="1579" w:name="_Toc139685976"/>
      <w:bookmarkStart w:id="1580" w:name="_Toc154197337"/>
      <w:bookmarkStart w:id="1581" w:name="_Toc158003727"/>
      <w:bookmarkStart w:id="1582" w:name="_Toc163273953"/>
      <w:bookmarkStart w:id="1583" w:name="_Toc163361936"/>
      <w:bookmarkStart w:id="1584" w:name="_Toc172965435"/>
      <w:bookmarkStart w:id="1585" w:name="_Toc172965636"/>
      <w:r>
        <w:rPr>
          <w:snapToGrid w:val="0"/>
        </w:rPr>
        <w:t>Qualifications for grant of licence (s. 27)</w:t>
      </w:r>
      <w:bookmarkEnd w:id="1575"/>
      <w:bookmarkEnd w:id="1576"/>
      <w:bookmarkEnd w:id="1577"/>
      <w:bookmarkEnd w:id="1578"/>
      <w:bookmarkEnd w:id="1579"/>
      <w:bookmarkEnd w:id="1580"/>
      <w:bookmarkEnd w:id="1581"/>
      <w:bookmarkEnd w:id="1582"/>
      <w:bookmarkEnd w:id="1583"/>
      <w:bookmarkEnd w:id="1584"/>
      <w:bookmarkEnd w:id="1585"/>
    </w:p>
    <w:p>
      <w:pPr>
        <w:pStyle w:val="ySubsection"/>
        <w:rPr>
          <w:snapToGrid w:val="0"/>
        </w:rPr>
      </w:pPr>
      <w:r>
        <w:rPr>
          <w:snapToGrid w:val="0"/>
        </w:rPr>
        <w:tab/>
        <w:t>1.</w:t>
      </w:r>
      <w:r>
        <w:rPr>
          <w:snapToGrid w:val="0"/>
        </w:rPr>
        <w:tab/>
        <w:t>A person — </w:t>
      </w:r>
    </w:p>
    <w:p>
      <w:pPr>
        <w:pStyle w:val="yIndenta"/>
        <w:spacing w:before="60"/>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w:t>
      </w:r>
    </w:p>
    <w:p>
      <w:pPr>
        <w:pStyle w:val="yIndenta"/>
        <w:spacing w:before="60"/>
        <w:rPr>
          <w:snapToGrid w:val="0"/>
        </w:rPr>
      </w:pPr>
      <w:r>
        <w:rPr>
          <w:snapToGrid w:val="0"/>
        </w:rPr>
        <w:tab/>
        <w:t>(b)</w:t>
      </w:r>
      <w:r>
        <w:rPr>
          <w:snapToGrid w:val="0"/>
        </w:rPr>
        <w:tab/>
        <w:t>who has within a period of 5 years immediately preceding his application — </w:t>
      </w:r>
    </w:p>
    <w:p>
      <w:pPr>
        <w:pStyle w:val="yIndenti0"/>
        <w:spacing w:before="6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spacing w:before="60"/>
        <w:rPr>
          <w:snapToGrid w:val="0"/>
        </w:rPr>
      </w:pPr>
      <w:r>
        <w:rPr>
          <w:snapToGrid w:val="0"/>
        </w:rPr>
        <w:tab/>
        <w:t>(ii)</w:t>
      </w:r>
      <w:r>
        <w:rPr>
          <w:snapToGrid w:val="0"/>
        </w:rPr>
        <w:tab/>
        <w:t>in that State or Territory for a period of at least 2 years acted as and carried out the functions of an agent,</w:t>
      </w:r>
    </w:p>
    <w:p>
      <w:pPr>
        <w:pStyle w:val="yIndenta"/>
        <w:spacing w:before="60"/>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w:t>
      </w:r>
    </w:p>
    <w:p>
      <w:pPr>
        <w:pStyle w:val="yIndenta"/>
        <w:spacing w:before="60"/>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spacing w:before="60"/>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 xml:space="preserve">[Clause 1 amended by No. 74 of 1980 s. 13(a); No. 28 of 2003 s. 177(1).] </w:t>
      </w:r>
    </w:p>
    <w:p>
      <w:pPr>
        <w:pStyle w:val="ySubsection"/>
        <w:rPr>
          <w:snapToGrid w:val="0"/>
        </w:rPr>
      </w:pPr>
      <w:r>
        <w:rPr>
          <w:snapToGrid w:val="0"/>
        </w:rPr>
        <w:tab/>
        <w:t>2.</w:t>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 </w:t>
      </w:r>
    </w:p>
    <w:p>
      <w:pPr>
        <w:pStyle w:val="yIndenta"/>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MiscellaneousHeading"/>
        <w:rPr>
          <w:i/>
          <w:snapToGrid w:val="0"/>
        </w:rPr>
      </w:pPr>
      <w:r>
        <w:rPr>
          <w:i/>
          <w:snapToGrid w:val="0"/>
        </w:rPr>
        <w:t>Licence by reason of qualification under clause 1(c)</w:t>
      </w:r>
    </w:p>
    <w:p>
      <w:pPr>
        <w:pStyle w:val="ySubsection"/>
        <w:rPr>
          <w:snapToGrid w:val="0"/>
        </w:rPr>
      </w:pPr>
      <w:r>
        <w:rPr>
          <w:snapToGrid w:val="0"/>
        </w:rPr>
        <w:tab/>
        <w:t>3.</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rPr>
          <w:i/>
          <w:snapToGrid w:val="0"/>
        </w:rPr>
      </w:pPr>
      <w:r>
        <w:rPr>
          <w:i/>
          <w:snapToGrid w:val="0"/>
        </w:rPr>
        <w:t>Licence by reason of qualification under clause 1(d)</w:t>
      </w:r>
    </w:p>
    <w:p>
      <w:pPr>
        <w:pStyle w:val="ySubsection"/>
        <w:rPr>
          <w:snapToGrid w:val="0"/>
        </w:rPr>
      </w:pPr>
      <w:r>
        <w:rPr>
          <w:snapToGrid w:val="0"/>
        </w:rPr>
        <w:tab/>
        <w:t>4.</w:t>
      </w:r>
      <w:r>
        <w:rPr>
          <w:snapToGrid w:val="0"/>
        </w:rPr>
        <w:tab/>
        <w:t xml:space="preserve">Such a licence </w:t>
      </w:r>
      <w:r>
        <w:t>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r>
        <w:tab/>
        <w:t xml:space="preserve">[Clause 4 amended by No. 28 of 2003 s. 177(2).] </w:t>
      </w:r>
    </w:p>
    <w:p>
      <w:pPr>
        <w:pStyle w:val="yMiscellaneousHeading"/>
        <w:rPr>
          <w:i/>
          <w:snapToGrid w:val="0"/>
        </w:rPr>
      </w:pPr>
      <w:r>
        <w:rPr>
          <w:i/>
          <w:snapToGrid w:val="0"/>
        </w:rPr>
        <w:t>Death or incapacity of agent</w:t>
      </w:r>
    </w:p>
    <w:p>
      <w:pPr>
        <w:pStyle w:val="ySubsection"/>
        <w:tabs>
          <w:tab w:val="clear" w:pos="879"/>
          <w:tab w:val="right" w:pos="1332"/>
        </w:tabs>
        <w:ind w:left="1616" w:hanging="1616"/>
        <w:rPr>
          <w:snapToGrid w:val="0"/>
        </w:rPr>
      </w:pPr>
      <w:r>
        <w:rPr>
          <w:snapToGrid w:val="0"/>
        </w:rPr>
        <w:tab/>
        <w:t>5.</w:t>
      </w:r>
      <w:r>
        <w:rPr>
          <w:snapToGrid w:val="0"/>
        </w:rPr>
        <w:tab/>
        <w:t>(1)</w:t>
      </w:r>
      <w:r>
        <w:rPr>
          <w:snapToGrid w:val="0"/>
        </w:rPr>
        <w:tab/>
        <w:t xml:space="preserve">A person who is not — </w:t>
      </w:r>
    </w:p>
    <w:p>
      <w:pPr>
        <w:pStyle w:val="yIndenti0"/>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i0"/>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Indenta"/>
        <w:rPr>
          <w:snapToGrid w:val="0"/>
        </w:rPr>
      </w:pPr>
      <w:r>
        <w:rPr>
          <w:snapToGrid w:val="0"/>
        </w:rPr>
        <w:tab/>
      </w:r>
      <w:r>
        <w:rPr>
          <w:snapToGrid w:val="0"/>
        </w:rPr>
        <w:tab/>
        <w:t>may, with the written permission of the Registrar, conduct the business of that licensee for such period not exceeding 3 months as is specified in the written permission notwithstanding that he is not otherwise qualified to hold a licence.</w:t>
      </w:r>
    </w:p>
    <w:p>
      <w:pPr>
        <w:pStyle w:val="yIndenta"/>
        <w:rPr>
          <w:snapToGrid w:val="0"/>
        </w:rPr>
      </w:pPr>
      <w:r>
        <w:rPr>
          <w:snapToGrid w:val="0"/>
        </w:rPr>
        <w:tab/>
        <w:t>(2)</w:t>
      </w:r>
      <w:r>
        <w:rPr>
          <w:snapToGrid w:val="0"/>
        </w:rPr>
        <w:tab/>
        <w:t>The Registrar shall not give his written permission for the purposes of subclause (1) unless — </w:t>
      </w:r>
    </w:p>
    <w:p>
      <w:pPr>
        <w:pStyle w:val="yIndenti0"/>
        <w:rPr>
          <w:snapToGrid w:val="0"/>
        </w:rPr>
      </w:pPr>
      <w:r>
        <w:rPr>
          <w:snapToGrid w:val="0"/>
        </w:rPr>
        <w:tab/>
        <w:t>(a)</w:t>
      </w:r>
      <w:r>
        <w:rPr>
          <w:snapToGrid w:val="0"/>
        </w:rPr>
        <w:tab/>
        <w:t>the Registrar receives an application in writing signed by the person seeking to carry on the business; and</w:t>
      </w:r>
    </w:p>
    <w:p>
      <w:pPr>
        <w:pStyle w:val="yIndenti0"/>
        <w:rPr>
          <w:snapToGrid w:val="0"/>
        </w:rPr>
      </w:pPr>
      <w:r>
        <w:rPr>
          <w:snapToGrid w:val="0"/>
        </w:rPr>
        <w:tab/>
        <w:t>(b)</w:t>
      </w:r>
      <w:r>
        <w:rPr>
          <w:snapToGrid w:val="0"/>
        </w:rPr>
        <w:tab/>
        <w:t>the Registrar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Indenta"/>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 xml:space="preserve">[Clause 5 amended by No. 28 of 2003 s. 177(3).] </w:t>
      </w:r>
    </w:p>
    <w:p>
      <w:pPr>
        <w:pStyle w:val="yMiscellaneousHeading"/>
        <w:rPr>
          <w:i/>
          <w:snapToGrid w:val="0"/>
        </w:rPr>
      </w:pPr>
      <w:r>
        <w:rPr>
          <w:i/>
          <w:snapToGrid w:val="0"/>
        </w:rPr>
        <w:t>Death or withdrawal of partner in a firm or director of a body corporate</w:t>
      </w:r>
    </w:p>
    <w:p>
      <w:pPr>
        <w:pStyle w:val="yFootnotesection"/>
      </w:pPr>
      <w:r>
        <w:tab/>
        <w:t xml:space="preserve">[Heading amended by No. 74 of 1980 s. 13(b).] </w:t>
      </w:r>
    </w:p>
    <w:p>
      <w:pPr>
        <w:pStyle w:val="ySubsection"/>
        <w:tabs>
          <w:tab w:val="clear" w:pos="879"/>
          <w:tab w:val="left" w:pos="1091"/>
        </w:tabs>
        <w:ind w:left="1622" w:hanging="1622"/>
        <w:rPr>
          <w:snapToGrid w:val="0"/>
        </w:rPr>
      </w:pPr>
      <w:r>
        <w:rPr>
          <w:snapToGrid w:val="0"/>
        </w:rPr>
        <w:tab/>
        <w:t>6.</w:t>
      </w:r>
      <w:r>
        <w:rPr>
          <w:snapToGrid w:val="0"/>
        </w:rPr>
        <w:tab/>
        <w:t>(1)</w:t>
      </w:r>
      <w:r>
        <w:rPr>
          <w:snapToGrid w:val="0"/>
        </w:rPr>
        <w:tab/>
        <w:t>Where a firm or body corporate is licensed and the holder of a current triennial certificate but subsequently by reason of a death or withdrawal it ceases to be qualified in terms of section 28(c) and (d) or section 29(c) and (d), the firm or body corporate shall immediately give to the Registrar written notice to that effect, and the firm or body corporate may, on such terms as the Board may notify to the firm or body corporate, carry on business for a period of 3 months after the death or withdrawal or until other arrangements are made to comply with the Act, whichever is the sooner.</w:t>
      </w:r>
    </w:p>
    <w:p>
      <w:pPr>
        <w:pStyle w:val="yIndenta"/>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 xml:space="preserve">[Clause 6 amended by No. 74 of 1980 s. 13(c).] </w:t>
      </w:r>
    </w:p>
    <w:p>
      <w:pPr>
        <w:pStyle w:val="yHeading3"/>
        <w:outlineLvl w:val="9"/>
        <w:rPr>
          <w:snapToGrid w:val="0"/>
        </w:rPr>
      </w:pPr>
      <w:bookmarkStart w:id="1586" w:name="_Toc102899506"/>
      <w:bookmarkStart w:id="1587" w:name="_Toc124125548"/>
      <w:bookmarkStart w:id="1588" w:name="_Toc124140998"/>
      <w:bookmarkStart w:id="1589" w:name="_Toc139362780"/>
      <w:bookmarkStart w:id="1590" w:name="_Toc139685977"/>
      <w:bookmarkStart w:id="1591" w:name="_Toc154197338"/>
      <w:bookmarkStart w:id="1592" w:name="_Toc158003728"/>
      <w:bookmarkStart w:id="1593" w:name="_Toc163273954"/>
      <w:bookmarkStart w:id="1594" w:name="_Toc163361937"/>
      <w:bookmarkStart w:id="1595" w:name="_Toc172965436"/>
      <w:bookmarkStart w:id="1596" w:name="_Toc172965637"/>
      <w:r>
        <w:rPr>
          <w:snapToGrid w:val="0"/>
        </w:rPr>
        <w:t>Savings</w:t>
      </w:r>
      <w:bookmarkEnd w:id="1586"/>
      <w:bookmarkEnd w:id="1587"/>
      <w:bookmarkEnd w:id="1588"/>
      <w:bookmarkEnd w:id="1589"/>
      <w:bookmarkEnd w:id="1590"/>
      <w:bookmarkEnd w:id="1591"/>
      <w:bookmarkEnd w:id="1592"/>
      <w:bookmarkEnd w:id="1593"/>
      <w:bookmarkEnd w:id="1594"/>
      <w:bookmarkEnd w:id="1595"/>
      <w:bookmarkEnd w:id="1596"/>
    </w:p>
    <w:p>
      <w:pPr>
        <w:pStyle w:val="yMiscellaneousHeading"/>
        <w:rPr>
          <w:i/>
          <w:snapToGrid w:val="0"/>
        </w:rPr>
      </w:pPr>
      <w:r>
        <w:rPr>
          <w:i/>
          <w:snapToGrid w:val="0"/>
        </w:rPr>
        <w:t>Continuation of licences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7.</w:t>
      </w:r>
      <w:r>
        <w:rPr>
          <w:snapToGrid w:val="0"/>
        </w:rPr>
        <w:tab/>
        <w:t>(1)</w:t>
      </w:r>
      <w:r>
        <w:rPr>
          <w:snapToGrid w:val="0"/>
        </w:rPr>
        <w:tab/>
        <w:t>Licences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under this Act and as if the licensees were qualified under this Act, and the Board shall, on receipt of an application signed by the licensee, and without payment of any fee by him, grant a triennial certificate in respect of the licence and approve the appointment of an auditor for the business of that licensee, and the triennial certificate shall, subject to this Act, expire on the day the licence under the repealed Act </w:t>
      </w:r>
      <w:r>
        <w:rPr>
          <w:snapToGrid w:val="0"/>
          <w:vertAlign w:val="superscript"/>
        </w:rPr>
        <w:t>4</w:t>
      </w:r>
      <w:r>
        <w:rPr>
          <w:snapToGrid w:val="0"/>
        </w:rPr>
        <w:t xml:space="preserve"> would have expired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In respect of a firm or a body corporate on behalf of which a licence was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subclause (1) shall be applied so that both the person who held the licence and the firm or body corporate — </w:t>
      </w:r>
    </w:p>
    <w:p>
      <w:pPr>
        <w:pStyle w:val="yIndenti0"/>
        <w:rPr>
          <w:snapToGrid w:val="0"/>
        </w:rPr>
      </w:pPr>
      <w:r>
        <w:rPr>
          <w:snapToGrid w:val="0"/>
        </w:rPr>
        <w:tab/>
        <w:t>(a)</w:t>
      </w:r>
      <w:r>
        <w:rPr>
          <w:snapToGrid w:val="0"/>
        </w:rPr>
        <w:tab/>
        <w:t>are licensed under this Act as if they were qualified under it; and</w:t>
      </w:r>
    </w:p>
    <w:p>
      <w:pPr>
        <w:pStyle w:val="yIndenti0"/>
        <w:rPr>
          <w:snapToGrid w:val="0"/>
        </w:rPr>
      </w:pPr>
      <w:r>
        <w:rPr>
          <w:snapToGrid w:val="0"/>
        </w:rPr>
        <w:tab/>
        <w:t>(b)</w:t>
      </w:r>
      <w:r>
        <w:rPr>
          <w:snapToGrid w:val="0"/>
        </w:rPr>
        <w:tab/>
        <w:t>on application pursuant to that subclause, shall be granted a triennial certificate which shall expire as provided in that subclause,</w:t>
      </w:r>
    </w:p>
    <w:p>
      <w:pPr>
        <w:pStyle w:val="yIndenta"/>
        <w:rPr>
          <w:snapToGrid w:val="0"/>
        </w:rPr>
      </w:pPr>
      <w:r>
        <w:rPr>
          <w:snapToGrid w:val="0"/>
        </w:rPr>
        <w:tab/>
      </w:r>
      <w:r>
        <w:rPr>
          <w:snapToGrid w:val="0"/>
        </w:rPr>
        <w:tab/>
        <w:t>and so that the appointment of an auditor for the business of the firm or body corporate shall be approved.</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Contributions made to the Land Agents Fidelity Guarantee Fund under the repealed Act </w:t>
      </w:r>
      <w:r>
        <w:rPr>
          <w:snapToGrid w:val="0"/>
          <w:vertAlign w:val="superscript"/>
        </w:rPr>
        <w:t>4</w:t>
      </w:r>
      <w:r>
        <w:rPr>
          <w:snapToGrid w:val="0"/>
        </w:rPr>
        <w:t xml:space="preserve"> in respect of licences that have been continued under this clause shall be credited to the licensee, and in the case of a firm or body corporate, to both the person who held the licence under the repealed Act </w:t>
      </w:r>
      <w:r>
        <w:rPr>
          <w:snapToGrid w:val="0"/>
          <w:vertAlign w:val="superscript"/>
        </w:rPr>
        <w:t>4</w:t>
      </w:r>
      <w:r>
        <w:rPr>
          <w:snapToGrid w:val="0"/>
        </w:rPr>
        <w:t xml:space="preserve"> and to the firm or the body corporate, as if the contributions were made to the Real Estate and Business Agents Fidelity Guarantee Fund under this Act.</w:t>
      </w:r>
    </w:p>
    <w:p>
      <w:pPr>
        <w:pStyle w:val="yMiscellaneousHeading"/>
        <w:rPr>
          <w:i/>
          <w:snapToGrid w:val="0"/>
        </w:rPr>
      </w:pPr>
      <w:r>
        <w:rPr>
          <w:i/>
          <w:snapToGrid w:val="0"/>
        </w:rPr>
        <w:t>Pastoral companies</w:t>
      </w:r>
    </w:p>
    <w:p>
      <w:pPr>
        <w:pStyle w:val="ySubsection"/>
        <w:tabs>
          <w:tab w:val="clear" w:pos="879"/>
          <w:tab w:val="left" w:pos="1091"/>
        </w:tabs>
        <w:ind w:left="1622" w:hanging="1622"/>
        <w:rPr>
          <w:snapToGrid w:val="0"/>
        </w:rPr>
      </w:pPr>
      <w:r>
        <w:rPr>
          <w:snapToGrid w:val="0"/>
        </w:rPr>
        <w:tab/>
        <w:t>8.</w:t>
      </w: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i0"/>
        <w:rPr>
          <w:snapToGrid w:val="0"/>
        </w:rPr>
      </w:pPr>
      <w:r>
        <w:rPr>
          <w:snapToGrid w:val="0"/>
        </w:rPr>
        <w:tab/>
        <w:t>(a)</w:t>
      </w:r>
      <w:r>
        <w:rPr>
          <w:snapToGrid w:val="0"/>
        </w:rPr>
        <w:tab/>
        <w:t>section 29(c) and (d); and</w:t>
      </w:r>
    </w:p>
    <w:p>
      <w:pPr>
        <w:pStyle w:val="yIndenti0"/>
        <w:rPr>
          <w:snapToGrid w:val="0"/>
        </w:rPr>
      </w:pPr>
      <w:r>
        <w:rPr>
          <w:snapToGrid w:val="0"/>
        </w:rPr>
        <w:tab/>
        <w:t>(b)</w:t>
      </w:r>
      <w:r>
        <w:rPr>
          <w:snapToGrid w:val="0"/>
        </w:rPr>
        <w:tab/>
        <w:t>section 37(2) and section 41,</w:t>
      </w:r>
    </w:p>
    <w:p>
      <w:pPr>
        <w:pStyle w:val="yIndenta"/>
        <w:rPr>
          <w:snapToGrid w:val="0"/>
        </w:rPr>
      </w:pPr>
      <w:r>
        <w:rPr>
          <w:snapToGrid w:val="0"/>
        </w:rPr>
        <w:tab/>
      </w:r>
      <w:r>
        <w:rPr>
          <w:snapToGrid w:val="0"/>
        </w:rPr>
        <w:tab/>
        <w:t>if, and only if, it complies with the requirements of subclause (3).</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A pastoral company to which this clause applies shall establish and maintain a Real Estate and Business Agent’s Section specified as such and — </w:t>
      </w:r>
    </w:p>
    <w:p>
      <w:pPr>
        <w:pStyle w:val="yIndenti0"/>
        <w:rPr>
          <w:snapToGrid w:val="0"/>
        </w:rPr>
      </w:pPr>
      <w:r>
        <w:rPr>
          <w:snapToGrid w:val="0"/>
        </w:rPr>
        <w:tab/>
        <w:t>(a)</w:t>
      </w:r>
      <w:r>
        <w:rPr>
          <w:snapToGrid w:val="0"/>
        </w:rPr>
        <w:tab/>
        <w:t>on and after 1 April 1982 that Real Estate and Business Agent’s Section shall have a manager who is a licensee and the holder of a current triennial certificate;</w:t>
      </w:r>
    </w:p>
    <w:p>
      <w:pPr>
        <w:pStyle w:val="yIndenti0"/>
        <w:rPr>
          <w:snapToGrid w:val="0"/>
        </w:rPr>
      </w:pPr>
      <w:r>
        <w:rPr>
          <w:snapToGrid w:val="0"/>
        </w:rPr>
        <w:tab/>
        <w:t>(b)</w:t>
      </w:r>
      <w:r>
        <w:rPr>
          <w:snapToGrid w:val="0"/>
        </w:rPr>
        <w:tab/>
        <w:t>on and after 1 April 1983, the company shall have as the manager of — </w:t>
      </w:r>
    </w:p>
    <w:p>
      <w:pPr>
        <w:pStyle w:val="yIndentA0"/>
        <w:tabs>
          <w:tab w:val="clear" w:pos="3686"/>
          <w:tab w:val="clear" w:pos="3969"/>
          <w:tab w:val="right" w:pos="2552"/>
          <w:tab w:val="left" w:pos="2977"/>
        </w:tabs>
        <w:ind w:left="2977" w:hanging="2977"/>
        <w:rPr>
          <w:snapToGrid w:val="0"/>
        </w:rPr>
      </w:pPr>
      <w:r>
        <w:rPr>
          <w:snapToGrid w:val="0"/>
        </w:rPr>
        <w:tab/>
        <w:t>(i)</w:t>
      </w:r>
      <w:r>
        <w:rPr>
          <w:snapToGrid w:val="0"/>
        </w:rPr>
        <w:tab/>
        <w:t>each branch office of the company within the metropolitan region at which transactions are negotiated or controlled; and</w:t>
      </w:r>
    </w:p>
    <w:p>
      <w:pPr>
        <w:pStyle w:val="yIndentA0"/>
        <w:tabs>
          <w:tab w:val="clear" w:pos="3686"/>
          <w:tab w:val="clear" w:pos="3969"/>
          <w:tab w:val="right" w:pos="2552"/>
          <w:tab w:val="left" w:pos="2977"/>
        </w:tabs>
        <w:ind w:left="2977" w:hanging="2977"/>
        <w:rPr>
          <w:snapToGrid w:val="0"/>
        </w:rPr>
      </w:pPr>
      <w:r>
        <w:rPr>
          <w:snapToGrid w:val="0"/>
        </w:rPr>
        <w:tab/>
        <w:t>(ii)</w:t>
      </w:r>
      <w:r>
        <w:rPr>
          <w:snapToGrid w:val="0"/>
        </w:rPr>
        <w:tab/>
        <w:t xml:space="preserve">each branch office of the company outside the metropolitan region which, in the opinion of the Board, is engaged substantially in the negotiation and control of transactions other than those involving rural and agricultural properties, </w:t>
      </w:r>
    </w:p>
    <w:p>
      <w:pPr>
        <w:pStyle w:val="yIndenti0"/>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w:t>
      </w:r>
    </w:p>
    <w:p>
      <w:pPr>
        <w:pStyle w:val="yIndenti0"/>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i0"/>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 Board, normally in substantial attendance at any one office, another licensee is not required in respect of that office.</w:t>
      </w:r>
    </w:p>
    <w:p>
      <w:pPr>
        <w:pStyle w:val="ySubsection"/>
        <w:tabs>
          <w:tab w:val="clear" w:pos="879"/>
          <w:tab w:val="left" w:pos="1091"/>
        </w:tabs>
        <w:ind w:left="1622" w:hanging="1622"/>
        <w:rPr>
          <w:snapToGrid w:val="0"/>
        </w:rPr>
      </w:pPr>
      <w:r>
        <w:rPr>
          <w:snapToGrid w:val="0"/>
        </w:rPr>
        <w:tab/>
      </w:r>
      <w:r>
        <w:rPr>
          <w:snapToGrid w:val="0"/>
        </w:rPr>
        <w:tab/>
        <w:t>(4)</w:t>
      </w:r>
      <w:r>
        <w:rPr>
          <w:snapToGrid w:val="0"/>
        </w:rPr>
        <w:tab/>
        <w:t xml:space="preserve">In subclause (3)(b) </w:t>
      </w:r>
      <w:r>
        <w:rPr>
          <w:b/>
          <w:snapToGrid w:val="0"/>
        </w:rPr>
        <w:t>“</w:t>
      </w:r>
      <w:r>
        <w:rPr>
          <w:rStyle w:val="CharDefText"/>
        </w:rPr>
        <w:t>metropolitan region</w:t>
      </w:r>
      <w:r>
        <w:rPr>
          <w:b/>
          <w:snapToGrid w:val="0"/>
        </w:rPr>
        <w:t>”</w:t>
      </w:r>
      <w:r>
        <w:rPr>
          <w:snapToGrid w:val="0"/>
        </w:rPr>
        <w:t xml:space="preserve"> means that part of the State that comprised the metropolitan region within the meaning of the </w:t>
      </w:r>
      <w:r>
        <w:rPr>
          <w:i/>
          <w:snapToGrid w:val="0"/>
        </w:rPr>
        <w:t>Town Planning and Development Act 1928</w:t>
      </w:r>
      <w:r>
        <w:rPr>
          <w:snapToGrid w:val="0"/>
        </w:rPr>
        <w:t xml:space="preserve"> as amended and in force on the date on which this clause came into operation.</w:t>
      </w:r>
    </w:p>
    <w:p>
      <w:pPr>
        <w:pStyle w:val="yFootnotesection"/>
      </w:pPr>
      <w:r>
        <w:tab/>
        <w:t xml:space="preserve">[Clause 8 amended by No. 74 of 1980 s. 13(d).] </w:t>
      </w:r>
    </w:p>
    <w:p>
      <w:pPr>
        <w:pStyle w:val="yEdnotesection"/>
        <w:outlineLvl w:val="9"/>
      </w:pPr>
      <w:r>
        <w:t>[9, 10.</w:t>
      </w:r>
      <w:r>
        <w:tab/>
        <w:t>Omitted under the Reprints Act 1984 s. 7(4)(e).]</w:t>
      </w:r>
    </w:p>
    <w:p>
      <w:pPr>
        <w:pStyle w:val="yMiscellaneousHeading"/>
        <w:rPr>
          <w:i/>
          <w:snapToGrid w:val="0"/>
        </w:rPr>
      </w:pPr>
      <w:r>
        <w:rPr>
          <w:i/>
          <w:snapToGrid w:val="0"/>
        </w:rPr>
        <w:t>Persons of a kind referred to in section 4(3)(v)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11.</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rPr>
          <w:i/>
          <w:snapToGrid w:val="0"/>
        </w:rPr>
      </w:pPr>
      <w:r>
        <w:rPr>
          <w:i/>
          <w:snapToGrid w:val="0"/>
        </w:rPr>
        <w:t>Persons of a kind referred to in section 4(3)(vi)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12.</w:t>
      </w:r>
      <w:r>
        <w:rPr>
          <w:snapToGrid w:val="0"/>
        </w:rPr>
        <w:tab/>
        <w:t>Such a licence shall be effective only for the period it would have continued to be effective if the repealed Act </w:t>
      </w:r>
      <w:r>
        <w:rPr>
          <w:snapToGrid w:val="0"/>
          <w:vertAlign w:val="superscript"/>
        </w:rPr>
        <w:t>4</w:t>
      </w:r>
      <w:r>
        <w:rPr>
          <w:snapToGrid w:val="0"/>
        </w:rPr>
        <w:t xml:space="preserve"> had remained in force.</w:t>
      </w:r>
    </w:p>
    <w:p>
      <w:pPr>
        <w:pStyle w:val="yMiscellaneousHeading"/>
        <w:rPr>
          <w:i/>
          <w:snapToGrid w:val="0"/>
        </w:rPr>
      </w:pPr>
      <w:r>
        <w:rPr>
          <w:i/>
          <w:snapToGrid w:val="0"/>
        </w:rPr>
        <w:t>Auctions in respect of real estate transactions</w:t>
      </w:r>
    </w:p>
    <w:p>
      <w:pPr>
        <w:pStyle w:val="ySubsection"/>
        <w:rPr>
          <w:snapToGrid w:val="0"/>
        </w:rPr>
      </w:pPr>
      <w:r>
        <w:rPr>
          <w:snapToGrid w:val="0"/>
        </w:rPr>
        <w:tab/>
        <w:t>13.</w:t>
      </w:r>
      <w:r>
        <w:rPr>
          <w:snapToGrid w:val="0"/>
        </w:rPr>
        <w:tab/>
        <w:t>On and after the appointed date, such an auction shall only be conducted by a person — </w:t>
      </w:r>
    </w:p>
    <w:p>
      <w:pPr>
        <w:pStyle w:val="yIndenta"/>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rPr>
          <w:i/>
          <w:snapToGrid w:val="0"/>
        </w:rPr>
      </w:pPr>
      <w:r>
        <w:rPr>
          <w:i/>
          <w:snapToGrid w:val="0"/>
        </w:rPr>
        <w:t>Auctions in respect of business transactions not involving a real estate transaction</w:t>
      </w:r>
    </w:p>
    <w:p>
      <w:pPr>
        <w:pStyle w:val="ySubsection"/>
        <w:rPr>
          <w:snapToGrid w:val="0"/>
        </w:rPr>
      </w:pPr>
      <w:r>
        <w:rPr>
          <w:snapToGrid w:val="0"/>
        </w:rPr>
        <w:tab/>
        <w:t>14.</w:t>
      </w:r>
      <w:r>
        <w:rPr>
          <w:snapToGrid w:val="0"/>
        </w:rPr>
        <w:tab/>
        <w:t>On and after the appointed day </w:t>
      </w:r>
      <w:r>
        <w:rPr>
          <w:snapToGrid w:val="0"/>
          <w:vertAlign w:val="superscript"/>
        </w:rPr>
        <w:t>3</w:t>
      </w:r>
      <w:r>
        <w:rPr>
          <w:snapToGrid w:val="0"/>
        </w:rPr>
        <w:t>, such an auction shall only be conducted by a person — </w:t>
      </w:r>
    </w:p>
    <w:p>
      <w:pPr>
        <w:pStyle w:val="yIndenta"/>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rPr>
          <w:i/>
          <w:snapToGrid w:val="0"/>
        </w:rPr>
      </w:pPr>
      <w:r>
        <w:rPr>
          <w:i/>
          <w:snapToGrid w:val="0"/>
        </w:rPr>
        <w:t>Continuation of certificates of registration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15.</w:t>
      </w:r>
      <w:r>
        <w:rPr>
          <w:snapToGrid w:val="0"/>
        </w:rPr>
        <w:tab/>
        <w:t>(1)</w:t>
      </w:r>
      <w:r>
        <w:rPr>
          <w:snapToGrid w:val="0"/>
        </w:rPr>
        <w:tab/>
        <w:t>Any certificate of registration of a land salesman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as a certificate of registration of a sales representative and as if the person registered under the repealed Act </w:t>
      </w:r>
      <w:r>
        <w:rPr>
          <w:snapToGrid w:val="0"/>
          <w:vertAlign w:val="superscript"/>
        </w:rPr>
        <w:t>4</w:t>
      </w:r>
      <w:r>
        <w:rPr>
          <w:snapToGrid w:val="0"/>
        </w:rPr>
        <w:t xml:space="preserve"> was qualified to be registered under this Act and shall, subject to this Act, expire on the day it would have expired under the repealed Act </w:t>
      </w:r>
      <w:r>
        <w:rPr>
          <w:snapToGrid w:val="0"/>
          <w:vertAlign w:val="superscript"/>
        </w:rPr>
        <w:t>4</w:t>
      </w:r>
      <w:r>
        <w:rPr>
          <w:snapToGrid w:val="0"/>
        </w:rPr>
        <w:t xml:space="preserve">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Contributions made to the Land Agents Fidelity Guarantee Fund under the repealed Act </w:t>
      </w:r>
      <w:r>
        <w:rPr>
          <w:snapToGrid w:val="0"/>
          <w:vertAlign w:val="superscript"/>
        </w:rPr>
        <w:t>4</w:t>
      </w:r>
      <w:r>
        <w:rPr>
          <w:snapToGrid w:val="0"/>
        </w:rPr>
        <w:t xml:space="preserve"> in respect of certificates of registration that have been continued under this clause shall be credited to the sales representative as if the contributions were made to the Real Estate and Business Agents Fidelity Guarantee Fund under this Act.</w:t>
      </w:r>
    </w:p>
    <w:p>
      <w:pPr>
        <w:pStyle w:val="yMiscellaneousHeading"/>
        <w:rPr>
          <w:i/>
          <w:snapToGrid w:val="0"/>
        </w:rPr>
      </w:pPr>
      <w:r>
        <w:rPr>
          <w:i/>
          <w:snapToGrid w:val="0"/>
        </w:rPr>
        <w:t>Continuation of certain office managers</w:t>
      </w:r>
    </w:p>
    <w:p>
      <w:pPr>
        <w:pStyle w:val="ySubsection"/>
        <w:tabs>
          <w:tab w:val="clear" w:pos="879"/>
          <w:tab w:val="left" w:pos="1091"/>
        </w:tabs>
        <w:ind w:left="1622" w:hanging="1622"/>
        <w:rPr>
          <w:snapToGrid w:val="0"/>
        </w:rPr>
      </w:pPr>
      <w:r>
        <w:rPr>
          <w:snapToGrid w:val="0"/>
        </w:rPr>
        <w:tab/>
        <w:t>16.</w:t>
      </w:r>
      <w:r>
        <w:rPr>
          <w:snapToGrid w:val="0"/>
        </w:rPr>
        <w:tab/>
        <w:t>(1)</w:t>
      </w:r>
      <w:r>
        <w:rPr>
          <w:snapToGrid w:val="0"/>
        </w:rPr>
        <w:tab/>
        <w:t>Notwithstanding section 37(2), a person, who immediately before the appointed day </w:t>
      </w:r>
      <w:r>
        <w:rPr>
          <w:snapToGrid w:val="0"/>
          <w:vertAlign w:val="superscript"/>
        </w:rPr>
        <w:t>3</w:t>
      </w:r>
      <w:r>
        <w:rPr>
          <w:snapToGrid w:val="0"/>
        </w:rPr>
        <w:t> — </w:t>
      </w:r>
    </w:p>
    <w:p>
      <w:pPr>
        <w:pStyle w:val="yIndenti0"/>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i0"/>
      </w:pPr>
      <w:r>
        <w:tab/>
        <w:t>(b)</w:t>
      </w:r>
      <w:r>
        <w:tab/>
        <w:t>was the manager of a branch office of the business of an agent and had been the manager of such a branch office for a period of not less than one year,</w:t>
      </w:r>
    </w:p>
    <w:p>
      <w:pPr>
        <w:pStyle w:val="ySubsection"/>
        <w:tabs>
          <w:tab w:val="clear" w:pos="879"/>
          <w:tab w:val="left" w:pos="1091"/>
        </w:tabs>
        <w:ind w:left="1622" w:hanging="1622"/>
        <w:rPr>
          <w:snapToGrid w:val="0"/>
        </w:rPr>
      </w:pPr>
      <w:r>
        <w:rPr>
          <w:snapToGrid w:val="0"/>
        </w:rPr>
        <w:tab/>
      </w:r>
      <w:r>
        <w:rPr>
          <w:snapToGrid w:val="0"/>
        </w:rPr>
        <w:tab/>
      </w:r>
      <w:r>
        <w:rPr>
          <w:snapToGrid w:val="0"/>
        </w:rPr>
        <w:tab/>
        <w:t>may be nominated by a licensee as manager of a registered branch of the licensee’s business and may continue to act as such a manager if the Board so approves and the person continues to be registered as a sales representative.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 </w:t>
      </w:r>
    </w:p>
    <w:p>
      <w:pPr>
        <w:pStyle w:val="yIndenti0"/>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i0"/>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 xml:space="preserve">[Clause 16 amended by No. 74 of 1980 s. 13(g).] </w:t>
      </w:r>
    </w:p>
    <w:p>
      <w:pPr>
        <w:pStyle w:val="yEdnotedivision"/>
        <w:outlineLvl w:val="9"/>
      </w:pPr>
      <w:r>
        <w:t>[Heading deleted by No. 55 of 2004 s. 1019.]</w:t>
      </w:r>
    </w:p>
    <w:p>
      <w:pPr>
        <w:pStyle w:val="yEdnotesection"/>
        <w:outlineLvl w:val="9"/>
      </w:pPr>
      <w:r>
        <w:t>[17</w:t>
      </w:r>
      <w:r>
        <w:noBreakHyphen/>
        <w:t>24.</w:t>
      </w:r>
      <w:r>
        <w:tab/>
        <w:t>deleted by No. 55 of 2004 s. 1019.]</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597" w:name="_Toc72643548"/>
      <w:bookmarkStart w:id="1598" w:name="_Toc89596513"/>
      <w:bookmarkStart w:id="1599" w:name="_Toc91303241"/>
      <w:bookmarkStart w:id="1600" w:name="_Toc92701350"/>
      <w:bookmarkStart w:id="1601" w:name="_Toc96997075"/>
      <w:bookmarkStart w:id="1602" w:name="_Toc98833586"/>
      <w:bookmarkStart w:id="1603" w:name="_Toc99166195"/>
      <w:bookmarkStart w:id="1604" w:name="_Toc100021854"/>
      <w:bookmarkStart w:id="1605" w:name="_Toc100562209"/>
      <w:bookmarkStart w:id="1606" w:name="_Toc100562584"/>
      <w:bookmarkStart w:id="1607" w:name="_Toc102373602"/>
      <w:bookmarkStart w:id="1608" w:name="_Toc102536263"/>
      <w:bookmarkStart w:id="1609" w:name="_Toc102899507"/>
      <w:bookmarkStart w:id="1610" w:name="_Toc107197985"/>
      <w:bookmarkStart w:id="1611" w:name="_Toc116713415"/>
    </w:p>
    <w:p>
      <w:pPr>
        <w:pStyle w:val="nHeading2"/>
      </w:pPr>
      <w:bookmarkStart w:id="1612" w:name="_Toc116813124"/>
      <w:bookmarkStart w:id="1613" w:name="_Toc121566663"/>
      <w:bookmarkStart w:id="1614" w:name="_Toc124125549"/>
      <w:bookmarkStart w:id="1615" w:name="_Toc124140999"/>
      <w:bookmarkStart w:id="1616" w:name="_Toc139362781"/>
      <w:bookmarkStart w:id="1617" w:name="_Toc139685978"/>
      <w:bookmarkStart w:id="1618" w:name="_Toc154197339"/>
      <w:bookmarkStart w:id="1619" w:name="_Toc158003729"/>
      <w:bookmarkStart w:id="1620" w:name="_Toc163273955"/>
      <w:bookmarkStart w:id="1621" w:name="_Toc163361938"/>
      <w:bookmarkStart w:id="1622" w:name="_Toc172965437"/>
      <w:bookmarkStart w:id="1623" w:name="_Toc172965638"/>
      <w:r>
        <w:t>Notes</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624" w:name="_Toc102899508"/>
      <w:bookmarkStart w:id="1625" w:name="_Toc124125550"/>
      <w:bookmarkStart w:id="1626" w:name="_Toc172965639"/>
      <w:bookmarkStart w:id="1627" w:name="_Toc163361939"/>
      <w:r>
        <w:rPr>
          <w:snapToGrid w:val="0"/>
        </w:rPr>
        <w:t>Compilation table</w:t>
      </w:r>
      <w:bookmarkEnd w:id="1624"/>
      <w:bookmarkEnd w:id="1625"/>
      <w:bookmarkEnd w:id="1626"/>
      <w:bookmarkEnd w:id="16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Real Estate and Business Agents Act 1978</w:t>
            </w:r>
          </w:p>
        </w:tc>
        <w:tc>
          <w:tcPr>
            <w:tcW w:w="1134" w:type="dxa"/>
          </w:tcPr>
          <w:p>
            <w:pPr>
              <w:pStyle w:val="nTable"/>
              <w:spacing w:after="40"/>
              <w:rPr>
                <w:sz w:val="19"/>
              </w:rPr>
            </w:pPr>
            <w:r>
              <w:rPr>
                <w:sz w:val="19"/>
              </w:rPr>
              <w:t>72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Act other than s. 5, 54, 55, 57</w:t>
            </w:r>
            <w:r>
              <w:rPr>
                <w:sz w:val="19"/>
              </w:rPr>
              <w:noBreakHyphen/>
              <w:t>100, 102</w:t>
            </w:r>
            <w:r>
              <w:rPr>
                <w:sz w:val="19"/>
              </w:rPr>
              <w:noBreakHyphen/>
              <w:t>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sz w:val="19"/>
              </w:rPr>
              <w:t>Gazette</w:t>
            </w:r>
            <w:r>
              <w:rPr>
                <w:sz w:val="19"/>
              </w:rPr>
              <w:t xml:space="preserve"> 31 Aug 1979 p. 2601)</w:t>
            </w:r>
          </w:p>
        </w:tc>
      </w:tr>
      <w:tr>
        <w:trPr>
          <w:cantSplit/>
        </w:trPr>
        <w:tc>
          <w:tcPr>
            <w:tcW w:w="2268" w:type="dxa"/>
          </w:tcPr>
          <w:p>
            <w:pPr>
              <w:pStyle w:val="nTable"/>
              <w:spacing w:after="40"/>
              <w:ind w:right="113"/>
              <w:rPr>
                <w:sz w:val="19"/>
              </w:rPr>
            </w:pPr>
            <w:r>
              <w:rPr>
                <w:i/>
                <w:sz w:val="19"/>
              </w:rPr>
              <w:t>Real Estate and Business Agents Act Amendment Act 1979</w:t>
            </w:r>
          </w:p>
        </w:tc>
        <w:tc>
          <w:tcPr>
            <w:tcW w:w="1134" w:type="dxa"/>
          </w:tcPr>
          <w:p>
            <w:pPr>
              <w:pStyle w:val="nTable"/>
              <w:spacing w:after="40"/>
              <w:rPr>
                <w:sz w:val="19"/>
              </w:rPr>
            </w:pPr>
            <w:r>
              <w:rPr>
                <w:sz w:val="19"/>
              </w:rPr>
              <w:t>74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2268" w:type="dxa"/>
          </w:tcPr>
          <w:p>
            <w:pPr>
              <w:pStyle w:val="nTable"/>
              <w:spacing w:after="40"/>
              <w:ind w:right="113"/>
              <w:rPr>
                <w:sz w:val="19"/>
              </w:rPr>
            </w:pPr>
            <w:r>
              <w:rPr>
                <w:i/>
                <w:sz w:val="19"/>
              </w:rPr>
              <w:t>Real Estate and Business Agents Amendment Act 1980</w:t>
            </w:r>
          </w:p>
        </w:tc>
        <w:tc>
          <w:tcPr>
            <w:tcW w:w="1134" w:type="dxa"/>
          </w:tcPr>
          <w:p>
            <w:pPr>
              <w:pStyle w:val="nTable"/>
              <w:spacing w:after="40"/>
              <w:rPr>
                <w:sz w:val="19"/>
              </w:rPr>
            </w:pPr>
            <w:r>
              <w:rPr>
                <w:sz w:val="19"/>
              </w:rPr>
              <w:t>74 of 1980</w:t>
            </w:r>
          </w:p>
        </w:tc>
        <w:tc>
          <w:tcPr>
            <w:tcW w:w="1134" w:type="dxa"/>
          </w:tcPr>
          <w:p>
            <w:pPr>
              <w:pStyle w:val="nTable"/>
              <w:spacing w:after="40"/>
              <w:rPr>
                <w:sz w:val="19"/>
              </w:rPr>
            </w:pPr>
            <w:r>
              <w:rPr>
                <w:sz w:val="19"/>
              </w:rPr>
              <w:t>5 Dec 1980</w:t>
            </w:r>
          </w:p>
        </w:tc>
        <w:tc>
          <w:tcPr>
            <w:tcW w:w="2551" w:type="dxa"/>
          </w:tcPr>
          <w:p>
            <w:pPr>
              <w:pStyle w:val="nTable"/>
              <w:spacing w:after="40"/>
              <w:rPr>
                <w:sz w:val="19"/>
              </w:rPr>
            </w:pPr>
            <w:r>
              <w:rPr>
                <w:sz w:val="19"/>
              </w:rPr>
              <w:t xml:space="preserve">s. 13: 1 Dec 1980 (see s. 2(2)); </w:t>
            </w:r>
            <w:r>
              <w:rPr>
                <w:sz w:val="19"/>
              </w:rPr>
              <w:br/>
              <w:t>balance: 2 Jan 1981 (see s. 2(1))</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approved 23 Feb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keepNext/>
              <w:keepLines/>
              <w:spacing w:after="40"/>
              <w:ind w:right="113"/>
              <w:rPr>
                <w:sz w:val="19"/>
              </w:rPr>
            </w:pPr>
            <w:r>
              <w:rPr>
                <w:i/>
                <w:sz w:val="19"/>
              </w:rPr>
              <w:t>Real Estate and Business Agents Amendment Act 1982</w:t>
            </w:r>
          </w:p>
        </w:tc>
        <w:tc>
          <w:tcPr>
            <w:tcW w:w="1134" w:type="dxa"/>
          </w:tcPr>
          <w:p>
            <w:pPr>
              <w:pStyle w:val="nTable"/>
              <w:keepNext/>
              <w:keepLines/>
              <w:spacing w:after="40"/>
              <w:rPr>
                <w:sz w:val="19"/>
              </w:rPr>
            </w:pPr>
            <w:r>
              <w:rPr>
                <w:sz w:val="19"/>
              </w:rPr>
              <w:t>29 of 1982</w:t>
            </w:r>
          </w:p>
        </w:tc>
        <w:tc>
          <w:tcPr>
            <w:tcW w:w="1134" w:type="dxa"/>
          </w:tcPr>
          <w:p>
            <w:pPr>
              <w:pStyle w:val="nTable"/>
              <w:keepNext/>
              <w:keepLines/>
              <w:spacing w:after="40"/>
              <w:rPr>
                <w:sz w:val="19"/>
              </w:rPr>
            </w:pPr>
            <w:r>
              <w:rPr>
                <w:sz w:val="19"/>
              </w:rPr>
              <w:t>27 May 1982</w:t>
            </w:r>
          </w:p>
        </w:tc>
        <w:tc>
          <w:tcPr>
            <w:tcW w:w="2551"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68" w:type="dxa"/>
          </w:tcPr>
          <w:p>
            <w:pPr>
              <w:pStyle w:val="nTable"/>
              <w:spacing w:after="40"/>
              <w:ind w:right="113"/>
              <w:rPr>
                <w:sz w:val="19"/>
              </w:rPr>
            </w:pPr>
            <w:r>
              <w:rPr>
                <w:i/>
                <w:sz w:val="19"/>
              </w:rPr>
              <w:t>Real Estate and Business Agents Amendment Act 1984</w:t>
            </w:r>
          </w:p>
        </w:tc>
        <w:tc>
          <w:tcPr>
            <w:tcW w:w="1134" w:type="dxa"/>
          </w:tcPr>
          <w:p>
            <w:pPr>
              <w:pStyle w:val="nTable"/>
              <w:spacing w:after="40"/>
              <w:rPr>
                <w:sz w:val="19"/>
              </w:rPr>
            </w:pPr>
            <w:r>
              <w:rPr>
                <w:sz w:val="19"/>
              </w:rPr>
              <w:t>77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26 Nov 1984 (see s. 2)</w:t>
            </w:r>
          </w:p>
        </w:tc>
      </w:tr>
      <w:tr>
        <w:trPr>
          <w:cantSplit/>
        </w:trPr>
        <w:tc>
          <w:tcPr>
            <w:tcW w:w="2268" w:type="dxa"/>
          </w:tcPr>
          <w:p>
            <w:pPr>
              <w:pStyle w:val="nTable"/>
              <w:spacing w:after="40"/>
              <w:ind w:right="113"/>
              <w:rPr>
                <w:sz w:val="19"/>
              </w:rPr>
            </w:pPr>
            <w:r>
              <w:rPr>
                <w:i/>
                <w:sz w:val="19"/>
              </w:rPr>
              <w:t>Acts Amendment (Strata Titles) Act 1985</w:t>
            </w:r>
            <w:r>
              <w:rPr>
                <w:sz w:val="19"/>
              </w:rPr>
              <w:t xml:space="preserve"> Pt. III</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7 Nov 1985</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Residential Tenancies Act 1987</w:t>
            </w:r>
            <w:r>
              <w:rPr>
                <w:sz w:val="19"/>
              </w:rPr>
              <w:t xml:space="preserve"> s. 89</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8" w:type="dxa"/>
          </w:tcPr>
          <w:p>
            <w:pPr>
              <w:pStyle w:val="nTable"/>
              <w:spacing w:after="40"/>
              <w:ind w:right="113"/>
              <w:rPr>
                <w:sz w:val="19"/>
              </w:rPr>
            </w:pPr>
            <w:r>
              <w:rPr>
                <w:i/>
                <w:sz w:val="19"/>
              </w:rPr>
              <w:t>Real Estate and Business Agents Amendment Act 1988</w:t>
            </w:r>
          </w:p>
        </w:tc>
        <w:tc>
          <w:tcPr>
            <w:tcW w:w="1134" w:type="dxa"/>
          </w:tcPr>
          <w:p>
            <w:pPr>
              <w:pStyle w:val="nTable"/>
              <w:spacing w:after="40"/>
              <w:rPr>
                <w:sz w:val="19"/>
              </w:rPr>
            </w:pPr>
            <w:r>
              <w:rPr>
                <w:sz w:val="19"/>
              </w:rPr>
              <w:t>18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 xml:space="preserve">28 Oct 1988 (see s. 2 and </w:t>
            </w:r>
            <w:r>
              <w:rPr>
                <w:i/>
                <w:sz w:val="19"/>
              </w:rPr>
              <w:t>Gazette</w:t>
            </w:r>
            <w:r>
              <w:rPr>
                <w:sz w:val="19"/>
              </w:rPr>
              <w:t xml:space="preserve"> 28 Oct 1988 p. 4327)</w:t>
            </w:r>
          </w:p>
        </w:tc>
      </w:tr>
      <w:tr>
        <w:trPr>
          <w:cantSplit/>
        </w:trPr>
        <w:tc>
          <w:tcPr>
            <w:tcW w:w="2268" w:type="dxa"/>
          </w:tcPr>
          <w:p>
            <w:pPr>
              <w:pStyle w:val="nTable"/>
              <w:spacing w:after="40"/>
              <w:ind w:right="113"/>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Real Estate and Business Agents Amendment Act 1994</w:t>
            </w:r>
          </w:p>
        </w:tc>
        <w:tc>
          <w:tcPr>
            <w:tcW w:w="1134" w:type="dxa"/>
          </w:tcPr>
          <w:p>
            <w:pPr>
              <w:pStyle w:val="nTable"/>
              <w:spacing w:after="40"/>
              <w:rPr>
                <w:sz w:val="19"/>
              </w:rPr>
            </w:pPr>
            <w:r>
              <w:rPr>
                <w:sz w:val="19"/>
              </w:rPr>
              <w:t>43 of 1994</w:t>
            </w:r>
          </w:p>
        </w:tc>
        <w:tc>
          <w:tcPr>
            <w:tcW w:w="1134" w:type="dxa"/>
          </w:tcPr>
          <w:p>
            <w:pPr>
              <w:pStyle w:val="nTable"/>
              <w:spacing w:after="40"/>
              <w:rPr>
                <w:sz w:val="19"/>
              </w:rPr>
            </w:pPr>
            <w:r>
              <w:rPr>
                <w:sz w:val="19"/>
              </w:rPr>
              <w:t>31 Aug 1994</w:t>
            </w:r>
          </w:p>
        </w:tc>
        <w:tc>
          <w:tcPr>
            <w:tcW w:w="2551"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6</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7</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vertAlign w:val="superscript"/>
              </w:rPr>
              <w:t xml:space="preserve"> </w:t>
            </w:r>
          </w:p>
          <w:p>
            <w:pPr>
              <w:pStyle w:val="nTable"/>
              <w:spacing w:before="0" w:after="40"/>
              <w:rPr>
                <w:sz w:val="19"/>
              </w:rPr>
            </w:pPr>
            <w:r>
              <w:rPr>
                <w:sz w:val="19"/>
              </w:rPr>
              <w:t xml:space="preserve">s. 11: 5 Apr 2007 (see s. 2 and </w:t>
            </w:r>
            <w:r>
              <w:rPr>
                <w:i/>
                <w:iCs/>
                <w:sz w:val="19"/>
              </w:rPr>
              <w:t>Gazette</w:t>
            </w:r>
            <w:r>
              <w:rPr>
                <w:sz w:val="19"/>
              </w:rPr>
              <w:t xml:space="preserve"> 30 Mar 2007 p. 1451)</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6 Sep 1996</w:t>
            </w:r>
            <w:r>
              <w:rPr>
                <w:sz w:val="19"/>
              </w:rPr>
              <w:t xml:space="preserve"> (includes amendments listed above) (correction in </w:t>
            </w:r>
            <w:r>
              <w:rPr>
                <w:i/>
                <w:sz w:val="19"/>
              </w:rPr>
              <w:t>Gazette</w:t>
            </w:r>
            <w:r>
              <w:rPr>
                <w:sz w:val="19"/>
              </w:rPr>
              <w:t xml:space="preserve"> 11 Oct 1996 p. 5396)</w:t>
            </w:r>
          </w:p>
        </w:tc>
      </w:tr>
      <w:tr>
        <w:trPr>
          <w:cantSplit/>
        </w:trPr>
        <w:tc>
          <w:tcPr>
            <w:tcW w:w="2268" w:type="dxa"/>
          </w:tcPr>
          <w:p>
            <w:pPr>
              <w:pStyle w:val="nTable"/>
              <w:spacing w:after="40"/>
              <w:ind w:right="113"/>
              <w:rPr>
                <w:i/>
                <w:sz w:val="19"/>
              </w:rPr>
            </w:pPr>
            <w:r>
              <w:rPr>
                <w:i/>
                <w:sz w:val="19"/>
              </w:rPr>
              <w:t>Real Estate and Business Agents Amendment Act 1998</w:t>
            </w:r>
          </w:p>
        </w:tc>
        <w:tc>
          <w:tcPr>
            <w:tcW w:w="1134" w:type="dxa"/>
          </w:tcPr>
          <w:p>
            <w:pPr>
              <w:pStyle w:val="nTable"/>
              <w:spacing w:after="40"/>
              <w:rPr>
                <w:sz w:val="19"/>
              </w:rPr>
            </w:pPr>
            <w:r>
              <w:rPr>
                <w:sz w:val="19"/>
              </w:rPr>
              <w:t>34 of 1998</w:t>
            </w:r>
          </w:p>
        </w:tc>
        <w:tc>
          <w:tcPr>
            <w:tcW w:w="1134" w:type="dxa"/>
          </w:tcPr>
          <w:p>
            <w:pPr>
              <w:pStyle w:val="nTable"/>
              <w:spacing w:after="40"/>
              <w:rPr>
                <w:sz w:val="19"/>
              </w:rPr>
            </w:pPr>
            <w:r>
              <w:rPr>
                <w:sz w:val="19"/>
              </w:rPr>
              <w:t>6 Jul 1998</w:t>
            </w:r>
          </w:p>
        </w:tc>
        <w:tc>
          <w:tcPr>
            <w:tcW w:w="2551" w:type="dxa"/>
          </w:tcPr>
          <w:p>
            <w:pPr>
              <w:pStyle w:val="nTable"/>
              <w:spacing w:after="40"/>
              <w:rPr>
                <w:sz w:val="19"/>
              </w:rPr>
            </w:pPr>
            <w:r>
              <w:rPr>
                <w:sz w:val="19"/>
              </w:rPr>
              <w:t xml:space="preserve">1 Nov 1998 (see s. 2 and </w:t>
            </w:r>
            <w:r>
              <w:rPr>
                <w:i/>
                <w:sz w:val="19"/>
              </w:rPr>
              <w:t>Gazette</w:t>
            </w:r>
            <w:r>
              <w:rPr>
                <w:sz w:val="19"/>
              </w:rPr>
              <w:t xml:space="preserve"> 16 Oct 1998 p. 5729)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99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8</w:t>
            </w:r>
          </w:p>
        </w:tc>
        <w:tc>
          <w:tcPr>
            <w:tcW w:w="1134" w:type="dxa"/>
          </w:tcPr>
          <w:p>
            <w:pPr>
              <w:pStyle w:val="nTable"/>
              <w:spacing w:after="40"/>
              <w:rPr>
                <w:sz w:val="19"/>
              </w:rPr>
            </w:pPr>
            <w:r>
              <w:rPr>
                <w:sz w:val="19"/>
              </w:rPr>
              <w:t>3 of 2000</w:t>
            </w:r>
          </w:p>
        </w:tc>
        <w:tc>
          <w:tcPr>
            <w:tcW w:w="1134" w:type="dxa"/>
          </w:tcPr>
          <w:p>
            <w:pPr>
              <w:pStyle w:val="nTable"/>
              <w:spacing w:after="40"/>
              <w:rPr>
                <w:sz w:val="19"/>
              </w:rPr>
            </w:pPr>
            <w:r>
              <w:rPr>
                <w:sz w:val="19"/>
              </w:rPr>
              <w:t>12 Apr 2000</w:t>
            </w:r>
          </w:p>
        </w:tc>
        <w:tc>
          <w:tcPr>
            <w:tcW w:w="2551" w:type="dxa"/>
          </w:tcPr>
          <w:p>
            <w:pPr>
              <w:pStyle w:val="nTable"/>
              <w:spacing w:after="40"/>
              <w:rPr>
                <w:sz w:val="19"/>
              </w:rPr>
            </w:pPr>
            <w:r>
              <w:rPr>
                <w:sz w:val="19"/>
              </w:rPr>
              <w:t>12 Apr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9 Mar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 and 222</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Building Societies Amendment Act 2001 </w:t>
            </w:r>
            <w:r>
              <w:rPr>
                <w:sz w:val="19"/>
              </w:rPr>
              <w:t>s. 50 and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9</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51</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88</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Acts Amendment and Repeal (Courts and Legal Practice) Act 2003</w:t>
            </w:r>
            <w:r>
              <w:rPr>
                <w:sz w:val="19"/>
              </w:rPr>
              <w:t xml:space="preserve"> s. 59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101</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112</w:t>
            </w:r>
            <w:r>
              <w:rPr>
                <w:sz w:val="19"/>
                <w:vertAlign w:val="superscript"/>
              </w:rPr>
              <w:t> 10</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7087" w:type="dxa"/>
            <w:gridSpan w:val="4"/>
          </w:tcPr>
          <w:p>
            <w:pPr>
              <w:pStyle w:val="nTable"/>
              <w:spacing w:after="40"/>
              <w:rPr>
                <w:spacing w:val="-2"/>
                <w:sz w:val="19"/>
              </w:rPr>
            </w:pPr>
            <w:r>
              <w:rPr>
                <w:b/>
                <w:sz w:val="19"/>
              </w:rPr>
              <w:t xml:space="preserve">Reprint 5: The </w:t>
            </w:r>
            <w:r>
              <w:rPr>
                <w:b/>
                <w:i/>
                <w:sz w:val="19"/>
              </w:rPr>
              <w:t>Real Estate and Business Agents Act 1978</w:t>
            </w:r>
            <w:r>
              <w:rPr>
                <w:b/>
                <w:sz w:val="19"/>
              </w:rPr>
              <w:t xml:space="preserve"> as at 8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cantSplit/>
        </w:trPr>
        <w:tc>
          <w:tcPr>
            <w:tcW w:w="2268" w:type="dxa"/>
          </w:tcPr>
          <w:p>
            <w:pPr>
              <w:pStyle w:val="nTable"/>
              <w:spacing w:after="40"/>
              <w:ind w:right="170"/>
              <w:rPr>
                <w:i/>
                <w:sz w:val="19"/>
                <w:vertAlign w:val="superscript"/>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Pt. 4 Div. 19</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ins w:id="1628" w:author="svcMRProcess" w:date="2018-09-08T03:15:00Z"/>
        </w:trPr>
        <w:tc>
          <w:tcPr>
            <w:tcW w:w="2268" w:type="dxa"/>
          </w:tcPr>
          <w:p>
            <w:pPr>
              <w:pStyle w:val="nTable"/>
              <w:spacing w:after="40"/>
              <w:ind w:right="113"/>
              <w:rPr>
                <w:ins w:id="1629" w:author="svcMRProcess" w:date="2018-09-08T03:15:00Z"/>
                <w:i/>
                <w:sz w:val="19"/>
              </w:rPr>
            </w:pPr>
            <w:bookmarkStart w:id="1630" w:name="UpToHere"/>
            <w:ins w:id="1631" w:author="svcMRProcess" w:date="2018-09-08T03:15:00Z">
              <w:r>
                <w:rPr>
                  <w:i/>
                  <w:snapToGrid w:val="0"/>
                  <w:sz w:val="19"/>
                  <w:lang w:val="en-US"/>
                </w:rPr>
                <w:t xml:space="preserve">Consumer Protection Legislation Amendment and Repeal Act 2006 </w:t>
              </w:r>
              <w:r>
                <w:rPr>
                  <w:snapToGrid w:val="0"/>
                  <w:sz w:val="19"/>
                  <w:lang w:val="en-US"/>
                </w:rPr>
                <w:t xml:space="preserve">Pt. 8  </w:t>
              </w:r>
            </w:ins>
          </w:p>
        </w:tc>
        <w:tc>
          <w:tcPr>
            <w:tcW w:w="1134" w:type="dxa"/>
          </w:tcPr>
          <w:p>
            <w:pPr>
              <w:pStyle w:val="nTable"/>
              <w:spacing w:after="40"/>
              <w:rPr>
                <w:ins w:id="1632" w:author="svcMRProcess" w:date="2018-09-08T03:15:00Z"/>
                <w:sz w:val="19"/>
              </w:rPr>
            </w:pPr>
            <w:ins w:id="1633" w:author="svcMRProcess" w:date="2018-09-08T03:15:00Z">
              <w:r>
                <w:rPr>
                  <w:sz w:val="19"/>
                </w:rPr>
                <w:t xml:space="preserve">69 of 2006 </w:t>
              </w:r>
            </w:ins>
          </w:p>
        </w:tc>
        <w:tc>
          <w:tcPr>
            <w:tcW w:w="1134" w:type="dxa"/>
          </w:tcPr>
          <w:p>
            <w:pPr>
              <w:pStyle w:val="nTable"/>
              <w:spacing w:after="40"/>
              <w:rPr>
                <w:ins w:id="1634" w:author="svcMRProcess" w:date="2018-09-08T03:15:00Z"/>
                <w:sz w:val="19"/>
              </w:rPr>
            </w:pPr>
            <w:ins w:id="1635" w:author="svcMRProcess" w:date="2018-09-08T03:15:00Z">
              <w:r>
                <w:rPr>
                  <w:snapToGrid w:val="0"/>
                  <w:sz w:val="19"/>
                  <w:lang w:val="en-US"/>
                </w:rPr>
                <w:t>13 Dec 2006</w:t>
              </w:r>
            </w:ins>
          </w:p>
        </w:tc>
        <w:tc>
          <w:tcPr>
            <w:tcW w:w="2551" w:type="dxa"/>
          </w:tcPr>
          <w:p>
            <w:pPr>
              <w:pStyle w:val="nTable"/>
              <w:spacing w:after="40"/>
              <w:rPr>
                <w:ins w:id="1636" w:author="svcMRProcess" w:date="2018-09-08T03:15:00Z"/>
                <w:sz w:val="19"/>
              </w:rPr>
            </w:pPr>
            <w:ins w:id="1637" w:author="svcMRProcess" w:date="2018-09-08T03:15:00Z">
              <w:r>
                <w:rPr>
                  <w:snapToGrid w:val="0"/>
                  <w:sz w:val="19"/>
                  <w:lang w:val="en-US"/>
                </w:rPr>
                <w:t xml:space="preserve">25 Jul 2007 (see s. 2 and </w:t>
              </w:r>
              <w:r>
                <w:rPr>
                  <w:i/>
                  <w:iCs/>
                  <w:snapToGrid w:val="0"/>
                  <w:sz w:val="19"/>
                  <w:lang w:val="en-US"/>
                </w:rPr>
                <w:t>Gazette</w:t>
              </w:r>
              <w:r>
                <w:rPr>
                  <w:snapToGrid w:val="0"/>
                  <w:sz w:val="19"/>
                  <w:lang w:val="en-US"/>
                </w:rPr>
                <w:t xml:space="preserve"> 24 Jul 2007 p. 3657)</w:t>
              </w:r>
            </w:ins>
          </w:p>
        </w:tc>
      </w:tr>
      <w:bookmarkEnd w:id="1630"/>
      <w:tr>
        <w:trPr>
          <w:cantSplit/>
        </w:trPr>
        <w:tc>
          <w:tcPr>
            <w:tcW w:w="2268" w:type="dxa"/>
            <w:tcBorders>
              <w:bottom w:val="single" w:sz="4" w:space="0" w:color="auto"/>
            </w:tcBorders>
          </w:tcPr>
          <w:p>
            <w:pPr>
              <w:pStyle w:val="nTable"/>
              <w:spacing w:after="40"/>
              <w:ind w:right="113"/>
              <w:rPr>
                <w:i/>
                <w:sz w:val="19"/>
              </w:rPr>
            </w:pPr>
            <w:r>
              <w:rPr>
                <w:i/>
                <w:snapToGrid w:val="0"/>
                <w:sz w:val="19"/>
                <w:lang w:val="en-US"/>
              </w:rPr>
              <w:t>Financial Legislation Amendment and Repeal Act 2006</w:t>
            </w:r>
            <w:r>
              <w:rPr>
                <w:snapToGrid w:val="0"/>
                <w:sz w:val="19"/>
                <w:lang w:val="en-US"/>
              </w:rPr>
              <w:t xml:space="preserve"> s. 17</w:t>
            </w:r>
          </w:p>
        </w:tc>
        <w:tc>
          <w:tcPr>
            <w:tcW w:w="1134" w:type="dxa"/>
            <w:tcBorders>
              <w:bottom w:val="single" w:sz="4" w:space="0" w:color="auto"/>
            </w:tcBorders>
          </w:tcPr>
          <w:p>
            <w:pPr>
              <w:pStyle w:val="nTable"/>
              <w:spacing w:after="40"/>
              <w:rPr>
                <w:sz w:val="19"/>
              </w:rPr>
            </w:pPr>
            <w:r>
              <w:rPr>
                <w:snapToGrid w:val="0"/>
                <w:sz w:val="19"/>
                <w:lang w:val="en-US"/>
              </w:rPr>
              <w:t>77 of 2006</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38" w:name="_Toc102899509"/>
      <w:bookmarkStart w:id="1639" w:name="_Toc124125551"/>
      <w:bookmarkStart w:id="1640" w:name="_Toc172965640"/>
      <w:bookmarkStart w:id="1641" w:name="_Toc163361940"/>
      <w:r>
        <w:t>Provisions that have not come into operation</w:t>
      </w:r>
      <w:bookmarkEnd w:id="1638"/>
      <w:bookmarkEnd w:id="1639"/>
      <w:bookmarkEnd w:id="1640"/>
      <w:bookmarkEnd w:id="1641"/>
    </w:p>
    <w:tbl>
      <w:tblPr>
        <w:tblW w:w="0" w:type="auto"/>
        <w:tblInd w:w="56" w:type="dxa"/>
        <w:tblLayout w:type="fixed"/>
        <w:tblCellMar>
          <w:left w:w="56" w:type="dxa"/>
          <w:right w:w="56" w:type="dxa"/>
        </w:tblCellMar>
        <w:tblLook w:val="0000" w:firstRow="0" w:lastRow="0" w:firstColumn="0" w:lastColumn="0" w:noHBand="0" w:noVBand="0"/>
      </w:tblPr>
      <w:tblGrid>
        <w:gridCol w:w="2340"/>
        <w:gridCol w:w="1080"/>
        <w:gridCol w:w="1260"/>
        <w:gridCol w:w="2408"/>
      </w:tblGrid>
      <w:tr>
        <w:trPr>
          <w:cantSplit/>
          <w:tblHeader/>
        </w:trPr>
        <w:tc>
          <w:tcPr>
            <w:tcW w:w="2340"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080"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260" w:type="dxa"/>
            <w:tcBorders>
              <w:top w:val="single" w:sz="8" w:space="0" w:color="auto"/>
              <w:bottom w:val="single" w:sz="4" w:space="0" w:color="auto"/>
            </w:tcBorders>
          </w:tcPr>
          <w:p>
            <w:pPr>
              <w:pStyle w:val="nTable"/>
              <w:keepNext/>
              <w:spacing w:after="40"/>
              <w:rPr>
                <w:b/>
                <w:sz w:val="19"/>
              </w:rPr>
            </w:pPr>
            <w:r>
              <w:rPr>
                <w:b/>
                <w:sz w:val="19"/>
              </w:rPr>
              <w:t>Assent</w:t>
            </w:r>
          </w:p>
        </w:tc>
        <w:tc>
          <w:tcPr>
            <w:tcW w:w="2408"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340" w:type="dxa"/>
            <w:tcBorders>
              <w:top w:val="single" w:sz="4" w:space="0" w:color="auto"/>
              <w:bottom w:val="single" w:sz="4" w:space="0" w:color="auto"/>
            </w:tcBorders>
          </w:tcPr>
          <w:p>
            <w:pPr>
              <w:pStyle w:val="nTable"/>
              <w:rPr>
                <w:snapToGrid w:val="0"/>
                <w:vertAlign w:val="superscript"/>
                <w:lang w:val="en-US"/>
              </w:rPr>
            </w:pPr>
            <w:r>
              <w:rPr>
                <w:i/>
                <w:sz w:val="19"/>
              </w:rPr>
              <w:t>Housing Societies Repeal Act 2005</w:t>
            </w:r>
            <w:r>
              <w:rPr>
                <w:sz w:val="19"/>
              </w:rPr>
              <w:t xml:space="preserve"> s. 29 </w:t>
            </w:r>
            <w:r>
              <w:rPr>
                <w:sz w:val="19"/>
                <w:vertAlign w:val="superscript"/>
              </w:rPr>
              <w:t>12</w:t>
            </w:r>
          </w:p>
        </w:tc>
        <w:tc>
          <w:tcPr>
            <w:tcW w:w="1080" w:type="dxa"/>
            <w:tcBorders>
              <w:top w:val="single" w:sz="4" w:space="0" w:color="auto"/>
              <w:bottom w:val="single" w:sz="4" w:space="0" w:color="auto"/>
            </w:tcBorders>
          </w:tcPr>
          <w:p>
            <w:pPr>
              <w:pStyle w:val="nTable"/>
              <w:rPr>
                <w:sz w:val="19"/>
              </w:rPr>
            </w:pPr>
            <w:r>
              <w:rPr>
                <w:sz w:val="19"/>
              </w:rPr>
              <w:t>17 of 2005</w:t>
            </w:r>
          </w:p>
        </w:tc>
        <w:tc>
          <w:tcPr>
            <w:tcW w:w="1260" w:type="dxa"/>
            <w:tcBorders>
              <w:top w:val="single" w:sz="4" w:space="0" w:color="auto"/>
              <w:bottom w:val="single" w:sz="4" w:space="0" w:color="auto"/>
            </w:tcBorders>
          </w:tcPr>
          <w:p>
            <w:pPr>
              <w:pStyle w:val="nTable"/>
              <w:rPr>
                <w:snapToGrid w:val="0"/>
                <w:lang w:val="en-US"/>
              </w:rPr>
            </w:pPr>
            <w:r>
              <w:rPr>
                <w:sz w:val="19"/>
              </w:rPr>
              <w:t>5 Oct 2005</w:t>
            </w:r>
          </w:p>
        </w:tc>
        <w:tc>
          <w:tcPr>
            <w:tcW w:w="2408" w:type="dxa"/>
            <w:tcBorders>
              <w:top w:val="single" w:sz="4" w:space="0" w:color="auto"/>
              <w:bottom w:val="single" w:sz="4" w:space="0" w:color="auto"/>
            </w:tcBorders>
          </w:tcPr>
          <w:p>
            <w:pPr>
              <w:pStyle w:val="nTable"/>
              <w:rPr>
                <w:snapToGrid w:val="0"/>
                <w:lang w:val="en-US"/>
              </w:rPr>
            </w:pPr>
            <w:r>
              <w:rPr>
                <w:sz w:val="19"/>
              </w:rPr>
              <w:t>To be proclaimed (see s. 2(3) and (4))</w:t>
            </w:r>
          </w:p>
        </w:tc>
      </w:tr>
      <w:tr>
        <w:tblPrEx>
          <w:tblCellMar>
            <w:left w:w="28" w:type="dxa"/>
            <w:right w:w="28" w:type="dxa"/>
          </w:tblCellMar>
        </w:tblPrEx>
        <w:trPr>
          <w:cantSplit/>
          <w:del w:id="1642" w:author="svcMRProcess" w:date="2018-09-08T03:15:00Z"/>
        </w:trPr>
        <w:tc>
          <w:tcPr>
            <w:tcW w:w="2340" w:type="dxa"/>
            <w:tcBorders>
              <w:bottom w:val="single" w:sz="4" w:space="0" w:color="auto"/>
            </w:tcBorders>
          </w:tcPr>
          <w:p>
            <w:pPr>
              <w:pStyle w:val="nTable"/>
              <w:spacing w:after="40"/>
              <w:ind w:right="113"/>
              <w:rPr>
                <w:del w:id="1643" w:author="svcMRProcess" w:date="2018-09-08T03:15:00Z"/>
                <w:snapToGrid w:val="0"/>
                <w:sz w:val="19"/>
                <w:lang w:val="en-US"/>
              </w:rPr>
            </w:pPr>
            <w:del w:id="1644" w:author="svcMRProcess" w:date="2018-09-08T03:15:00Z">
              <w:r>
                <w:rPr>
                  <w:i/>
                  <w:snapToGrid w:val="0"/>
                  <w:sz w:val="19"/>
                  <w:lang w:val="en-US"/>
                </w:rPr>
                <w:delText xml:space="preserve">Consumer Protection Legislation Amendment and Repeal Act 2006 </w:delText>
              </w:r>
              <w:r>
                <w:rPr>
                  <w:snapToGrid w:val="0"/>
                  <w:sz w:val="19"/>
                  <w:lang w:val="en-US"/>
                </w:rPr>
                <w:delText>Pt. 8 </w:delText>
              </w:r>
              <w:r>
                <w:rPr>
                  <w:snapToGrid w:val="0"/>
                  <w:sz w:val="19"/>
                  <w:vertAlign w:val="superscript"/>
                  <w:lang w:val="en-US"/>
                </w:rPr>
                <w:delText>13</w:delText>
              </w:r>
              <w:r>
                <w:rPr>
                  <w:snapToGrid w:val="0"/>
                  <w:sz w:val="19"/>
                  <w:lang w:val="en-US"/>
                </w:rPr>
                <w:delText xml:space="preserve"> </w:delText>
              </w:r>
            </w:del>
          </w:p>
        </w:tc>
        <w:tc>
          <w:tcPr>
            <w:tcW w:w="1080" w:type="dxa"/>
            <w:tcBorders>
              <w:bottom w:val="single" w:sz="4" w:space="0" w:color="auto"/>
            </w:tcBorders>
          </w:tcPr>
          <w:p>
            <w:pPr>
              <w:pStyle w:val="nTable"/>
              <w:keepNext/>
              <w:spacing w:after="40"/>
              <w:rPr>
                <w:del w:id="1645" w:author="svcMRProcess" w:date="2018-09-08T03:15:00Z"/>
                <w:snapToGrid w:val="0"/>
                <w:sz w:val="19"/>
                <w:lang w:val="en-US"/>
              </w:rPr>
            </w:pPr>
            <w:del w:id="1646" w:author="svcMRProcess" w:date="2018-09-08T03:15:00Z">
              <w:r>
                <w:rPr>
                  <w:sz w:val="19"/>
                </w:rPr>
                <w:delText xml:space="preserve">69 of 2006 </w:delText>
              </w:r>
            </w:del>
          </w:p>
        </w:tc>
        <w:tc>
          <w:tcPr>
            <w:tcW w:w="1260" w:type="dxa"/>
            <w:tcBorders>
              <w:bottom w:val="single" w:sz="4" w:space="0" w:color="auto"/>
            </w:tcBorders>
          </w:tcPr>
          <w:p>
            <w:pPr>
              <w:pStyle w:val="nTable"/>
              <w:spacing w:after="40"/>
              <w:ind w:right="113"/>
              <w:rPr>
                <w:del w:id="1647" w:author="svcMRProcess" w:date="2018-09-08T03:15:00Z"/>
                <w:snapToGrid w:val="0"/>
                <w:sz w:val="19"/>
                <w:lang w:val="en-US"/>
              </w:rPr>
            </w:pPr>
            <w:del w:id="1648" w:author="svcMRProcess" w:date="2018-09-08T03:15:00Z">
              <w:r>
                <w:rPr>
                  <w:snapToGrid w:val="0"/>
                  <w:sz w:val="19"/>
                  <w:lang w:val="en-US"/>
                </w:rPr>
                <w:delText>13 Dec 2006</w:delText>
              </w:r>
            </w:del>
          </w:p>
        </w:tc>
        <w:tc>
          <w:tcPr>
            <w:tcW w:w="2408" w:type="dxa"/>
            <w:tcBorders>
              <w:bottom w:val="single" w:sz="4" w:space="0" w:color="auto"/>
            </w:tcBorders>
          </w:tcPr>
          <w:p>
            <w:pPr>
              <w:pStyle w:val="nTable"/>
              <w:spacing w:after="40"/>
              <w:ind w:right="113"/>
              <w:rPr>
                <w:del w:id="1649" w:author="svcMRProcess" w:date="2018-09-08T03:15:00Z"/>
                <w:snapToGrid w:val="0"/>
                <w:sz w:val="19"/>
                <w:lang w:val="en-US"/>
              </w:rPr>
            </w:pPr>
            <w:del w:id="1650" w:author="svcMRProcess" w:date="2018-09-08T03:15:00Z">
              <w:r>
                <w:rPr>
                  <w:snapToGrid w:val="0"/>
                  <w:sz w:val="19"/>
                  <w:lang w:val="en-US"/>
                </w:rPr>
                <w:delText>To be proclaimed (see s. 2)</w:delText>
              </w:r>
            </w:del>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Real Estate Legislation Amendment Act 1995</w:t>
      </w:r>
      <w:r>
        <w:rPr>
          <w:snapToGrid w:val="0"/>
        </w:rPr>
        <w:t xml:space="preserve"> s. 10(2)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MiscOpen"/>
        <w:rPr>
          <w:snapToGrid w:val="0"/>
        </w:rPr>
      </w:pPr>
      <w:r>
        <w:rPr>
          <w:snapToGrid w:val="0"/>
        </w:rPr>
        <w:t>“</w:t>
      </w: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pPr>
      <w:r>
        <w:rPr>
          <w:vertAlign w:val="superscript"/>
        </w:rPr>
        <w:t>9</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651" w:name="_Toc471793482"/>
      <w:bookmarkStart w:id="1652" w:name="_Toc38091139"/>
      <w:r>
        <w:rPr>
          <w:rStyle w:val="CharSectno"/>
        </w:rPr>
        <w:t>2</w:t>
      </w:r>
      <w:r>
        <w:rPr>
          <w:snapToGrid w:val="0"/>
        </w:rPr>
        <w:t>.</w:t>
      </w:r>
      <w:r>
        <w:rPr>
          <w:snapToGrid w:val="0"/>
        </w:rPr>
        <w:tab/>
        <w:t>Commencement</w:t>
      </w:r>
      <w:bookmarkEnd w:id="1651"/>
      <w:bookmarkEnd w:id="1652"/>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653" w:name="_Toc38091140"/>
      <w:r>
        <w:rPr>
          <w:rStyle w:val="CharSectno"/>
        </w:rPr>
        <w:t>3</w:t>
      </w:r>
      <w:r>
        <w:t>.</w:t>
      </w:r>
      <w:r>
        <w:tab/>
        <w:t>Interpretation</w:t>
      </w:r>
      <w:bookmarkEnd w:id="1653"/>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1654" w:name="_Toc38091141"/>
      <w:r>
        <w:rPr>
          <w:rStyle w:val="CharSectno"/>
        </w:rPr>
        <w:t>4</w:t>
      </w:r>
      <w:r>
        <w:t>.</w:t>
      </w:r>
      <w:r>
        <w:tab/>
        <w:t>Validation</w:t>
      </w:r>
      <w:bookmarkEnd w:id="1654"/>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r>
      <w:r>
        <w:rPr>
          <w:snapToGrid w:val="0"/>
        </w:rPr>
        <w:t>Footnote no longer applicable.</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 xml:space="preserve">Housing Societies Repeal Act 2005 </w:t>
      </w:r>
      <w:r>
        <w:rPr>
          <w:snapToGrid w:val="0"/>
        </w:rPr>
        <w:t>s. 29 had not come into operation.  It reads as follows:</w:t>
      </w:r>
    </w:p>
    <w:p>
      <w:pPr>
        <w:pStyle w:val="MiscOpen"/>
        <w:rPr>
          <w:snapToGrid w:val="0"/>
        </w:rPr>
      </w:pPr>
      <w:r>
        <w:rPr>
          <w:snapToGrid w:val="0"/>
        </w:rPr>
        <w:t>“</w:t>
      </w:r>
    </w:p>
    <w:p>
      <w:pPr>
        <w:pStyle w:val="nzHeading5"/>
      </w:pPr>
      <w:bookmarkStart w:id="1655" w:name="_Toc102877597"/>
      <w:bookmarkStart w:id="1656" w:name="_Toc115180711"/>
      <w:r>
        <w:rPr>
          <w:rStyle w:val="CharSectno"/>
        </w:rPr>
        <w:t>29</w:t>
      </w:r>
      <w:r>
        <w:t>.</w:t>
      </w:r>
      <w:r>
        <w:tab/>
      </w:r>
      <w:r>
        <w:rPr>
          <w:i/>
        </w:rPr>
        <w:t xml:space="preserve">Real Estate and Business Agents Act 1978 </w:t>
      </w:r>
      <w:r>
        <w:t>amended</w:t>
      </w:r>
      <w:bookmarkEnd w:id="1655"/>
      <w:bookmarkEnd w:id="1656"/>
    </w:p>
    <w:p>
      <w:pPr>
        <w:pStyle w:val="nzSubsection"/>
      </w:pPr>
      <w:r>
        <w:tab/>
        <w:t>(1)</w:t>
      </w:r>
      <w:r>
        <w:tab/>
        <w:t xml:space="preserve">The amendments in this section are to the </w:t>
      </w:r>
      <w:r>
        <w:rPr>
          <w:i/>
        </w:rPr>
        <w:t>Real Estate and Business Agents Act 1978</w:t>
      </w:r>
      <w:r>
        <w:t>.</w:t>
      </w:r>
    </w:p>
    <w:p>
      <w:pPr>
        <w:pStyle w:val="nzSubsection"/>
      </w:pPr>
      <w:r>
        <w:tab/>
        <w:t>(2)</w:t>
      </w:r>
      <w:r>
        <w:tab/>
        <w:t>Section 131A is amended in the definition of “lending institution” as follows:</w:t>
      </w:r>
    </w:p>
    <w:p>
      <w:pPr>
        <w:pStyle w:val="nzIndenta"/>
      </w:pPr>
      <w:r>
        <w:tab/>
        <w:t>(a)</w:t>
      </w:r>
      <w:r>
        <w:tab/>
        <w:t xml:space="preserve">after paragraph (a) by inserting — </w:t>
      </w:r>
    </w:p>
    <w:p>
      <w:pPr>
        <w:pStyle w:val="nzIndenta"/>
      </w:pPr>
      <w:r>
        <w:tab/>
      </w:r>
      <w:r>
        <w:tab/>
        <w:t>“    or    ”;</w:t>
      </w:r>
    </w:p>
    <w:p>
      <w:pPr>
        <w:pStyle w:val="nzIndenta"/>
      </w:pPr>
      <w:r>
        <w:tab/>
        <w:t>(b)</w:t>
      </w:r>
      <w:r>
        <w:tab/>
        <w:t>by deleting paragraph (c) and “or” after it.</w:t>
      </w:r>
    </w:p>
    <w:p>
      <w:pPr>
        <w:pStyle w:val="nzSubsection"/>
      </w:pPr>
      <w:r>
        <w:tab/>
        <w:t>(3)</w:t>
      </w:r>
      <w:r>
        <w:tab/>
        <w:t>Section 131O(1) is amended as follows:</w:t>
      </w:r>
    </w:p>
    <w:p>
      <w:pPr>
        <w:pStyle w:val="nzIndenta"/>
      </w:pPr>
      <w:r>
        <w:tab/>
        <w:t>(a)</w:t>
      </w:r>
      <w:r>
        <w:tab/>
        <w:t xml:space="preserve">after paragraph (b) by inserting — </w:t>
      </w:r>
    </w:p>
    <w:p>
      <w:pPr>
        <w:pStyle w:val="nzIndenta"/>
      </w:pPr>
      <w:r>
        <w:tab/>
      </w:r>
      <w:r>
        <w:tab/>
        <w:t>“    and    ”;</w:t>
      </w:r>
    </w:p>
    <w:p>
      <w:pPr>
        <w:pStyle w:val="nzIndenta"/>
      </w:pPr>
      <w:r>
        <w:tab/>
        <w:t>(b)</w:t>
      </w:r>
      <w:r>
        <w:tab/>
        <w:t>by deleting paragraph (e) and “and” after it.</w:t>
      </w:r>
    </w:p>
    <w:p>
      <w:pPr>
        <w:pStyle w:val="MiscClose"/>
      </w:pPr>
      <w:r>
        <w:t>”.</w:t>
      </w:r>
    </w:p>
    <w:p>
      <w:pPr>
        <w:pStyle w:val="nSubsection"/>
        <w:rPr>
          <w:del w:id="1657" w:author="svcMRProcess" w:date="2018-09-08T03:15:00Z"/>
          <w:snapToGrid w:val="0"/>
        </w:rPr>
      </w:pPr>
      <w:del w:id="1658" w:author="svcMRProcess" w:date="2018-09-08T03:15:00Z">
        <w:r>
          <w:rPr>
            <w:snapToGrid w:val="0"/>
            <w:vertAlign w:val="superscript"/>
          </w:rPr>
          <w:delText>13</w:delText>
        </w:r>
        <w:r>
          <w:rPr>
            <w:snapToGrid w:val="0"/>
          </w:rPr>
          <w:tab/>
          <w:delText xml:space="preserve">On the date as at which this compilation was prepared, the </w:delText>
        </w:r>
        <w:r>
          <w:rPr>
            <w:i/>
          </w:rPr>
          <w:delText>Consumer Protection Legislation Amendment and Repeal Act 2006</w:delText>
        </w:r>
        <w:r>
          <w:delText xml:space="preserve"> Pt. 8 </w:delText>
        </w:r>
        <w:r>
          <w:rPr>
            <w:snapToGrid w:val="0"/>
          </w:rPr>
          <w:delText>had not come into operation.  It reads as follows:</w:delText>
        </w:r>
      </w:del>
    </w:p>
    <w:p>
      <w:pPr>
        <w:pStyle w:val="MiscOpen"/>
        <w:rPr>
          <w:del w:id="1659" w:author="svcMRProcess" w:date="2018-09-08T03:15:00Z"/>
          <w:snapToGrid w:val="0"/>
        </w:rPr>
      </w:pPr>
      <w:del w:id="1660" w:author="svcMRProcess" w:date="2018-09-08T03:15:00Z">
        <w:r>
          <w:rPr>
            <w:snapToGrid w:val="0"/>
          </w:rPr>
          <w:delText>“</w:delText>
        </w:r>
      </w:del>
    </w:p>
    <w:p>
      <w:pPr>
        <w:pStyle w:val="nzHeading2"/>
        <w:rPr>
          <w:del w:id="1661" w:author="svcMRProcess" w:date="2018-09-08T03:15:00Z"/>
        </w:rPr>
      </w:pPr>
      <w:bookmarkStart w:id="1662" w:name="_Toc105231740"/>
      <w:bookmarkStart w:id="1663" w:name="_Toc105233884"/>
      <w:bookmarkStart w:id="1664" w:name="_Toc105306823"/>
      <w:bookmarkStart w:id="1665" w:name="_Toc105306877"/>
      <w:bookmarkStart w:id="1666" w:name="_Toc105374091"/>
      <w:bookmarkStart w:id="1667" w:name="_Toc105465113"/>
      <w:bookmarkStart w:id="1668" w:name="_Toc105895964"/>
      <w:bookmarkStart w:id="1669" w:name="_Toc105896396"/>
      <w:bookmarkStart w:id="1670" w:name="_Toc106080862"/>
      <w:bookmarkStart w:id="1671" w:name="_Toc106081588"/>
      <w:bookmarkStart w:id="1672" w:name="_Toc106087904"/>
      <w:bookmarkStart w:id="1673" w:name="_Toc106090026"/>
      <w:bookmarkStart w:id="1674" w:name="_Toc106589696"/>
      <w:bookmarkStart w:id="1675" w:name="_Toc106591381"/>
      <w:bookmarkStart w:id="1676" w:name="_Toc106592051"/>
      <w:bookmarkStart w:id="1677" w:name="_Toc106676893"/>
      <w:bookmarkStart w:id="1678" w:name="_Toc106685605"/>
      <w:bookmarkStart w:id="1679" w:name="_Toc106686334"/>
      <w:bookmarkStart w:id="1680" w:name="_Toc111271756"/>
      <w:bookmarkStart w:id="1681" w:name="_Toc111277623"/>
      <w:bookmarkStart w:id="1682" w:name="_Toc111338094"/>
      <w:bookmarkStart w:id="1683" w:name="_Toc111345602"/>
      <w:bookmarkStart w:id="1684" w:name="_Toc111345653"/>
      <w:bookmarkStart w:id="1685" w:name="_Toc111345832"/>
      <w:bookmarkStart w:id="1686" w:name="_Toc111345964"/>
      <w:bookmarkStart w:id="1687" w:name="_Toc111608438"/>
      <w:bookmarkStart w:id="1688" w:name="_Toc111608501"/>
      <w:bookmarkStart w:id="1689" w:name="_Toc111609103"/>
      <w:bookmarkStart w:id="1690" w:name="_Toc111613017"/>
      <w:bookmarkStart w:id="1691" w:name="_Toc111614311"/>
      <w:bookmarkStart w:id="1692" w:name="_Toc114979715"/>
      <w:bookmarkStart w:id="1693" w:name="_Toc153356704"/>
      <w:bookmarkStart w:id="1694" w:name="_Toc153852200"/>
      <w:bookmarkStart w:id="1695" w:name="_Toc104865498"/>
      <w:bookmarkStart w:id="1696" w:name="_Toc104875436"/>
      <w:bookmarkStart w:id="1697" w:name="_Toc104877753"/>
      <w:bookmarkStart w:id="1698" w:name="_Toc104963826"/>
      <w:bookmarkStart w:id="1699" w:name="_Toc105215193"/>
      <w:bookmarkStart w:id="1700" w:name="_Toc105217207"/>
      <w:bookmarkStart w:id="1701" w:name="_Toc105226546"/>
      <w:del w:id="1702" w:author="svcMRProcess" w:date="2018-09-08T03:15:00Z">
        <w:r>
          <w:rPr>
            <w:rStyle w:val="CharPartNo"/>
          </w:rPr>
          <w:delText>Part 8</w:delText>
        </w:r>
        <w:r>
          <w:rPr>
            <w:rStyle w:val="CharDivNo"/>
          </w:rPr>
          <w:delText> </w:delText>
        </w:r>
        <w:r>
          <w:delText>—</w:delText>
        </w:r>
        <w:r>
          <w:rPr>
            <w:rStyle w:val="CharDivText"/>
          </w:rPr>
          <w:delText> </w:delText>
        </w:r>
        <w:r>
          <w:rPr>
            <w:rStyle w:val="CharPartText"/>
            <w:i/>
          </w:rPr>
          <w:delText>Real Estate and Business Agents Act 1978</w:delText>
        </w:r>
        <w:r>
          <w:rPr>
            <w:rStyle w:val="CharPartText"/>
          </w:rPr>
          <w:delText> amended</w:delTex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del>
    </w:p>
    <w:p>
      <w:pPr>
        <w:pStyle w:val="nzHeading5"/>
        <w:rPr>
          <w:del w:id="1703" w:author="svcMRProcess" w:date="2018-09-08T03:15:00Z"/>
        </w:rPr>
      </w:pPr>
      <w:bookmarkStart w:id="1704" w:name="_Toc105217208"/>
      <w:bookmarkStart w:id="1705" w:name="_Toc111345965"/>
      <w:bookmarkStart w:id="1706" w:name="_Toc153356705"/>
      <w:bookmarkStart w:id="1707" w:name="_Toc153852201"/>
      <w:bookmarkEnd w:id="1695"/>
      <w:bookmarkEnd w:id="1696"/>
      <w:bookmarkEnd w:id="1697"/>
      <w:bookmarkEnd w:id="1698"/>
      <w:bookmarkEnd w:id="1699"/>
      <w:bookmarkEnd w:id="1700"/>
      <w:bookmarkEnd w:id="1701"/>
      <w:del w:id="1708" w:author="svcMRProcess" w:date="2018-09-08T03:15:00Z">
        <w:r>
          <w:rPr>
            <w:rStyle w:val="CharSectno"/>
          </w:rPr>
          <w:delText>26</w:delText>
        </w:r>
        <w:r>
          <w:delText>.</w:delText>
        </w:r>
        <w:r>
          <w:tab/>
          <w:delText>The Act amended</w:delText>
        </w:r>
        <w:bookmarkEnd w:id="1704"/>
        <w:bookmarkEnd w:id="1705"/>
        <w:bookmarkEnd w:id="1706"/>
        <w:bookmarkEnd w:id="1707"/>
      </w:del>
    </w:p>
    <w:p>
      <w:pPr>
        <w:pStyle w:val="nzSubsection"/>
        <w:rPr>
          <w:del w:id="1709" w:author="svcMRProcess" w:date="2018-09-08T03:15:00Z"/>
        </w:rPr>
      </w:pPr>
      <w:del w:id="1710" w:author="svcMRProcess" w:date="2018-09-08T03:15:00Z">
        <w:r>
          <w:tab/>
        </w:r>
        <w:r>
          <w:tab/>
          <w:delText xml:space="preserve">The amendments in this Part are to the </w:delText>
        </w:r>
        <w:r>
          <w:rPr>
            <w:i/>
          </w:rPr>
          <w:delText>Real Estate and Business Agents Act 1978</w:delText>
        </w:r>
        <w:r>
          <w:delText>.</w:delText>
        </w:r>
      </w:del>
    </w:p>
    <w:p>
      <w:pPr>
        <w:pStyle w:val="nzHeading5"/>
        <w:rPr>
          <w:del w:id="1711" w:author="svcMRProcess" w:date="2018-09-08T03:15:00Z"/>
        </w:rPr>
      </w:pPr>
      <w:bookmarkStart w:id="1712" w:name="_Toc105217209"/>
      <w:bookmarkStart w:id="1713" w:name="_Toc111345966"/>
      <w:bookmarkStart w:id="1714" w:name="_Toc153356706"/>
      <w:bookmarkStart w:id="1715" w:name="_Toc153852202"/>
      <w:del w:id="1716" w:author="svcMRProcess" w:date="2018-09-08T03:15:00Z">
        <w:r>
          <w:rPr>
            <w:rStyle w:val="CharSectno"/>
          </w:rPr>
          <w:delText>27</w:delText>
        </w:r>
        <w:r>
          <w:delText>.</w:delText>
        </w:r>
        <w:r>
          <w:tab/>
          <w:delText>Section 4 amended</w:delText>
        </w:r>
        <w:bookmarkEnd w:id="1712"/>
        <w:bookmarkEnd w:id="1713"/>
        <w:bookmarkEnd w:id="1714"/>
        <w:bookmarkEnd w:id="1715"/>
      </w:del>
    </w:p>
    <w:p>
      <w:pPr>
        <w:pStyle w:val="nzSubsection"/>
        <w:rPr>
          <w:del w:id="1717" w:author="svcMRProcess" w:date="2018-09-08T03:15:00Z"/>
        </w:rPr>
      </w:pPr>
      <w:del w:id="1718" w:author="svcMRProcess" w:date="2018-09-08T03:15:00Z">
        <w:r>
          <w:tab/>
        </w:r>
        <w:r>
          <w:tab/>
          <w:delText>Section 4(4) is amended as follows:</w:delText>
        </w:r>
      </w:del>
    </w:p>
    <w:p>
      <w:pPr>
        <w:pStyle w:val="nzIndenta"/>
        <w:rPr>
          <w:del w:id="1719" w:author="svcMRProcess" w:date="2018-09-08T03:15:00Z"/>
        </w:rPr>
      </w:pPr>
      <w:del w:id="1720" w:author="svcMRProcess" w:date="2018-09-08T03:15:00Z">
        <w:r>
          <w:tab/>
          <w:delText>(a)</w:delText>
        </w:r>
        <w:r>
          <w:tab/>
          <w:delText>after paragraph (b) by deleting “or”;</w:delText>
        </w:r>
      </w:del>
    </w:p>
    <w:p>
      <w:pPr>
        <w:pStyle w:val="nzIndenta"/>
        <w:rPr>
          <w:del w:id="1721" w:author="svcMRProcess" w:date="2018-09-08T03:15:00Z"/>
        </w:rPr>
      </w:pPr>
      <w:del w:id="1722" w:author="svcMRProcess" w:date="2018-09-08T03:15:00Z">
        <w:r>
          <w:tab/>
          <w:delText>(b)</w:delText>
        </w:r>
        <w:r>
          <w:tab/>
          <w:delText xml:space="preserve">after paragraph (c) by deleting the full stop and inserting instead — </w:delText>
        </w:r>
      </w:del>
    </w:p>
    <w:p>
      <w:pPr>
        <w:pStyle w:val="MiscOpen"/>
        <w:ind w:left="1620"/>
        <w:rPr>
          <w:del w:id="1723" w:author="svcMRProcess" w:date="2018-09-08T03:15:00Z"/>
        </w:rPr>
      </w:pPr>
      <w:del w:id="1724" w:author="svcMRProcess" w:date="2018-09-08T03:15:00Z">
        <w:r>
          <w:delText xml:space="preserve">“    </w:delText>
        </w:r>
      </w:del>
    </w:p>
    <w:p>
      <w:pPr>
        <w:pStyle w:val="nzIndenta"/>
        <w:rPr>
          <w:del w:id="1725" w:author="svcMRProcess" w:date="2018-09-08T03:15:00Z"/>
        </w:rPr>
      </w:pPr>
      <w:del w:id="1726" w:author="svcMRProcess" w:date="2018-09-08T03:15:00Z">
        <w:r>
          <w:tab/>
        </w:r>
        <w:r>
          <w:tab/>
          <w:delText>; or</w:delText>
        </w:r>
      </w:del>
    </w:p>
    <w:p>
      <w:pPr>
        <w:pStyle w:val="nzIndenta"/>
        <w:rPr>
          <w:del w:id="1727" w:author="svcMRProcess" w:date="2018-09-08T03:15:00Z"/>
        </w:rPr>
      </w:pPr>
      <w:del w:id="1728" w:author="svcMRProcess" w:date="2018-09-08T03:15:00Z">
        <w:r>
          <w:tab/>
          <w:delText>(d)</w:delText>
        </w:r>
        <w:r>
          <w:tab/>
          <w:delTex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delText>
        </w:r>
      </w:del>
    </w:p>
    <w:p>
      <w:pPr>
        <w:pStyle w:val="MiscClose"/>
        <w:ind w:right="436"/>
        <w:rPr>
          <w:del w:id="1729" w:author="svcMRProcess" w:date="2018-09-08T03:15:00Z"/>
        </w:rPr>
      </w:pPr>
      <w:del w:id="1730" w:author="svcMRProcess" w:date="2018-09-08T03:15:00Z">
        <w:r>
          <w:delText xml:space="preserve">    ”.</w:delText>
        </w:r>
      </w:del>
    </w:p>
    <w:p>
      <w:pPr>
        <w:pStyle w:val="MiscClose"/>
        <w:rPr>
          <w:del w:id="1731" w:author="svcMRProcess" w:date="2018-09-08T03:15:00Z"/>
          <w:snapToGrid w:val="0"/>
        </w:rPr>
      </w:pPr>
      <w:del w:id="1732" w:author="svcMRProcess" w:date="2018-09-08T03:15:00Z">
        <w:r>
          <w:rPr>
            <w:snapToGrid w:val="0"/>
          </w:rPr>
          <w:delText>”.</w:delText>
        </w:r>
      </w:del>
    </w:p>
    <w:p/>
    <w:p>
      <w:pPr>
        <w:keepNext/>
        <w:spacing w:after="40"/>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Real Estate and Business Agents Act 1978</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Real Estate and Business Agents Act 1978</w:t>
            </w:r>
          </w:fldSimple>
        </w:p>
      </w:tc>
    </w:tr>
    <w:tr>
      <w:tc>
        <w:tcPr>
          <w:tcW w:w="5742" w:type="dxa"/>
          <w:vAlign w:val="bottom"/>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9C86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CA6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8A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4636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B05E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FCA6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96AA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AC92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2FB0A"/>
    <w:lvl w:ilvl="0">
      <w:start w:val="1"/>
      <w:numFmt w:val="decimal"/>
      <w:pStyle w:val="ListNumber"/>
      <w:lvlText w:val="%1."/>
      <w:lvlJc w:val="left"/>
      <w:pPr>
        <w:tabs>
          <w:tab w:val="num" w:pos="360"/>
        </w:tabs>
        <w:ind w:left="360" w:hanging="360"/>
      </w:pPr>
    </w:lvl>
  </w:abstractNum>
  <w:abstractNum w:abstractNumId="9">
    <w:nsid w:val="FFFFFF89"/>
    <w:multiLevelType w:val="singleLevel"/>
    <w:tmpl w:val="858E13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75471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586767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549"/>
    <w:docVar w:name="WAFER_20151209115549" w:val="RemoveTrackChanges"/>
    <w:docVar w:name="WAFER_20151209115549_GUID" w:val="7b7038fb-cef1-46bc-86a2-db3979ef42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38109</Words>
  <Characters>177211</Characters>
  <Application>Microsoft Office Word</Application>
  <DocSecurity>0</DocSecurity>
  <Lines>4543</Lines>
  <Paragraphs>2110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05-g0-03 - 05-h0-02</dc:title>
  <dc:subject/>
  <dc:creator/>
  <cp:keywords/>
  <dc:description/>
  <cp:lastModifiedBy>svcMRProcess</cp:lastModifiedBy>
  <cp:revision>2</cp:revision>
  <dcterms:created xsi:type="dcterms:W3CDTF">2018-09-07T19:15:00Z</dcterms:created>
  <dcterms:modified xsi:type="dcterms:W3CDTF">2018-09-07T19:15:00Z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20070725</vt:lpwstr>
  </property>
  <property fmtid="{D5CDD505-2E9C-101B-9397-08002B2CF9AE}" pid="4" name="DocumentType">
    <vt:lpwstr>Act</vt:lpwstr>
  </property>
  <property fmtid="{D5CDD505-2E9C-101B-9397-08002B2CF9AE}" pid="5" name="OwlsUID">
    <vt:i4>672</vt:i4>
  </property>
  <property fmtid="{D5CDD505-2E9C-101B-9397-08002B2CF9AE}" pid="6" name="FromSuffix">
    <vt:lpwstr>05-g0-03</vt:lpwstr>
  </property>
  <property fmtid="{D5CDD505-2E9C-101B-9397-08002B2CF9AE}" pid="7" name="FromAsAtDate">
    <vt:lpwstr>05 Apr 2007</vt:lpwstr>
  </property>
  <property fmtid="{D5CDD505-2E9C-101B-9397-08002B2CF9AE}" pid="8" name="ToSuffix">
    <vt:lpwstr>05-h0-02</vt:lpwstr>
  </property>
  <property fmtid="{D5CDD505-2E9C-101B-9397-08002B2CF9AE}" pid="9" name="ToAsAtDate">
    <vt:lpwstr>25 Jul 2007</vt:lpwstr>
  </property>
</Properties>
</file>