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2007</w:t>
      </w:r>
      <w:r>
        <w:fldChar w:fldCharType="end"/>
      </w:r>
      <w:r>
        <w:t xml:space="preserve">, </w:t>
      </w:r>
      <w:r>
        <w:fldChar w:fldCharType="begin"/>
      </w:r>
      <w:r>
        <w:instrText xml:space="preserve"> DocProperty FromSuffix </w:instrText>
      </w:r>
      <w:r>
        <w:fldChar w:fldCharType="separate"/>
      </w:r>
      <w:r>
        <w:t>05-d0-02</w:t>
      </w:r>
      <w:r>
        <w:fldChar w:fldCharType="end"/>
      </w:r>
      <w:r>
        <w:t>] and [</w:t>
      </w:r>
      <w:r>
        <w:fldChar w:fldCharType="begin"/>
      </w:r>
      <w:r>
        <w:instrText xml:space="preserve"> DocProperty ToAsAtDate</w:instrText>
      </w:r>
      <w:r>
        <w:fldChar w:fldCharType="separate"/>
      </w:r>
      <w:r>
        <w:t>19 Jan 2008</w:t>
      </w:r>
      <w:r>
        <w:fldChar w:fldCharType="end"/>
      </w:r>
      <w:r>
        <w:t xml:space="preserve">, </w:t>
      </w:r>
      <w:r>
        <w:fldChar w:fldCharType="begin"/>
      </w:r>
      <w:r>
        <w:instrText xml:space="preserve"> DocProperty ToSuffix</w:instrText>
      </w:r>
      <w:r>
        <w:fldChar w:fldCharType="separate"/>
      </w:r>
      <w:r>
        <w:t>05-e0-02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200"/>
      </w:pPr>
      <w:r>
        <w:t xml:space="preserve">Occupational Safety and Health Act 1984 </w:t>
      </w:r>
    </w:p>
    <w:p>
      <w:pPr>
        <w:pStyle w:val="LongTitle"/>
        <w:rPr>
          <w:snapToGrid w:val="0"/>
        </w:rPr>
      </w:pPr>
      <w:r>
        <w:rPr>
          <w:snapToGrid w:val="0"/>
        </w:rPr>
        <w:t>A</w:t>
      </w:r>
      <w:bookmarkStart w:id="0" w:name="_GoBack"/>
      <w:bookmarkEnd w:id="0"/>
      <w:r>
        <w:rPr>
          <w:snapToGrid w:val="0"/>
        </w:rPr>
        <w:t xml:space="preserve">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 xml:space="preserve">to facilitate the coordination of the administration of the laws relating to occupational safety and health and for incidental and other purposes. </w:t>
      </w:r>
    </w:p>
    <w:p>
      <w:pPr>
        <w:pStyle w:val="Footnotelongtitle"/>
      </w:pPr>
      <w:r>
        <w:tab/>
        <w:t xml:space="preserve">[Long title amended by No. 30 of 1995 s. 4; No. 74 of 2003 s. 87(2); No. 51 of 2004 s. 62.] </w:t>
      </w:r>
    </w:p>
    <w:p>
      <w:pPr>
        <w:pStyle w:val="Heading2"/>
      </w:pPr>
      <w:bookmarkStart w:id="1" w:name="_Toc88990626"/>
      <w:bookmarkStart w:id="2" w:name="_Toc89568188"/>
      <w:bookmarkStart w:id="3" w:name="_Toc93200865"/>
      <w:bookmarkStart w:id="4" w:name="_Toc97006536"/>
      <w:bookmarkStart w:id="5" w:name="_Toc100545105"/>
      <w:bookmarkStart w:id="6" w:name="_Toc100716584"/>
      <w:bookmarkStart w:id="7" w:name="_Toc102546173"/>
      <w:bookmarkStart w:id="8" w:name="_Toc103141396"/>
      <w:bookmarkStart w:id="9" w:name="_Toc105909008"/>
      <w:bookmarkStart w:id="10" w:name="_Toc105921894"/>
      <w:bookmarkStart w:id="11" w:name="_Toc106616732"/>
      <w:bookmarkStart w:id="12" w:name="_Toc108848476"/>
      <w:bookmarkStart w:id="13" w:name="_Toc109702759"/>
      <w:bookmarkStart w:id="14" w:name="_Toc113700316"/>
      <w:bookmarkStart w:id="15" w:name="_Toc113778974"/>
      <w:bookmarkStart w:id="16" w:name="_Toc122767355"/>
      <w:bookmarkStart w:id="17" w:name="_Toc122767598"/>
      <w:bookmarkStart w:id="18" w:name="_Toc131409845"/>
      <w:bookmarkStart w:id="19" w:name="_Toc187035412"/>
      <w:bookmarkStart w:id="20" w:name="_Toc187053880"/>
      <w:bookmarkStart w:id="21" w:name="_Toc18869555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Footnoteheading"/>
        <w:rPr>
          <w:snapToGrid w:val="0"/>
        </w:rPr>
      </w:pPr>
      <w:r>
        <w:rPr>
          <w:snapToGrid w:val="0"/>
        </w:rPr>
        <w:tab/>
        <w:t xml:space="preserve">[Heading inserted by No. 43 of 1987 s. 4.] </w:t>
      </w:r>
    </w:p>
    <w:p>
      <w:pPr>
        <w:pStyle w:val="Heading5"/>
        <w:rPr>
          <w:snapToGrid w:val="0"/>
        </w:rPr>
      </w:pPr>
      <w:bookmarkStart w:id="22" w:name="_Toc402776378"/>
      <w:bookmarkStart w:id="23" w:name="_Toc403985241"/>
      <w:bookmarkStart w:id="24" w:name="_Toc59593015"/>
      <w:bookmarkStart w:id="25" w:name="_Toc109702760"/>
      <w:bookmarkStart w:id="26" w:name="_Toc188695554"/>
      <w:bookmarkStart w:id="27" w:name="_Toc187053881"/>
      <w:r>
        <w:rPr>
          <w:rStyle w:val="CharSectno"/>
        </w:rPr>
        <w:t>1</w:t>
      </w:r>
      <w:r>
        <w:rPr>
          <w:snapToGrid w:val="0"/>
        </w:rPr>
        <w:t>.</w:t>
      </w:r>
      <w:r>
        <w:rPr>
          <w:snapToGrid w:val="0"/>
        </w:rPr>
        <w:tab/>
        <w:t>Short title</w:t>
      </w:r>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 xml:space="preserve"> </w:t>
      </w:r>
      <w:r>
        <w:rPr>
          <w:snapToGrid w:val="0"/>
          <w:vertAlign w:val="superscript"/>
        </w:rPr>
        <w:t>1</w:t>
      </w:r>
      <w:r>
        <w:rPr>
          <w:snapToGrid w:val="0"/>
        </w:rPr>
        <w:t>.</w:t>
      </w:r>
    </w:p>
    <w:p>
      <w:pPr>
        <w:pStyle w:val="Footnotesection"/>
      </w:pPr>
      <w:r>
        <w:tab/>
        <w:t xml:space="preserve">[Section 1 amended by No. 30 of 1995 s. 5.] </w:t>
      </w:r>
    </w:p>
    <w:p>
      <w:pPr>
        <w:pStyle w:val="Heading5"/>
        <w:spacing w:before="160"/>
        <w:rPr>
          <w:snapToGrid w:val="0"/>
        </w:rPr>
      </w:pPr>
      <w:bookmarkStart w:id="28" w:name="_Toc402776379"/>
      <w:bookmarkStart w:id="29" w:name="_Toc403985242"/>
      <w:bookmarkStart w:id="30" w:name="_Toc59593016"/>
      <w:bookmarkStart w:id="31" w:name="_Toc109702761"/>
      <w:bookmarkStart w:id="32" w:name="_Toc188695555"/>
      <w:bookmarkStart w:id="33" w:name="_Toc187053882"/>
      <w:r>
        <w:rPr>
          <w:rStyle w:val="CharSectno"/>
        </w:rPr>
        <w:t>2</w:t>
      </w:r>
      <w:r>
        <w:rPr>
          <w:snapToGrid w:val="0"/>
        </w:rPr>
        <w:t>.</w:t>
      </w:r>
      <w:r>
        <w:rPr>
          <w:snapToGrid w:val="0"/>
        </w:rPr>
        <w:tab/>
        <w:t>Commencement</w:t>
      </w:r>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60"/>
        <w:rPr>
          <w:snapToGrid w:val="0"/>
        </w:rPr>
      </w:pPr>
      <w:bookmarkStart w:id="34" w:name="_Toc402776380"/>
      <w:bookmarkStart w:id="35" w:name="_Toc403985243"/>
      <w:bookmarkStart w:id="36" w:name="_Toc59593017"/>
      <w:bookmarkStart w:id="37" w:name="_Toc109702762"/>
      <w:bookmarkStart w:id="38" w:name="_Toc188695556"/>
      <w:bookmarkStart w:id="39" w:name="_Toc187053883"/>
      <w:r>
        <w:rPr>
          <w:rStyle w:val="CharSectno"/>
        </w:rPr>
        <w:t>3</w:t>
      </w:r>
      <w:r>
        <w:rPr>
          <w:snapToGrid w:val="0"/>
        </w:rPr>
        <w:t>.</w:t>
      </w:r>
      <w:r>
        <w:rPr>
          <w:snapToGrid w:val="0"/>
        </w:rPr>
        <w:tab/>
        <w:t>Interpretation</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appointed member</w:t>
      </w:r>
      <w:r>
        <w:rPr>
          <w:b/>
        </w:rPr>
        <w:t>”</w:t>
      </w:r>
      <w:r>
        <w:t xml:space="preserve"> means a member of the Commission referred to in section 6(2)(a) or (d);</w:t>
      </w:r>
    </w:p>
    <w:p>
      <w:pPr>
        <w:pStyle w:val="Defstart"/>
      </w:pPr>
      <w:r>
        <w:rPr>
          <w:b/>
        </w:rPr>
        <w:tab/>
        <w:t>“</w:t>
      </w:r>
      <w:r>
        <w:rPr>
          <w:rStyle w:val="CharDefText"/>
        </w:rPr>
        <w:t>apprentice</w:t>
      </w:r>
      <w:r>
        <w:rPr>
          <w:b/>
        </w:rPr>
        <w:t>”</w:t>
      </w:r>
      <w:r>
        <w:t xml:space="preserve"> — </w:t>
      </w:r>
    </w:p>
    <w:p>
      <w:pPr>
        <w:pStyle w:val="Defpara"/>
      </w:pPr>
      <w:r>
        <w:tab/>
        <w:t>(a)</w:t>
      </w:r>
      <w:r>
        <w:tab/>
        <w:t xml:space="preserve">means an apprentice under the </w:t>
      </w:r>
      <w:r>
        <w:rPr>
          <w:i/>
          <w:iCs/>
        </w:rPr>
        <w:t>Industrial Training Act 1975</w:t>
      </w:r>
      <w:r>
        <w:t>; or</w:t>
      </w:r>
    </w:p>
    <w:p>
      <w:pPr>
        <w:pStyle w:val="Defpara"/>
      </w:pPr>
      <w:r>
        <w:tab/>
        <w:t>(b)</w:t>
      </w:r>
      <w:r>
        <w:tab/>
        <w:t xml:space="preserve">if Part 7 of the </w:t>
      </w:r>
      <w:r>
        <w:rPr>
          <w:i/>
          <w:iCs/>
        </w:rPr>
        <w:t>Vocational Education and Training Act 1996</w:t>
      </w:r>
      <w:r>
        <w:t xml:space="preserve"> comes into operation, means a person who, as an employee, has entered into an apprenticeship within the meaning of that term in section 58 of that Act;</w:t>
      </w:r>
    </w:p>
    <w:p>
      <w:pPr>
        <w:pStyle w:val="Defstart"/>
      </w:pPr>
      <w:r>
        <w:rPr>
          <w:b/>
        </w:rPr>
        <w:tab/>
        <w:t>“</w:t>
      </w:r>
      <w:r>
        <w:rPr>
          <w:rStyle w:val="CharDefText"/>
        </w:rPr>
        <w:t>Australian Standard</w:t>
      </w:r>
      <w:r>
        <w:rPr>
          <w:b/>
        </w:rPr>
        <w:t>”</w:t>
      </w:r>
      <w:r>
        <w:t xml:space="preserve"> means a document having that title published by Standards Australia International Limited (ACN 087 326 690);</w:t>
      </w:r>
    </w:p>
    <w:p>
      <w:pPr>
        <w:pStyle w:val="Defstart"/>
      </w:pPr>
      <w:r>
        <w:rPr>
          <w:b/>
        </w:rPr>
        <w:tab/>
        <w:t>“</w:t>
      </w:r>
      <w:r>
        <w:rPr>
          <w:rStyle w:val="CharDefText"/>
        </w:rPr>
        <w:t>Australian/New Zealand Standard</w:t>
      </w:r>
      <w:r>
        <w:rPr>
          <w:b/>
        </w:rPr>
        <w:t>”</w:t>
      </w:r>
      <w:r>
        <w:t xml:space="preserve"> means a document having that title published jointly by — </w:t>
      </w:r>
    </w:p>
    <w:p>
      <w:pPr>
        <w:pStyle w:val="Defpara"/>
      </w:pPr>
      <w:r>
        <w:tab/>
        <w:t>(a)</w:t>
      </w:r>
      <w:r>
        <w:tab/>
        <w:t>Standards Australia International Limited (ACN 087 326 690); and</w:t>
      </w:r>
    </w:p>
    <w:p>
      <w:pPr>
        <w:pStyle w:val="Defpara"/>
      </w:pPr>
      <w:r>
        <w:tab/>
        <w:t>(b)</w:t>
      </w:r>
      <w:r>
        <w:tab/>
        <w:t>the Standards Council of New Zealand;</w:t>
      </w:r>
    </w:p>
    <w:p>
      <w:pPr>
        <w:pStyle w:val="Defstart"/>
      </w:pPr>
      <w:r>
        <w:rPr>
          <w:b/>
        </w:rPr>
        <w:tab/>
        <w:t>“</w:t>
      </w:r>
      <w:r>
        <w:rPr>
          <w:rStyle w:val="CharDefText"/>
        </w:rPr>
        <w:t>chairperson</w:t>
      </w:r>
      <w:r>
        <w:rPr>
          <w:b/>
        </w:rPr>
        <w:t>”</w:t>
      </w:r>
      <w:r>
        <w:t xml:space="preserve"> means the chairperson of the Commission;</w:t>
      </w:r>
    </w:p>
    <w:p>
      <w:pPr>
        <w:pStyle w:val="Defstart"/>
      </w:pPr>
      <w:r>
        <w:rPr>
          <w:b/>
        </w:rPr>
        <w:tab/>
        <w:t>“</w:t>
      </w:r>
      <w:r>
        <w:rPr>
          <w:rStyle w:val="CharDefText"/>
        </w:rPr>
        <w:t>code of practice</w:t>
      </w:r>
      <w:r>
        <w:rPr>
          <w:b/>
        </w:rPr>
        <w:t>”</w:t>
      </w:r>
      <w:r>
        <w:t xml:space="preserve"> means a code of practice approved by the Minister under Part VIII;</w:t>
      </w:r>
    </w:p>
    <w:p>
      <w:pPr>
        <w:pStyle w:val="Defstart"/>
      </w:pPr>
      <w:r>
        <w:rPr>
          <w:b/>
        </w:rPr>
        <w:tab/>
        <w:t>“</w:t>
      </w:r>
      <w:r>
        <w:rPr>
          <w:rStyle w:val="CharDefText"/>
        </w:rPr>
        <w:t>Commission</w:t>
      </w:r>
      <w:r>
        <w:rPr>
          <w:b/>
        </w:rPr>
        <w:t>”</w:t>
      </w:r>
      <w:r>
        <w:t xml:space="preserve"> means the Commission for Occupational Safety and Health established under this Act;</w:t>
      </w:r>
    </w:p>
    <w:p>
      <w:pPr>
        <w:pStyle w:val="Defstart"/>
      </w:pPr>
      <w:r>
        <w:rPr>
          <w:b/>
        </w:rPr>
        <w:tab/>
        <w:t>“</w:t>
      </w:r>
      <w:r>
        <w:rPr>
          <w:rStyle w:val="CharDefText"/>
        </w:rPr>
        <w:t>Commissioner</w:t>
      </w:r>
      <w:r>
        <w:rPr>
          <w:b/>
        </w:rPr>
        <w:t>”</w:t>
      </w:r>
      <w:r>
        <w:t xml:space="preserve"> means the person holding office as WorkSafe Western Australia Commissioner under section 9;</w:t>
      </w:r>
    </w:p>
    <w:p>
      <w:pPr>
        <w:pStyle w:val="Defstart"/>
      </w:pPr>
      <w:r>
        <w:tab/>
      </w:r>
      <w:r>
        <w:rPr>
          <w:b/>
        </w:rPr>
        <w:t>“</w:t>
      </w:r>
      <w:r>
        <w:rPr>
          <w:rStyle w:val="CharDefText"/>
        </w:rPr>
        <w:t>Commissioner of Police</w:t>
      </w:r>
      <w:r>
        <w:rPr>
          <w:b/>
        </w:rPr>
        <w:t>”</w:t>
      </w:r>
      <w:r>
        <w:t xml:space="preserve"> means the person holding the office of Commissioner of Police under the </w:t>
      </w:r>
      <w:r>
        <w:rPr>
          <w:i/>
        </w:rPr>
        <w:t>Police Act 1892</w:t>
      </w:r>
      <w:r>
        <w:t>;</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employee</w:t>
      </w:r>
      <w:r>
        <w:rPr>
          <w:b/>
        </w:rPr>
        <w:t>”</w:t>
      </w:r>
      <w:r>
        <w:t xml:space="preserve"> means — </w:t>
      </w:r>
    </w:p>
    <w:p>
      <w:pPr>
        <w:pStyle w:val="Defpara"/>
        <w:spacing w:before="60"/>
      </w:pPr>
      <w:r>
        <w:tab/>
        <w:t>(a)</w:t>
      </w:r>
      <w:r>
        <w:tab/>
        <w:t>a person by whom work is done under a contract of employment; or</w:t>
      </w:r>
    </w:p>
    <w:p>
      <w:pPr>
        <w:pStyle w:val="Defpara"/>
        <w:spacing w:before="60"/>
      </w:pPr>
      <w:r>
        <w:tab/>
        <w:t>(b)</w:t>
      </w:r>
      <w:r>
        <w:tab/>
        <w:t>an apprentice or trainee;</w:t>
      </w:r>
    </w:p>
    <w:p>
      <w:pPr>
        <w:pStyle w:val="Defstart"/>
      </w:pPr>
      <w:r>
        <w:rPr>
          <w:b/>
        </w:rPr>
        <w:tab/>
        <w:t>“</w:t>
      </w:r>
      <w:r>
        <w:rPr>
          <w:rStyle w:val="CharDefText"/>
        </w:rPr>
        <w:t>employer</w:t>
      </w:r>
      <w:r>
        <w:rPr>
          <w:b/>
        </w:rPr>
        <w:t>”</w:t>
      </w:r>
      <w:r>
        <w:t xml:space="preserve"> means — </w:t>
      </w:r>
    </w:p>
    <w:p>
      <w:pPr>
        <w:pStyle w:val="Defpara"/>
      </w:pPr>
      <w:r>
        <w:tab/>
        <w:t>(a)</w:t>
      </w:r>
      <w:r>
        <w:tab/>
        <w:t>a person that employs an employee under a contract of employment; and</w:t>
      </w:r>
    </w:p>
    <w:p>
      <w:pPr>
        <w:pStyle w:val="Defpara"/>
      </w:pPr>
      <w:r>
        <w:tab/>
        <w:t>(b)</w:t>
      </w:r>
      <w:r>
        <w:tab/>
        <w:t xml:space="preserve">in relation to an apprentice or trainee, the person that employs the apprentice or trainee under an apprenticeship or traineeship scheme under the </w:t>
      </w:r>
      <w:r>
        <w:rPr>
          <w:i/>
        </w:rPr>
        <w:t>Industrial Training Act 1975</w:t>
      </w:r>
      <w:r>
        <w:t>;</w:t>
      </w:r>
    </w:p>
    <w:p>
      <w:pPr>
        <w:pStyle w:val="Defstart"/>
      </w:pPr>
      <w:r>
        <w:rPr>
          <w:b/>
        </w:rPr>
        <w:tab/>
        <w:t>“</w:t>
      </w:r>
      <w:r>
        <w:rPr>
          <w:rStyle w:val="CharDefText"/>
        </w:rPr>
        <w:t>hazard</w:t>
      </w:r>
      <w:r>
        <w:rPr>
          <w:b/>
        </w:rPr>
        <w:t>”</w:t>
      </w:r>
      <w:r>
        <w:t>, in relation to a person, means anything that may result in — </w:t>
      </w:r>
    </w:p>
    <w:p>
      <w:pPr>
        <w:pStyle w:val="Defpara"/>
      </w:pPr>
      <w:r>
        <w:tab/>
        <w:t>(a)</w:t>
      </w:r>
      <w:r>
        <w:tab/>
        <w:t>injury to the person; or</w:t>
      </w:r>
    </w:p>
    <w:p>
      <w:pPr>
        <w:pStyle w:val="Defpara"/>
      </w:pPr>
      <w:r>
        <w:tab/>
        <w:t>(b)</w:t>
      </w:r>
      <w:r>
        <w:tab/>
        <w:t>harm to the health of the person;</w:t>
      </w:r>
    </w:p>
    <w:p>
      <w:pPr>
        <w:pStyle w:val="Defstart"/>
      </w:pPr>
      <w:r>
        <w:rPr>
          <w:b/>
        </w:rPr>
        <w:tab/>
        <w:t>“</w:t>
      </w:r>
      <w:r>
        <w:rPr>
          <w:rStyle w:val="CharDefText"/>
        </w:rPr>
        <w:t>import</w:t>
      </w:r>
      <w:r>
        <w:rPr>
          <w:b/>
        </w:rPr>
        <w:t>”</w:t>
      </w:r>
      <w:r>
        <w:t xml:space="preserve"> means to bring into the State, whether from outside Australia or otherwise;</w:t>
      </w:r>
    </w:p>
    <w:p>
      <w:pPr>
        <w:pStyle w:val="Defstart"/>
      </w:pPr>
      <w:r>
        <w:rPr>
          <w:b/>
        </w:rPr>
        <w:tab/>
        <w:t>“</w:t>
      </w:r>
      <w:r>
        <w:rPr>
          <w:rStyle w:val="CharDefText"/>
        </w:rPr>
        <w:t>improvement notice</w:t>
      </w:r>
      <w:r>
        <w:rPr>
          <w:b/>
        </w:rPr>
        <w:t>”</w:t>
      </w:r>
      <w:r>
        <w:t xml:space="preserve"> means an improvement notice issued under Part VI;</w:t>
      </w:r>
    </w:p>
    <w:p>
      <w:pPr>
        <w:pStyle w:val="Defstart"/>
      </w:pPr>
      <w:r>
        <w:rPr>
          <w:b/>
        </w:rPr>
        <w:tab/>
        <w:t>“</w:t>
      </w:r>
      <w:r>
        <w:rPr>
          <w:rStyle w:val="CharDefText"/>
        </w:rPr>
        <w:t>inspector</w:t>
      </w:r>
      <w:r>
        <w:rPr>
          <w:b/>
        </w:rPr>
        <w:t>”</w:t>
      </w:r>
      <w:r>
        <w:t xml:space="preserve"> means an inspector appointed under section 42, and subject to section 42B(3), includes a restricted inspector appointed under section 42A;</w:t>
      </w:r>
    </w:p>
    <w:p>
      <w:pPr>
        <w:pStyle w:val="Defstart"/>
      </w:pPr>
      <w:r>
        <w:rPr>
          <w:b/>
        </w:rPr>
        <w:tab/>
        <w:t>“</w:t>
      </w:r>
      <w:r>
        <w:rPr>
          <w:rStyle w:val="CharDefText"/>
        </w:rPr>
        <w:t>plant</w:t>
      </w:r>
      <w:r>
        <w:rPr>
          <w:b/>
        </w:rPr>
        <w:t>”</w:t>
      </w:r>
      <w:r>
        <w:t xml:space="preserve"> includes any machinery, equipment, appliance, implement, or tool and any component or fitting thereof or accessory thereto;</w:t>
      </w:r>
    </w:p>
    <w:p>
      <w:pPr>
        <w:pStyle w:val="Defstart"/>
      </w:pPr>
      <w:r>
        <w:tab/>
      </w:r>
      <w:r>
        <w:rPr>
          <w:b/>
        </w:rPr>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xml:space="preserve"> to be a member of the Police Force of Western Australia;</w:t>
      </w:r>
    </w:p>
    <w:p>
      <w:pPr>
        <w:pStyle w:val="Defpara"/>
      </w:pPr>
      <w:r>
        <w:tab/>
        <w:t>(b)</w:t>
      </w:r>
      <w:r>
        <w:tab/>
        <w:t xml:space="preserve">under Part III of the </w:t>
      </w:r>
      <w:r>
        <w:rPr>
          <w:i/>
        </w:rPr>
        <w:t>Police Act 1892</w:t>
      </w:r>
      <w:r>
        <w:t xml:space="preserve"> to be a special constable; or</w:t>
      </w:r>
    </w:p>
    <w:p>
      <w:pPr>
        <w:pStyle w:val="Defpara"/>
      </w:pPr>
      <w:r>
        <w:tab/>
        <w:t>(c)</w:t>
      </w:r>
      <w:r>
        <w:tab/>
        <w:t xml:space="preserve">under Part IIIA of the </w:t>
      </w:r>
      <w:r>
        <w:rPr>
          <w:i/>
        </w:rPr>
        <w:t>Police Act 1892</w:t>
      </w:r>
      <w:r>
        <w:t xml:space="preserve"> to be an aboriginal aide;</w:t>
      </w:r>
    </w:p>
    <w:p>
      <w:pPr>
        <w:pStyle w:val="Defstart"/>
      </w:pPr>
      <w:r>
        <w:rPr>
          <w:b/>
        </w:rPr>
        <w:tab/>
        <w:t>“</w:t>
      </w:r>
      <w:r>
        <w:rPr>
          <w:rStyle w:val="CharDefText"/>
        </w:rPr>
        <w:t>practicable</w:t>
      </w:r>
      <w:r>
        <w:rPr>
          <w:b/>
        </w:rPr>
        <w:t>”</w:t>
      </w:r>
      <w:r>
        <w:t xml:space="preserve"> means reasonably practicable having regard, where the context permits, to — </w:t>
      </w:r>
    </w:p>
    <w:p>
      <w:pPr>
        <w:pStyle w:val="Defpara"/>
      </w:pPr>
      <w:r>
        <w:tab/>
        <w:t>(a)</w:t>
      </w:r>
      <w:r>
        <w:tab/>
        <w:t>the severity of any potential injury or harm to health that may be involved, and the degree of risk of it occurring;</w:t>
      </w:r>
    </w:p>
    <w:p>
      <w:pPr>
        <w:pStyle w:val="Defpara"/>
      </w:pPr>
      <w:r>
        <w:tab/>
        <w:t>(b)</w:t>
      </w:r>
      <w:r>
        <w:tab/>
        <w:t>the state of knowledge about — </w:t>
      </w:r>
    </w:p>
    <w:p>
      <w:pPr>
        <w:pStyle w:val="Defsubpara"/>
        <w:rPr>
          <w:snapToGrid w:val="0"/>
        </w:rPr>
      </w:pPr>
      <w:r>
        <w:rPr>
          <w:snapToGrid w:val="0"/>
        </w:rPr>
        <w:tab/>
        <w:t>(i)</w:t>
      </w:r>
      <w:r>
        <w:rPr>
          <w:snapToGrid w:val="0"/>
        </w:rPr>
        <w:tab/>
        <w:t>the injury or harm to health referred to in paragraph (a);</w:t>
      </w:r>
    </w:p>
    <w:p>
      <w:pPr>
        <w:pStyle w:val="Defsubpara"/>
        <w:rPr>
          <w:snapToGrid w:val="0"/>
        </w:rPr>
      </w:pPr>
      <w:r>
        <w:rPr>
          <w:snapToGrid w:val="0"/>
        </w:rPr>
        <w:tab/>
        <w:t>(ii)</w:t>
      </w:r>
      <w:r>
        <w:rPr>
          <w:snapToGrid w:val="0"/>
        </w:rPr>
        <w:tab/>
        <w:t>the risk of that injury or harm to health occurring; and</w:t>
      </w:r>
    </w:p>
    <w:p>
      <w:pPr>
        <w:pStyle w:val="Defsubpara"/>
        <w:rPr>
          <w:snapToGrid w:val="0"/>
          <w:spacing w:val="-4"/>
        </w:rPr>
      </w:pPr>
      <w:r>
        <w:rPr>
          <w:snapToGrid w:val="0"/>
          <w:spacing w:val="-4"/>
        </w:rPr>
        <w:tab/>
        <w:t>(iii)</w:t>
      </w:r>
      <w:r>
        <w:rPr>
          <w:snapToGrid w:val="0"/>
          <w:spacing w:val="-4"/>
        </w:rPr>
        <w:tab/>
        <w:t xml:space="preserve">means of removing or mitigating the risk or mitigating the potential injury or harm to health; </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t>“</w:t>
      </w:r>
      <w:r>
        <w:rPr>
          <w:rStyle w:val="CharDefText"/>
        </w:rPr>
        <w:t>prescribed law</w:t>
      </w:r>
      <w:r>
        <w:rPr>
          <w:b/>
        </w:rPr>
        <w:t>”</w:t>
      </w:r>
      <w:r>
        <w:t xml:space="preserve"> means a law prescribed for the purposes of section 14(1)(b);</w:t>
      </w:r>
    </w:p>
    <w:p>
      <w:pPr>
        <w:pStyle w:val="Defstart"/>
      </w:pPr>
      <w:r>
        <w:rPr>
          <w:b/>
        </w:rPr>
        <w:tab/>
        <w:t>“</w:t>
      </w:r>
      <w:r>
        <w:rPr>
          <w:rStyle w:val="CharDefText"/>
        </w:rPr>
        <w:t>prohibition notice</w:t>
      </w:r>
      <w:r>
        <w:rPr>
          <w:b/>
        </w:rPr>
        <w:t>”</w:t>
      </w:r>
      <w:r>
        <w:t xml:space="preserve"> means a prohibition notice issued under Part VI;</w:t>
      </w:r>
    </w:p>
    <w:p>
      <w:pPr>
        <w:pStyle w:val="Defstart"/>
      </w:pPr>
      <w:r>
        <w:rPr>
          <w:b/>
        </w:rPr>
        <w:tab/>
        <w:t>“</w:t>
      </w:r>
      <w:r>
        <w:rPr>
          <w:rStyle w:val="CharDefText"/>
        </w:rPr>
        <w:t>provisional improvement notice</w:t>
      </w:r>
      <w:r>
        <w:rPr>
          <w:b/>
        </w:rPr>
        <w:t>”</w:t>
      </w:r>
      <w:r>
        <w:t xml:space="preserve"> means a provisional improvement notice issued under Part VI Division 2;</w:t>
      </w:r>
    </w:p>
    <w:p>
      <w:pPr>
        <w:pStyle w:val="Defstart"/>
      </w:pPr>
      <w:r>
        <w:rPr>
          <w:b/>
        </w:rPr>
        <w:tab/>
        <w:t>“</w:t>
      </w:r>
      <w:r>
        <w:rPr>
          <w:rStyle w:val="CharDefText"/>
        </w:rPr>
        <w:t>risk</w:t>
      </w:r>
      <w:r>
        <w:rPr>
          <w:b/>
        </w:rPr>
        <w:t>”</w:t>
      </w:r>
      <w:r>
        <w:t>, in relation to any injury or harm, means the probability of that injury or harm occurring;</w:t>
      </w:r>
    </w:p>
    <w:p>
      <w:pPr>
        <w:pStyle w:val="Defstart"/>
      </w:pPr>
      <w:r>
        <w:rPr>
          <w:b/>
        </w:rPr>
        <w:tab/>
        <w:t>“</w:t>
      </w:r>
      <w:r>
        <w:rPr>
          <w:rStyle w:val="CharDefText"/>
        </w:rPr>
        <w:t>safety and health committee</w:t>
      </w:r>
      <w:r>
        <w:rPr>
          <w:b/>
        </w:rPr>
        <w:t>”</w:t>
      </w:r>
      <w:r>
        <w:t xml:space="preserve"> means a safety and health committee established under Part IV Division 2;</w:t>
      </w:r>
    </w:p>
    <w:p>
      <w:pPr>
        <w:pStyle w:val="Defstart"/>
      </w:pPr>
      <w:r>
        <w:rPr>
          <w:b/>
        </w:rPr>
        <w:tab/>
        <w:t>“</w:t>
      </w:r>
      <w:r>
        <w:rPr>
          <w:rStyle w:val="CharDefText"/>
        </w:rPr>
        <w:t>safety and health magistrate</w:t>
      </w:r>
      <w:r>
        <w:rPr>
          <w:b/>
        </w:rPr>
        <w:t>”</w:t>
      </w:r>
      <w:r>
        <w:t xml:space="preserve"> means a person holding office as a safety and health magistrate under section 51B;</w:t>
      </w:r>
    </w:p>
    <w:p>
      <w:pPr>
        <w:pStyle w:val="Defstart"/>
      </w:pPr>
      <w:r>
        <w:rPr>
          <w:b/>
        </w:rPr>
        <w:tab/>
        <w:t>“</w:t>
      </w:r>
      <w:r>
        <w:rPr>
          <w:rStyle w:val="CharDefText"/>
        </w:rPr>
        <w:t>safety and health representative</w:t>
      </w:r>
      <w:r>
        <w:rPr>
          <w:b/>
        </w:rPr>
        <w:t>”</w:t>
      </w:r>
      <w:r>
        <w:t xml:space="preserve"> means a safety and health representative elected under Part IV Division 1;</w:t>
      </w:r>
    </w:p>
    <w:p>
      <w:pPr>
        <w:pStyle w:val="Defstart"/>
      </w:pPr>
      <w:r>
        <w:rPr>
          <w:b/>
        </w:rPr>
        <w:tab/>
        <w:t>“</w:t>
      </w:r>
      <w:r>
        <w:rPr>
          <w:rStyle w:val="CharDefText"/>
        </w:rPr>
        <w:t>self</w:t>
      </w:r>
      <w:r>
        <w:rPr>
          <w:rStyle w:val="CharDefText"/>
        </w:rPr>
        <w:noBreakHyphen/>
        <w:t>employed person</w:t>
      </w:r>
      <w:r>
        <w:rPr>
          <w:b/>
        </w:rPr>
        <w:t>”</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 or trainee,</w:t>
      </w:r>
    </w:p>
    <w:p>
      <w:pPr>
        <w:pStyle w:val="Defstart"/>
      </w:pPr>
      <w:r>
        <w:tab/>
      </w:r>
      <w:r>
        <w:tab/>
        <w:t>whether or not the individual is an employer;</w:t>
      </w:r>
    </w:p>
    <w:p>
      <w:pPr>
        <w:pStyle w:val="Defstart"/>
      </w:pPr>
      <w:r>
        <w:rPr>
          <w:b/>
        </w:rPr>
        <w:tab/>
        <w:t>“</w:t>
      </w:r>
      <w:r>
        <w:rPr>
          <w:rStyle w:val="CharDefText"/>
        </w:rPr>
        <w:t>supply</w:t>
      </w:r>
      <w:r>
        <w:rPr>
          <w:b/>
        </w:rPr>
        <w:t>”</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t>“</w:t>
      </w:r>
      <w:r>
        <w:rPr>
          <w:rStyle w:val="CharDefText"/>
        </w:rPr>
        <w:t>trade union</w:t>
      </w:r>
      <w:r>
        <w:rPr>
          <w:b/>
        </w:rPr>
        <w:t>”</w:t>
      </w:r>
      <w:r>
        <w:t xml:space="preserve"> means —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2</w:t>
      </w:r>
      <w:r>
        <w:t xml:space="preserve"> of the Parliament of the Commonwealth and having employees as its members, or a branch of any such organisation;</w:t>
      </w:r>
    </w:p>
    <w:p>
      <w:pPr>
        <w:pStyle w:val="Defstart"/>
      </w:pPr>
      <w:r>
        <w:rPr>
          <w:b/>
        </w:rPr>
        <w:tab/>
        <w:t>“</w:t>
      </w:r>
      <w:r>
        <w:rPr>
          <w:rStyle w:val="CharDefText"/>
        </w:rPr>
        <w:t>trainee</w:t>
      </w:r>
      <w:r>
        <w:rPr>
          <w:b/>
        </w:rPr>
        <w:t>”</w:t>
      </w:r>
      <w:r>
        <w:t xml:space="preserve"> means a person belonging to a class of persons defined by the regulations as trainees for the purposes of this Act;</w:t>
      </w:r>
    </w:p>
    <w:p>
      <w:pPr>
        <w:pStyle w:val="Defstart"/>
      </w:pPr>
      <w:r>
        <w:rPr>
          <w:b/>
        </w:rPr>
        <w:tab/>
        <w:t>“</w:t>
      </w:r>
      <w:r>
        <w:rPr>
          <w:rStyle w:val="CharDefText"/>
        </w:rPr>
        <w:t>transferred law</w:t>
      </w:r>
      <w:r>
        <w:rPr>
          <w:b/>
        </w:rPr>
        <w:t>”</w:t>
      </w:r>
      <w:r>
        <w:t xml:space="preserve"> means a law or a provision of a law transferred to the administration of the Minister pursuant to an order under this Act;</w:t>
      </w:r>
    </w:p>
    <w:p>
      <w:pPr>
        <w:pStyle w:val="Defstart"/>
      </w:pPr>
      <w:r>
        <w:rPr>
          <w:b/>
        </w:rPr>
        <w:tab/>
        <w:t>“</w:t>
      </w:r>
      <w:r>
        <w:rPr>
          <w:rStyle w:val="CharDefText"/>
        </w:rPr>
        <w:t>Tribunal</w:t>
      </w:r>
      <w:r>
        <w:rPr>
          <w:b/>
        </w:rPr>
        <w:t>”</w:t>
      </w:r>
      <w:r>
        <w:t xml:space="preserve"> has the meaning given to that term in section 51G(2);</w:t>
      </w:r>
    </w:p>
    <w:p>
      <w:pPr>
        <w:pStyle w:val="Defstart"/>
      </w:pPr>
      <w:r>
        <w:tab/>
      </w:r>
      <w:r>
        <w:rPr>
          <w:b/>
        </w:rPr>
        <w:t>“</w:t>
      </w:r>
      <w:r>
        <w:rPr>
          <w:rStyle w:val="CharDefText"/>
        </w:rPr>
        <w:t>WA Police</w:t>
      </w:r>
      <w:r>
        <w:rPr>
          <w:b/>
        </w:rPr>
        <w:t>”</w:t>
      </w:r>
      <w:r>
        <w:t xml:space="preserve"> means the Police Force of Western Australia provided for by the </w:t>
      </w:r>
      <w:r>
        <w:rPr>
          <w:i/>
        </w:rPr>
        <w:t>Police Act 1892</w:t>
      </w:r>
      <w:r>
        <w:t>;</w:t>
      </w:r>
    </w:p>
    <w:p>
      <w:pPr>
        <w:pStyle w:val="Defstart"/>
      </w:pPr>
      <w:r>
        <w:rPr>
          <w:b/>
        </w:rPr>
        <w:tab/>
        <w:t>“</w:t>
      </w:r>
      <w:r>
        <w:rPr>
          <w:rStyle w:val="CharDefText"/>
        </w:rPr>
        <w:t>workplace</w:t>
      </w:r>
      <w:r>
        <w:rPr>
          <w:b/>
        </w:rPr>
        <w:t>”</w:t>
      </w:r>
      <w:r>
        <w:t xml:space="preserve"> means a place, whether or not in an aircraft, ship, vehicle, building, or other structure, where employees or self</w:t>
      </w:r>
      <w:r>
        <w:noBreakHyphen/>
      </w:r>
      <w:r>
        <w:softHyphen/>
        <w:t>employed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For the purposes of this Act, a police officer is to be treated as an employee of the Crown.</w:t>
      </w:r>
    </w:p>
    <w:p>
      <w:pPr>
        <w:pStyle w:val="Subsection"/>
        <w:rPr>
          <w:snapToGrid w:val="0"/>
        </w:rPr>
      </w:pPr>
      <w:r>
        <w:tab/>
        <w:t>(5)</w:t>
      </w:r>
      <w:r>
        <w:tab/>
      </w:r>
      <w:r>
        <w:rPr>
          <w:snapToGrid w:val="0"/>
        </w:rPr>
        <w:t xml:space="preserve">Without limiting any other provision of this Act, a police officer </w:t>
      </w:r>
      <w:r>
        <w:rPr>
          <w:lang w:val="en-GB"/>
        </w:rP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 xml:space="preserve">[Section 3 amended by No. 43 of 1987 s. 5; No. 30 of 1995 s. 6; No. 79 of 1995 s. 67(5); No. 54 of 2002 s. 4; No. 74 of 2003 s. 87(3); No. 51 of 2004 s. 14, 38, 63, 73 and 104.] </w:t>
      </w:r>
    </w:p>
    <w:p>
      <w:pPr>
        <w:pStyle w:val="Heading5"/>
      </w:pPr>
      <w:bookmarkStart w:id="40" w:name="_Toc109702763"/>
      <w:bookmarkStart w:id="41" w:name="_Toc188695557"/>
      <w:bookmarkStart w:id="42" w:name="_Toc187053884"/>
      <w:bookmarkStart w:id="43" w:name="_Toc402776381"/>
      <w:bookmarkStart w:id="44" w:name="_Toc403985244"/>
      <w:bookmarkStart w:id="45" w:name="_Toc59593018"/>
      <w:r>
        <w:rPr>
          <w:rStyle w:val="CharSectno"/>
        </w:rPr>
        <w:t>3A</w:t>
      </w:r>
      <w:r>
        <w:t>.</w:t>
      </w:r>
      <w:r>
        <w:tab/>
        <w:t>Penalty levels defined</w:t>
      </w:r>
      <w:bookmarkEnd w:id="40"/>
      <w:bookmarkEnd w:id="41"/>
      <w:bookmarkEnd w:id="42"/>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body corporate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body corporate —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body corporate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outlineLvl w:val="0"/>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outlineLvl w:val="0"/>
      </w:pPr>
      <w:r>
        <w:tab/>
        <w:t>(b)</w:t>
      </w:r>
      <w:r>
        <w:tab/>
        <w:t xml:space="preserve">in the case of a body corporate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3A inserted by No. 51 of 2004 s. 15.]</w:t>
      </w:r>
    </w:p>
    <w:p>
      <w:pPr>
        <w:pStyle w:val="Heading5"/>
      </w:pPr>
      <w:bookmarkStart w:id="46" w:name="_Toc109702764"/>
      <w:bookmarkStart w:id="47" w:name="_Toc188695558"/>
      <w:bookmarkStart w:id="48" w:name="_Toc187053885"/>
      <w:r>
        <w:rPr>
          <w:rStyle w:val="CharSectno"/>
        </w:rPr>
        <w:t>3B</w:t>
      </w:r>
      <w:r>
        <w:t>.</w:t>
      </w:r>
      <w:r>
        <w:tab/>
        <w:t>Meaning of “</w:t>
      </w:r>
      <w:r>
        <w:rPr>
          <w:rStyle w:val="CharDefText"/>
          <w:b/>
          <w:bCs/>
        </w:rPr>
        <w:t>first offence</w:t>
      </w:r>
      <w:r>
        <w:t>” and “</w:t>
      </w:r>
      <w:r>
        <w:rPr>
          <w:rStyle w:val="CharDefText"/>
          <w:b/>
        </w:rPr>
        <w:t>subsequent offence</w:t>
      </w:r>
      <w:r>
        <w:t>”</w:t>
      </w:r>
      <w:bookmarkEnd w:id="46"/>
      <w:bookmarkEnd w:id="47"/>
      <w:bookmarkEnd w:id="48"/>
    </w:p>
    <w:p>
      <w:pPr>
        <w:pStyle w:val="Subsection"/>
        <w:outlineLvl w:val="0"/>
      </w:pPr>
      <w:r>
        <w:tab/>
        <w:t>(1)</w:t>
      </w:r>
      <w:r>
        <w:tab/>
        <w:t xml:space="preserve">In this section — </w:t>
      </w:r>
    </w:p>
    <w:p>
      <w:pPr>
        <w:pStyle w:val="Defstart"/>
      </w:pPr>
      <w:r>
        <w:rPr>
          <w:b/>
        </w:rPr>
        <w:tab/>
        <w:t>“</w:t>
      </w:r>
      <w:r>
        <w:rPr>
          <w:rStyle w:val="CharDefText"/>
        </w:rPr>
        <w:t>relevant day</w:t>
      </w:r>
      <w:r>
        <w:rPr>
          <w:b/>
        </w:rPr>
        <w:t>”</w:t>
      </w:r>
      <w:r>
        <w:t xml:space="preserve"> means the day on which section 15 of the </w:t>
      </w:r>
      <w:r>
        <w:rPr>
          <w:i/>
        </w:rPr>
        <w:t>Occupational Safety and Health Legislation Amendment and Repeal Act 2004</w:t>
      </w:r>
      <w:r>
        <w:rPr>
          <w:iCs/>
        </w:rPr>
        <w:t> </w:t>
      </w:r>
      <w:r>
        <w:rPr>
          <w:iCs/>
          <w:vertAlign w:val="superscript"/>
        </w:rPr>
        <w:t>1</w:t>
      </w:r>
      <w:r>
        <w:t xml:space="preserve"> comes into operation.</w:t>
      </w:r>
    </w:p>
    <w:p>
      <w:pPr>
        <w:pStyle w:val="Subsection"/>
        <w:outlineLvl w:val="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by No. 51 of 2004 s. 15.]</w:t>
      </w:r>
    </w:p>
    <w:p>
      <w:pPr>
        <w:pStyle w:val="Heading5"/>
        <w:rPr>
          <w:snapToGrid w:val="0"/>
        </w:rPr>
      </w:pPr>
      <w:bookmarkStart w:id="49" w:name="_Toc109702765"/>
      <w:bookmarkStart w:id="50" w:name="_Toc188695559"/>
      <w:bookmarkStart w:id="51" w:name="_Toc187053886"/>
      <w:r>
        <w:rPr>
          <w:rStyle w:val="CharSectno"/>
        </w:rPr>
        <w:t>4</w:t>
      </w:r>
      <w:r>
        <w:rPr>
          <w:snapToGrid w:val="0"/>
        </w:rPr>
        <w:t>.</w:t>
      </w:r>
      <w:r>
        <w:rPr>
          <w:snapToGrid w:val="0"/>
        </w:rPr>
        <w:tab/>
        <w:t>Application of this Act</w:t>
      </w:r>
      <w:bookmarkEnd w:id="43"/>
      <w:bookmarkEnd w:id="44"/>
      <w:bookmarkEnd w:id="45"/>
      <w:bookmarkEnd w:id="49"/>
      <w:bookmarkEnd w:id="50"/>
      <w:bookmarkEnd w:id="51"/>
      <w:r>
        <w:rPr>
          <w:snapToGrid w:val="0"/>
        </w:rPr>
        <w:t xml:space="preserve"> </w:t>
      </w:r>
    </w:p>
    <w:p>
      <w:pPr>
        <w:pStyle w:val="Subsection"/>
        <w:spacing w:before="120"/>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spacing w:before="120"/>
        <w:rPr>
          <w:snapToGrid w:val="0"/>
        </w:rPr>
      </w:pPr>
      <w:r>
        <w:rPr>
          <w:snapToGrid w:val="0"/>
        </w:rPr>
        <w:tab/>
        <w:t>(2)</w:t>
      </w:r>
      <w:r>
        <w:rPr>
          <w:snapToGrid w:val="0"/>
        </w:rPr>
        <w:tab/>
        <w:t xml:space="preserve">Subject to this section and except as may be otherwise expressly provided by Parliament, this Act does not apply to or in relation to any workplace that is, or at which work is carried out on, a mine, petroleum well or petroleum pipeline to which the </w:t>
      </w:r>
      <w:r>
        <w:rPr>
          <w:i/>
          <w:snapToGrid w:val="0"/>
        </w:rPr>
        <w:t>Mining Act 1978</w:t>
      </w:r>
      <w:r>
        <w:rPr>
          <w:snapToGrid w:val="0"/>
        </w:rPr>
        <w:t xml:space="preserve">, the </w:t>
      </w:r>
      <w:r>
        <w:rPr>
          <w:i/>
          <w:snapToGrid w:val="0"/>
        </w:rPr>
        <w:t>Mines Safety and Inspection Act 1994</w:t>
      </w:r>
      <w:r>
        <w:rPr>
          <w:snapToGrid w:val="0"/>
        </w:rPr>
        <w:t xml:space="preserve">, the </w:t>
      </w:r>
      <w:r>
        <w:rPr>
          <w:i/>
          <w:snapToGrid w:val="0"/>
        </w:rPr>
        <w:t>Petroleum Act 1967</w:t>
      </w:r>
      <w:r>
        <w:rPr>
          <w:snapToGrid w:val="0"/>
        </w:rPr>
        <w:t xml:space="preserve">, the </w:t>
      </w:r>
      <w:r>
        <w:rPr>
          <w:i/>
          <w:snapToGrid w:val="0"/>
        </w:rPr>
        <w:t>Petroleum (Submerged Lands) Act 1982</w:t>
      </w:r>
      <w:r>
        <w:rPr>
          <w:snapToGrid w:val="0"/>
        </w:rPr>
        <w:t xml:space="preserve"> or the </w:t>
      </w:r>
      <w:r>
        <w:rPr>
          <w:i/>
          <w:snapToGrid w:val="0"/>
        </w:rPr>
        <w:t>Petroleum Pipelines Act 1969</w:t>
      </w:r>
      <w:r>
        <w:rPr>
          <w:snapToGrid w:val="0"/>
        </w:rPr>
        <w:t>, applies.</w:t>
      </w:r>
    </w:p>
    <w:p>
      <w:pPr>
        <w:pStyle w:val="Subsection"/>
        <w:spacing w:before="120"/>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 xml:space="preserve">[Section 4 inserted by No. 43 of 1987 s. 7; amended by No. 84 of 1990 s. 2; No. 62 of 1994 s. 109; No. 54 of 2002 s. 5; No. 51 of 2004 s. 74; No. 68 of 2004 s. 94.] </w:t>
      </w:r>
    </w:p>
    <w:p>
      <w:pPr>
        <w:pStyle w:val="Heading5"/>
      </w:pPr>
      <w:bookmarkStart w:id="52" w:name="_Toc109702766"/>
      <w:bookmarkStart w:id="53" w:name="_Toc188695560"/>
      <w:bookmarkStart w:id="54" w:name="_Toc187053887"/>
      <w:bookmarkStart w:id="55" w:name="_Toc402776382"/>
      <w:bookmarkStart w:id="56" w:name="_Toc403985245"/>
      <w:bookmarkStart w:id="57" w:name="_Toc59593019"/>
      <w:r>
        <w:rPr>
          <w:rStyle w:val="CharSectno"/>
        </w:rPr>
        <w:t>4A</w:t>
      </w:r>
      <w:r>
        <w:t>.</w:t>
      </w:r>
      <w:r>
        <w:tab/>
      </w:r>
      <w:r>
        <w:rPr>
          <w:lang w:val="en-GB"/>
        </w:rPr>
        <w:t>Act does not operate to affect adversely certain police operations</w:t>
      </w:r>
      <w:bookmarkEnd w:id="52"/>
      <w:bookmarkEnd w:id="53"/>
      <w:bookmarkEnd w:id="54"/>
    </w:p>
    <w:p>
      <w:pPr>
        <w:pStyle w:val="Subsection"/>
      </w:pPr>
      <w:r>
        <w:tab/>
        <w:t>(1)</w:t>
      </w:r>
      <w:r>
        <w:tab/>
        <w:t xml:space="preserve">In this section — </w:t>
      </w:r>
    </w:p>
    <w:p>
      <w:pPr>
        <w:pStyle w:val="Defstart"/>
      </w:pPr>
      <w:r>
        <w:tab/>
      </w:r>
      <w:r>
        <w:rPr>
          <w:b/>
        </w:rPr>
        <w:t>“</w:t>
      </w:r>
      <w:r>
        <w:rPr>
          <w:rStyle w:val="CharDefText"/>
        </w:rPr>
        <w:t>covert operation</w:t>
      </w:r>
      <w:r>
        <w:rPr>
          <w:b/>
        </w:rPr>
        <w:t>”</w:t>
      </w:r>
      <w:r>
        <w:t xml:space="preserve"> means the performance of a function of a police officer in circumstances where — </w:t>
      </w:r>
    </w:p>
    <w:p>
      <w:pPr>
        <w:pStyle w:val="Defpara"/>
      </w:pPr>
      <w:r>
        <w:tab/>
        <w:t>(a)</w:t>
      </w:r>
      <w:r>
        <w:tab/>
        <w:t>a covert operation is undertaken by WA Police for the purpose of obtaining information about criminal activity;</w:t>
      </w:r>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pPr>
      <w:r>
        <w:tab/>
        <w:t>(c)</w:t>
      </w:r>
      <w:r>
        <w:tab/>
        <w:t xml:space="preserve">unless the performance of the function is secret or confidential, it would be likely that —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b/>
        </w:rPr>
        <w:t>“</w:t>
      </w:r>
      <w:r>
        <w:rPr>
          <w:rStyle w:val="CharDefText"/>
        </w:rPr>
        <w:t>dangerous operation</w:t>
      </w:r>
      <w:r>
        <w:rPr>
          <w:b/>
        </w:rPr>
        <w:t>”</w:t>
      </w:r>
      <w:r>
        <w:t xml:space="preserve"> means the performance of a function of a police officer in circumstances where performance of that function — </w:t>
      </w:r>
    </w:p>
    <w:p>
      <w:pPr>
        <w:pStyle w:val="Defpara"/>
      </w:pPr>
      <w:r>
        <w:tab/>
        <w:t>(a)</w:t>
      </w:r>
      <w:r>
        <w:tab/>
        <w:t xml:space="preserve">is reasonably necessary; and </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by No. 54 of 2002 s. 6.]</w:t>
      </w:r>
    </w:p>
    <w:p>
      <w:pPr>
        <w:pStyle w:val="Heading5"/>
        <w:rPr>
          <w:snapToGrid w:val="0"/>
        </w:rPr>
      </w:pPr>
      <w:bookmarkStart w:id="58" w:name="_Toc109702767"/>
      <w:bookmarkStart w:id="59" w:name="_Toc188695561"/>
      <w:bookmarkStart w:id="60" w:name="_Toc187053888"/>
      <w:r>
        <w:rPr>
          <w:rStyle w:val="CharSectno"/>
        </w:rPr>
        <w:t>5</w:t>
      </w:r>
      <w:r>
        <w:rPr>
          <w:snapToGrid w:val="0"/>
        </w:rPr>
        <w:t>.</w:t>
      </w:r>
      <w:r>
        <w:rPr>
          <w:snapToGrid w:val="0"/>
        </w:rPr>
        <w:tab/>
        <w:t>Objects</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 xml:space="preserve">[Section 5 amended by No. 43 of 1987 s. 8; No. 30 of 1995 s. 47.] </w:t>
      </w:r>
    </w:p>
    <w:p>
      <w:pPr>
        <w:pStyle w:val="Heading2"/>
      </w:pPr>
      <w:bookmarkStart w:id="61" w:name="_Toc88990633"/>
      <w:bookmarkStart w:id="62" w:name="_Toc89568195"/>
      <w:bookmarkStart w:id="63" w:name="_Toc93200874"/>
      <w:bookmarkStart w:id="64" w:name="_Toc97006545"/>
      <w:bookmarkStart w:id="65" w:name="_Toc100545114"/>
      <w:bookmarkStart w:id="66" w:name="_Toc100716593"/>
      <w:bookmarkStart w:id="67" w:name="_Toc102546182"/>
      <w:bookmarkStart w:id="68" w:name="_Toc103141405"/>
      <w:bookmarkStart w:id="69" w:name="_Toc105909017"/>
      <w:bookmarkStart w:id="70" w:name="_Toc105921903"/>
      <w:bookmarkStart w:id="71" w:name="_Toc106616741"/>
      <w:bookmarkStart w:id="72" w:name="_Toc108848485"/>
      <w:bookmarkStart w:id="73" w:name="_Toc109702768"/>
      <w:bookmarkStart w:id="74" w:name="_Toc113700325"/>
      <w:bookmarkStart w:id="75" w:name="_Toc113778983"/>
      <w:bookmarkStart w:id="76" w:name="_Toc122767364"/>
      <w:bookmarkStart w:id="77" w:name="_Toc122767607"/>
      <w:bookmarkStart w:id="78" w:name="_Toc131409854"/>
      <w:bookmarkStart w:id="79" w:name="_Toc187035421"/>
      <w:bookmarkStart w:id="80" w:name="_Toc187053889"/>
      <w:bookmarkStart w:id="81" w:name="_Toc188695562"/>
      <w:bookmarkStart w:id="82" w:name="_Toc402776383"/>
      <w:bookmarkStart w:id="83" w:name="_Toc403985246"/>
      <w:r>
        <w:rPr>
          <w:rStyle w:val="CharPartNo"/>
        </w:rPr>
        <w:t>Part II</w:t>
      </w:r>
      <w:r>
        <w:rPr>
          <w:rStyle w:val="CharDivNo"/>
        </w:rPr>
        <w:t> </w:t>
      </w:r>
      <w:r>
        <w:t>—</w:t>
      </w:r>
      <w:r>
        <w:rPr>
          <w:rStyle w:val="CharDivText"/>
        </w:rPr>
        <w:t> </w:t>
      </w:r>
      <w:r>
        <w:rPr>
          <w:rStyle w:val="CharPartText"/>
        </w:rPr>
        <w:t>Commission for Occupational Safety and Health</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Footnoteheading"/>
        <w:rPr>
          <w:snapToGrid w:val="0"/>
        </w:rPr>
      </w:pPr>
      <w:r>
        <w:rPr>
          <w:snapToGrid w:val="0"/>
        </w:rPr>
        <w:tab/>
        <w:t>[Heading inserted by No. 74 of 2003 s. 87(4).]</w:t>
      </w:r>
    </w:p>
    <w:p>
      <w:pPr>
        <w:pStyle w:val="Heading5"/>
        <w:rPr>
          <w:snapToGrid w:val="0"/>
        </w:rPr>
      </w:pPr>
      <w:bookmarkStart w:id="84" w:name="_Toc59593020"/>
      <w:bookmarkStart w:id="85" w:name="_Toc109702769"/>
      <w:bookmarkStart w:id="86" w:name="_Toc188695563"/>
      <w:bookmarkStart w:id="87" w:name="_Toc187053890"/>
      <w:r>
        <w:rPr>
          <w:rStyle w:val="CharSectno"/>
        </w:rPr>
        <w:t>6</w:t>
      </w:r>
      <w:r>
        <w:rPr>
          <w:snapToGrid w:val="0"/>
        </w:rPr>
        <w:t>.</w:t>
      </w:r>
      <w:r>
        <w:rPr>
          <w:snapToGrid w:val="0"/>
        </w:rPr>
        <w:tab/>
        <w:t>The Commission</w:t>
      </w:r>
      <w:bookmarkEnd w:id="82"/>
      <w:bookmarkEnd w:id="83"/>
      <w:bookmarkEnd w:id="84"/>
      <w:bookmarkEnd w:id="85"/>
      <w:bookmarkEnd w:id="86"/>
      <w:bookmarkEnd w:id="87"/>
      <w:r>
        <w:rPr>
          <w:snapToGrid w:val="0"/>
        </w:rPr>
        <w:t xml:space="preserve"> </w:t>
      </w:r>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 </w:t>
      </w:r>
    </w:p>
    <w:p>
      <w:pPr>
        <w:pStyle w:val="Indenta"/>
        <w:rPr>
          <w:snapToGrid w:val="0"/>
        </w:rPr>
      </w:pPr>
      <w:r>
        <w:rPr>
          <w:snapToGrid w:val="0"/>
        </w:rPr>
        <w:tab/>
        <w:t>(a)</w:t>
      </w:r>
      <w:r>
        <w:rPr>
          <w:snapToGrid w:val="0"/>
        </w:rPr>
        <w:tab/>
        <w:t>a person nominated by the Minister and appointed by the Governor as chairperson;</w:t>
      </w:r>
    </w:p>
    <w:p>
      <w:pPr>
        <w:pStyle w:val="Indenta"/>
        <w:rPr>
          <w:snapToGrid w:val="0"/>
        </w:rPr>
      </w:pPr>
      <w:r>
        <w:rPr>
          <w:snapToGrid w:val="0"/>
        </w:rPr>
        <w:tab/>
        <w:t>(b)</w:t>
      </w:r>
      <w:r>
        <w:rPr>
          <w:snapToGrid w:val="0"/>
        </w:rPr>
        <w:tab/>
        <w:t>the Commissioner;</w:t>
      </w:r>
    </w:p>
    <w:p>
      <w:pPr>
        <w:pStyle w:val="Indenta"/>
      </w:pPr>
      <w:r>
        <w:tab/>
        <w:t>(c)</w:t>
      </w:r>
      <w:r>
        <w:tab/>
        <w:t xml:space="preserve">2 persons employed in the Public Service under Part 3 of the </w:t>
      </w:r>
      <w:r>
        <w:rPr>
          <w:i/>
        </w:rPr>
        <w:t>Public Sector Management Act 1994</w:t>
      </w:r>
      <w:r>
        <w:t xml:space="preserve">, of whom — </w:t>
      </w:r>
    </w:p>
    <w:p>
      <w:pPr>
        <w:pStyle w:val="Indenti"/>
      </w:pPr>
      <w:r>
        <w:tab/>
        <w:t>(i)</w:t>
      </w:r>
      <w:r>
        <w:tab/>
        <w:t xml:space="preserve">one shall be nominated by the Minister; and </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the body known as The Trades and Labor Council of Western Australia;</w:t>
      </w:r>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Australia” or a similar name if that designation is given to it under section 35 of the </w:t>
      </w:r>
      <w:r>
        <w:rPr>
          <w:i/>
          <w:snapToGrid w:val="0"/>
        </w:rPr>
        <w:t>Public Sector Management Act 1994.</w:t>
      </w:r>
      <w:r>
        <w:rPr>
          <w:snapToGrid w:val="0"/>
        </w:rPr>
        <w:t xml:space="preserve"> </w:t>
      </w:r>
    </w:p>
    <w:p>
      <w:pPr>
        <w:pStyle w:val="Footnotesection"/>
      </w:pPr>
      <w:r>
        <w:tab/>
        <w:t xml:space="preserve">[Section 6 amended by No. 30 of 1995 s. 8; No. 74 of 2003 s. 87(5); No. 51 of 2004 s. 103 and 105.] </w:t>
      </w:r>
    </w:p>
    <w:p>
      <w:pPr>
        <w:pStyle w:val="Heading5"/>
        <w:rPr>
          <w:snapToGrid w:val="0"/>
        </w:rPr>
      </w:pPr>
      <w:bookmarkStart w:id="88" w:name="_Toc402776384"/>
      <w:bookmarkStart w:id="89" w:name="_Toc403985247"/>
      <w:bookmarkStart w:id="90" w:name="_Toc59593021"/>
      <w:bookmarkStart w:id="91" w:name="_Toc109702770"/>
      <w:bookmarkStart w:id="92" w:name="_Toc188695564"/>
      <w:bookmarkStart w:id="93" w:name="_Toc187053891"/>
      <w:r>
        <w:rPr>
          <w:rStyle w:val="CharSectno"/>
        </w:rPr>
        <w:t>6A</w:t>
      </w:r>
      <w:r>
        <w:rPr>
          <w:snapToGrid w:val="0"/>
        </w:rPr>
        <w:t xml:space="preserve">. </w:t>
      </w:r>
      <w:r>
        <w:rPr>
          <w:snapToGrid w:val="0"/>
        </w:rPr>
        <w:tab/>
        <w:t>Deputy chairperson</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 xml:space="preserve">[Section 6A inserted by No. 30 of 1995 s. 9.] </w:t>
      </w:r>
    </w:p>
    <w:p>
      <w:pPr>
        <w:pStyle w:val="Heading5"/>
        <w:rPr>
          <w:snapToGrid w:val="0"/>
        </w:rPr>
      </w:pPr>
      <w:bookmarkStart w:id="94" w:name="_Toc402776385"/>
      <w:bookmarkStart w:id="95" w:name="_Toc403985248"/>
      <w:bookmarkStart w:id="96" w:name="_Toc59593022"/>
      <w:bookmarkStart w:id="97" w:name="_Toc109702771"/>
      <w:bookmarkStart w:id="98" w:name="_Toc188695565"/>
      <w:bookmarkStart w:id="99" w:name="_Toc187053892"/>
      <w:r>
        <w:rPr>
          <w:rStyle w:val="CharSectno"/>
        </w:rPr>
        <w:t>7</w:t>
      </w:r>
      <w:r>
        <w:rPr>
          <w:snapToGrid w:val="0"/>
        </w:rPr>
        <w:t>.</w:t>
      </w:r>
      <w:r>
        <w:rPr>
          <w:snapToGrid w:val="0"/>
        </w:rPr>
        <w:tab/>
        <w:t>Acting members</w:t>
      </w:r>
      <w:bookmarkEnd w:id="94"/>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 xml:space="preserve">[Section 7 inserted by No. 30 of 1995 s. 10.] </w:t>
      </w:r>
    </w:p>
    <w:p>
      <w:pPr>
        <w:pStyle w:val="Heading5"/>
        <w:rPr>
          <w:snapToGrid w:val="0"/>
        </w:rPr>
      </w:pPr>
      <w:bookmarkStart w:id="100" w:name="_Toc402776386"/>
      <w:bookmarkStart w:id="101" w:name="_Toc403985249"/>
      <w:bookmarkStart w:id="102" w:name="_Toc59593023"/>
      <w:bookmarkStart w:id="103" w:name="_Toc109702772"/>
      <w:bookmarkStart w:id="104" w:name="_Toc188695566"/>
      <w:bookmarkStart w:id="105" w:name="_Toc187053893"/>
      <w:r>
        <w:rPr>
          <w:rStyle w:val="CharSectno"/>
        </w:rPr>
        <w:t>8</w:t>
      </w:r>
      <w:r>
        <w:rPr>
          <w:snapToGrid w:val="0"/>
        </w:rPr>
        <w:t>.</w:t>
      </w:r>
      <w:r>
        <w:rPr>
          <w:snapToGrid w:val="0"/>
        </w:rPr>
        <w:tab/>
        <w:t>Terms and conditions of appointed members</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 Minister for Public Sector Management</w:t>
      </w:r>
      <w:r>
        <w:rPr>
          <w:snapToGrid w:val="0"/>
          <w:vertAlign w:val="superscript"/>
        </w:rPr>
        <w:t> 3</w:t>
      </w:r>
      <w:r>
        <w:rPr>
          <w:snapToGrid w:val="0"/>
        </w:rPr>
        <w:t>.</w:t>
      </w:r>
    </w:p>
    <w:p>
      <w:pPr>
        <w:pStyle w:val="Footnotesection"/>
      </w:pPr>
      <w:r>
        <w:tab/>
        <w:t>[Section 8 amended by No. 51 of 2004 s. 75.]</w:t>
      </w:r>
    </w:p>
    <w:p>
      <w:pPr>
        <w:pStyle w:val="Heading5"/>
        <w:rPr>
          <w:snapToGrid w:val="0"/>
        </w:rPr>
      </w:pPr>
      <w:bookmarkStart w:id="106" w:name="_Toc402776387"/>
      <w:bookmarkStart w:id="107" w:name="_Toc403985250"/>
      <w:bookmarkStart w:id="108" w:name="_Toc59593024"/>
      <w:bookmarkStart w:id="109" w:name="_Toc109702773"/>
      <w:bookmarkStart w:id="110" w:name="_Toc188695567"/>
      <w:bookmarkStart w:id="111" w:name="_Toc187053894"/>
      <w:r>
        <w:rPr>
          <w:rStyle w:val="CharSectno"/>
        </w:rPr>
        <w:t>9</w:t>
      </w:r>
      <w:r>
        <w:rPr>
          <w:snapToGrid w:val="0"/>
        </w:rPr>
        <w:t>.</w:t>
      </w:r>
      <w:r>
        <w:rPr>
          <w:snapToGrid w:val="0"/>
        </w:rPr>
        <w:tab/>
        <w:t>WorkSafe Western Australia Commissioner</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 Minister for Public Sector Management</w:t>
      </w:r>
      <w:r>
        <w:rPr>
          <w:snapToGrid w:val="0"/>
          <w:vertAlign w:val="superscript"/>
        </w:rPr>
        <w:t> 3</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repealed]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r>
        <w:tab/>
        <w:t xml:space="preserve">[Section 9 amended by No. 43 of 1987 s. 10; No. 55 of 1987 s. 4; No. 32 of 1994 s. 19; No. 30 of 1995 s. 11 and 47; No. 51 of 2004 s. 76 and 102(2).] </w:t>
      </w:r>
    </w:p>
    <w:p>
      <w:pPr>
        <w:pStyle w:val="Heading5"/>
      </w:pPr>
      <w:bookmarkStart w:id="112" w:name="_Toc109702774"/>
      <w:bookmarkStart w:id="113" w:name="_Toc188695568"/>
      <w:bookmarkStart w:id="114" w:name="_Toc187053895"/>
      <w:bookmarkStart w:id="115" w:name="_Toc402776389"/>
      <w:bookmarkStart w:id="116" w:name="_Toc403985252"/>
      <w:bookmarkStart w:id="117" w:name="_Toc59593026"/>
      <w:r>
        <w:rPr>
          <w:rStyle w:val="CharSectno"/>
        </w:rPr>
        <w:t>10</w:t>
      </w:r>
      <w:r>
        <w:t>.</w:t>
      </w:r>
      <w:r>
        <w:tab/>
        <w:t>Vacation of office</w:t>
      </w:r>
      <w:bookmarkEnd w:id="112"/>
      <w:bookmarkEnd w:id="113"/>
      <w:bookmarkEnd w:id="114"/>
    </w:p>
    <w:p>
      <w:pPr>
        <w:pStyle w:val="Subsection"/>
      </w:pPr>
      <w:r>
        <w:tab/>
      </w:r>
      <w:r>
        <w:tab/>
        <w:t xml:space="preserve">A person’s office as Commissioner or as an appointed member becomes vacant if — </w:t>
      </w:r>
    </w:p>
    <w:p>
      <w:pPr>
        <w:pStyle w:val="Indenta"/>
      </w:pPr>
      <w:r>
        <w:tab/>
        <w:t>(a)</w:t>
      </w:r>
      <w:r>
        <w:tab/>
        <w:t xml:space="preserve">the person’s term of office expires; or </w:t>
      </w:r>
    </w:p>
    <w:p>
      <w:pPr>
        <w:pStyle w:val="Indenta"/>
      </w:pPr>
      <w:r>
        <w:tab/>
        <w:t>(b)</w:t>
      </w:r>
      <w:r>
        <w:tab/>
        <w:t xml:space="preserve">the person — </w:t>
      </w:r>
    </w:p>
    <w:p>
      <w:pPr>
        <w:pStyle w:val="Indenti"/>
      </w:pPr>
      <w:r>
        <w:tab/>
        <w:t>(i)</w:t>
      </w:r>
      <w:r>
        <w:tab/>
        <w:t>dies;</w:t>
      </w:r>
    </w:p>
    <w:p>
      <w:pPr>
        <w:pStyle w:val="Indenti"/>
        <w:rPr>
          <w:snapToGrid w:val="0"/>
        </w:rPr>
      </w:pPr>
      <w:r>
        <w:tab/>
        <w:t>(ii)</w:t>
      </w:r>
      <w:r>
        <w:tab/>
        <w:t>becomes</w:t>
      </w:r>
      <w:r>
        <w:rPr>
          <w:snapToGrid w:val="0"/>
        </w:rPr>
        <w:t xml:space="preserve"> permanently incapable of performing the duties of the office;</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p>
    <w:p>
      <w:pPr>
        <w:pStyle w:val="Indenti"/>
        <w:rPr>
          <w:snapToGrid w:val="0"/>
        </w:rPr>
      </w:pPr>
      <w:r>
        <w:rPr>
          <w:snapToGrid w:val="0"/>
        </w:rPr>
        <w:tab/>
        <w:t>(iv)</w:t>
      </w:r>
      <w:r>
        <w:rPr>
          <w:snapToGrid w:val="0"/>
        </w:rPr>
        <w:tab/>
        <w:t xml:space="preserve">is an </w:t>
      </w:r>
      <w:r>
        <w:t>undischarged</w:t>
      </w:r>
      <w:r>
        <w:rPr>
          <w:snapToGrid w:val="0"/>
        </w:rPr>
        <w:t xml:space="preserve"> bankrupt or a person whose property is subject to an order or arrangement under the laws relating to bankruptcy;</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 xml:space="preserve">is absent without leave of the Minister from 3 consecutive meetings of the Commission; </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pPr>
      <w:r>
        <w:tab/>
        <w:t>[Section 10 inserted by No. 51 of 2004 s. 77.]</w:t>
      </w:r>
    </w:p>
    <w:p>
      <w:pPr>
        <w:pStyle w:val="Heading5"/>
        <w:spacing w:before="180"/>
        <w:rPr>
          <w:snapToGrid w:val="0"/>
        </w:rPr>
      </w:pPr>
      <w:bookmarkStart w:id="118" w:name="_Toc109702775"/>
      <w:bookmarkStart w:id="119" w:name="_Toc188695569"/>
      <w:bookmarkStart w:id="120" w:name="_Toc187053896"/>
      <w:r>
        <w:rPr>
          <w:rStyle w:val="CharSectno"/>
        </w:rPr>
        <w:t>11</w:t>
      </w:r>
      <w:r>
        <w:rPr>
          <w:snapToGrid w:val="0"/>
        </w:rPr>
        <w:t>.</w:t>
      </w:r>
      <w:r>
        <w:rPr>
          <w:snapToGrid w:val="0"/>
        </w:rPr>
        <w:tab/>
        <w:t>Leave of absence</w:t>
      </w:r>
      <w:bookmarkEnd w:id="115"/>
      <w:bookmarkEnd w:id="116"/>
      <w:bookmarkEnd w:id="117"/>
      <w:bookmarkEnd w:id="118"/>
      <w:bookmarkEnd w:id="119"/>
      <w:bookmarkEnd w:id="120"/>
      <w:r>
        <w:rPr>
          <w:snapToGrid w:val="0"/>
        </w:rPr>
        <w:t xml:space="preserve"> </w:t>
      </w:r>
    </w:p>
    <w:p>
      <w:pPr>
        <w:pStyle w:val="Subsection"/>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121" w:name="_Toc402776390"/>
      <w:bookmarkStart w:id="122" w:name="_Toc403985253"/>
      <w:bookmarkStart w:id="123" w:name="_Toc59593027"/>
      <w:bookmarkStart w:id="124" w:name="_Toc109702776"/>
      <w:bookmarkStart w:id="125" w:name="_Toc188695570"/>
      <w:bookmarkStart w:id="126" w:name="_Toc187053897"/>
      <w:r>
        <w:rPr>
          <w:rStyle w:val="CharSectno"/>
        </w:rPr>
        <w:t>12</w:t>
      </w:r>
      <w:r>
        <w:rPr>
          <w:snapToGrid w:val="0"/>
        </w:rPr>
        <w:t>.</w:t>
      </w:r>
      <w:r>
        <w:rPr>
          <w:snapToGrid w:val="0"/>
        </w:rPr>
        <w:tab/>
        <w:t>Casual vacancies</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pPr>
      <w:r>
        <w:tab/>
        <w:t>[Section 12 amended by No. 51 of 2004 s. 102(1).]</w:t>
      </w:r>
    </w:p>
    <w:p>
      <w:pPr>
        <w:pStyle w:val="Heading5"/>
        <w:rPr>
          <w:snapToGrid w:val="0"/>
        </w:rPr>
      </w:pPr>
      <w:bookmarkStart w:id="127" w:name="_Toc402776391"/>
      <w:bookmarkStart w:id="128" w:name="_Toc403985254"/>
      <w:bookmarkStart w:id="129" w:name="_Toc59593028"/>
      <w:bookmarkStart w:id="130" w:name="_Toc109702777"/>
      <w:bookmarkStart w:id="131" w:name="_Toc188695571"/>
      <w:bookmarkStart w:id="132" w:name="_Toc187053898"/>
      <w:r>
        <w:rPr>
          <w:rStyle w:val="CharSectno"/>
        </w:rPr>
        <w:t>13</w:t>
      </w:r>
      <w:r>
        <w:rPr>
          <w:snapToGrid w:val="0"/>
        </w:rPr>
        <w:t>.</w:t>
      </w:r>
      <w:r>
        <w:rPr>
          <w:snapToGrid w:val="0"/>
        </w:rPr>
        <w:tab/>
        <w:t>Meetings of the Commission</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rPr>
          <w:snapToGrid w:val="0"/>
        </w:rPr>
      </w:pPr>
      <w:r>
        <w:rPr>
          <w:snapToGrid w:val="0"/>
        </w:rPr>
        <w:tab/>
        <w:t>(2)</w:t>
      </w:r>
      <w:r>
        <w:rPr>
          <w:snapToGrid w:val="0"/>
        </w:rPr>
        <w:tab/>
        <w:t>The Commission shall meet at least 6 times a year at intervals of not more than 3 months.</w:t>
      </w:r>
    </w:p>
    <w:p>
      <w:pPr>
        <w:pStyle w:val="Subsection"/>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 xml:space="preserve">[Section 13 amended by No. 30 of 1995 s. 12; No. 51 of 2004 s. 102(1).] </w:t>
      </w:r>
    </w:p>
    <w:p>
      <w:pPr>
        <w:pStyle w:val="Heading5"/>
        <w:rPr>
          <w:snapToGrid w:val="0"/>
        </w:rPr>
      </w:pPr>
      <w:bookmarkStart w:id="133" w:name="_Toc402776392"/>
      <w:bookmarkStart w:id="134" w:name="_Toc403985255"/>
      <w:bookmarkStart w:id="135" w:name="_Toc59593029"/>
      <w:bookmarkStart w:id="136" w:name="_Toc109702778"/>
      <w:bookmarkStart w:id="137" w:name="_Toc188695572"/>
      <w:bookmarkStart w:id="138" w:name="_Toc187053899"/>
      <w:r>
        <w:rPr>
          <w:rStyle w:val="CharSectno"/>
        </w:rPr>
        <w:t>14</w:t>
      </w:r>
      <w:r>
        <w:rPr>
          <w:snapToGrid w:val="0"/>
        </w:rPr>
        <w:t>.</w:t>
      </w:r>
      <w:r>
        <w:rPr>
          <w:snapToGrid w:val="0"/>
        </w:rPr>
        <w:tab/>
        <w:t>Functions of the Commission</w:t>
      </w:r>
      <w:bookmarkEnd w:id="133"/>
      <w:bookmarkEnd w:id="134"/>
      <w:bookmarkEnd w:id="135"/>
      <w:bookmarkEnd w:id="136"/>
      <w:bookmarkEnd w:id="137"/>
      <w:bookmarkEnd w:id="138"/>
      <w:r>
        <w:rPr>
          <w:snapToGrid w:val="0"/>
        </w:rPr>
        <w:t xml:space="preserve"> </w:t>
      </w:r>
    </w:p>
    <w:p>
      <w:pPr>
        <w:pStyle w:val="Subsection"/>
        <w:spacing w:before="120"/>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inquire into and report to the Minister upon any matters referred to it by the Minister;</w:t>
      </w:r>
    </w:p>
    <w:p>
      <w:pPr>
        <w:pStyle w:val="Indenta"/>
        <w:rPr>
          <w:snapToGrid w:val="0"/>
        </w:rPr>
      </w:pPr>
      <w:r>
        <w:rPr>
          <w:snapToGrid w:val="0"/>
        </w:rPr>
        <w:tab/>
        <w:t>(b)</w:t>
      </w:r>
      <w:r>
        <w:rPr>
          <w:snapToGrid w:val="0"/>
        </w:rPr>
        <w:tab/>
        <w:t>to make recommendations to the Minister with respect to —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w:t>
      </w:r>
    </w:p>
    <w:p>
      <w:pPr>
        <w:pStyle w:val="Indenta"/>
        <w:rPr>
          <w:snapToGrid w:val="0"/>
        </w:rPr>
      </w:pPr>
      <w:r>
        <w:rPr>
          <w:snapToGrid w:val="0"/>
        </w:rPr>
        <w:tab/>
        <w:t>(f)</w:t>
      </w:r>
      <w:r>
        <w:rPr>
          <w:snapToGrid w:val="0"/>
        </w:rPr>
        <w:tab/>
        <w:t>to promote education and training in occupational safety and health as widely as possible;</w:t>
      </w:r>
    </w:p>
    <w:p>
      <w:pPr>
        <w:pStyle w:val="Indenta"/>
        <w:rPr>
          <w:snapToGrid w:val="0"/>
        </w:rPr>
      </w:pPr>
      <w:r>
        <w:rPr>
          <w:snapToGrid w:val="0"/>
        </w:rPr>
        <w:tab/>
        <w:t>(g)</w:t>
      </w:r>
      <w:r>
        <w:rPr>
          <w:snapToGrid w:val="0"/>
        </w:rPr>
        <w:tab/>
        <w:t>in cooperation with educational authorities or bodies to devise and approve courses in relation to occupational safety and health;</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w:t>
      </w:r>
    </w:p>
    <w:p>
      <w:pPr>
        <w:pStyle w:val="Indenta"/>
        <w:rPr>
          <w:snapToGrid w:val="0"/>
        </w:rPr>
      </w:pPr>
      <w:r>
        <w:rPr>
          <w:snapToGrid w:val="0"/>
        </w:rPr>
        <w:tab/>
        <w:t>(i)</w:t>
      </w:r>
      <w:r>
        <w:rPr>
          <w:snapToGrid w:val="0"/>
        </w:rPr>
        <w:tab/>
        <w:t>to recommend to the Minister the establishment of public inquiries into any matter relating to occupational safety and health;</w:t>
      </w:r>
    </w:p>
    <w:p>
      <w:pPr>
        <w:pStyle w:val="Indenta"/>
        <w:rPr>
          <w:snapToGrid w:val="0"/>
        </w:rPr>
      </w:pPr>
      <w:r>
        <w:rPr>
          <w:snapToGrid w:val="0"/>
        </w:rPr>
        <w:tab/>
        <w:t>(j)</w:t>
      </w:r>
      <w:r>
        <w:rPr>
          <w:snapToGrid w:val="0"/>
        </w:rPr>
        <w:tab/>
        <w:t>to collect, publish and disseminate information on occupational safety and health;</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 xml:space="preserve">[Section 14 amended by No. 43 of 1987 s. 11; No. 30 of 1995 s. 47.] </w:t>
      </w:r>
    </w:p>
    <w:p>
      <w:pPr>
        <w:pStyle w:val="Heading5"/>
      </w:pPr>
      <w:bookmarkStart w:id="139" w:name="_Toc109702779"/>
      <w:bookmarkStart w:id="140" w:name="_Toc188695573"/>
      <w:bookmarkStart w:id="141" w:name="_Toc187053900"/>
      <w:bookmarkStart w:id="142" w:name="_Toc402776393"/>
      <w:bookmarkStart w:id="143" w:name="_Toc403985256"/>
      <w:bookmarkStart w:id="144" w:name="_Toc59593030"/>
      <w:r>
        <w:rPr>
          <w:rStyle w:val="CharSectno"/>
        </w:rPr>
        <w:t>14A</w:t>
      </w:r>
      <w:r>
        <w:t>.</w:t>
      </w:r>
      <w:r>
        <w:tab/>
        <w:t>Mining Industry Advisory Committee</w:t>
      </w:r>
      <w:bookmarkEnd w:id="139"/>
      <w:bookmarkEnd w:id="140"/>
      <w:bookmarkEnd w:id="141"/>
    </w:p>
    <w:p>
      <w:pPr>
        <w:pStyle w:val="Subsection"/>
      </w:pPr>
      <w:r>
        <w:tab/>
        <w:t>(1)</w:t>
      </w:r>
      <w:r>
        <w:tab/>
        <w:t xml:space="preserve">In this section — </w:t>
      </w:r>
    </w:p>
    <w:p>
      <w:pPr>
        <w:pStyle w:val="Defstart"/>
      </w:pPr>
      <w:r>
        <w:rPr>
          <w:b/>
        </w:rPr>
        <w:tab/>
        <w:t>“</w:t>
      </w:r>
      <w:r>
        <w:rPr>
          <w:rStyle w:val="CharDefText"/>
        </w:rPr>
        <w:t>committee</w:t>
      </w:r>
      <w:r>
        <w:rPr>
          <w:b/>
        </w:rPr>
        <w:t>”</w:t>
      </w:r>
      <w:r>
        <w:t xml:space="preserve"> means the committee referred to in subsection (2);</w:t>
      </w:r>
    </w:p>
    <w:p>
      <w:pPr>
        <w:pStyle w:val="Defstart"/>
      </w:pPr>
      <w:r>
        <w:rPr>
          <w:b/>
        </w:rPr>
        <w:tab/>
        <w:t>“</w:t>
      </w:r>
      <w:r>
        <w:rPr>
          <w:rStyle w:val="CharDefText"/>
        </w:rPr>
        <w:t>mining industry</w:t>
      </w:r>
      <w:r>
        <w:rPr>
          <w:b/>
        </w:rPr>
        <w:t>”</w:t>
      </w:r>
      <w:r>
        <w:t xml:space="preserve"> means the mining industry in the State;</w:t>
      </w:r>
    </w:p>
    <w:p>
      <w:pPr>
        <w:pStyle w:val="Defstart"/>
        <w:outlineLvl w:val="0"/>
      </w:pPr>
      <w:r>
        <w:rPr>
          <w:b/>
        </w:rPr>
        <w:tab/>
        <w:t>“</w:t>
      </w:r>
      <w:r>
        <w:rPr>
          <w:rStyle w:val="CharDefText"/>
        </w:rPr>
        <w:t>Ministers</w:t>
      </w:r>
      <w:r>
        <w:rPr>
          <w:b/>
        </w:rPr>
        <w:t>”</w:t>
      </w:r>
      <w:r>
        <w:t xml:space="preserve"> means —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b/>
        </w:rPr>
        <w:t>“</w:t>
      </w:r>
      <w:r>
        <w:rPr>
          <w:rStyle w:val="CharDefText"/>
        </w:rPr>
        <w:t>Minister for Mines</w:t>
      </w:r>
      <w:r>
        <w:rPr>
          <w:b/>
        </w:rPr>
        <w:t>”</w:t>
      </w:r>
      <w:r>
        <w:t>),</w:t>
      </w:r>
    </w:p>
    <w:p>
      <w:pPr>
        <w:pStyle w:val="Defstart"/>
      </w:pPr>
      <w:r>
        <w:tab/>
      </w:r>
      <w:r>
        <w:tab/>
        <w:t>acting jointly.</w:t>
      </w:r>
    </w:p>
    <w:p>
      <w:pPr>
        <w:pStyle w:val="Subsection"/>
      </w:pPr>
      <w:r>
        <w:tab/>
        <w:t>(2)</w:t>
      </w:r>
      <w:r>
        <w:tab/>
        <w:t>There is to be an advisory committee called the Mining Industry Advisory Committee.</w:t>
      </w:r>
    </w:p>
    <w:p>
      <w:pPr>
        <w:pStyle w:val="Subsection"/>
      </w:pPr>
      <w:r>
        <w:tab/>
        <w:t>(3)</w:t>
      </w:r>
      <w:r>
        <w:tab/>
        <w:t xml:space="preserve">The functions of the committee are — </w:t>
      </w:r>
    </w:p>
    <w:p>
      <w:pPr>
        <w:pStyle w:val="Indenta"/>
      </w:pPr>
      <w:r>
        <w:tab/>
        <w:t>(a)</w:t>
      </w:r>
      <w:r>
        <w:tab/>
        <w:t xml:space="preserve">to advise and make recommendations to the Ministers and the Commission on occupational safety and health matters concerning the mining industry; and </w:t>
      </w:r>
    </w:p>
    <w:p>
      <w:pPr>
        <w:pStyle w:val="Indenta"/>
      </w:pPr>
      <w:r>
        <w:tab/>
        <w:t>(b)</w:t>
      </w:r>
      <w:r>
        <w:tab/>
        <w:t>to liaise with the Commission to coordinate activities on related functions and to maintain parallel standards,</w:t>
      </w:r>
    </w:p>
    <w:p>
      <w:pPr>
        <w:pStyle w:val="Subsection"/>
      </w:pPr>
      <w:r>
        <w:tab/>
      </w:r>
      <w:r>
        <w:tab/>
        <w:t xml:space="preserve">and in particular, but without limiting the generality of paragraphs (a) and (b) — </w:t>
      </w:r>
    </w:p>
    <w:p>
      <w:pPr>
        <w:pStyle w:val="Indenta"/>
      </w:pPr>
      <w:r>
        <w:tab/>
        <w:t>(c)</w:t>
      </w:r>
      <w:r>
        <w:tab/>
        <w:t xml:space="preserve">to inquire into and report to the Ministers regarding any matter referred to it by the Ministers relating to occupational safety and health in the mining industry; </w:t>
      </w:r>
    </w:p>
    <w:p>
      <w:pPr>
        <w:pStyle w:val="Indenta"/>
      </w:pPr>
      <w:r>
        <w:tab/>
        <w:t>(d)</w:t>
      </w:r>
      <w:r>
        <w:tab/>
        <w:t xml:space="preserve">to make recommendations to the Minister for Mines regarding the formulation, amendment, or repeal of laws relating to occupational safety and health for which that Minister is responsible; </w:t>
      </w:r>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pPr>
      <w:r>
        <w:tab/>
        <w:t>(f)</w:t>
      </w:r>
      <w:r>
        <w:tab/>
        <w:t xml:space="preserve">to provide advice on — </w:t>
      </w:r>
    </w:p>
    <w:p>
      <w:pPr>
        <w:pStyle w:val="Indenti"/>
      </w:pPr>
      <w:r>
        <w:tab/>
        <w:t>(i)</w:t>
      </w:r>
      <w:r>
        <w:tab/>
        <w:t xml:space="preserve">education and publications; and </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 xml:space="preserve">may alter or reconstitute, </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 Minister for Public Sector Management.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r>
        <w:tab/>
        <w:t>[Section 14A inserted by No. 51 of 2004 s. 106.]</w:t>
      </w:r>
    </w:p>
    <w:p>
      <w:pPr>
        <w:pStyle w:val="Heading5"/>
        <w:rPr>
          <w:snapToGrid w:val="0"/>
        </w:rPr>
      </w:pPr>
      <w:bookmarkStart w:id="145" w:name="_Toc109702780"/>
      <w:bookmarkStart w:id="146" w:name="_Toc188695574"/>
      <w:bookmarkStart w:id="147" w:name="_Toc187053901"/>
      <w:r>
        <w:rPr>
          <w:rStyle w:val="CharSectno"/>
        </w:rPr>
        <w:t>15</w:t>
      </w:r>
      <w:r>
        <w:rPr>
          <w:snapToGrid w:val="0"/>
        </w:rPr>
        <w:t>.</w:t>
      </w:r>
      <w:r>
        <w:rPr>
          <w:snapToGrid w:val="0"/>
        </w:rPr>
        <w:tab/>
        <w:t>Advisory committees</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The members of advisory committees are entitled to be paid such remuneration and travelling and other allowances as may be determined by the Minister on the recommendation of the Minister for Public Sector Management</w:t>
      </w:r>
      <w:r>
        <w:rPr>
          <w:snapToGrid w:val="0"/>
          <w:vertAlign w:val="superscript"/>
        </w:rPr>
        <w:t xml:space="preserve"> 3</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r>
        <w:tab/>
        <w:t xml:space="preserve">[Section 15 amended by No. 30 of 1995 s. 47.] </w:t>
      </w:r>
    </w:p>
    <w:p>
      <w:pPr>
        <w:pStyle w:val="Heading5"/>
        <w:rPr>
          <w:snapToGrid w:val="0"/>
        </w:rPr>
      </w:pPr>
      <w:bookmarkStart w:id="148" w:name="_Toc402776394"/>
      <w:bookmarkStart w:id="149" w:name="_Toc403985257"/>
      <w:bookmarkStart w:id="150" w:name="_Toc59593031"/>
      <w:bookmarkStart w:id="151" w:name="_Toc109702781"/>
      <w:bookmarkStart w:id="152" w:name="_Toc188695575"/>
      <w:bookmarkStart w:id="153" w:name="_Toc187053902"/>
      <w:r>
        <w:rPr>
          <w:rStyle w:val="CharSectno"/>
        </w:rPr>
        <w:t>16</w:t>
      </w:r>
      <w:r>
        <w:rPr>
          <w:snapToGrid w:val="0"/>
        </w:rPr>
        <w:t>.</w:t>
      </w:r>
      <w:r>
        <w:rPr>
          <w:snapToGrid w:val="0"/>
        </w:rPr>
        <w:tab/>
        <w:t>Annual report</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by No. 51 of 2004 s. 102(3).]</w:t>
      </w:r>
    </w:p>
    <w:p>
      <w:pPr>
        <w:pStyle w:val="Heading5"/>
        <w:rPr>
          <w:snapToGrid w:val="0"/>
        </w:rPr>
      </w:pPr>
      <w:bookmarkStart w:id="154" w:name="_Toc402776395"/>
      <w:bookmarkStart w:id="155" w:name="_Toc403985258"/>
      <w:bookmarkStart w:id="156" w:name="_Toc59593032"/>
      <w:bookmarkStart w:id="157" w:name="_Toc109702782"/>
      <w:bookmarkStart w:id="158" w:name="_Toc188695576"/>
      <w:bookmarkStart w:id="159" w:name="_Toc187053903"/>
      <w:r>
        <w:rPr>
          <w:rStyle w:val="CharSectno"/>
        </w:rPr>
        <w:t>17</w:t>
      </w:r>
      <w:r>
        <w:rPr>
          <w:snapToGrid w:val="0"/>
        </w:rPr>
        <w:t>.</w:t>
      </w:r>
      <w:r>
        <w:rPr>
          <w:snapToGrid w:val="0"/>
        </w:rPr>
        <w:tab/>
        <w:t>Staff to assist the Commission</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 xml:space="preserve">[Section 17 amended by No. 32 of 1994 s. 19; No. 30 of 1995 s. 47.] </w:t>
      </w:r>
    </w:p>
    <w:p>
      <w:pPr>
        <w:pStyle w:val="Heading5"/>
        <w:rPr>
          <w:snapToGrid w:val="0"/>
        </w:rPr>
      </w:pPr>
      <w:bookmarkStart w:id="160" w:name="_Toc402776396"/>
      <w:bookmarkStart w:id="161" w:name="_Toc403985259"/>
      <w:bookmarkStart w:id="162" w:name="_Toc59593033"/>
      <w:bookmarkStart w:id="163" w:name="_Toc109702783"/>
      <w:bookmarkStart w:id="164" w:name="_Toc188695577"/>
      <w:bookmarkStart w:id="165" w:name="_Toc187053904"/>
      <w:r>
        <w:rPr>
          <w:rStyle w:val="CharSectno"/>
        </w:rPr>
        <w:t>18</w:t>
      </w:r>
      <w:r>
        <w:rPr>
          <w:snapToGrid w:val="0"/>
        </w:rPr>
        <w:t>.</w:t>
      </w:r>
      <w:r>
        <w:rPr>
          <w:snapToGrid w:val="0"/>
        </w:rPr>
        <w:tab/>
        <w:t>The Commissioner and the department</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 xml:space="preserve">[Section 18 amended by No. 43 of 1987 s. 12; No. 55 of 1987 s. 5; No. 32 of 1994 s. 19; No. 30 of 1995 s. 47; No. 51 of 2004 s. 102(2) and (3).] </w:t>
      </w:r>
    </w:p>
    <w:p>
      <w:pPr>
        <w:pStyle w:val="Heading2"/>
      </w:pPr>
      <w:bookmarkStart w:id="166" w:name="_Toc88990648"/>
      <w:bookmarkStart w:id="167" w:name="_Toc89568210"/>
      <w:bookmarkStart w:id="168" w:name="_Toc93200889"/>
      <w:bookmarkStart w:id="169" w:name="_Toc97006560"/>
      <w:bookmarkStart w:id="170" w:name="_Toc100545130"/>
      <w:bookmarkStart w:id="171" w:name="_Toc100716609"/>
      <w:bookmarkStart w:id="172" w:name="_Toc102546198"/>
      <w:bookmarkStart w:id="173" w:name="_Toc103141421"/>
      <w:bookmarkStart w:id="174" w:name="_Toc105909033"/>
      <w:bookmarkStart w:id="175" w:name="_Toc105921919"/>
      <w:bookmarkStart w:id="176" w:name="_Toc106616757"/>
      <w:bookmarkStart w:id="177" w:name="_Toc108848501"/>
      <w:bookmarkStart w:id="178" w:name="_Toc109702784"/>
      <w:bookmarkStart w:id="179" w:name="_Toc113700341"/>
      <w:bookmarkStart w:id="180" w:name="_Toc113778999"/>
      <w:bookmarkStart w:id="181" w:name="_Toc122767380"/>
      <w:bookmarkStart w:id="182" w:name="_Toc122767623"/>
      <w:bookmarkStart w:id="183" w:name="_Toc131409870"/>
      <w:bookmarkStart w:id="184" w:name="_Toc187035437"/>
      <w:bookmarkStart w:id="185" w:name="_Toc187053905"/>
      <w:bookmarkStart w:id="186" w:name="_Toc188695578"/>
      <w:r>
        <w:rPr>
          <w:rStyle w:val="CharPartNo"/>
        </w:rPr>
        <w:t>Part III</w:t>
      </w:r>
      <w:r>
        <w:rPr>
          <w:snapToGrid/>
          <w:sz w:val="26"/>
        </w:rPr>
        <w:t> </w:t>
      </w:r>
      <w:r>
        <w:t>—</w:t>
      </w:r>
      <w:r>
        <w:rPr>
          <w:snapToGrid/>
          <w:sz w:val="26"/>
        </w:rPr>
        <w:t> </w:t>
      </w:r>
      <w:r>
        <w:rPr>
          <w:rStyle w:val="CharPartText"/>
        </w:rPr>
        <w:t>General provisions relating to occupational safety and health</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PartText"/>
        </w:rPr>
        <w:t xml:space="preserve"> </w:t>
      </w:r>
    </w:p>
    <w:p>
      <w:pPr>
        <w:pStyle w:val="Footnoteheading"/>
        <w:ind w:left="896" w:hanging="896"/>
        <w:rPr>
          <w:snapToGrid w:val="0"/>
        </w:rPr>
      </w:pPr>
      <w:r>
        <w:rPr>
          <w:snapToGrid w:val="0"/>
        </w:rPr>
        <w:tab/>
        <w:t xml:space="preserve">[Heading inserted by No. 43 of 1987 s. 13; amended by No. 30 of 1995 s. 47.] </w:t>
      </w:r>
    </w:p>
    <w:p>
      <w:pPr>
        <w:pStyle w:val="Heading3"/>
        <w:spacing w:before="180"/>
      </w:pPr>
      <w:bookmarkStart w:id="187" w:name="_Toc93200890"/>
      <w:bookmarkStart w:id="188" w:name="_Toc97006561"/>
      <w:bookmarkStart w:id="189" w:name="_Toc100545131"/>
      <w:bookmarkStart w:id="190" w:name="_Toc100716610"/>
      <w:bookmarkStart w:id="191" w:name="_Toc102546199"/>
      <w:bookmarkStart w:id="192" w:name="_Toc103141422"/>
      <w:bookmarkStart w:id="193" w:name="_Toc105909034"/>
      <w:bookmarkStart w:id="194" w:name="_Toc105921920"/>
      <w:bookmarkStart w:id="195" w:name="_Toc106616758"/>
      <w:bookmarkStart w:id="196" w:name="_Toc108848502"/>
      <w:bookmarkStart w:id="197" w:name="_Toc109702785"/>
      <w:bookmarkStart w:id="198" w:name="_Toc113700342"/>
      <w:bookmarkStart w:id="199" w:name="_Toc113779000"/>
      <w:bookmarkStart w:id="200" w:name="_Toc122767381"/>
      <w:bookmarkStart w:id="201" w:name="_Toc122767624"/>
      <w:bookmarkStart w:id="202" w:name="_Toc131409871"/>
      <w:bookmarkStart w:id="203" w:name="_Toc187035438"/>
      <w:bookmarkStart w:id="204" w:name="_Toc187053906"/>
      <w:bookmarkStart w:id="205" w:name="_Toc188695579"/>
      <w:bookmarkStart w:id="206" w:name="_Toc402776397"/>
      <w:bookmarkStart w:id="207" w:name="_Toc403985260"/>
      <w:bookmarkStart w:id="208" w:name="_Toc59593034"/>
      <w:r>
        <w:rPr>
          <w:rStyle w:val="CharDivNo"/>
        </w:rPr>
        <w:t>Division 1</w:t>
      </w:r>
      <w:r>
        <w:t> — </w:t>
      </w:r>
      <w:r>
        <w:rPr>
          <w:rStyle w:val="CharDivText"/>
        </w:rPr>
        <w:t>Preliminary</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Footnoteheading"/>
        <w:tabs>
          <w:tab w:val="left" w:pos="851"/>
        </w:tabs>
      </w:pPr>
      <w:r>
        <w:tab/>
        <w:t>[Heading inserted by No. 51 of 2004 s. 16.]</w:t>
      </w:r>
    </w:p>
    <w:p>
      <w:pPr>
        <w:pStyle w:val="Heading5"/>
      </w:pPr>
      <w:bookmarkStart w:id="209" w:name="_Toc109702786"/>
      <w:bookmarkStart w:id="210" w:name="_Toc188695580"/>
      <w:bookmarkStart w:id="211" w:name="_Toc187053907"/>
      <w:r>
        <w:rPr>
          <w:rStyle w:val="CharSectno"/>
        </w:rPr>
        <w:t>18A</w:t>
      </w:r>
      <w:r>
        <w:t>.</w:t>
      </w:r>
      <w:r>
        <w:tab/>
        <w:t>Meaning of gross negligence in relation to certain breaches of this Part</w:t>
      </w:r>
      <w:bookmarkEnd w:id="209"/>
      <w:bookmarkEnd w:id="210"/>
      <w:bookmarkEnd w:id="211"/>
    </w:p>
    <w:p>
      <w:pPr>
        <w:pStyle w:val="Subsection"/>
      </w:pPr>
      <w:r>
        <w:tab/>
        <w:t>(1)</w:t>
      </w:r>
      <w:r>
        <w:tab/>
        <w:t>This section applies to a contravention of section 19(1), 20(1) or (3), 21(1) or (2), 21B(2), 22(1), 23(1), (2), (3) or (3a), 23A or 23G(2).</w:t>
      </w:r>
    </w:p>
    <w:p>
      <w:pPr>
        <w:pStyle w:val="Subsection"/>
      </w:pPr>
      <w:r>
        <w:tab/>
        <w:t>(2)</w:t>
      </w:r>
      <w:r>
        <w:tab/>
        <w:t xml:space="preserve">A contravention of a provision mentioned in subsection (1) is committed in circumstances of gross negligence if — </w:t>
      </w:r>
    </w:p>
    <w:p>
      <w:pPr>
        <w:pStyle w:val="Indenta"/>
        <w:outlineLvl w:val="0"/>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outlineLvl w:val="0"/>
      </w:pPr>
      <w:r>
        <w:tab/>
        <w:t>(b)</w:t>
      </w:r>
      <w:r>
        <w:tab/>
        <w:t>the contravention did in fact cause the death of, or serious harm to, such a person.</w:t>
      </w:r>
    </w:p>
    <w:p>
      <w:pPr>
        <w:pStyle w:val="Footnotesection"/>
      </w:pPr>
      <w:r>
        <w:tab/>
        <w:t>[Section 18A inserted by No. 51 of 2004 s. 16.]</w:t>
      </w:r>
    </w:p>
    <w:p>
      <w:pPr>
        <w:pStyle w:val="Heading3"/>
        <w:spacing w:before="180"/>
      </w:pPr>
      <w:bookmarkStart w:id="212" w:name="_Toc93200892"/>
      <w:bookmarkStart w:id="213" w:name="_Toc97006563"/>
      <w:bookmarkStart w:id="214" w:name="_Toc100545133"/>
      <w:bookmarkStart w:id="215" w:name="_Toc100716612"/>
      <w:bookmarkStart w:id="216" w:name="_Toc102546201"/>
      <w:bookmarkStart w:id="217" w:name="_Toc103141424"/>
      <w:bookmarkStart w:id="218" w:name="_Toc105909036"/>
      <w:bookmarkStart w:id="219" w:name="_Toc105921922"/>
      <w:bookmarkStart w:id="220" w:name="_Toc106616760"/>
      <w:bookmarkStart w:id="221" w:name="_Toc108848504"/>
      <w:bookmarkStart w:id="222" w:name="_Toc109702787"/>
      <w:bookmarkStart w:id="223" w:name="_Toc113700344"/>
      <w:bookmarkStart w:id="224" w:name="_Toc113779002"/>
      <w:bookmarkStart w:id="225" w:name="_Toc122767383"/>
      <w:bookmarkStart w:id="226" w:name="_Toc122767626"/>
      <w:bookmarkStart w:id="227" w:name="_Toc131409873"/>
      <w:bookmarkStart w:id="228" w:name="_Toc187035440"/>
      <w:bookmarkStart w:id="229" w:name="_Toc187053908"/>
      <w:bookmarkStart w:id="230" w:name="_Toc188695581"/>
      <w:r>
        <w:rPr>
          <w:rStyle w:val="CharDivNo"/>
        </w:rPr>
        <w:t>Division 2</w:t>
      </w:r>
      <w:r>
        <w:t> — </w:t>
      </w:r>
      <w:r>
        <w:rPr>
          <w:rStyle w:val="CharDivText"/>
        </w:rPr>
        <w:t>General workplace duties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Footnoteheading"/>
        <w:tabs>
          <w:tab w:val="left" w:pos="851"/>
        </w:tabs>
      </w:pPr>
      <w:r>
        <w:tab/>
        <w:t>[Heading inserted by No. 51 of 2004 s. 4.]</w:t>
      </w:r>
    </w:p>
    <w:p>
      <w:pPr>
        <w:pStyle w:val="Heading5"/>
        <w:spacing w:before="260"/>
        <w:rPr>
          <w:snapToGrid w:val="0"/>
        </w:rPr>
      </w:pPr>
      <w:bookmarkStart w:id="231" w:name="_Toc109702788"/>
      <w:bookmarkStart w:id="232" w:name="_Toc188695582"/>
      <w:bookmarkStart w:id="233" w:name="_Toc187053909"/>
      <w:r>
        <w:rPr>
          <w:rStyle w:val="CharSectno"/>
        </w:rPr>
        <w:t>19</w:t>
      </w:r>
      <w:r>
        <w:rPr>
          <w:snapToGrid w:val="0"/>
        </w:rPr>
        <w:t>.</w:t>
      </w:r>
      <w:r>
        <w:rPr>
          <w:snapToGrid w:val="0"/>
        </w:rPr>
        <w:tab/>
        <w:t>Duties of employers</w:t>
      </w:r>
      <w:bookmarkEnd w:id="206"/>
      <w:bookmarkEnd w:id="207"/>
      <w:bookmarkEnd w:id="208"/>
      <w:bookmarkEnd w:id="231"/>
      <w:bookmarkEnd w:id="232"/>
      <w:bookmarkEnd w:id="233"/>
      <w:r>
        <w:rPr>
          <w:snapToGrid w:val="0"/>
        </w:rPr>
        <w:t xml:space="preserve"> </w:t>
      </w:r>
    </w:p>
    <w:p>
      <w:pPr>
        <w:pStyle w:val="Subsection"/>
        <w:spacing w:before="180"/>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r>
        <w:rPr>
          <w:b/>
        </w:rPr>
        <w:t>“</w:t>
      </w:r>
      <w:r>
        <w:rPr>
          <w:rStyle w:val="CharDefText"/>
        </w:rPr>
        <w:t>employees</w:t>
      </w:r>
      <w:r>
        <w:rPr>
          <w:b/>
        </w:rPr>
        <w:t>”</w:t>
      </w:r>
      <w:r>
        <w:t xml:space="preserve">) </w:t>
      </w:r>
      <w:r>
        <w:rPr>
          <w:snapToGrid w:val="0"/>
        </w:rPr>
        <w:t>are not exposed to hazards and in particular, but without limiting the generality of the foregoing, an employer shall — </w:t>
      </w:r>
    </w:p>
    <w:p>
      <w:pPr>
        <w:pStyle w:val="Indenta"/>
        <w:spacing w:before="100"/>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w:t>
      </w:r>
    </w:p>
    <w:p>
      <w:pPr>
        <w:pStyle w:val="Indenta"/>
        <w:spacing w:before="100"/>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w:t>
      </w:r>
    </w:p>
    <w:p>
      <w:pPr>
        <w:pStyle w:val="Indenta"/>
        <w:spacing w:before="100"/>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w:t>
      </w:r>
    </w:p>
    <w:p>
      <w:pPr>
        <w:pStyle w:val="Indenta"/>
        <w:spacing w:before="100"/>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spacing w:before="100"/>
        <w:rPr>
          <w:snapToGrid w:val="0"/>
        </w:rPr>
      </w:pPr>
      <w:r>
        <w:rPr>
          <w:snapToGrid w:val="0"/>
        </w:rPr>
        <w:tab/>
        <w:t>(e)</w:t>
      </w:r>
      <w:r>
        <w:rPr>
          <w:snapToGrid w:val="0"/>
        </w:rPr>
        <w:tab/>
        <w:t>make arrangements for ensuring, so far as is practicable, that — </w:t>
      </w:r>
    </w:p>
    <w:p>
      <w:pPr>
        <w:pStyle w:val="Indenti"/>
        <w:spacing w:before="100"/>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 xml:space="preserve">[Section 19 inserted by No. 43 of 1987 s. 13; amended by No. 30 of 1995 s. 13 and 47; No. 51 of 2004 s. 5, 17 and 78.] </w:t>
      </w:r>
    </w:p>
    <w:p>
      <w:pPr>
        <w:pStyle w:val="Heading5"/>
      </w:pPr>
      <w:bookmarkStart w:id="234" w:name="_Toc109702789"/>
      <w:bookmarkStart w:id="235" w:name="_Toc188695583"/>
      <w:bookmarkStart w:id="236" w:name="_Toc187053910"/>
      <w:bookmarkStart w:id="237" w:name="_Toc402776398"/>
      <w:bookmarkStart w:id="238" w:name="_Toc403985261"/>
      <w:bookmarkStart w:id="239" w:name="_Toc59593035"/>
      <w:r>
        <w:rPr>
          <w:rStyle w:val="CharSectno"/>
        </w:rPr>
        <w:t>19A</w:t>
      </w:r>
      <w:r>
        <w:t>.</w:t>
      </w:r>
      <w:r>
        <w:tab/>
        <w:t>Breaches of section 19(1)</w:t>
      </w:r>
      <w:bookmarkEnd w:id="234"/>
      <w:bookmarkEnd w:id="235"/>
      <w:bookmarkEnd w:id="236"/>
    </w:p>
    <w:p>
      <w:pPr>
        <w:pStyle w:val="Subsection"/>
        <w:spacing w:before="120"/>
      </w:pPr>
      <w:r>
        <w:tab/>
        <w:t>(1)</w:t>
      </w:r>
      <w:r>
        <w:tab/>
        <w:t>If an employer contravenes section 19(1) in circumstances of gross negligence, the employer commits an offence and is liable to a level 4 penalty.</w:t>
      </w:r>
    </w:p>
    <w:p>
      <w:pPr>
        <w:pStyle w:val="Subsection"/>
        <w:spacing w:before="120"/>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19(1); and</w:t>
      </w:r>
    </w:p>
    <w:p>
      <w:pPr>
        <w:pStyle w:val="Indenti"/>
      </w:pPr>
      <w:r>
        <w:tab/>
        <w:t>(ii)</w:t>
      </w:r>
      <w:r>
        <w:tab/>
        <w:t>by the contravention causes the death of, or serious harm to, an employee;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spacing w:before="120"/>
      </w:pPr>
      <w:r>
        <w:tab/>
      </w:r>
      <w:r>
        <w:tab/>
        <w:t xml:space="preserve">the employer </w:t>
      </w:r>
      <w:r>
        <w:rPr>
          <w:snapToGrid w:val="0"/>
        </w:rPr>
        <w:t>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19(1); and</w:t>
      </w:r>
    </w:p>
    <w:p>
      <w:pPr>
        <w:pStyle w:val="Indenta"/>
        <w:rPr>
          <w:snapToGrid w:val="0"/>
        </w:rPr>
      </w:pPr>
      <w:r>
        <w:tab/>
        <w:t>(b)</w:t>
      </w:r>
      <w:r>
        <w:tab/>
        <w:t>neither</w:t>
      </w:r>
      <w:r>
        <w:rPr>
          <w:snapToGrid w:val="0"/>
        </w:rPr>
        <w:t xml:space="preserve"> subsection (1) nor subsection (2) applies, </w:t>
      </w:r>
    </w:p>
    <w:p>
      <w:pPr>
        <w:pStyle w:val="Subsection"/>
        <w:spacing w:before="120"/>
        <w:rPr>
          <w:snapToGrid w:val="0"/>
        </w:rPr>
      </w:pPr>
      <w:r>
        <w:rPr>
          <w:snapToGrid w:val="0"/>
        </w:rPr>
        <w:tab/>
      </w:r>
      <w:r>
        <w:rPr>
          <w:snapToGrid w:val="0"/>
        </w:rPr>
        <w:tab/>
        <w:t>the employer commits an offence and is liable to a level 2 penalty.</w:t>
      </w:r>
    </w:p>
    <w:p>
      <w:pPr>
        <w:pStyle w:val="Subsection"/>
        <w:spacing w:before="120"/>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19A inserted by No. 51 of 2004 s. 18.]</w:t>
      </w:r>
    </w:p>
    <w:p>
      <w:pPr>
        <w:pStyle w:val="Heading5"/>
        <w:rPr>
          <w:snapToGrid w:val="0"/>
        </w:rPr>
      </w:pPr>
      <w:bookmarkStart w:id="240" w:name="_Toc109702790"/>
      <w:bookmarkStart w:id="241" w:name="_Toc188695584"/>
      <w:bookmarkStart w:id="242" w:name="_Toc187053911"/>
      <w:r>
        <w:rPr>
          <w:rStyle w:val="CharSectno"/>
        </w:rPr>
        <w:t>20</w:t>
      </w:r>
      <w:r>
        <w:rPr>
          <w:snapToGrid w:val="0"/>
        </w:rPr>
        <w:t>.</w:t>
      </w:r>
      <w:r>
        <w:rPr>
          <w:snapToGrid w:val="0"/>
        </w:rPr>
        <w:tab/>
        <w:t>Duties of employees</w:t>
      </w:r>
      <w:bookmarkEnd w:id="237"/>
      <w:bookmarkEnd w:id="238"/>
      <w:bookmarkEnd w:id="239"/>
      <w:bookmarkEnd w:id="240"/>
      <w:bookmarkEnd w:id="241"/>
      <w:bookmarkEnd w:id="242"/>
      <w:r>
        <w:rPr>
          <w:snapToGrid w:val="0"/>
        </w:rPr>
        <w:t xml:space="preserve"> </w:t>
      </w:r>
    </w:p>
    <w:p>
      <w:pPr>
        <w:pStyle w:val="Subsection"/>
        <w:spacing w:before="120"/>
        <w:rPr>
          <w:snapToGrid w:val="0"/>
        </w:rPr>
      </w:pPr>
      <w:r>
        <w:rPr>
          <w:snapToGrid w:val="0"/>
        </w:rPr>
        <w:tab/>
        <w:t>(1)</w:t>
      </w:r>
      <w:r>
        <w:rPr>
          <w:snapToGrid w:val="0"/>
        </w:rPr>
        <w:tab/>
        <w:t>An employee shall take reasonable care — </w:t>
      </w:r>
    </w:p>
    <w:p>
      <w:pPr>
        <w:pStyle w:val="Indenta"/>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keepNext/>
        <w:spacing w:before="120"/>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w:t>
      </w:r>
    </w:p>
    <w:p>
      <w:pPr>
        <w:pStyle w:val="Indenta"/>
        <w:spacing w:before="70"/>
        <w:rPr>
          <w:snapToGrid w:val="0"/>
        </w:rPr>
      </w:pPr>
      <w:r>
        <w:rPr>
          <w:snapToGrid w:val="0"/>
        </w:rPr>
        <w:tab/>
        <w:t>(c)</w:t>
      </w:r>
      <w:r>
        <w:rPr>
          <w:snapToGrid w:val="0"/>
        </w:rPr>
        <w:tab/>
        <w:t>misuses or damages any equipment provided in the interests of safety or health; or</w:t>
      </w:r>
    </w:p>
    <w:p>
      <w:pPr>
        <w:pStyle w:val="Indenta"/>
        <w:spacing w:before="70"/>
        <w:rPr>
          <w:snapToGrid w:val="0"/>
        </w:rPr>
      </w:pPr>
      <w:r>
        <w:rPr>
          <w:snapToGrid w:val="0"/>
        </w:rPr>
        <w:tab/>
        <w:t>(d)</w:t>
      </w:r>
      <w:r>
        <w:rPr>
          <w:snapToGrid w:val="0"/>
        </w:rPr>
        <w:tab/>
        <w:t>fails to report forthwith to</w:t>
      </w:r>
      <w:r>
        <w:t xml:space="preserve"> the employee’s employer</w:t>
      </w:r>
      <w:r>
        <w:rPr>
          <w:snapToGrid w:val="0"/>
        </w:rPr>
        <w:t> —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spacing w:before="70"/>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 xml:space="preserve">[Section 20 inserted by No. 43 of 1987 s. 13; amended by No. 30 of 1995 s. 14 and 47; No. 51 of 2004 s. 19, 79, 102(1) and (2).] </w:t>
      </w:r>
    </w:p>
    <w:p>
      <w:pPr>
        <w:pStyle w:val="Heading5"/>
      </w:pPr>
      <w:bookmarkStart w:id="243" w:name="_Toc109702791"/>
      <w:bookmarkStart w:id="244" w:name="_Toc188695585"/>
      <w:bookmarkStart w:id="245" w:name="_Toc187053912"/>
      <w:bookmarkStart w:id="246" w:name="_Toc402776399"/>
      <w:bookmarkStart w:id="247" w:name="_Toc403985262"/>
      <w:bookmarkStart w:id="248" w:name="_Toc59593036"/>
      <w:r>
        <w:rPr>
          <w:rStyle w:val="CharSectno"/>
        </w:rPr>
        <w:t>20A</w:t>
      </w:r>
      <w:r>
        <w:t>.</w:t>
      </w:r>
      <w:r>
        <w:tab/>
        <w:t>Breaches of section 20(1) or (3)</w:t>
      </w:r>
      <w:bookmarkEnd w:id="243"/>
      <w:bookmarkEnd w:id="244"/>
      <w:bookmarkEnd w:id="245"/>
    </w:p>
    <w:p>
      <w:pPr>
        <w:pStyle w:val="Subsection"/>
      </w:pPr>
      <w:r>
        <w:tab/>
        <w:t>(1)</w:t>
      </w:r>
      <w:r>
        <w:tab/>
        <w:t xml:space="preserve">If an employee contravenes section 20(1)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keepNext/>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by No. 51 of 2004 s. 20.]</w:t>
      </w:r>
    </w:p>
    <w:p>
      <w:pPr>
        <w:pStyle w:val="Heading5"/>
        <w:spacing w:before="180"/>
        <w:rPr>
          <w:snapToGrid w:val="0"/>
        </w:rPr>
      </w:pPr>
      <w:bookmarkStart w:id="249" w:name="_Toc109702792"/>
      <w:bookmarkStart w:id="250" w:name="_Toc188695586"/>
      <w:bookmarkStart w:id="251" w:name="_Toc187053913"/>
      <w:r>
        <w:rPr>
          <w:rStyle w:val="CharSectno"/>
        </w:rPr>
        <w:t>21</w:t>
      </w:r>
      <w:r>
        <w:rPr>
          <w:snapToGrid w:val="0"/>
        </w:rPr>
        <w:t>.</w:t>
      </w:r>
      <w:r>
        <w:rPr>
          <w:snapToGrid w:val="0"/>
        </w:rPr>
        <w:tab/>
        <w:t>Duties of employers and self</w:t>
      </w:r>
      <w:r>
        <w:rPr>
          <w:snapToGrid w:val="0"/>
        </w:rPr>
        <w:noBreakHyphen/>
        <w:t>employed persons</w:t>
      </w:r>
      <w:bookmarkEnd w:id="246"/>
      <w:bookmarkEnd w:id="247"/>
      <w:bookmarkEnd w:id="248"/>
      <w:bookmarkEnd w:id="249"/>
      <w:bookmarkEnd w:id="250"/>
      <w:bookmarkEnd w:id="251"/>
      <w:r>
        <w:rPr>
          <w:snapToGrid w:val="0"/>
        </w:rPr>
        <w:t xml:space="preserve"> </w:t>
      </w:r>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 xml:space="preserve">employed person shall,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spacing w:before="90"/>
        <w:ind w:left="890" w:hanging="890"/>
      </w:pPr>
      <w:r>
        <w:tab/>
        <w:t xml:space="preserve">[Section 21 inserted by No. 43 of 1987 s. 13; amended by No. 30 of 1995 s. 15 and 47; No. 51 of 2004 s. 6 and 21.] </w:t>
      </w:r>
    </w:p>
    <w:p>
      <w:pPr>
        <w:pStyle w:val="Heading5"/>
      </w:pPr>
      <w:bookmarkStart w:id="252" w:name="_Toc109702793"/>
      <w:bookmarkStart w:id="253" w:name="_Toc188695587"/>
      <w:bookmarkStart w:id="254" w:name="_Toc187053914"/>
      <w:bookmarkStart w:id="255" w:name="_Toc402776400"/>
      <w:bookmarkStart w:id="256" w:name="_Toc403985263"/>
      <w:bookmarkStart w:id="257" w:name="_Toc59593037"/>
      <w:r>
        <w:rPr>
          <w:rStyle w:val="CharSectno"/>
        </w:rPr>
        <w:t>21A</w:t>
      </w:r>
      <w:r>
        <w:t>.</w:t>
      </w:r>
      <w:r>
        <w:tab/>
        <w:t>Breaches of section 21</w:t>
      </w:r>
      <w:bookmarkEnd w:id="252"/>
      <w:bookmarkEnd w:id="253"/>
      <w:bookmarkEnd w:id="254"/>
    </w:p>
    <w:p>
      <w:pPr>
        <w:pStyle w:val="Subsection"/>
        <w:spacing w:before="120"/>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spacing w:before="120"/>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21(1)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by No. 51 of 2004 s. 22.]</w:t>
      </w:r>
    </w:p>
    <w:p>
      <w:pPr>
        <w:pStyle w:val="Heading5"/>
      </w:pPr>
      <w:bookmarkStart w:id="258" w:name="_Toc109702794"/>
      <w:bookmarkStart w:id="259" w:name="_Toc188695588"/>
      <w:bookmarkStart w:id="260" w:name="_Toc187053915"/>
      <w:r>
        <w:rPr>
          <w:rStyle w:val="CharSectno"/>
        </w:rPr>
        <w:t>21B</w:t>
      </w:r>
      <w:r>
        <w:t>.</w:t>
      </w:r>
      <w:r>
        <w:tab/>
        <w:t>Duty placed on body corporate to which section 23D, 23E or 23F applies</w:t>
      </w:r>
      <w:bookmarkEnd w:id="258"/>
      <w:bookmarkEnd w:id="259"/>
      <w:bookmarkEnd w:id="260"/>
    </w:p>
    <w:p>
      <w:pPr>
        <w:pStyle w:val="Subsection"/>
      </w:pPr>
      <w:r>
        <w:tab/>
        <w:t>(1)</w:t>
      </w:r>
      <w:r>
        <w:tab/>
        <w:t xml:space="preserve"> 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 xml:space="preserve">A body corporate to which this section applies shall, so far as is practicable, ensure that the safety or health of a person is not adversely affected wholly or in part as a result of — </w:t>
      </w:r>
    </w:p>
    <w:p>
      <w:pPr>
        <w:pStyle w:val="Indenta"/>
        <w:outlineLvl w:val="0"/>
      </w:pPr>
      <w:r>
        <w:tab/>
        <w:t>(a)</w:t>
      </w:r>
      <w:r>
        <w:tab/>
        <w:t xml:space="preserve">work that has been or is being undertaken by —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outlineLvl w:val="0"/>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body corporate.</w:t>
      </w:r>
    </w:p>
    <w:p>
      <w:pPr>
        <w:pStyle w:val="Footnotesection"/>
      </w:pPr>
      <w:r>
        <w:tab/>
        <w:t>[Section 21B inserted by No. 51 of 2004 s. 7.]</w:t>
      </w:r>
    </w:p>
    <w:p>
      <w:pPr>
        <w:pStyle w:val="Heading5"/>
      </w:pPr>
      <w:bookmarkStart w:id="261" w:name="_Toc109702795"/>
      <w:bookmarkStart w:id="262" w:name="_Toc188695589"/>
      <w:bookmarkStart w:id="263" w:name="_Toc187053916"/>
      <w:r>
        <w:rPr>
          <w:rStyle w:val="CharSectno"/>
        </w:rPr>
        <w:t>21C</w:t>
      </w:r>
      <w:r>
        <w:t>.</w:t>
      </w:r>
      <w:r>
        <w:tab/>
        <w:t>Breaches of section 21B</w:t>
      </w:r>
      <w:bookmarkEnd w:id="261"/>
      <w:bookmarkEnd w:id="262"/>
      <w:bookmarkEnd w:id="263"/>
    </w:p>
    <w:p>
      <w:pPr>
        <w:pStyle w:val="Subsection"/>
        <w:spacing w:before="120"/>
      </w:pPr>
      <w:r>
        <w:tab/>
        <w:t>(1)</w:t>
      </w:r>
      <w:r>
        <w:tab/>
        <w:t>If a body corporate contravenes section 21B(2) in circumstances of gross negligence, the body corporate commits an offence and is liable to a level 4 penalty.</w:t>
      </w:r>
    </w:p>
    <w:p>
      <w:pPr>
        <w:pStyle w:val="Subsection"/>
        <w:spacing w:before="120"/>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 body corporate — </w:t>
      </w:r>
    </w:p>
    <w:p>
      <w:pPr>
        <w:pStyle w:val="Indenti"/>
        <w:rPr>
          <w:snapToGrid w:val="0"/>
        </w:rPr>
      </w:pPr>
      <w:r>
        <w:tab/>
        <w:t>(i)</w:t>
      </w:r>
      <w:r>
        <w:tab/>
      </w:r>
      <w:r>
        <w:rPr>
          <w:snapToGrid w:val="0"/>
        </w:rPr>
        <w:t>contravenes section 21B(2);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the body corporate</w:t>
      </w:r>
      <w:r>
        <w:rPr>
          <w:snapToGrid w:val="0"/>
        </w:rPr>
        <w:t xml:space="preserve"> 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body corporate commits an offence and is liable to a level 2 penalty.</w:t>
      </w:r>
    </w:p>
    <w:p>
      <w:pPr>
        <w:pStyle w:val="Subsection"/>
        <w:spacing w:before="120"/>
      </w:pPr>
      <w:r>
        <w:tab/>
        <w:t>(4)</w:t>
      </w:r>
      <w:r>
        <w:tab/>
        <w:t xml:space="preserve">A body corporate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by No. 51 of 2004 s. 7.]</w:t>
      </w:r>
    </w:p>
    <w:p>
      <w:pPr>
        <w:pStyle w:val="Heading5"/>
        <w:spacing w:before="160"/>
        <w:rPr>
          <w:snapToGrid w:val="0"/>
        </w:rPr>
      </w:pPr>
      <w:bookmarkStart w:id="264" w:name="_Toc109702796"/>
      <w:bookmarkStart w:id="265" w:name="_Toc188695590"/>
      <w:bookmarkStart w:id="266" w:name="_Toc187053917"/>
      <w:r>
        <w:rPr>
          <w:rStyle w:val="CharSectno"/>
        </w:rPr>
        <w:t>22</w:t>
      </w:r>
      <w:r>
        <w:rPr>
          <w:snapToGrid w:val="0"/>
        </w:rPr>
        <w:t>.</w:t>
      </w:r>
      <w:r>
        <w:rPr>
          <w:snapToGrid w:val="0"/>
        </w:rPr>
        <w:tab/>
        <w:t>Duties of persons who have control of workplaces</w:t>
      </w:r>
      <w:bookmarkEnd w:id="255"/>
      <w:bookmarkEnd w:id="256"/>
      <w:bookmarkEnd w:id="257"/>
      <w:bookmarkEnd w:id="264"/>
      <w:bookmarkEnd w:id="265"/>
      <w:bookmarkEnd w:id="266"/>
      <w:r>
        <w:rPr>
          <w:snapToGrid w:val="0"/>
        </w:rPr>
        <w:t xml:space="preserve"> </w:t>
      </w:r>
    </w:p>
    <w:p>
      <w:pPr>
        <w:pStyle w:val="Subsection"/>
        <w:spacing w:before="120"/>
        <w:rPr>
          <w:snapToGrid w:val="0"/>
        </w:rPr>
      </w:pPr>
      <w:r>
        <w:rPr>
          <w:snapToGrid w:val="0"/>
        </w:rPr>
        <w:tab/>
        <w:t>(1)</w:t>
      </w:r>
      <w:r>
        <w:rPr>
          <w:snapToGrid w:val="0"/>
        </w:rPr>
        <w:tab/>
        <w:t>A person that has, to any extent, control of — </w:t>
      </w:r>
    </w:p>
    <w:p>
      <w:pPr>
        <w:pStyle w:val="Indenta"/>
        <w:spacing w:before="60"/>
        <w:rPr>
          <w:snapToGrid w:val="0"/>
        </w:rPr>
      </w:pPr>
      <w:r>
        <w:rPr>
          <w:snapToGrid w:val="0"/>
        </w:rPr>
        <w:tab/>
        <w:t>(a)</w:t>
      </w:r>
      <w:r>
        <w:rPr>
          <w:snapToGrid w:val="0"/>
        </w:rPr>
        <w:tab/>
        <w:t>a workplace where persons who are not employees of that person work or are likely to be in the course of their work; or</w:t>
      </w:r>
    </w:p>
    <w:p>
      <w:pPr>
        <w:pStyle w:val="Indenta"/>
        <w:spacing w:before="60"/>
        <w:rPr>
          <w:snapToGrid w:val="0"/>
        </w:rPr>
      </w:pPr>
      <w:r>
        <w:rPr>
          <w:snapToGrid w:val="0"/>
        </w:rPr>
        <w:tab/>
        <w:t>(b)</w:t>
      </w:r>
      <w:r>
        <w:rPr>
          <w:snapToGrid w:val="0"/>
        </w:rPr>
        <w:tab/>
        <w:t>the means of access to and egress from a workplace,</w:t>
      </w:r>
    </w:p>
    <w:p>
      <w:pPr>
        <w:pStyle w:val="Subsection"/>
        <w:spacing w:before="120"/>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spacing w:before="120"/>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spacing w:before="120"/>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pPr>
      <w:r>
        <w:tab/>
        <w:t>[(4)</w:t>
      </w:r>
      <w:r>
        <w:noBreakHyphen/>
        <w:t>(6)</w:t>
      </w:r>
      <w:r>
        <w:tab/>
        <w:t>repealed]</w:t>
      </w:r>
    </w:p>
    <w:p>
      <w:pPr>
        <w:pStyle w:val="Subsection"/>
        <w:spacing w:before="120"/>
        <w:rPr>
          <w:snapToGrid w:val="0"/>
        </w:rPr>
      </w:pPr>
      <w:r>
        <w:rPr>
          <w:snapToGrid w:val="0"/>
        </w:rPr>
        <w:tab/>
        <w:t>(7)</w:t>
      </w:r>
      <w:r>
        <w:rPr>
          <w:snapToGrid w:val="0"/>
        </w:rPr>
        <w:tab/>
        <w:t>This section does not apply to a person whose duties are set out in section 20.</w:t>
      </w:r>
    </w:p>
    <w:p>
      <w:pPr>
        <w:pStyle w:val="Footnotesection"/>
      </w:pPr>
      <w:r>
        <w:tab/>
        <w:t xml:space="preserve">[Section 22 inserted by No. 30 of 1995 s. 16; amended by No. 51 of 2004 s. 23, 80 and 103.] </w:t>
      </w:r>
    </w:p>
    <w:p>
      <w:pPr>
        <w:pStyle w:val="Heading5"/>
      </w:pPr>
      <w:bookmarkStart w:id="267" w:name="_Toc109702797"/>
      <w:bookmarkStart w:id="268" w:name="_Toc188695591"/>
      <w:bookmarkStart w:id="269" w:name="_Toc187053918"/>
      <w:bookmarkStart w:id="270" w:name="_Toc402776401"/>
      <w:bookmarkStart w:id="271" w:name="_Toc403985264"/>
      <w:bookmarkStart w:id="272" w:name="_Toc59593038"/>
      <w:r>
        <w:rPr>
          <w:rStyle w:val="CharSectno"/>
        </w:rPr>
        <w:t>22A</w:t>
      </w:r>
      <w:r>
        <w:t>.</w:t>
      </w:r>
      <w:r>
        <w:tab/>
        <w:t>Breaches of section 22(1)</w:t>
      </w:r>
      <w:bookmarkEnd w:id="267"/>
      <w:bookmarkEnd w:id="268"/>
      <w:bookmarkEnd w:id="269"/>
    </w:p>
    <w:p>
      <w:pPr>
        <w:pStyle w:val="Subsection"/>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by No. 51 of 2004 s. 24.]</w:t>
      </w:r>
    </w:p>
    <w:p>
      <w:pPr>
        <w:pStyle w:val="Heading5"/>
        <w:rPr>
          <w:snapToGrid w:val="0"/>
        </w:rPr>
      </w:pPr>
      <w:bookmarkStart w:id="273" w:name="_Toc109702798"/>
      <w:bookmarkStart w:id="274" w:name="_Toc188695592"/>
      <w:bookmarkStart w:id="275" w:name="_Toc187053919"/>
      <w:r>
        <w:rPr>
          <w:rStyle w:val="CharSectno"/>
        </w:rPr>
        <w:t>23</w:t>
      </w:r>
      <w:r>
        <w:rPr>
          <w:snapToGrid w:val="0"/>
        </w:rPr>
        <w:t>.</w:t>
      </w:r>
      <w:r>
        <w:rPr>
          <w:snapToGrid w:val="0"/>
        </w:rPr>
        <w:tab/>
        <w:t>Duties of manufacturers, etc.</w:t>
      </w:r>
      <w:bookmarkEnd w:id="270"/>
      <w:bookmarkEnd w:id="271"/>
      <w:bookmarkEnd w:id="272"/>
      <w:bookmarkEnd w:id="273"/>
      <w:bookmarkEnd w:id="274"/>
      <w:bookmarkEnd w:id="275"/>
      <w:r>
        <w:rPr>
          <w:snapToGrid w:val="0"/>
        </w:rPr>
        <w:t xml:space="preserve"> </w:t>
      </w:r>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w:t>
      </w:r>
    </w:p>
    <w:p>
      <w:pPr>
        <w:pStyle w:val="Indenti"/>
        <w:rPr>
          <w:snapToGrid w:val="0"/>
        </w:rPr>
      </w:pPr>
      <w:r>
        <w:rPr>
          <w:snapToGrid w:val="0"/>
        </w:rPr>
        <w:tab/>
        <w:t>(ii)</w:t>
      </w:r>
      <w:r>
        <w:rPr>
          <w:snapToGrid w:val="0"/>
        </w:rPr>
        <w:tab/>
        <w:t>the specifications of the plant and the data obtained on the testing of the plant as mentioned in paragraph (b);</w:t>
      </w:r>
    </w:p>
    <w:p>
      <w:pPr>
        <w:pStyle w:val="Indenti"/>
        <w:rPr>
          <w:snapToGrid w:val="0"/>
        </w:rPr>
      </w:pPr>
      <w:r>
        <w:rPr>
          <w:snapToGrid w:val="0"/>
        </w:rPr>
        <w:tab/>
        <w:t>(iii)</w:t>
      </w:r>
      <w:r>
        <w:rPr>
          <w:snapToGrid w:val="0"/>
        </w:rPr>
        <w:tab/>
        <w:t>the conditions necessary to ensure that persons properly using the plant are not, in so doing,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thereafter whenever requested.</w:t>
      </w:r>
    </w:p>
    <w:p>
      <w:pPr>
        <w:pStyle w:val="Subsection"/>
        <w:spacing w:before="120"/>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spacing w:before="180"/>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spacing w:before="180"/>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spacing w:before="180"/>
        <w:rPr>
          <w:snapToGrid w:val="0"/>
        </w:rPr>
      </w:pPr>
      <w:r>
        <w:rPr>
          <w:snapToGrid w:val="0"/>
        </w:rPr>
        <w:tab/>
      </w:r>
      <w:r>
        <w:rPr>
          <w:snapToGrid w:val="0"/>
        </w:rPr>
        <w:tab/>
        <w:t>are not, in doing so, exposed to hazards.</w:t>
      </w:r>
    </w:p>
    <w:p>
      <w:pPr>
        <w:pStyle w:val="Footnotesection"/>
        <w:spacing w:before="140"/>
        <w:ind w:left="890" w:hanging="890"/>
      </w:pPr>
      <w:r>
        <w:tab/>
        <w:t xml:space="preserve">[Section 23 inserted by No. 43 of 1987 s. 13; amended by No. 30 of 1995 s. 17; No. 51 of 2004 s. 25, 81 and 103.] </w:t>
      </w:r>
    </w:p>
    <w:p>
      <w:pPr>
        <w:pStyle w:val="Heading5"/>
      </w:pPr>
      <w:bookmarkStart w:id="276" w:name="_Toc109702799"/>
      <w:bookmarkStart w:id="277" w:name="_Toc188695593"/>
      <w:bookmarkStart w:id="278" w:name="_Toc187053920"/>
      <w:bookmarkStart w:id="279" w:name="_Toc402776402"/>
      <w:bookmarkStart w:id="280" w:name="_Toc403985265"/>
      <w:bookmarkStart w:id="281" w:name="_Toc59593039"/>
      <w:r>
        <w:rPr>
          <w:rStyle w:val="CharSectno"/>
        </w:rPr>
        <w:t>23AA</w:t>
      </w:r>
      <w:r>
        <w:t>.</w:t>
      </w:r>
      <w:r>
        <w:tab/>
        <w:t>Breaches of section 23</w:t>
      </w:r>
      <w:bookmarkEnd w:id="276"/>
      <w:bookmarkEnd w:id="277"/>
      <w:bookmarkEnd w:id="278"/>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by No. 51 of 2004 s. 26.]</w:t>
      </w:r>
    </w:p>
    <w:p>
      <w:pPr>
        <w:pStyle w:val="Heading5"/>
        <w:spacing w:before="200"/>
        <w:rPr>
          <w:snapToGrid w:val="0"/>
        </w:rPr>
      </w:pPr>
      <w:bookmarkStart w:id="282" w:name="_Toc109702800"/>
      <w:bookmarkStart w:id="283" w:name="_Toc188695594"/>
      <w:bookmarkStart w:id="284" w:name="_Toc187053921"/>
      <w:r>
        <w:rPr>
          <w:rStyle w:val="CharSectno"/>
        </w:rPr>
        <w:t>23A</w:t>
      </w:r>
      <w:r>
        <w:rPr>
          <w:snapToGrid w:val="0"/>
        </w:rPr>
        <w:t xml:space="preserve">. </w:t>
      </w:r>
      <w:r>
        <w:rPr>
          <w:snapToGrid w:val="0"/>
        </w:rPr>
        <w:tab/>
        <w:t>Prohibited activities in prescribed areas</w:t>
      </w:r>
      <w:bookmarkEnd w:id="279"/>
      <w:bookmarkEnd w:id="280"/>
      <w:bookmarkEnd w:id="281"/>
      <w:bookmarkEnd w:id="282"/>
      <w:bookmarkEnd w:id="283"/>
      <w:bookmarkEnd w:id="284"/>
      <w:r>
        <w:rPr>
          <w:snapToGrid w:val="0"/>
        </w:rPr>
        <w:t xml:space="preserve"> </w:t>
      </w:r>
    </w:p>
    <w:p>
      <w:pPr>
        <w:pStyle w:val="Subsection"/>
        <w:spacing w:before="14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spacing w:before="140"/>
        <w:rPr>
          <w:snapToGrid w:val="0"/>
        </w:rPr>
      </w:pPr>
      <w:r>
        <w:rPr>
          <w:snapToGrid w:val="0"/>
        </w:rPr>
        <w:tab/>
      </w:r>
      <w:r>
        <w:rPr>
          <w:snapToGrid w:val="0"/>
        </w:rPr>
        <w:tab/>
        <w:t>at a workplace in an area of the State prescribed for the purposes of this section.</w:t>
      </w:r>
    </w:p>
    <w:p>
      <w:pPr>
        <w:pStyle w:val="Ednotesubsection"/>
      </w:pPr>
      <w:r>
        <w:tab/>
        <w:t>[(2)</w:t>
      </w:r>
      <w:r>
        <w:noBreakHyphen/>
        <w:t>(4)</w:t>
      </w:r>
      <w:r>
        <w:tab/>
        <w:t>repealed]</w:t>
      </w:r>
    </w:p>
    <w:p>
      <w:pPr>
        <w:pStyle w:val="Footnotesection"/>
        <w:ind w:left="890" w:hanging="890"/>
      </w:pPr>
      <w:r>
        <w:tab/>
        <w:t xml:space="preserve">[Section 23A inserted by No. 30 of 1995 s. 18; amended by No. 51 of 2004 s. 27.] </w:t>
      </w:r>
    </w:p>
    <w:p>
      <w:pPr>
        <w:pStyle w:val="Heading5"/>
      </w:pPr>
      <w:bookmarkStart w:id="285" w:name="_Toc109702801"/>
      <w:bookmarkStart w:id="286" w:name="_Toc188695595"/>
      <w:bookmarkStart w:id="287" w:name="_Toc187053922"/>
      <w:bookmarkStart w:id="288" w:name="_Toc402776403"/>
      <w:bookmarkStart w:id="289" w:name="_Toc403985266"/>
      <w:bookmarkStart w:id="290" w:name="_Toc59593040"/>
      <w:r>
        <w:rPr>
          <w:rStyle w:val="CharSectno"/>
        </w:rPr>
        <w:t>23B</w:t>
      </w:r>
      <w:r>
        <w:t>.</w:t>
      </w:r>
      <w:r>
        <w:tab/>
        <w:t>Breaches of section 23A</w:t>
      </w:r>
      <w:bookmarkEnd w:id="285"/>
      <w:bookmarkEnd w:id="286"/>
      <w:bookmarkEnd w:id="287"/>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person —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23B inserted by No. 51 of 2004 s. 28.]</w:t>
      </w:r>
    </w:p>
    <w:p>
      <w:pPr>
        <w:pStyle w:val="Heading3"/>
      </w:pPr>
      <w:bookmarkStart w:id="291" w:name="_Toc93200907"/>
      <w:bookmarkStart w:id="292" w:name="_Toc97006578"/>
      <w:bookmarkStart w:id="293" w:name="_Toc100545148"/>
      <w:bookmarkStart w:id="294" w:name="_Toc100716627"/>
      <w:bookmarkStart w:id="295" w:name="_Toc102546216"/>
      <w:bookmarkStart w:id="296" w:name="_Toc103141439"/>
      <w:bookmarkStart w:id="297" w:name="_Toc105909051"/>
      <w:bookmarkStart w:id="298" w:name="_Toc105921937"/>
      <w:bookmarkStart w:id="299" w:name="_Toc106616775"/>
      <w:bookmarkStart w:id="300" w:name="_Toc108848519"/>
      <w:bookmarkStart w:id="301" w:name="_Toc109702802"/>
      <w:bookmarkStart w:id="302" w:name="_Toc113700359"/>
      <w:bookmarkStart w:id="303" w:name="_Toc113779017"/>
      <w:bookmarkStart w:id="304" w:name="_Toc122767398"/>
      <w:bookmarkStart w:id="305" w:name="_Toc122767641"/>
      <w:bookmarkStart w:id="306" w:name="_Toc131409888"/>
      <w:bookmarkStart w:id="307" w:name="_Toc187035455"/>
      <w:bookmarkStart w:id="308" w:name="_Toc187053923"/>
      <w:bookmarkStart w:id="309" w:name="_Toc188695596"/>
      <w:bookmarkStart w:id="310" w:name="_Toc402776404"/>
      <w:bookmarkStart w:id="311" w:name="_Toc403985267"/>
      <w:bookmarkStart w:id="312" w:name="_Toc59593041"/>
      <w:bookmarkEnd w:id="288"/>
      <w:bookmarkEnd w:id="289"/>
      <w:bookmarkEnd w:id="290"/>
      <w:r>
        <w:rPr>
          <w:rStyle w:val="CharDivNo"/>
        </w:rPr>
        <w:t>Division 3</w:t>
      </w:r>
      <w:r>
        <w:t> — </w:t>
      </w:r>
      <w:r>
        <w:rPr>
          <w:rStyle w:val="CharDivText"/>
        </w:rPr>
        <w:t>Certain workplace situations to be treated as employment</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Footnoteheading"/>
        <w:tabs>
          <w:tab w:val="left" w:pos="851"/>
        </w:tabs>
      </w:pPr>
      <w:r>
        <w:tab/>
        <w:t>[Heading inserted by No. 51 of 2004 s. 8.]</w:t>
      </w:r>
    </w:p>
    <w:p>
      <w:pPr>
        <w:pStyle w:val="Heading5"/>
      </w:pPr>
      <w:bookmarkStart w:id="313" w:name="_Toc109702803"/>
      <w:bookmarkStart w:id="314" w:name="_Toc188695597"/>
      <w:bookmarkStart w:id="315" w:name="_Toc187053924"/>
      <w:r>
        <w:rPr>
          <w:rStyle w:val="CharSectno"/>
        </w:rPr>
        <w:t>23C</w:t>
      </w:r>
      <w:r>
        <w:t>.</w:t>
      </w:r>
      <w:r>
        <w:tab/>
        <w:t>Terms used in this Division</w:t>
      </w:r>
      <w:bookmarkEnd w:id="313"/>
      <w:bookmarkEnd w:id="314"/>
      <w:bookmarkEnd w:id="315"/>
    </w:p>
    <w:p>
      <w:pPr>
        <w:pStyle w:val="Subsection"/>
      </w:pPr>
      <w:r>
        <w:tab/>
      </w:r>
      <w:r>
        <w:tab/>
        <w:t xml:space="preserve">In this Division — </w:t>
      </w:r>
    </w:p>
    <w:p>
      <w:pPr>
        <w:pStyle w:val="Defstart"/>
      </w:pPr>
      <w:r>
        <w:rPr>
          <w:b/>
        </w:rPr>
        <w:tab/>
        <w:t>“</w:t>
      </w:r>
      <w:r>
        <w:rPr>
          <w:rStyle w:val="CharDefText"/>
        </w:rPr>
        <w:t>business</w:t>
      </w:r>
      <w:r>
        <w:rPr>
          <w:b/>
        </w:rPr>
        <w:t>”</w:t>
      </w:r>
      <w:r>
        <w:t xml:space="preserve"> includes the operations of a public authority;</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acting in the Minister’s official capacity;</w:t>
      </w:r>
    </w:p>
    <w:p>
      <w:pPr>
        <w:pStyle w:val="Defpara"/>
      </w:pPr>
      <w:r>
        <w:tab/>
        <w:t>(b)</w:t>
      </w:r>
      <w:r>
        <w:tab/>
        <w:t>a State Government department, State trading concern, State instrumentality or State agency; or</w:t>
      </w:r>
    </w:p>
    <w:p>
      <w:pPr>
        <w:pStyle w:val="Defpara"/>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pPr>
      <w:r>
        <w:tab/>
        <w:t>[Section 23C inserted by No. 51 of 2004 s. 8.]</w:t>
      </w:r>
    </w:p>
    <w:p>
      <w:pPr>
        <w:pStyle w:val="Heading5"/>
      </w:pPr>
      <w:bookmarkStart w:id="316" w:name="_Toc109702804"/>
      <w:bookmarkStart w:id="317" w:name="_Toc188695598"/>
      <w:bookmarkStart w:id="318" w:name="_Toc187053925"/>
      <w:r>
        <w:rPr>
          <w:rStyle w:val="CharSectno"/>
        </w:rPr>
        <w:t>23D</w:t>
      </w:r>
      <w:r>
        <w:t>.</w:t>
      </w:r>
      <w:r>
        <w:tab/>
        <w:t>Contract work arrangements</w:t>
      </w:r>
      <w:bookmarkEnd w:id="316"/>
      <w:bookmarkEnd w:id="317"/>
      <w:bookmarkEnd w:id="318"/>
    </w:p>
    <w:p>
      <w:pPr>
        <w:pStyle w:val="Subsection"/>
      </w:pPr>
      <w:r>
        <w:tab/>
        <w:t>(1)</w:t>
      </w:r>
      <w:r>
        <w:tab/>
        <w:t xml:space="preserve">This section applies where a person (the </w:t>
      </w:r>
      <w:r>
        <w:rPr>
          <w:b/>
        </w:rPr>
        <w:t>“</w:t>
      </w:r>
      <w:r>
        <w:rPr>
          <w:rStyle w:val="CharDefText"/>
        </w:rPr>
        <w:t>principal</w:t>
      </w:r>
      <w:r>
        <w:rPr>
          <w:b/>
        </w:rPr>
        <w:t>”</w:t>
      </w:r>
      <w:r>
        <w:t xml:space="preserve">) in the course of trade or business engages a contractor (the </w:t>
      </w:r>
      <w:r>
        <w:rPr>
          <w:b/>
        </w:rPr>
        <w:t>“</w:t>
      </w:r>
      <w:r>
        <w:rPr>
          <w:rStyle w:val="CharDefText"/>
        </w:rPr>
        <w:t>contractor</w:t>
      </w:r>
      <w:r>
        <w:rPr>
          <w:b/>
        </w:rPr>
        <w:t>”</w:t>
      </w:r>
      <w:r>
        <w:t>) to carry out work for the principal.</w:t>
      </w:r>
    </w:p>
    <w:p>
      <w:pPr>
        <w:pStyle w:val="Subsection"/>
        <w:keepNext/>
      </w:pPr>
      <w:r>
        <w:tab/>
        <w:t>(2)</w:t>
      </w:r>
      <w:r>
        <w:tab/>
        <w:t xml:space="preserve">Where this section applies, section 19 has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 xml:space="preserve">Where this section applies, the further duties referred to in subsection (4) apply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19 or 23G(2);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23D inserted by No. 51 of 2004 s. 8.]</w:t>
      </w:r>
    </w:p>
    <w:p>
      <w:pPr>
        <w:pStyle w:val="Heading5"/>
      </w:pPr>
      <w:bookmarkStart w:id="319" w:name="_Toc109702805"/>
      <w:bookmarkStart w:id="320" w:name="_Toc188695599"/>
      <w:bookmarkStart w:id="321" w:name="_Toc187053926"/>
      <w:r>
        <w:rPr>
          <w:rStyle w:val="CharSectno"/>
        </w:rPr>
        <w:t>23E</w:t>
      </w:r>
      <w:r>
        <w:t>.</w:t>
      </w:r>
      <w:r>
        <w:tab/>
        <w:t>Labour arrangements in general</w:t>
      </w:r>
      <w:bookmarkEnd w:id="319"/>
      <w:bookmarkEnd w:id="320"/>
      <w:bookmarkEnd w:id="321"/>
    </w:p>
    <w:p>
      <w:pPr>
        <w:pStyle w:val="Subsection"/>
      </w:pPr>
      <w:r>
        <w:tab/>
        <w:t>(1)</w:t>
      </w:r>
      <w:r>
        <w:tab/>
        <w:t xml:space="preserve">This section applies where — </w:t>
      </w:r>
    </w:p>
    <w:p>
      <w:pPr>
        <w:pStyle w:val="Indenta"/>
      </w:pPr>
      <w:r>
        <w:tab/>
        <w:t>(a)</w:t>
      </w:r>
      <w:r>
        <w:tab/>
        <w:t xml:space="preserve">a person (the </w:t>
      </w:r>
      <w:r>
        <w:rPr>
          <w:b/>
        </w:rPr>
        <w:t>“</w:t>
      </w:r>
      <w:r>
        <w:rPr>
          <w:rStyle w:val="CharDefText"/>
        </w:rPr>
        <w:t>worker</w:t>
      </w:r>
      <w:r>
        <w:rPr>
          <w:b/>
        </w:rPr>
        <w:t>”</w:t>
      </w:r>
      <w:r>
        <w:t xml:space="preserve">) for remuneration carries out work for another person (the </w:t>
      </w:r>
      <w:r>
        <w:rPr>
          <w:b/>
        </w:rPr>
        <w:t>“</w:t>
      </w:r>
      <w:r>
        <w:rPr>
          <w:rStyle w:val="CharDefText"/>
        </w:rPr>
        <w:t>person mentioned in subsection (1)(a)</w:t>
      </w:r>
      <w:r>
        <w:rPr>
          <w:b/>
        </w:rPr>
        <w:t>”</w:t>
      </w:r>
      <w:r>
        <w:t>) in the course of trade or business;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23D nor section 23F applies.</w:t>
      </w:r>
    </w:p>
    <w:p>
      <w:pPr>
        <w:pStyle w:val="Subsection"/>
        <w:keepNext/>
      </w:pPr>
      <w:r>
        <w:tab/>
        <w:t>(2)</w:t>
      </w:r>
      <w:r>
        <w:tab/>
        <w:t xml:space="preserve">Where this section applies, section 19 has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19; and</w:t>
      </w:r>
    </w:p>
    <w:p>
      <w:pPr>
        <w:pStyle w:val="Indenta"/>
      </w:pPr>
      <w:r>
        <w:tab/>
        <w:t>(d)</w:t>
      </w:r>
      <w:r>
        <w:tab/>
        <w:t>is a matter over which that person has the capacity to exercise control.</w:t>
      </w:r>
    </w:p>
    <w:p>
      <w:pPr>
        <w:pStyle w:val="Subsection"/>
      </w:pPr>
      <w:r>
        <w:tab/>
        <w:t>(3)</w:t>
      </w:r>
      <w:r>
        <w:tab/>
        <w:t xml:space="preserve">Where this section applies, the further duties referred to in subsection (4) apply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(5)</w:t>
      </w:r>
      <w:r>
        <w:tab/>
        <w:t xml:space="preserve">An agreement or arrangement is void for the purposes of this section to the extent that it purports to give control to the worker of any matter that — </w:t>
      </w:r>
    </w:p>
    <w:p>
      <w:pPr>
        <w:pStyle w:val="Indenta"/>
      </w:pPr>
      <w:r>
        <w:tab/>
        <w:t>(a)</w:t>
      </w:r>
      <w:r>
        <w:tab/>
        <w:t>comes within section 19; and</w:t>
      </w:r>
    </w:p>
    <w:p>
      <w:pPr>
        <w:pStyle w:val="Indenta"/>
      </w:pPr>
      <w:r>
        <w:tab/>
        <w:t>(b)</w:t>
      </w:r>
      <w:r>
        <w:tab/>
        <w:t>is a matter over which the person mentioned in subsection (1)(a) has the capacity to exercise control.</w:t>
      </w:r>
    </w:p>
    <w:p>
      <w:pPr>
        <w:pStyle w:val="Subsection"/>
      </w:pPr>
      <w:r>
        <w:tab/>
        <w:t>(6)</w:t>
      </w:r>
      <w:r>
        <w:tab/>
        <w:t>This section applies despite anything to the contrary in, or any inconsistent provision of, an agreement, whether made orally or in writing.</w:t>
      </w:r>
    </w:p>
    <w:p>
      <w:pPr>
        <w:pStyle w:val="Subsection"/>
      </w:pPr>
      <w:r>
        <w:tab/>
        <w:t>(7)</w:t>
      </w:r>
      <w:r>
        <w:tab/>
        <w:t>A purported waiver by a worker of a right that arises directly or indirectly under this section is void.</w:t>
      </w:r>
    </w:p>
    <w:p>
      <w:pPr>
        <w:pStyle w:val="Footnotesection"/>
      </w:pPr>
      <w:r>
        <w:tab/>
        <w:t>[Section 23E inserted by No. 51 of 2004 s. 8.]</w:t>
      </w:r>
    </w:p>
    <w:p>
      <w:pPr>
        <w:pStyle w:val="Heading5"/>
      </w:pPr>
      <w:bookmarkStart w:id="322" w:name="_Toc109702806"/>
      <w:bookmarkStart w:id="323" w:name="_Toc188695600"/>
      <w:bookmarkStart w:id="324" w:name="_Toc187053927"/>
      <w:r>
        <w:rPr>
          <w:rStyle w:val="CharSectno"/>
        </w:rPr>
        <w:t>23F</w:t>
      </w:r>
      <w:r>
        <w:t>.</w:t>
      </w:r>
      <w:r>
        <w:tab/>
        <w:t>Labour hire arrangements</w:t>
      </w:r>
      <w:bookmarkEnd w:id="322"/>
      <w:bookmarkEnd w:id="323"/>
      <w:bookmarkEnd w:id="324"/>
    </w:p>
    <w:p>
      <w:pPr>
        <w:pStyle w:val="Subsection"/>
      </w:pPr>
      <w:r>
        <w:tab/>
        <w:t>(1)</w:t>
      </w:r>
      <w:r>
        <w:tab/>
        <w:t xml:space="preserve">In this section — </w:t>
      </w:r>
    </w:p>
    <w:p>
      <w:pPr>
        <w:pStyle w:val="Defstart"/>
      </w:pPr>
      <w:r>
        <w:rPr>
          <w:b/>
        </w:rPr>
        <w:tab/>
        <w:t>“</w:t>
      </w:r>
      <w:r>
        <w:rPr>
          <w:rStyle w:val="CharDefText"/>
        </w:rPr>
        <w:t>agent</w:t>
      </w:r>
      <w:r>
        <w:rPr>
          <w:b/>
        </w:rPr>
        <w:t>”</w:t>
      </w:r>
      <w:r>
        <w:t xml:space="preserve"> — </w:t>
      </w:r>
    </w:p>
    <w:p>
      <w:pPr>
        <w:pStyle w:val="Defpara"/>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t>“</w:t>
      </w:r>
      <w:r>
        <w:rPr>
          <w:rStyle w:val="CharDefText"/>
        </w:rPr>
        <w:t>worker</w:t>
      </w:r>
      <w:r>
        <w:rPr>
          <w:b/>
        </w:rPr>
        <w:t>”</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b/>
        </w:rPr>
        <w:t>“</w:t>
      </w:r>
      <w:r>
        <w:rPr>
          <w:rStyle w:val="CharDefText"/>
        </w:rPr>
        <w:t>client</w:t>
      </w:r>
      <w:r>
        <w:rPr>
          <w:b/>
        </w:rPr>
        <w:t>”</w:t>
      </w:r>
      <w:r>
        <w:t>) in the course of the client’s trade or business.</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pPr>
      <w:r>
        <w:tab/>
        <w:t>(4)</w:t>
      </w:r>
      <w:r>
        <w:tab/>
        <w:t xml:space="preserve">Where this section applies, section 19 has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r>
      <w:r>
        <w:tab/>
        <w:t xml:space="preserve">in relation to any matter that — </w:t>
      </w:r>
    </w:p>
    <w:p>
      <w:pPr>
        <w:pStyle w:val="Indenta"/>
      </w:pPr>
      <w:r>
        <w:tab/>
        <w:t>(c)</w:t>
      </w:r>
      <w:r>
        <w:tab/>
        <w:t>comes within section 19; and</w:t>
      </w:r>
    </w:p>
    <w:p>
      <w:pPr>
        <w:pStyle w:val="Indenta"/>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20"/>
      </w:pPr>
      <w:r>
        <w:tab/>
        <w:t>(5)</w:t>
      </w:r>
      <w:r>
        <w:tab/>
        <w:t xml:space="preserve">Where this section applies, the further duties referred to in subsection (6) apply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t>(6)</w:t>
      </w:r>
      <w:r>
        <w:tab/>
        <w:t xml:space="preserve">The further duties mentioned in subsection (5) are — </w:t>
      </w:r>
    </w:p>
    <w:p>
      <w:pPr>
        <w:pStyle w:val="Indenta"/>
      </w:pPr>
      <w:r>
        <w:tab/>
        <w:t>(a)</w:t>
      </w:r>
      <w:r>
        <w:tab/>
        <w:t>the duties of an employee under section 20; and</w:t>
      </w:r>
    </w:p>
    <w:p>
      <w:pPr>
        <w:pStyle w:val="Indenta"/>
      </w:pPr>
      <w:r>
        <w:tab/>
        <w:t>(b)</w:t>
      </w:r>
      <w:r>
        <w:tab/>
        <w:t>the duties of an employer under section 23I(3).</w:t>
      </w:r>
    </w:p>
    <w:p>
      <w:pPr>
        <w:pStyle w:val="Subsection"/>
        <w:spacing w:before="120"/>
      </w:pPr>
      <w:r>
        <w:tab/>
        <w:t>(7)</w:t>
      </w:r>
      <w:r>
        <w:tab/>
        <w:t>This section applies despite anything to the contrary in, or any inconsistent provision of, an agreement, whether made orally or in writing.</w:t>
      </w:r>
    </w:p>
    <w:p>
      <w:pPr>
        <w:pStyle w:val="Subsection"/>
        <w:spacing w:before="120"/>
      </w:pPr>
      <w:r>
        <w:tab/>
        <w:t>(8)</w:t>
      </w:r>
      <w:r>
        <w:tab/>
        <w:t>A purported waiver by a worker of a right that arises directly or indirectly under this section is void.</w:t>
      </w:r>
    </w:p>
    <w:p>
      <w:pPr>
        <w:pStyle w:val="Footnotesection"/>
      </w:pPr>
      <w:r>
        <w:tab/>
        <w:t>[Section 23F inserted by No. 51 of 2004 s. 8.]</w:t>
      </w:r>
    </w:p>
    <w:p>
      <w:pPr>
        <w:pStyle w:val="Heading3"/>
      </w:pPr>
      <w:bookmarkStart w:id="325" w:name="_Toc93200912"/>
      <w:bookmarkStart w:id="326" w:name="_Toc97006583"/>
      <w:bookmarkStart w:id="327" w:name="_Toc100545153"/>
      <w:bookmarkStart w:id="328" w:name="_Toc100716632"/>
      <w:bookmarkStart w:id="329" w:name="_Toc102546221"/>
      <w:bookmarkStart w:id="330" w:name="_Toc103141444"/>
      <w:bookmarkStart w:id="331" w:name="_Toc105909056"/>
      <w:bookmarkStart w:id="332" w:name="_Toc105921942"/>
      <w:bookmarkStart w:id="333" w:name="_Toc106616780"/>
      <w:bookmarkStart w:id="334" w:name="_Toc108848524"/>
      <w:bookmarkStart w:id="335" w:name="_Toc109702807"/>
      <w:bookmarkStart w:id="336" w:name="_Toc113700364"/>
      <w:bookmarkStart w:id="337" w:name="_Toc113779022"/>
      <w:bookmarkStart w:id="338" w:name="_Toc122767403"/>
      <w:bookmarkStart w:id="339" w:name="_Toc122767646"/>
      <w:bookmarkStart w:id="340" w:name="_Toc131409893"/>
      <w:bookmarkStart w:id="341" w:name="_Toc187035460"/>
      <w:bookmarkStart w:id="342" w:name="_Toc187053928"/>
      <w:bookmarkStart w:id="343" w:name="_Toc188695601"/>
      <w:r>
        <w:rPr>
          <w:rStyle w:val="CharDivNo"/>
        </w:rPr>
        <w:t>Division 4</w:t>
      </w:r>
      <w:r>
        <w:t> — </w:t>
      </w:r>
      <w:r>
        <w:rPr>
          <w:rStyle w:val="CharDivText"/>
        </w:rPr>
        <w:t>Duty relating to certain employment accommodation</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Footnoteheading"/>
        <w:tabs>
          <w:tab w:val="left" w:pos="851"/>
        </w:tabs>
      </w:pPr>
      <w:r>
        <w:tab/>
        <w:t>[Heading inserted by No. 51 of 2004 s. 8.]</w:t>
      </w:r>
    </w:p>
    <w:p>
      <w:pPr>
        <w:pStyle w:val="Heading5"/>
      </w:pPr>
      <w:bookmarkStart w:id="344" w:name="_Toc109702808"/>
      <w:bookmarkStart w:id="345" w:name="_Toc188695602"/>
      <w:bookmarkStart w:id="346" w:name="_Toc187053929"/>
      <w:r>
        <w:rPr>
          <w:rStyle w:val="CharSectno"/>
        </w:rPr>
        <w:t>23G</w:t>
      </w:r>
      <w:r>
        <w:t>.</w:t>
      </w:r>
      <w:r>
        <w:tab/>
        <w:t>Duty of employer to maintain safe premises</w:t>
      </w:r>
      <w:bookmarkEnd w:id="344"/>
      <w:bookmarkEnd w:id="345"/>
      <w:bookmarkEnd w:id="346"/>
    </w:p>
    <w:p>
      <w:pPr>
        <w:pStyle w:val="Subsection"/>
        <w:spacing w:before="120"/>
      </w:pPr>
      <w:r>
        <w:tab/>
        <w:t>(1)</w:t>
      </w:r>
      <w:r>
        <w:tab/>
        <w:t xml:space="preserve">In this section — </w:t>
      </w:r>
    </w:p>
    <w:p>
      <w:pPr>
        <w:pStyle w:val="Defstart"/>
      </w:pPr>
      <w:r>
        <w:tab/>
      </w:r>
      <w:r>
        <w:rPr>
          <w:b/>
        </w:rPr>
        <w:t>“</w:t>
      </w:r>
      <w:r>
        <w:rPr>
          <w:rStyle w:val="CharDefText"/>
        </w:rPr>
        <w:t>residential premises</w:t>
      </w:r>
      <w:r>
        <w:rPr>
          <w:b/>
        </w:rPr>
        <w:t>”</w:t>
      </w:r>
      <w:r>
        <w:t xml:space="preserve"> — </w:t>
      </w:r>
    </w:p>
    <w:p>
      <w:pPr>
        <w:pStyle w:val="Defpara"/>
      </w:pPr>
      <w:r>
        <w:tab/>
        <w:t>(a)</w:t>
      </w:r>
      <w:r>
        <w:tab/>
        <w:t xml:space="preserve">means residential premises that are situated outside —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 xml:space="preserve">Where — </w:t>
      </w:r>
    </w:p>
    <w:p>
      <w:pPr>
        <w:pStyle w:val="Indenta"/>
      </w:pPr>
      <w:r>
        <w:tab/>
        <w:t>(a)</w:t>
      </w:r>
      <w:r>
        <w:tab/>
        <w:t>an employee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by No. 51 of 2004 s. 8; amended by No. 38 of 2005 s. 15.]</w:t>
      </w:r>
    </w:p>
    <w:p>
      <w:pPr>
        <w:pStyle w:val="Heading5"/>
      </w:pPr>
      <w:bookmarkStart w:id="347" w:name="_Toc109702809"/>
      <w:bookmarkStart w:id="348" w:name="_Toc188695603"/>
      <w:bookmarkStart w:id="349" w:name="_Toc187053930"/>
      <w:r>
        <w:rPr>
          <w:rStyle w:val="CharSectno"/>
        </w:rPr>
        <w:t>23H</w:t>
      </w:r>
      <w:r>
        <w:t>.</w:t>
      </w:r>
      <w:r>
        <w:tab/>
        <w:t>Breaches of section 23G</w:t>
      </w:r>
      <w:bookmarkEnd w:id="347"/>
      <w:bookmarkEnd w:id="348"/>
      <w:bookmarkEnd w:id="349"/>
    </w:p>
    <w:p>
      <w:pPr>
        <w:pStyle w:val="Subsection"/>
      </w:pPr>
      <w:r>
        <w:tab/>
        <w:t>(1)</w:t>
      </w:r>
      <w:r>
        <w:tab/>
        <w:t>If an employer contravenes section 23G(2) in circumstances of gross negligence, the employer commits an offence and is liable to a level 4 penalty.</w:t>
      </w:r>
    </w:p>
    <w:p>
      <w:pPr>
        <w:pStyle w:val="Subsection"/>
        <w:keepNext/>
        <w:keepLines/>
        <w:rPr>
          <w:snapToGrid w:val="0"/>
        </w:rPr>
      </w:pPr>
      <w:r>
        <w:tab/>
        <w:t>(2)</w:t>
      </w:r>
      <w:r>
        <w:tab/>
      </w:r>
      <w:r>
        <w:rPr>
          <w:snapToGrid w:val="0"/>
        </w:rPr>
        <w:t xml:space="preserve">If — </w:t>
      </w:r>
    </w:p>
    <w:p>
      <w:pPr>
        <w:pStyle w:val="Indenta"/>
        <w:keepNext/>
        <w:keepLines/>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23G(2);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by No. 51 of 2004 s. 8.]</w:t>
      </w:r>
    </w:p>
    <w:p>
      <w:pPr>
        <w:pStyle w:val="Heading3"/>
      </w:pPr>
      <w:bookmarkStart w:id="350" w:name="_Toc93200915"/>
      <w:bookmarkStart w:id="351" w:name="_Toc97006586"/>
      <w:bookmarkStart w:id="352" w:name="_Toc100545156"/>
      <w:bookmarkStart w:id="353" w:name="_Toc100716635"/>
      <w:bookmarkStart w:id="354" w:name="_Toc102546224"/>
      <w:bookmarkStart w:id="355" w:name="_Toc103141447"/>
      <w:bookmarkStart w:id="356" w:name="_Toc105909059"/>
      <w:bookmarkStart w:id="357" w:name="_Toc105921945"/>
      <w:bookmarkStart w:id="358" w:name="_Toc106616783"/>
      <w:bookmarkStart w:id="359" w:name="_Toc108848527"/>
      <w:bookmarkStart w:id="360" w:name="_Toc109702810"/>
      <w:bookmarkStart w:id="361" w:name="_Toc113700367"/>
      <w:bookmarkStart w:id="362" w:name="_Toc113779025"/>
      <w:bookmarkStart w:id="363" w:name="_Toc122767406"/>
      <w:bookmarkStart w:id="364" w:name="_Toc122767649"/>
      <w:bookmarkStart w:id="365" w:name="_Toc131409896"/>
      <w:bookmarkStart w:id="366" w:name="_Toc187035463"/>
      <w:bookmarkStart w:id="367" w:name="_Toc187053931"/>
      <w:bookmarkStart w:id="368" w:name="_Toc188695604"/>
      <w:r>
        <w:rPr>
          <w:rStyle w:val="CharDivNo"/>
        </w:rPr>
        <w:t>Division 5</w:t>
      </w:r>
      <w:r>
        <w:t> — </w:t>
      </w:r>
      <w:r>
        <w:rPr>
          <w:rStyle w:val="CharDivText"/>
        </w:rPr>
        <w:t>Other duties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Footnoteheading"/>
        <w:keepNext/>
        <w:tabs>
          <w:tab w:val="left" w:pos="851"/>
        </w:tabs>
      </w:pPr>
      <w:r>
        <w:tab/>
        <w:t>[Heading inserted by No. 51 of 2004 s. 8.]</w:t>
      </w:r>
    </w:p>
    <w:p>
      <w:pPr>
        <w:pStyle w:val="Heading5"/>
      </w:pPr>
      <w:bookmarkStart w:id="369" w:name="_Toc109702811"/>
      <w:bookmarkStart w:id="370" w:name="_Toc188695605"/>
      <w:bookmarkStart w:id="371" w:name="_Toc187053932"/>
      <w:r>
        <w:rPr>
          <w:rStyle w:val="CharSectno"/>
        </w:rPr>
        <w:t>23I</w:t>
      </w:r>
      <w:r>
        <w:t>.</w:t>
      </w:r>
      <w:r>
        <w:tab/>
        <w:t>Notification of deaths, injuries and diseases</w:t>
      </w:r>
      <w:bookmarkEnd w:id="369"/>
      <w:bookmarkEnd w:id="370"/>
      <w:bookmarkEnd w:id="371"/>
    </w:p>
    <w:p>
      <w:pPr>
        <w:pStyle w:val="Subsection"/>
      </w:pPr>
      <w:r>
        <w:tab/>
        <w:t>(1)</w:t>
      </w:r>
      <w:r>
        <w:tab/>
        <w:t xml:space="preserve">In this section — </w:t>
      </w:r>
    </w:p>
    <w:p>
      <w:pPr>
        <w:pStyle w:val="Defstart"/>
      </w:pPr>
      <w:r>
        <w:rPr>
          <w:b/>
        </w:rPr>
        <w:tab/>
        <w:t>“</w:t>
      </w:r>
      <w:r>
        <w:rPr>
          <w:rStyle w:val="CharDefText"/>
        </w:rPr>
        <w:t>business of an employer</w:t>
      </w:r>
      <w:r>
        <w:rPr>
          <w:b/>
        </w:rPr>
        <w:t>”</w:t>
      </w:r>
      <w:r>
        <w:t xml:space="preserve"> means —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t>“</w:t>
      </w:r>
      <w:r>
        <w:rPr>
          <w:rStyle w:val="CharDefText"/>
        </w:rPr>
        <w:t>business of a self</w:t>
      </w:r>
      <w:r>
        <w:rPr>
          <w:rStyle w:val="CharDefText"/>
        </w:rPr>
        <w:noBreakHyphen/>
        <w:t>employed person</w:t>
      </w:r>
      <w:r>
        <w:rPr>
          <w:b/>
        </w:rPr>
        <w:t>”</w:t>
      </w:r>
      <w:r>
        <w:t xml:space="preserve"> means — </w:t>
      </w:r>
    </w:p>
    <w:p>
      <w:pPr>
        <w:pStyle w:val="Defpara"/>
      </w:pPr>
      <w:r>
        <w:tab/>
        <w:t>(a)</w:t>
      </w:r>
      <w:r>
        <w:tab/>
        <w:t>the conduct of the undertaking or operations of a self</w:t>
      </w:r>
      <w:r>
        <w:noBreakHyphen/>
        <w:t>employed person; and</w:t>
      </w:r>
    </w:p>
    <w:p>
      <w:pPr>
        <w:pStyle w:val="Defpara"/>
      </w:pPr>
      <w:r>
        <w:tab/>
        <w:t>(b)</w:t>
      </w:r>
      <w:r>
        <w:tab/>
        <w:t>work undertaken by that person.</w:t>
      </w:r>
    </w:p>
    <w:p>
      <w:pPr>
        <w:pStyle w:val="Subsection"/>
      </w:pPr>
      <w:r>
        <w:tab/>
        <w:t>(2)</w:t>
      </w:r>
      <w:r>
        <w:tab/>
        <w:t xml:space="preserve">This section applies where — </w:t>
      </w:r>
    </w:p>
    <w:p>
      <w:pPr>
        <w:pStyle w:val="Indenta"/>
      </w:pPr>
      <w:r>
        <w:tab/>
        <w:t>(a)</w:t>
      </w:r>
      <w:r>
        <w:tab/>
        <w:t xml:space="preserve">at a workplace, or at residential premises to which section 23G(2) applies, an employee incurs an injury, or is affected by a disease, that — </w:t>
      </w:r>
    </w:p>
    <w:p>
      <w:pPr>
        <w:pStyle w:val="Indenti"/>
      </w:pPr>
      <w:r>
        <w:tab/>
        <w:t>(i)</w:t>
      </w:r>
      <w:r>
        <w:tab/>
        <w:t>results in the death of the employee; or</w:t>
      </w:r>
    </w:p>
    <w:p>
      <w:pPr>
        <w:pStyle w:val="Indenti"/>
      </w:pPr>
      <w:r>
        <w:tab/>
        <w:t>(ii)</w:t>
      </w:r>
      <w:r>
        <w:tab/>
        <w:t>is of a kind that is prescribed;</w:t>
      </w:r>
    </w:p>
    <w:p>
      <w:pPr>
        <w:pStyle w:val="Indenta"/>
      </w:pPr>
      <w:r>
        <w:tab/>
      </w:r>
      <w:r>
        <w:tab/>
        <w:t>or</w:t>
      </w:r>
    </w:p>
    <w:p>
      <w:pPr>
        <w:pStyle w:val="Indenta"/>
      </w:pPr>
      <w:r>
        <w:tab/>
        <w:t>(b)</w:t>
      </w:r>
      <w:r>
        <w:tab/>
        <w:t xml:space="preserve">at a workplace, a person who is not an employee incurs an injury in prescribed circumstances that — </w:t>
      </w:r>
    </w:p>
    <w:p>
      <w:pPr>
        <w:pStyle w:val="Indenti"/>
      </w:pPr>
      <w:r>
        <w:tab/>
        <w:t>(i)</w:t>
      </w:r>
      <w:r>
        <w:tab/>
        <w:t>results in the death of the person; or</w:t>
      </w:r>
    </w:p>
    <w:p>
      <w:pPr>
        <w:pStyle w:val="Indenti"/>
      </w:pPr>
      <w:r>
        <w:tab/>
        <w:t>(ii)</w:t>
      </w:r>
      <w:r>
        <w:tab/>
        <w:t>is of a kind that is prescribed,</w:t>
      </w:r>
    </w:p>
    <w:p>
      <w:pPr>
        <w:pStyle w:val="Indenta"/>
      </w:pPr>
      <w:r>
        <w:tab/>
      </w:r>
      <w:r>
        <w:tab/>
        <w:t xml:space="preserve">in connection with — </w:t>
      </w:r>
    </w:p>
    <w:p>
      <w:pPr>
        <w:pStyle w:val="Indenti"/>
      </w:pPr>
      <w:r>
        <w:tab/>
        <w:t>(iii)</w:t>
      </w:r>
      <w:r>
        <w:tab/>
        <w:t>the business of an employer; or</w:t>
      </w:r>
    </w:p>
    <w:p>
      <w:pPr>
        <w:pStyle w:val="Indenti"/>
      </w:pPr>
      <w:r>
        <w:tab/>
        <w:t>(iv)</w:t>
      </w:r>
      <w:r>
        <w:tab/>
        <w:t>the business of a self</w:t>
      </w:r>
      <w:r>
        <w:noBreakHyphen/>
        <w:t>employed person.</w:t>
      </w:r>
    </w:p>
    <w:p>
      <w:pPr>
        <w:pStyle w:val="Subsection"/>
      </w:pPr>
      <w:r>
        <w:tab/>
        <w:t>(3)</w:t>
      </w:r>
      <w:r>
        <w:tab/>
        <w:t xml:space="preserve">The relevant person must — </w:t>
      </w:r>
    </w:p>
    <w:p>
      <w:pPr>
        <w:pStyle w:val="Indenta"/>
      </w:pPr>
      <w:r>
        <w:tab/>
        <w:t>(a)</w:t>
      </w:r>
      <w:r>
        <w:tab/>
        <w:t>forthwith; or</w:t>
      </w:r>
    </w:p>
    <w:p>
      <w:pPr>
        <w:pStyle w:val="Indenta"/>
      </w:pPr>
      <w:r>
        <w:tab/>
        <w:t>(b)</w:t>
      </w:r>
      <w:r>
        <w:tab/>
        <w:t>as otherwise provided by the regulations,</w:t>
      </w:r>
    </w:p>
    <w:p>
      <w:pPr>
        <w:pStyle w:val="Subsection"/>
      </w:pPr>
      <w:r>
        <w:tab/>
      </w:r>
      <w:r>
        <w:tab/>
        <w:t>notify the Commissioner in the prescribed form of the injury or disease giving such particulars as may be prescribed.</w:t>
      </w:r>
    </w:p>
    <w:p>
      <w:pPr>
        <w:pStyle w:val="Subsection"/>
      </w:pPr>
      <w:r>
        <w:tab/>
        <w:t>(4)</w:t>
      </w:r>
      <w:r>
        <w:tab/>
        <w:t xml:space="preserve">The relevant person is the employer concerned where — </w:t>
      </w:r>
    </w:p>
    <w:p>
      <w:pPr>
        <w:pStyle w:val="Indenta"/>
      </w:pPr>
      <w:r>
        <w:tab/>
        <w:t>(a)</w:t>
      </w:r>
      <w:r>
        <w:tab/>
        <w:t xml:space="preserve">subsection (2)(a) applies; or </w:t>
      </w:r>
    </w:p>
    <w:p>
      <w:pPr>
        <w:pStyle w:val="Indenta"/>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pPr>
      <w:r>
        <w:tab/>
        <w:t>[Section 23I inserted by No. 51 of 2004 s. 8.]</w:t>
      </w:r>
    </w:p>
    <w:p>
      <w:pPr>
        <w:pStyle w:val="Heading5"/>
      </w:pPr>
      <w:bookmarkStart w:id="372" w:name="_Toc109702812"/>
      <w:bookmarkStart w:id="373" w:name="_Toc188695606"/>
      <w:bookmarkStart w:id="374" w:name="_Toc187053933"/>
      <w:r>
        <w:rPr>
          <w:rStyle w:val="CharSectno"/>
        </w:rPr>
        <w:t>23J</w:t>
      </w:r>
      <w:r>
        <w:t>.</w:t>
      </w:r>
      <w:r>
        <w:tab/>
        <w:t>Breaches of section 23I</w:t>
      </w:r>
      <w:bookmarkEnd w:id="372"/>
      <w:bookmarkEnd w:id="373"/>
      <w:bookmarkEnd w:id="374"/>
    </w:p>
    <w:p>
      <w:pPr>
        <w:pStyle w:val="Subsection"/>
      </w:pPr>
      <w:r>
        <w:tab/>
        <w:t>(1)</w:t>
      </w:r>
      <w:r>
        <w:tab/>
        <w:t>If an employer or self</w:t>
      </w:r>
      <w:r>
        <w:noBreakHyphen/>
        <w:t>employed person contravenes section 23I(3), the employer or self</w:t>
      </w:r>
      <w:r>
        <w:noBreakHyphen/>
        <w:t>employed person commits an offence.</w:t>
      </w:r>
    </w:p>
    <w:p>
      <w:pPr>
        <w:pStyle w:val="Subsection"/>
      </w:pPr>
      <w:r>
        <w:tab/>
        <w:t>(2)</w:t>
      </w:r>
      <w:r>
        <w:tab/>
        <w:t>In proceedings for an offence under subsection (1) against a person who is taken by section 23D(2) to be an employer it is a defence if the person proves that subsection (4) applies.</w:t>
      </w:r>
    </w:p>
    <w:p>
      <w:pPr>
        <w:pStyle w:val="Subsection"/>
      </w:pPr>
      <w:r>
        <w:tab/>
        <w:t>(3)</w:t>
      </w:r>
      <w:r>
        <w:tab/>
        <w:t>In proceedings against a person for an offence under subsection (1) that relates to an injury mentioned in section 23I(2)(b) it is a defence if the person proves that subsection (4) applies.</w:t>
      </w:r>
    </w:p>
    <w:p>
      <w:pPr>
        <w:pStyle w:val="Subsection"/>
      </w:pPr>
      <w:r>
        <w:tab/>
        <w:t>(4)</w:t>
      </w:r>
      <w:r>
        <w:tab/>
        <w:t>This subsection applies if the person did not know, and could not reasonably be expected to have known, of the injury or disease concerned.</w:t>
      </w:r>
    </w:p>
    <w:p>
      <w:pPr>
        <w:pStyle w:val="Footnotesection"/>
      </w:pPr>
      <w:r>
        <w:tab/>
        <w:t>[Section 23J inserted by No. 51 of 2004 s. 8.]</w:t>
      </w:r>
    </w:p>
    <w:p>
      <w:pPr>
        <w:pStyle w:val="Heading5"/>
      </w:pPr>
      <w:bookmarkStart w:id="375" w:name="_Toc109702813"/>
      <w:bookmarkStart w:id="376" w:name="_Toc188695607"/>
      <w:bookmarkStart w:id="377" w:name="_Toc187053934"/>
      <w:r>
        <w:rPr>
          <w:rStyle w:val="CharSectno"/>
        </w:rPr>
        <w:t>23K</w:t>
      </w:r>
      <w:r>
        <w:t>.</w:t>
      </w:r>
      <w:r>
        <w:tab/>
        <w:t>Duty to inform employee who reports a hazard or injury</w:t>
      </w:r>
      <w:bookmarkEnd w:id="375"/>
      <w:bookmarkEnd w:id="376"/>
      <w:bookmarkEnd w:id="377"/>
    </w:p>
    <w:p>
      <w:pPr>
        <w:pStyle w:val="Subsection"/>
      </w:pPr>
      <w:r>
        <w:tab/>
        <w:t>(1)</w:t>
      </w:r>
      <w:r>
        <w:tab/>
        <w:t>This section applies where an employer receives from an employee a report of a kind described in section 20(2)(d).</w:t>
      </w:r>
    </w:p>
    <w:p>
      <w:pPr>
        <w:pStyle w:val="Subsection"/>
      </w:pPr>
      <w:r>
        <w:tab/>
        <w:t>(2)</w:t>
      </w:r>
      <w:r>
        <w:tab/>
        <w:t xml:space="preserve">The employer must, within a reasonable time after receiving the report — </w:t>
      </w:r>
    </w:p>
    <w:p>
      <w:pPr>
        <w:pStyle w:val="Indenta"/>
      </w:pPr>
      <w:r>
        <w:tab/>
        <w:t>(a)</w:t>
      </w:r>
      <w:r>
        <w:tab/>
        <w:t>investigate the matter that has been reported and determine the action, if any, that the employer intends to take in respect of the matter; and</w:t>
      </w:r>
    </w:p>
    <w:p>
      <w:pPr>
        <w:pStyle w:val="Indenta"/>
      </w:pPr>
      <w:r>
        <w:tab/>
        <w:t>(b)</w:t>
      </w:r>
      <w:r>
        <w:tab/>
        <w:t>notify the employee of the determination so made.</w:t>
      </w:r>
    </w:p>
    <w:p>
      <w:pPr>
        <w:pStyle w:val="Subsection"/>
      </w:pPr>
      <w:r>
        <w:tab/>
        <w:t>(3)</w:t>
      </w:r>
      <w:r>
        <w:tab/>
        <w:t>If an employer contravenes subsection (2), the employer commits an offence.</w:t>
      </w:r>
    </w:p>
    <w:p>
      <w:pPr>
        <w:pStyle w:val="Footnotesection"/>
      </w:pPr>
      <w:r>
        <w:tab/>
        <w:t>[Section 23K inserted by No. 51 of 2004 s. 8.]</w:t>
      </w:r>
    </w:p>
    <w:p>
      <w:pPr>
        <w:pStyle w:val="Heading5"/>
      </w:pPr>
      <w:bookmarkStart w:id="378" w:name="_Toc109702814"/>
      <w:bookmarkStart w:id="379" w:name="_Toc188695608"/>
      <w:bookmarkStart w:id="380" w:name="_Toc187053935"/>
      <w:r>
        <w:rPr>
          <w:rStyle w:val="CharSectno"/>
        </w:rPr>
        <w:t>23L</w:t>
      </w:r>
      <w:r>
        <w:t>.</w:t>
      </w:r>
      <w:r>
        <w:tab/>
        <w:t>Notification of hazard to person having control of workplace</w:t>
      </w:r>
      <w:bookmarkEnd w:id="378"/>
      <w:bookmarkEnd w:id="379"/>
      <w:bookmarkEnd w:id="380"/>
    </w:p>
    <w:p>
      <w:pPr>
        <w:pStyle w:val="Subsection"/>
      </w:pPr>
      <w:r>
        <w:tab/>
        <w:t>(1)</w:t>
      </w:r>
      <w:r>
        <w:tab/>
        <w:t xml:space="preserve">In this section — </w:t>
      </w:r>
    </w:p>
    <w:p>
      <w:pPr>
        <w:pStyle w:val="Defstart"/>
      </w:pPr>
      <w:r>
        <w:rPr>
          <w:b/>
        </w:rPr>
        <w:tab/>
        <w:t>“</w:t>
      </w:r>
      <w:r>
        <w:rPr>
          <w:rStyle w:val="CharDefText"/>
        </w:rPr>
        <w:t>workplace</w:t>
      </w:r>
      <w:r>
        <w:rPr>
          <w:b/>
        </w:rPr>
        <w:t>”</w:t>
      </w:r>
      <w:r>
        <w:t xml:space="preserve"> includes the means of access to and egress from the workplace.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 xml:space="preserve">at a workplace becomes of the opinion that — </w:t>
      </w:r>
    </w:p>
    <w:p>
      <w:pPr>
        <w:pStyle w:val="Indenta"/>
      </w:pPr>
      <w:r>
        <w:tab/>
        <w:t>(c)</w:t>
      </w:r>
      <w:r>
        <w:tab/>
        <w:t>a situation exists at the workplace that could constitute a hazard to any person;</w:t>
      </w:r>
    </w:p>
    <w:p>
      <w:pPr>
        <w:pStyle w:val="Indenta"/>
      </w:pPr>
      <w:r>
        <w:tab/>
        <w:t>(d)</w:t>
      </w:r>
      <w:r>
        <w:tab/>
        <w:t xml:space="preserve">the hazard is one that a person having control of the relevant part of the workplace (the </w:t>
      </w:r>
      <w:r>
        <w:rPr>
          <w:b/>
        </w:rPr>
        <w:t>“</w:t>
      </w:r>
      <w:r>
        <w:rPr>
          <w:rStyle w:val="CharDefText"/>
        </w:rPr>
        <w:t>responsible person</w:t>
      </w:r>
      <w:r>
        <w:rPr>
          <w:b/>
        </w:rPr>
        <w:t>”</w:t>
      </w:r>
      <w:r>
        <w:t>) has a duty to remedy under section 22; and</w:t>
      </w:r>
    </w:p>
    <w:p>
      <w:pPr>
        <w:pStyle w:val="Indenta"/>
      </w:pPr>
      <w:r>
        <w:tab/>
        <w:t>(e)</w:t>
      </w:r>
      <w:r>
        <w:tab/>
        <w:t>the situation has not come to the attention of that person,</w:t>
      </w:r>
    </w:p>
    <w:p>
      <w:pPr>
        <w:pStyle w:val="Subsection"/>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by No. 51 of 2004 s. 8.]</w:t>
      </w:r>
    </w:p>
    <w:p>
      <w:pPr>
        <w:pStyle w:val="Heading3"/>
      </w:pPr>
      <w:bookmarkStart w:id="381" w:name="_Toc93200920"/>
      <w:bookmarkStart w:id="382" w:name="_Toc97006591"/>
      <w:bookmarkStart w:id="383" w:name="_Toc100545161"/>
      <w:bookmarkStart w:id="384" w:name="_Toc100716640"/>
      <w:bookmarkStart w:id="385" w:name="_Toc102546229"/>
      <w:bookmarkStart w:id="386" w:name="_Toc103141452"/>
      <w:bookmarkStart w:id="387" w:name="_Toc105909064"/>
      <w:bookmarkStart w:id="388" w:name="_Toc105921950"/>
      <w:bookmarkStart w:id="389" w:name="_Toc106616788"/>
      <w:bookmarkStart w:id="390" w:name="_Toc108848532"/>
      <w:bookmarkStart w:id="391" w:name="_Toc109702815"/>
      <w:bookmarkStart w:id="392" w:name="_Toc113700372"/>
      <w:bookmarkStart w:id="393" w:name="_Toc113779030"/>
      <w:bookmarkStart w:id="394" w:name="_Toc122767411"/>
      <w:bookmarkStart w:id="395" w:name="_Toc122767654"/>
      <w:bookmarkStart w:id="396" w:name="_Toc131409901"/>
      <w:bookmarkStart w:id="397" w:name="_Toc187035468"/>
      <w:bookmarkStart w:id="398" w:name="_Toc187053936"/>
      <w:bookmarkStart w:id="399" w:name="_Toc188695609"/>
      <w:r>
        <w:rPr>
          <w:rStyle w:val="CharDivNo"/>
        </w:rPr>
        <w:t>Division 6</w:t>
      </w:r>
      <w:r>
        <w:t> — </w:t>
      </w:r>
      <w:r>
        <w:rPr>
          <w:rStyle w:val="CharDivText"/>
        </w:rPr>
        <w:t>Resolution of workplace issues, and refusal to work on grounds of risk</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Footnoteheading"/>
        <w:tabs>
          <w:tab w:val="left" w:pos="851"/>
        </w:tabs>
      </w:pPr>
      <w:r>
        <w:tab/>
        <w:t>[Heading inserted by No. 51 of 2004 s. 8.]</w:t>
      </w:r>
    </w:p>
    <w:p>
      <w:pPr>
        <w:pStyle w:val="Heading5"/>
        <w:spacing w:before="200"/>
        <w:rPr>
          <w:snapToGrid w:val="0"/>
        </w:rPr>
      </w:pPr>
      <w:bookmarkStart w:id="400" w:name="_Toc109702816"/>
      <w:bookmarkStart w:id="401" w:name="_Toc188695610"/>
      <w:bookmarkStart w:id="402" w:name="_Toc187053937"/>
      <w:r>
        <w:rPr>
          <w:rStyle w:val="CharSectno"/>
        </w:rPr>
        <w:t>24</w:t>
      </w:r>
      <w:r>
        <w:rPr>
          <w:snapToGrid w:val="0"/>
        </w:rPr>
        <w:t>.</w:t>
      </w:r>
      <w:r>
        <w:rPr>
          <w:snapToGrid w:val="0"/>
        </w:rPr>
        <w:tab/>
        <w:t>Resolution of issues at the workplace</w:t>
      </w:r>
      <w:bookmarkEnd w:id="310"/>
      <w:bookmarkEnd w:id="311"/>
      <w:bookmarkEnd w:id="312"/>
      <w:bookmarkEnd w:id="400"/>
      <w:bookmarkEnd w:id="401"/>
      <w:bookmarkEnd w:id="402"/>
      <w:r>
        <w:rPr>
          <w:snapToGrid w:val="0"/>
        </w:rPr>
        <w:t xml:space="preserve"> </w:t>
      </w:r>
    </w:p>
    <w:p>
      <w:pPr>
        <w:pStyle w:val="Subsection"/>
        <w:spacing w:before="140"/>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 </w:t>
      </w:r>
    </w:p>
    <w:p>
      <w:pPr>
        <w:pStyle w:val="Indenta"/>
        <w:rPr>
          <w:snapToGrid w:val="0"/>
        </w:rPr>
      </w:pPr>
      <w:r>
        <w:rPr>
          <w:snapToGrid w:val="0"/>
        </w:rPr>
        <w:tab/>
        <w:t>(a)</w:t>
      </w:r>
      <w:r>
        <w:rPr>
          <w:snapToGrid w:val="0"/>
        </w:rPr>
        <w:tab/>
        <w:t>the safety and health representative;</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w:t>
      </w:r>
    </w:p>
    <w:p>
      <w:pPr>
        <w:pStyle w:val="Subsection"/>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r>
        <w:rPr>
          <w:b/>
          <w:snapToGrid w:val="0"/>
        </w:rPr>
        <w:t>“</w:t>
      </w:r>
      <w:r>
        <w:rPr>
          <w:rStyle w:val="CharDefText"/>
        </w:rPr>
        <w:t>the relevant procedure</w:t>
      </w:r>
      <w:r>
        <w:rPr>
          <w:b/>
          <w:snapToGrid w:val="0"/>
        </w:rPr>
        <w:t>”</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 xml:space="preserve">[Section 24 inserted by No. 43 of 1987 s. 13; amended by No. 30 of 1995 s. 47; No. 51 of 2004 s. 82.] </w:t>
      </w:r>
    </w:p>
    <w:p>
      <w:pPr>
        <w:pStyle w:val="Heading5"/>
        <w:rPr>
          <w:snapToGrid w:val="0"/>
        </w:rPr>
      </w:pPr>
      <w:bookmarkStart w:id="403" w:name="_Toc402776405"/>
      <w:bookmarkStart w:id="404" w:name="_Toc403985268"/>
      <w:bookmarkStart w:id="405" w:name="_Toc59593042"/>
      <w:bookmarkStart w:id="406" w:name="_Toc109702817"/>
      <w:bookmarkStart w:id="407" w:name="_Toc188695611"/>
      <w:bookmarkStart w:id="408" w:name="_Toc187053938"/>
      <w:r>
        <w:rPr>
          <w:rStyle w:val="CharSectno"/>
        </w:rPr>
        <w:t>25</w:t>
      </w:r>
      <w:r>
        <w:rPr>
          <w:snapToGrid w:val="0"/>
        </w:rPr>
        <w:t>.</w:t>
      </w:r>
      <w:r>
        <w:rPr>
          <w:snapToGrid w:val="0"/>
        </w:rPr>
        <w:tab/>
        <w:t>Inspector may be notified where issues unresolved</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25 inserted by No. 43 of 1987 s. 13; amended by No. 30 of 1995 s. 19; No. 51 of 2004 s. 102(1).] </w:t>
      </w:r>
    </w:p>
    <w:p>
      <w:pPr>
        <w:pStyle w:val="Heading5"/>
        <w:spacing w:before="200"/>
        <w:rPr>
          <w:snapToGrid w:val="0"/>
        </w:rPr>
      </w:pPr>
      <w:bookmarkStart w:id="409" w:name="_Toc402776406"/>
      <w:bookmarkStart w:id="410" w:name="_Toc403985269"/>
      <w:bookmarkStart w:id="411" w:name="_Toc59593043"/>
      <w:bookmarkStart w:id="412" w:name="_Toc109702818"/>
      <w:bookmarkStart w:id="413" w:name="_Toc188695612"/>
      <w:bookmarkStart w:id="414" w:name="_Toc187053939"/>
      <w:r>
        <w:rPr>
          <w:rStyle w:val="CharSectno"/>
        </w:rPr>
        <w:t>26</w:t>
      </w:r>
      <w:r>
        <w:rPr>
          <w:snapToGrid w:val="0"/>
        </w:rPr>
        <w:t>.</w:t>
      </w:r>
      <w:r>
        <w:rPr>
          <w:snapToGrid w:val="0"/>
        </w:rPr>
        <w:tab/>
        <w:t>Refusal by employees to work in certain cases</w:t>
      </w:r>
      <w:bookmarkEnd w:id="409"/>
      <w:bookmarkEnd w:id="410"/>
      <w:bookmarkEnd w:id="411"/>
      <w:bookmarkEnd w:id="412"/>
      <w:bookmarkEnd w:id="413"/>
      <w:bookmarkEnd w:id="414"/>
      <w:r>
        <w:rPr>
          <w:snapToGrid w:val="0"/>
        </w:rPr>
        <w:t xml:space="preserve"> </w:t>
      </w:r>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 </w:t>
      </w:r>
    </w:p>
    <w:p>
      <w:pPr>
        <w:pStyle w:val="Indenta"/>
        <w:spacing w:before="70"/>
        <w:rPr>
          <w:snapToGrid w:val="0"/>
        </w:rPr>
      </w:pPr>
      <w:r>
        <w:rPr>
          <w:snapToGrid w:val="0"/>
        </w:rPr>
        <w:tab/>
        <w:t>(a)</w:t>
      </w:r>
      <w:r>
        <w:rPr>
          <w:snapToGrid w:val="0"/>
        </w:rPr>
        <w:tab/>
        <w:t>the measures, if any, required by the inspector to be taken to remedy the matters giving rise to the risk have been taken;</w:t>
      </w:r>
    </w:p>
    <w:p>
      <w:pPr>
        <w:pStyle w:val="Indenta"/>
        <w:spacing w:before="7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70"/>
        <w:rPr>
          <w:snapToGrid w:val="0"/>
        </w:rPr>
      </w:pPr>
      <w:r>
        <w:rPr>
          <w:snapToGrid w:val="0"/>
        </w:rPr>
        <w:tab/>
        <w:t>(c)</w:t>
      </w:r>
      <w:r>
        <w:rPr>
          <w:snapToGrid w:val="0"/>
        </w:rPr>
        <w:tab/>
        <w:t>the inspector has determined that no action is required to be taken under this Act.</w:t>
      </w:r>
    </w:p>
    <w:p>
      <w:pPr>
        <w:pStyle w:val="Subsection"/>
        <w:spacing w:before="120"/>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spacing w:before="120"/>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spacing w:before="120"/>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spacing w:before="120"/>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100"/>
        <w:ind w:left="890" w:hanging="890"/>
      </w:pPr>
      <w:r>
        <w:tab/>
        <w:t xml:space="preserve">[Section 26 inserted by No. 43 of 1987 s. 13; amended by No. 30 of 1995 s. 20 and 47; No. 51 of 2004 s. 102.] </w:t>
      </w:r>
    </w:p>
    <w:p>
      <w:pPr>
        <w:pStyle w:val="Heading5"/>
        <w:rPr>
          <w:snapToGrid w:val="0"/>
        </w:rPr>
      </w:pPr>
      <w:bookmarkStart w:id="415" w:name="_Toc402776407"/>
      <w:bookmarkStart w:id="416" w:name="_Toc403985270"/>
      <w:bookmarkStart w:id="417" w:name="_Toc59593044"/>
      <w:bookmarkStart w:id="418" w:name="_Toc109702819"/>
      <w:bookmarkStart w:id="419" w:name="_Toc188695613"/>
      <w:bookmarkStart w:id="420" w:name="_Toc187053940"/>
      <w:r>
        <w:rPr>
          <w:rStyle w:val="CharSectno"/>
        </w:rPr>
        <w:t>27</w:t>
      </w:r>
      <w:r>
        <w:rPr>
          <w:snapToGrid w:val="0"/>
        </w:rPr>
        <w:t>.</w:t>
      </w:r>
      <w:r>
        <w:rPr>
          <w:snapToGrid w:val="0"/>
        </w:rPr>
        <w:tab/>
        <w:t>Assignment of other work</w:t>
      </w:r>
      <w:bookmarkEnd w:id="415"/>
      <w:bookmarkEnd w:id="416"/>
      <w:bookmarkEnd w:id="417"/>
      <w:bookmarkEnd w:id="418"/>
      <w:bookmarkEnd w:id="419"/>
      <w:bookmarkEnd w:id="420"/>
      <w:r>
        <w:rPr>
          <w:snapToGrid w:val="0"/>
        </w:rPr>
        <w:t xml:space="preserve"> </w:t>
      </w:r>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 xml:space="preserve">[Section 27 inserted by No. 43 of 1987 s. 13; amended by No. 51 of 2004 s. 83 and 102(2).] </w:t>
      </w:r>
    </w:p>
    <w:p>
      <w:pPr>
        <w:pStyle w:val="Heading5"/>
        <w:rPr>
          <w:snapToGrid w:val="0"/>
        </w:rPr>
      </w:pPr>
      <w:bookmarkStart w:id="421" w:name="_Toc402776408"/>
      <w:bookmarkStart w:id="422" w:name="_Toc403985271"/>
      <w:bookmarkStart w:id="423" w:name="_Toc59593045"/>
      <w:bookmarkStart w:id="424" w:name="_Toc109702820"/>
      <w:bookmarkStart w:id="425" w:name="_Toc188695614"/>
      <w:bookmarkStart w:id="426" w:name="_Toc187053941"/>
      <w:r>
        <w:rPr>
          <w:rStyle w:val="CharSectno"/>
        </w:rPr>
        <w:t>28</w:t>
      </w:r>
      <w:r>
        <w:rPr>
          <w:snapToGrid w:val="0"/>
        </w:rPr>
        <w:t>.</w:t>
      </w:r>
      <w:r>
        <w:rPr>
          <w:snapToGrid w:val="0"/>
        </w:rPr>
        <w:tab/>
        <w:t>Entitlements to continue</w:t>
      </w:r>
      <w:bookmarkEnd w:id="421"/>
      <w:bookmarkEnd w:id="422"/>
      <w:bookmarkEnd w:id="423"/>
      <w:bookmarkEnd w:id="424"/>
      <w:bookmarkEnd w:id="425"/>
      <w:bookmarkEnd w:id="426"/>
      <w:r>
        <w:rPr>
          <w:snapToGrid w:val="0"/>
        </w:rPr>
        <w:t xml:space="preserve"> </w:t>
      </w:r>
    </w:p>
    <w:p>
      <w:pPr>
        <w:pStyle w:val="Subsection"/>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28 inserted by No. 43 of 1987 s. 13; amended by No. 30 of 1995 s. 21 and 47; No. 51 of 2004 s. 69(1), 84, 102(1) and (2).] </w:t>
      </w:r>
    </w:p>
    <w:p>
      <w:pPr>
        <w:pStyle w:val="Heading5"/>
        <w:rPr>
          <w:snapToGrid w:val="0"/>
        </w:rPr>
      </w:pPr>
      <w:bookmarkStart w:id="427" w:name="_Toc402776409"/>
      <w:bookmarkStart w:id="428" w:name="_Toc403985272"/>
      <w:bookmarkStart w:id="429" w:name="_Toc59593046"/>
      <w:bookmarkStart w:id="430" w:name="_Toc109702821"/>
      <w:bookmarkStart w:id="431" w:name="_Toc188695615"/>
      <w:bookmarkStart w:id="432" w:name="_Toc187053942"/>
      <w:r>
        <w:rPr>
          <w:rStyle w:val="CharSectno"/>
        </w:rPr>
        <w:t>28A</w:t>
      </w:r>
      <w:r>
        <w:rPr>
          <w:snapToGrid w:val="0"/>
        </w:rPr>
        <w:t xml:space="preserve">. </w:t>
      </w:r>
      <w:r>
        <w:rPr>
          <w:snapToGrid w:val="0"/>
        </w:rPr>
        <w:tab/>
        <w:t>Offences — refusal to work</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disentitled employee</w:t>
      </w:r>
      <w:r>
        <w:rPr>
          <w:b/>
          <w:snapToGrid w:val="0"/>
        </w:rPr>
        <w:t>”</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 xml:space="preserve">[Section 28A inserted by No. 30 of 1995 s. 22; amended by No. 51 of 2004 s. 103.] </w:t>
      </w:r>
    </w:p>
    <w:p>
      <w:pPr>
        <w:pStyle w:val="Heading2"/>
      </w:pPr>
      <w:bookmarkStart w:id="433" w:name="_Toc88990662"/>
      <w:bookmarkStart w:id="434" w:name="_Toc89568224"/>
      <w:bookmarkStart w:id="435" w:name="_Toc93200927"/>
      <w:bookmarkStart w:id="436" w:name="_Toc97006598"/>
      <w:bookmarkStart w:id="437" w:name="_Toc100545168"/>
      <w:bookmarkStart w:id="438" w:name="_Toc100716647"/>
      <w:bookmarkStart w:id="439" w:name="_Toc102546236"/>
      <w:bookmarkStart w:id="440" w:name="_Toc103141459"/>
      <w:bookmarkStart w:id="441" w:name="_Toc105909071"/>
      <w:bookmarkStart w:id="442" w:name="_Toc105921957"/>
      <w:bookmarkStart w:id="443" w:name="_Toc106616795"/>
      <w:bookmarkStart w:id="444" w:name="_Toc108848539"/>
      <w:bookmarkStart w:id="445" w:name="_Toc109702822"/>
      <w:bookmarkStart w:id="446" w:name="_Toc113700379"/>
      <w:bookmarkStart w:id="447" w:name="_Toc113779037"/>
      <w:bookmarkStart w:id="448" w:name="_Toc122767418"/>
      <w:bookmarkStart w:id="449" w:name="_Toc122767661"/>
      <w:bookmarkStart w:id="450" w:name="_Toc131409908"/>
      <w:bookmarkStart w:id="451" w:name="_Toc187035475"/>
      <w:bookmarkStart w:id="452" w:name="_Toc187053943"/>
      <w:bookmarkStart w:id="453" w:name="_Toc188695616"/>
      <w:r>
        <w:rPr>
          <w:rStyle w:val="CharPartNo"/>
        </w:rPr>
        <w:t>Part IV</w:t>
      </w:r>
      <w:r>
        <w:t> — </w:t>
      </w:r>
      <w:r>
        <w:rPr>
          <w:rStyle w:val="CharPartText"/>
        </w:rPr>
        <w:t>Safety and health representatives and committees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Pr>
          <w:rStyle w:val="CharPartText"/>
        </w:rPr>
        <w:t xml:space="preserve"> </w:t>
      </w:r>
    </w:p>
    <w:p>
      <w:pPr>
        <w:pStyle w:val="Footnoteheading"/>
        <w:ind w:left="910" w:hanging="910"/>
      </w:pPr>
      <w:r>
        <w:tab/>
        <w:t xml:space="preserve">[Heading inserted by No. 43 of 1987 s. 13; amended by No. 30 of 1995 s. 47.] </w:t>
      </w:r>
    </w:p>
    <w:p>
      <w:pPr>
        <w:pStyle w:val="Heading3"/>
      </w:pPr>
      <w:bookmarkStart w:id="454" w:name="_Toc100545169"/>
      <w:bookmarkStart w:id="455" w:name="_Toc100716648"/>
      <w:bookmarkStart w:id="456" w:name="_Toc102546237"/>
      <w:bookmarkStart w:id="457" w:name="_Toc103141460"/>
      <w:bookmarkStart w:id="458" w:name="_Toc105909072"/>
      <w:bookmarkStart w:id="459" w:name="_Toc105921958"/>
      <w:bookmarkStart w:id="460" w:name="_Toc106616796"/>
      <w:bookmarkStart w:id="461" w:name="_Toc108848540"/>
      <w:bookmarkStart w:id="462" w:name="_Toc109702823"/>
      <w:bookmarkStart w:id="463" w:name="_Toc113700380"/>
      <w:bookmarkStart w:id="464" w:name="_Toc113779038"/>
      <w:bookmarkStart w:id="465" w:name="_Toc122767419"/>
      <w:bookmarkStart w:id="466" w:name="_Toc122767662"/>
      <w:bookmarkStart w:id="467" w:name="_Toc131409909"/>
      <w:bookmarkStart w:id="468" w:name="_Toc187035476"/>
      <w:bookmarkStart w:id="469" w:name="_Toc187053944"/>
      <w:bookmarkStart w:id="470" w:name="_Toc188695617"/>
      <w:bookmarkStart w:id="471" w:name="_Toc402776410"/>
      <w:bookmarkStart w:id="472" w:name="_Toc403985273"/>
      <w:bookmarkStart w:id="473" w:name="_Toc59593047"/>
      <w:r>
        <w:rPr>
          <w:rStyle w:val="CharDivNo"/>
        </w:rPr>
        <w:t>Division 1</w:t>
      </w:r>
      <w:r>
        <w:t> — </w:t>
      </w:r>
      <w:r>
        <w:rPr>
          <w:rStyle w:val="CharDivText"/>
        </w:rPr>
        <w:t>Safety and health representatives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Footnoteheading"/>
        <w:ind w:left="910" w:hanging="910"/>
      </w:pPr>
      <w:r>
        <w:tab/>
        <w:t>[Heading inserted by No. 51 of 2004 s. 39.]</w:t>
      </w:r>
    </w:p>
    <w:p>
      <w:pPr>
        <w:pStyle w:val="Heading5"/>
        <w:rPr>
          <w:snapToGrid w:val="0"/>
          <w:spacing w:val="-2"/>
        </w:rPr>
      </w:pPr>
      <w:bookmarkStart w:id="474" w:name="_Toc109702824"/>
      <w:bookmarkStart w:id="475" w:name="_Toc188695618"/>
      <w:bookmarkStart w:id="476" w:name="_Toc187053945"/>
      <w:r>
        <w:rPr>
          <w:rStyle w:val="CharSectno"/>
          <w:spacing w:val="-2"/>
        </w:rPr>
        <w:t>29</w:t>
      </w:r>
      <w:r>
        <w:rPr>
          <w:snapToGrid w:val="0"/>
          <w:spacing w:val="-2"/>
        </w:rPr>
        <w:t>.</w:t>
      </w:r>
      <w:r>
        <w:rPr>
          <w:snapToGrid w:val="0"/>
          <w:spacing w:val="-2"/>
        </w:rPr>
        <w:tab/>
        <w:t>Notices requiring election of safety and health representatives</w:t>
      </w:r>
      <w:bookmarkEnd w:id="471"/>
      <w:bookmarkEnd w:id="472"/>
      <w:bookmarkEnd w:id="473"/>
      <w:bookmarkEnd w:id="474"/>
      <w:bookmarkEnd w:id="475"/>
      <w:bookmarkEnd w:id="476"/>
      <w:r>
        <w:rPr>
          <w:snapToGrid w:val="0"/>
          <w:spacing w:val="-2"/>
        </w:rPr>
        <w:t xml:space="preserve"> </w:t>
      </w:r>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 xml:space="preserve">The fact that a notice under subsection (1) requires an election for the workplace at which the employee works does not prevent —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 xml:space="preserve">[Section 29 inserted by No. 43 of 1987 s. 13; amended by No. 30 of 1995 s. 47; No. 51 of 2004 s. 40.] </w:t>
      </w:r>
    </w:p>
    <w:p>
      <w:pPr>
        <w:pStyle w:val="Heading5"/>
        <w:rPr>
          <w:snapToGrid w:val="0"/>
        </w:rPr>
      </w:pPr>
      <w:bookmarkStart w:id="477" w:name="_Toc402776411"/>
      <w:bookmarkStart w:id="478" w:name="_Toc403985274"/>
      <w:bookmarkStart w:id="479" w:name="_Toc59593048"/>
      <w:bookmarkStart w:id="480" w:name="_Toc109702825"/>
      <w:bookmarkStart w:id="481" w:name="_Toc188695619"/>
      <w:bookmarkStart w:id="482" w:name="_Toc187053946"/>
      <w:r>
        <w:rPr>
          <w:rStyle w:val="CharSectno"/>
        </w:rPr>
        <w:t>30</w:t>
      </w:r>
      <w:r>
        <w:rPr>
          <w:snapToGrid w:val="0"/>
        </w:rPr>
        <w:t>.</w:t>
      </w:r>
      <w:r>
        <w:rPr>
          <w:snapToGrid w:val="0"/>
        </w:rPr>
        <w:tab/>
        <w:t>Consultation on matters relevant to elections</w:t>
      </w:r>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 </w:t>
      </w:r>
    </w:p>
    <w:p>
      <w:pPr>
        <w:pStyle w:val="Indenta"/>
        <w:rPr>
          <w:snapToGrid w:val="0"/>
        </w:rPr>
      </w:pPr>
      <w:r>
        <w:rPr>
          <w:snapToGrid w:val="0"/>
        </w:rPr>
        <w:tab/>
        <w:t>(a)</w:t>
      </w:r>
      <w:r>
        <w:rPr>
          <w:snapToGrid w:val="0"/>
        </w:rPr>
        <w:tab/>
        <w:t>the number of safety and health representatives to be elected;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 xml:space="preserve">[Section 30 inserted by No. 43 of 1987 s. 13; amended by No. 30 of 1995 s. 23 and 47; No. 51 of 2004 s. 41, 69(1) and 85.] </w:t>
      </w:r>
    </w:p>
    <w:p>
      <w:pPr>
        <w:pStyle w:val="Heading5"/>
      </w:pPr>
      <w:bookmarkStart w:id="483" w:name="_Toc109702826"/>
      <w:bookmarkStart w:id="484" w:name="_Toc188695620"/>
      <w:bookmarkStart w:id="485" w:name="_Toc187053947"/>
      <w:bookmarkStart w:id="486" w:name="_Toc402776412"/>
      <w:bookmarkStart w:id="487" w:name="_Toc403985275"/>
      <w:bookmarkStart w:id="488" w:name="_Toc59593049"/>
      <w:r>
        <w:rPr>
          <w:rStyle w:val="CharSectno"/>
        </w:rPr>
        <w:t>30A</w:t>
      </w:r>
      <w:r>
        <w:t>.</w:t>
      </w:r>
      <w:r>
        <w:tab/>
        <w:t>Election scheme may be established</w:t>
      </w:r>
      <w:bookmarkEnd w:id="483"/>
      <w:bookmarkEnd w:id="484"/>
      <w:bookmarkEnd w:id="485"/>
    </w:p>
    <w:p>
      <w:pPr>
        <w:pStyle w:val="Subsection"/>
      </w:pPr>
      <w:r>
        <w:tab/>
        <w:t>(1)</w:t>
      </w:r>
      <w:r>
        <w:tab/>
        <w:t xml:space="preserve">In this section — </w:t>
      </w:r>
    </w:p>
    <w:p>
      <w:pPr>
        <w:pStyle w:val="Defstart"/>
      </w:pPr>
      <w:r>
        <w:rPr>
          <w:b/>
        </w:rPr>
        <w:tab/>
        <w:t>“</w:t>
      </w:r>
      <w:r>
        <w:rPr>
          <w:rStyle w:val="CharDefText"/>
        </w:rPr>
        <w:t>consulting parties</w:t>
      </w:r>
      <w:r>
        <w:rPr>
          <w:b/>
        </w:rPr>
        <w:t>”</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keepNext/>
      </w:pPr>
      <w:r>
        <w:tab/>
        <w:t>(b)</w:t>
      </w:r>
      <w:r>
        <w:tab/>
        <w:t>the determination of the Tribunal under subsection (4).</w:t>
      </w:r>
    </w:p>
    <w:p>
      <w:pPr>
        <w:pStyle w:val="Footnotesection"/>
      </w:pPr>
      <w:r>
        <w:tab/>
        <w:t>[Section 30A inserted by No. 51 of 2004 s. 42.]</w:t>
      </w:r>
    </w:p>
    <w:p>
      <w:pPr>
        <w:pStyle w:val="Heading5"/>
      </w:pPr>
      <w:bookmarkStart w:id="489" w:name="_Toc109702827"/>
      <w:bookmarkStart w:id="490" w:name="_Toc188695621"/>
      <w:bookmarkStart w:id="491" w:name="_Toc187053948"/>
      <w:r>
        <w:rPr>
          <w:rStyle w:val="CharSectno"/>
        </w:rPr>
        <w:t>30B</w:t>
      </w:r>
      <w:r>
        <w:t>.</w:t>
      </w:r>
      <w:r>
        <w:tab/>
        <w:t>What may be included in a scheme</w:t>
      </w:r>
      <w:bookmarkEnd w:id="489"/>
      <w:bookmarkEnd w:id="490"/>
      <w:bookmarkEnd w:id="491"/>
    </w:p>
    <w:p>
      <w:pPr>
        <w:pStyle w:val="Subsection"/>
      </w:pPr>
      <w:r>
        <w:tab/>
        <w:t>(1)</w:t>
      </w:r>
      <w:r>
        <w:tab/>
        <w:t xml:space="preserve">In this section — </w:t>
      </w:r>
    </w:p>
    <w:p>
      <w:pPr>
        <w:pStyle w:val="Defstart"/>
      </w:pPr>
      <w:r>
        <w:rPr>
          <w:b/>
        </w:rPr>
        <w:tab/>
        <w:t>“</w:t>
      </w:r>
      <w:r>
        <w:rPr>
          <w:rStyle w:val="CharDefText"/>
        </w:rPr>
        <w:t>contractor</w:t>
      </w:r>
      <w:r>
        <w:rPr>
          <w:b/>
        </w:rPr>
        <w:t>”</w:t>
      </w:r>
      <w:r>
        <w:t xml:space="preserve"> and </w:t>
      </w:r>
      <w:r>
        <w:rPr>
          <w:b/>
        </w:rPr>
        <w:t>“</w:t>
      </w:r>
      <w:r>
        <w:rPr>
          <w:rStyle w:val="CharDefText"/>
        </w:rPr>
        <w:t>principal</w:t>
      </w:r>
      <w:r>
        <w:rPr>
          <w:b/>
        </w:rPr>
        <w:t>”</w:t>
      </w:r>
      <w:r>
        <w:t xml:space="preserve"> have the meanings given to those terms in section 23D(1).</w:t>
      </w:r>
    </w:p>
    <w:p>
      <w:pPr>
        <w:pStyle w:val="Subsection"/>
      </w:pPr>
      <w:r>
        <w:tab/>
        <w:t>(2)</w:t>
      </w:r>
      <w:r>
        <w:tab/>
        <w:t xml:space="preserve">A scheme under section 30A (a </w:t>
      </w:r>
      <w:r>
        <w:rPr>
          <w:b/>
        </w:rPr>
        <w:t>“</w:t>
      </w:r>
      <w:r>
        <w:rPr>
          <w:rStyle w:val="CharDefText"/>
        </w:rPr>
        <w:t>scheme</w:t>
      </w:r>
      <w:r>
        <w:rPr>
          <w:b/>
        </w:rPr>
        <w:t>”</w:t>
      </w:r>
      <w:r>
        <w:t xml:space="preserve">) may include provision for the election of one or more safety and health representatives for —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 xml:space="preserve">provide for the principal that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 by No. 51 of 2004 s. 42.]</w:t>
      </w:r>
    </w:p>
    <w:p>
      <w:pPr>
        <w:pStyle w:val="Heading5"/>
      </w:pPr>
      <w:bookmarkStart w:id="492" w:name="_Toc109702828"/>
      <w:bookmarkStart w:id="493" w:name="_Toc188695622"/>
      <w:bookmarkStart w:id="494" w:name="_Toc187053949"/>
      <w:r>
        <w:rPr>
          <w:rStyle w:val="CharSectno"/>
        </w:rPr>
        <w:t>30C</w:t>
      </w:r>
      <w:r>
        <w:t>.</w:t>
      </w:r>
      <w:r>
        <w:tab/>
        <w:t>Appointment of further delegates may be required</w:t>
      </w:r>
      <w:bookmarkEnd w:id="492"/>
      <w:bookmarkEnd w:id="493"/>
      <w:bookmarkEnd w:id="494"/>
    </w:p>
    <w:p>
      <w:pPr>
        <w:pStyle w:val="Subsection"/>
      </w:pPr>
      <w:r>
        <w:tab/>
        <w:t>(1)</w:t>
      </w:r>
      <w:r>
        <w:tab/>
        <w:t xml:space="preserve">In this section — </w:t>
      </w:r>
    </w:p>
    <w:p>
      <w:pPr>
        <w:pStyle w:val="Defstart"/>
      </w:pPr>
      <w:r>
        <w:rPr>
          <w:b/>
        </w:rPr>
        <w:tab/>
        <w:t>“</w:t>
      </w:r>
      <w:r>
        <w:rPr>
          <w:rStyle w:val="CharDefText"/>
        </w:rPr>
        <w:t>additional employees</w:t>
      </w:r>
      <w:r>
        <w:rPr>
          <w:b/>
        </w:rPr>
        <w:t>”</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by No. 51 of 2004 s. 42.]</w:t>
      </w:r>
    </w:p>
    <w:p>
      <w:pPr>
        <w:pStyle w:val="Heading5"/>
        <w:rPr>
          <w:snapToGrid w:val="0"/>
        </w:rPr>
      </w:pPr>
      <w:bookmarkStart w:id="495" w:name="_Toc109702829"/>
      <w:bookmarkStart w:id="496" w:name="_Toc188695623"/>
      <w:bookmarkStart w:id="497" w:name="_Toc187053950"/>
      <w:r>
        <w:rPr>
          <w:rStyle w:val="CharSectno"/>
        </w:rPr>
        <w:t>31</w:t>
      </w:r>
      <w:r>
        <w:rPr>
          <w:snapToGrid w:val="0"/>
        </w:rPr>
        <w:t>.</w:t>
      </w:r>
      <w:r>
        <w:rPr>
          <w:snapToGrid w:val="0"/>
        </w:rPr>
        <w:tab/>
        <w:t>Election of safety and health representatives</w:t>
      </w:r>
      <w:bookmarkEnd w:id="486"/>
      <w:bookmarkEnd w:id="487"/>
      <w:bookmarkEnd w:id="488"/>
      <w:bookmarkEnd w:id="495"/>
      <w:bookmarkEnd w:id="496"/>
      <w:bookmarkEnd w:id="497"/>
      <w:r>
        <w:rPr>
          <w:snapToGrid w:val="0"/>
        </w:rPr>
        <w:t xml:space="preserve"> </w:t>
      </w:r>
    </w:p>
    <w:p>
      <w:pPr>
        <w:pStyle w:val="Subsection"/>
      </w:pPr>
      <w:r>
        <w:tab/>
        <w:t>(1)</w:t>
      </w:r>
      <w:r>
        <w:tab/>
        <w:t xml:space="preserve">In this section — </w:t>
      </w:r>
    </w:p>
    <w:p>
      <w:pPr>
        <w:pStyle w:val="Defstart"/>
      </w:pPr>
      <w:r>
        <w:tab/>
      </w:r>
      <w:r>
        <w:rPr>
          <w:b/>
        </w:rPr>
        <w:t>“</w:t>
      </w:r>
      <w:r>
        <w:rPr>
          <w:rStyle w:val="CharDefText"/>
        </w:rPr>
        <w:t>election</w:t>
      </w:r>
      <w:r>
        <w:rPr>
          <w:b/>
        </w:rPr>
        <w:t>”</w:t>
      </w:r>
      <w:r>
        <w:t xml:space="preserve"> means an election required for the purpose of electing a safety and health representative following —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t>“</w:t>
      </w:r>
      <w:r>
        <w:rPr>
          <w:rStyle w:val="CharDefText"/>
        </w:rPr>
        <w:t>relevant employee</w:t>
      </w:r>
      <w:r>
        <w:rPr>
          <w:b/>
        </w:rPr>
        <w:t>”</w:t>
      </w:r>
      <w:r>
        <w:t xml:space="preserve">, in relation to an election, means — </w:t>
      </w:r>
    </w:p>
    <w:p>
      <w:pPr>
        <w:pStyle w:val="Defpara"/>
      </w:pPr>
      <w:r>
        <w:tab/>
        <w:t>(a)</w:t>
      </w:r>
      <w:r>
        <w:tab/>
        <w:t>an employee who works at the workplace to which the election relates; or</w:t>
      </w:r>
    </w:p>
    <w:p>
      <w:pPr>
        <w:pStyle w:val="Defpara"/>
      </w:pPr>
      <w:r>
        <w:tab/>
        <w:t>(b)</w:t>
      </w:r>
      <w:r>
        <w:tab/>
        <w:t xml:space="preserve">if a scheme has been established under section 30A for the election, an employee who —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repealed]</w:t>
      </w:r>
    </w:p>
    <w:p>
      <w:pPr>
        <w:pStyle w:val="Subsection"/>
        <w:spacing w:before="120"/>
      </w:pPr>
      <w:r>
        <w:tab/>
        <w:t>(6)</w:t>
      </w:r>
      <w:r>
        <w:tab/>
        <w:t xml:space="preserve">Subject to this section, an election shall be conducted and safety and health representatives shall be elected in accordance with — </w:t>
      </w:r>
    </w:p>
    <w:p>
      <w:pPr>
        <w:pStyle w:val="Indenta"/>
      </w:pPr>
      <w:r>
        <w:tab/>
        <w:t>(a)</w:t>
      </w:r>
      <w:r>
        <w:tab/>
        <w:t>any determination under section 30; and</w:t>
      </w:r>
    </w:p>
    <w:p>
      <w:pPr>
        <w:pStyle w:val="Indenta"/>
      </w:pPr>
      <w:r>
        <w:tab/>
        <w:t>(b)</w:t>
      </w:r>
      <w:r>
        <w:tab/>
        <w:t>if applicable, a scheme established under section 30A.</w:t>
      </w:r>
    </w:p>
    <w:p>
      <w:pPr>
        <w:pStyle w:val="Subsection"/>
        <w:spacing w:before="120"/>
      </w:pPr>
      <w:r>
        <w:tab/>
        <w:t>(6a)</w:t>
      </w:r>
      <w:r>
        <w:tab/>
        <w:t>If there is any inconsistency between a determination under section 30 and a scheme established under section 30A, the latter prevails.</w:t>
      </w:r>
    </w:p>
    <w:p>
      <w:pPr>
        <w:pStyle w:val="Subsection"/>
        <w:spacing w:before="120"/>
      </w:pPr>
      <w:r>
        <w:tab/>
        <w:t>(7)</w:t>
      </w:r>
      <w:r>
        <w:tab/>
        <w:t>An election shall be by secret ballot.</w:t>
      </w:r>
    </w:p>
    <w:p>
      <w:pPr>
        <w:pStyle w:val="Subsection"/>
        <w:spacing w:before="120"/>
      </w:pPr>
      <w:r>
        <w:tab/>
        <w:t>(8)</w:t>
      </w:r>
      <w:r>
        <w:tab/>
        <w:t>Every relevant employee is entitled to vote at an election.</w:t>
      </w:r>
    </w:p>
    <w:p>
      <w:pPr>
        <w:pStyle w:val="Subsection"/>
        <w:spacing w:before="120"/>
      </w:pPr>
      <w:r>
        <w:tab/>
        <w:t>(8a)</w:t>
      </w:r>
      <w:r>
        <w:tab/>
        <w:t>Only a relevant employee is eligible to be elected as a safety and health representative at an election.</w:t>
      </w:r>
    </w:p>
    <w:p>
      <w:pPr>
        <w:pStyle w:val="Subsection"/>
        <w:spacing w:before="120"/>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spacing w:before="120"/>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spacing w:before="120"/>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 xml:space="preserve">[Section 31 inserted by No. 43 of 1987 s. 13; amended by No. 30 of 1995 s. 24 and 47; No. 51 of 2004 s. 43, 69(1) and 102(1).] </w:t>
      </w:r>
    </w:p>
    <w:p>
      <w:pPr>
        <w:pStyle w:val="Heading5"/>
        <w:rPr>
          <w:snapToGrid w:val="0"/>
        </w:rPr>
      </w:pPr>
      <w:bookmarkStart w:id="498" w:name="_Toc402776413"/>
      <w:bookmarkStart w:id="499" w:name="_Toc403985276"/>
      <w:bookmarkStart w:id="500" w:name="_Toc59593050"/>
      <w:bookmarkStart w:id="501" w:name="_Toc109702830"/>
      <w:bookmarkStart w:id="502" w:name="_Toc188695624"/>
      <w:bookmarkStart w:id="503" w:name="_Toc187053951"/>
      <w:r>
        <w:rPr>
          <w:rStyle w:val="CharSectno"/>
        </w:rPr>
        <w:t>32</w:t>
      </w:r>
      <w:r>
        <w:rPr>
          <w:snapToGrid w:val="0"/>
        </w:rPr>
        <w:t>.</w:t>
      </w:r>
      <w:r>
        <w:rPr>
          <w:snapToGrid w:val="0"/>
        </w:rPr>
        <w:tab/>
        <w:t>Terms of office</w:t>
      </w:r>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A person who is elected as a safety and health representative holds office, subject to this Act, for a term of 2 years.</w:t>
      </w:r>
    </w:p>
    <w:p>
      <w:pPr>
        <w:pStyle w:val="Subsection"/>
        <w:rPr>
          <w:snapToGrid w:val="0"/>
        </w:rPr>
      </w:pPr>
      <w:r>
        <w:rPr>
          <w:snapToGrid w:val="0"/>
        </w:rPr>
        <w:tab/>
        <w:t>(2)</w:t>
      </w:r>
      <w:r>
        <w:rPr>
          <w:snapToGrid w:val="0"/>
        </w:rPr>
        <w:tab/>
        <w:t>A person ceases to hold office as a safety and health representative if — </w:t>
      </w:r>
    </w:p>
    <w:p>
      <w:pPr>
        <w:pStyle w:val="Indenta"/>
      </w:pPr>
      <w:r>
        <w:tab/>
        <w:t>(a)</w:t>
      </w:r>
      <w:r>
        <w:tab/>
        <w:t>the person’s term of office expires and the person is not re</w:t>
      </w:r>
      <w:r>
        <w:noBreakHyphen/>
        <w:t>elected;</w:t>
      </w:r>
    </w:p>
    <w:p>
      <w:pPr>
        <w:pStyle w:val="Indenta"/>
      </w:pPr>
      <w:r>
        <w:tab/>
        <w:t>(b)</w:t>
      </w:r>
      <w:r>
        <w:tab/>
        <w:t xml:space="preserve">the person ceases to be an employee who works at a workplace for which the person was elected; </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 xml:space="preserve">[Section 32 inserted by No. 43 of 1987 s. 13; amended by No. 30 of 1995 s. 47; No. 51 of 2004 s. 45, 86 and 102(1).] </w:t>
      </w:r>
    </w:p>
    <w:p>
      <w:pPr>
        <w:pStyle w:val="Heading5"/>
        <w:rPr>
          <w:snapToGrid w:val="0"/>
        </w:rPr>
      </w:pPr>
      <w:bookmarkStart w:id="504" w:name="_Toc402776414"/>
      <w:bookmarkStart w:id="505" w:name="_Toc403985277"/>
      <w:bookmarkStart w:id="506" w:name="_Toc59593051"/>
      <w:bookmarkStart w:id="507" w:name="_Toc109702831"/>
      <w:bookmarkStart w:id="508" w:name="_Toc188695625"/>
      <w:bookmarkStart w:id="509" w:name="_Toc187053952"/>
      <w:r>
        <w:rPr>
          <w:rStyle w:val="CharSectno"/>
        </w:rPr>
        <w:t>33</w:t>
      </w:r>
      <w:r>
        <w:rPr>
          <w:snapToGrid w:val="0"/>
        </w:rPr>
        <w:t>.</w:t>
      </w:r>
      <w:r>
        <w:rPr>
          <w:snapToGrid w:val="0"/>
        </w:rPr>
        <w:tab/>
        <w:t>Functions of safety and health representatives</w:t>
      </w:r>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 </w:t>
      </w:r>
    </w:p>
    <w:p>
      <w:pPr>
        <w:pStyle w:val="Indenta"/>
        <w:rPr>
          <w:snapToGrid w:val="0"/>
        </w:rPr>
      </w:pPr>
      <w:r>
        <w:rPr>
          <w:snapToGrid w:val="0"/>
        </w:rPr>
        <w:tab/>
        <w:t>(a)</w:t>
      </w:r>
      <w:r>
        <w:rPr>
          <w:snapToGrid w:val="0"/>
        </w:rPr>
        <w:tab/>
        <w:t>to inspect that workplace or any part of it —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spacing w:before="60"/>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spacing w:before="60"/>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spacing w:before="60"/>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spacing w:before="60"/>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spacing w:before="60"/>
        <w:rPr>
          <w:snapToGrid w:val="0"/>
        </w:rPr>
      </w:pPr>
      <w:r>
        <w:rPr>
          <w:snapToGrid w:val="0"/>
        </w:rPr>
        <w:tab/>
        <w:t>(g)</w:t>
      </w:r>
      <w:r>
        <w:rPr>
          <w:snapToGrid w:val="0"/>
        </w:rPr>
        <w:tab/>
        <w:t>liaise with the employees regarding matters concerning the safety or health of persons in the workplace.</w:t>
      </w:r>
    </w:p>
    <w:p>
      <w:pPr>
        <w:pStyle w:val="Subsection"/>
        <w:spacing w:before="120"/>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Part and in particular, but without limiting the generality of this provision may, where requested to do so by an inspector, accompany an inspector while the inspector is carrying out, at the workplace, any of the inspector’s functions under this Act.</w:t>
      </w:r>
    </w:p>
    <w:p>
      <w:pPr>
        <w:pStyle w:val="Subsection"/>
        <w:spacing w:before="120"/>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r>
        <w:rPr>
          <w:b/>
        </w:rPr>
        <w:t>“</w:t>
      </w:r>
      <w:r>
        <w:rPr>
          <w:rStyle w:val="CharDefText"/>
        </w:rPr>
        <w:t>the workplace</w:t>
      </w:r>
      <w:r>
        <w:rPr>
          <w:b/>
        </w:rPr>
        <w:t>”</w:t>
      </w:r>
      <w:r>
        <w:t xml:space="preserve">, </w:t>
      </w:r>
      <w:r>
        <w:rPr>
          <w:b/>
        </w:rPr>
        <w:t>“</w:t>
      </w:r>
      <w:r>
        <w:rPr>
          <w:rStyle w:val="CharDefText"/>
        </w:rPr>
        <w:t>that workplace</w:t>
      </w:r>
      <w:r>
        <w:rPr>
          <w:b/>
        </w:rPr>
        <w:t>”</w:t>
      </w:r>
      <w:r>
        <w:t xml:space="preserve"> and </w:t>
      </w:r>
      <w:r>
        <w:rPr>
          <w:b/>
        </w:rPr>
        <w:t>“</w:t>
      </w:r>
      <w:r>
        <w:rPr>
          <w:rStyle w:val="CharDefText"/>
        </w:rPr>
        <w:t>a workplace</w:t>
      </w:r>
      <w:r>
        <w:rPr>
          <w:b/>
        </w:rPr>
        <w:t>”</w:t>
      </w:r>
      <w:r>
        <w:t xml:space="preserve"> include — </w:t>
      </w:r>
    </w:p>
    <w:p>
      <w:pPr>
        <w:pStyle w:val="Indenta"/>
      </w:pPr>
      <w:r>
        <w:tab/>
        <w:t>(a)</w:t>
      </w:r>
      <w:r>
        <w:tab/>
        <w:t xml:space="preserve">if the scheme applies to more than one workplace, each workplace to which the scheme applies; and </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 xml:space="preserve">[Section 33 inserted by No. 43 of 1987 s. 13; amended by No. 30 of 1995 s. 25 and 47; No. 51 of 2004 s. 46, 87, 102(1) and (2).] </w:t>
      </w:r>
    </w:p>
    <w:p>
      <w:pPr>
        <w:pStyle w:val="Heading5"/>
        <w:rPr>
          <w:snapToGrid w:val="0"/>
        </w:rPr>
      </w:pPr>
      <w:bookmarkStart w:id="510" w:name="_Toc402776415"/>
      <w:bookmarkStart w:id="511" w:name="_Toc403985278"/>
      <w:bookmarkStart w:id="512" w:name="_Toc59593052"/>
      <w:bookmarkStart w:id="513" w:name="_Toc109702832"/>
      <w:bookmarkStart w:id="514" w:name="_Toc188695626"/>
      <w:bookmarkStart w:id="515" w:name="_Toc187053953"/>
      <w:r>
        <w:rPr>
          <w:rStyle w:val="CharSectno"/>
        </w:rPr>
        <w:t>34</w:t>
      </w:r>
      <w:r>
        <w:rPr>
          <w:snapToGrid w:val="0"/>
        </w:rPr>
        <w:t>.</w:t>
      </w:r>
      <w:r>
        <w:rPr>
          <w:snapToGrid w:val="0"/>
        </w:rPr>
        <w:tab/>
        <w:t>Disqualification of safety and health representatives</w:t>
      </w:r>
      <w:bookmarkEnd w:id="510"/>
      <w:bookmarkEnd w:id="511"/>
      <w:bookmarkEnd w:id="512"/>
      <w:bookmarkEnd w:id="513"/>
      <w:bookmarkEnd w:id="514"/>
      <w:bookmarkEnd w:id="515"/>
      <w:r>
        <w:rPr>
          <w:snapToGrid w:val="0"/>
        </w:rPr>
        <w:t xml:space="preserve"> </w:t>
      </w:r>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spacing w:before="110"/>
        <w:rPr>
          <w:snapToGrid w:val="0"/>
        </w:rPr>
      </w:pPr>
      <w:r>
        <w:rPr>
          <w:snapToGrid w:val="0"/>
        </w:rPr>
        <w:tab/>
        <w:t>(2)</w:t>
      </w:r>
      <w:r>
        <w:rPr>
          <w:snapToGrid w:val="0"/>
        </w:rPr>
        <w:tab/>
        <w:t>A reference under subsection (1) relating to the disqualification of a safety and health representative may be made by — </w:t>
      </w:r>
    </w:p>
    <w:p>
      <w:pPr>
        <w:pStyle w:val="Indenta"/>
        <w:spacing w:before="60"/>
        <w:rPr>
          <w:snapToGrid w:val="0"/>
        </w:rPr>
      </w:pPr>
      <w:r>
        <w:rPr>
          <w:snapToGrid w:val="0"/>
        </w:rPr>
        <w:tab/>
        <w:t>(a)</w:t>
      </w:r>
      <w:r>
        <w:rPr>
          <w:snapToGrid w:val="0"/>
        </w:rPr>
        <w:tab/>
        <w:t>his</w:t>
      </w:r>
      <w:r>
        <w:t xml:space="preserve"> or her</w:t>
      </w:r>
      <w:r>
        <w:rPr>
          <w:snapToGrid w:val="0"/>
        </w:rPr>
        <w:t xml:space="preserve"> employer;</w:t>
      </w:r>
    </w:p>
    <w:p>
      <w:pPr>
        <w:pStyle w:val="Indenta"/>
      </w:pPr>
      <w:r>
        <w:tab/>
        <w:t>(b)</w:t>
      </w:r>
      <w:r>
        <w:tab/>
        <w:t>a relevant employee; or</w:t>
      </w:r>
    </w:p>
    <w:p>
      <w:pPr>
        <w:pStyle w:val="Indenta"/>
        <w:spacing w:before="60"/>
        <w:rPr>
          <w:snapToGrid w:val="0"/>
        </w:rPr>
      </w:pPr>
      <w:r>
        <w:rPr>
          <w:snapToGrid w:val="0"/>
        </w:rPr>
        <w:tab/>
        <w:t>(c)</w:t>
      </w:r>
      <w:r>
        <w:rPr>
          <w:snapToGrid w:val="0"/>
        </w:rPr>
        <w:tab/>
        <w:t>the Commissioner.</w:t>
      </w:r>
    </w:p>
    <w:p>
      <w:pPr>
        <w:pStyle w:val="Subsection"/>
        <w:spacing w:before="110"/>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spacing w:before="110"/>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 </w:t>
      </w:r>
    </w:p>
    <w:p>
      <w:pPr>
        <w:pStyle w:val="Indenta"/>
        <w:spacing w:before="60"/>
        <w:rPr>
          <w:snapToGrid w:val="0"/>
        </w:rPr>
      </w:pPr>
      <w:r>
        <w:rPr>
          <w:snapToGrid w:val="0"/>
        </w:rPr>
        <w:tab/>
        <w:t>(a)</w:t>
      </w:r>
      <w:r>
        <w:rPr>
          <w:snapToGrid w:val="0"/>
        </w:rPr>
        <w:tab/>
        <w:t>the harm, if any, caused to the employer or a commercial or business undertaking of the employer;</w:t>
      </w:r>
    </w:p>
    <w:p>
      <w:pPr>
        <w:pStyle w:val="Indenta"/>
        <w:spacing w:before="60"/>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spacing w:before="110"/>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t>“</w:t>
      </w:r>
      <w:r>
        <w:rPr>
          <w:rStyle w:val="CharDefText"/>
        </w:rPr>
        <w:t>relevant employee</w:t>
      </w:r>
      <w:r>
        <w:rPr>
          <w:b/>
        </w:rPr>
        <w:t>”</w:t>
      </w:r>
      <w:r>
        <w:t xml:space="preserve"> means — </w:t>
      </w:r>
    </w:p>
    <w:p>
      <w:pPr>
        <w:pStyle w:val="Defpara"/>
      </w:pPr>
      <w:r>
        <w:tab/>
        <w:t>(a)</w:t>
      </w:r>
      <w:r>
        <w:tab/>
        <w:t xml:space="preserve">an employee who works at the workplace concerned; </w:t>
      </w:r>
    </w:p>
    <w:p>
      <w:pPr>
        <w:pStyle w:val="Defpara"/>
      </w:pPr>
      <w:r>
        <w:tab/>
        <w:t>(b)</w:t>
      </w:r>
      <w:r>
        <w:tab/>
        <w:t>if the safety and health representative was elected for more than one workplace pursuant to a scheme established under section 30A, an employee who works at any such workplace; or</w:t>
      </w:r>
    </w:p>
    <w:p>
      <w:pPr>
        <w:pStyle w:val="Defpara"/>
      </w:pPr>
      <w:r>
        <w:tab/>
        <w:t>(c)</w:t>
      </w:r>
      <w:r>
        <w:tab/>
        <w:t>if under a scheme referred to in paragraph (b) the safety and health representative was elected for a group of employees, an employee who is a member of the group.</w:t>
      </w:r>
    </w:p>
    <w:p>
      <w:pPr>
        <w:pStyle w:val="Footnotesection"/>
        <w:spacing w:before="100"/>
        <w:ind w:left="890" w:hanging="890"/>
      </w:pPr>
      <w:r>
        <w:tab/>
        <w:t xml:space="preserve">[Section 34 inserted by No. 43 of 1987 s. 13; amended by No. 30 of 1995 s. 26 and 47; No. 51 of 2004 s. 47, 69(1), (2), 88 and 102.] </w:t>
      </w:r>
    </w:p>
    <w:p>
      <w:pPr>
        <w:pStyle w:val="Heading5"/>
        <w:rPr>
          <w:snapToGrid w:val="0"/>
        </w:rPr>
      </w:pPr>
      <w:bookmarkStart w:id="516" w:name="_Toc402776416"/>
      <w:bookmarkStart w:id="517" w:name="_Toc403985279"/>
      <w:bookmarkStart w:id="518" w:name="_Toc59593053"/>
      <w:bookmarkStart w:id="519" w:name="_Toc109702833"/>
      <w:bookmarkStart w:id="520" w:name="_Toc188695627"/>
      <w:bookmarkStart w:id="521" w:name="_Toc187053954"/>
      <w:r>
        <w:rPr>
          <w:rStyle w:val="CharSectno"/>
        </w:rPr>
        <w:t>35</w:t>
      </w:r>
      <w:r>
        <w:rPr>
          <w:snapToGrid w:val="0"/>
        </w:rPr>
        <w:t>.</w:t>
      </w:r>
      <w:r>
        <w:rPr>
          <w:snapToGrid w:val="0"/>
        </w:rPr>
        <w:tab/>
        <w:t>Certain duties of employers in relation to safety and health representatives</w:t>
      </w:r>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Where there is any safety and health representative for a workplace the employer shall —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 </w:t>
      </w:r>
    </w:p>
    <w:p>
      <w:pPr>
        <w:pStyle w:val="Indenti"/>
        <w:rPr>
          <w:snapToGrid w:val="0"/>
        </w:rPr>
      </w:pPr>
      <w:r>
        <w:rPr>
          <w:snapToGrid w:val="0"/>
        </w:rPr>
        <w:tab/>
        <w:t>(i)</w:t>
      </w:r>
      <w:r>
        <w:rPr>
          <w:snapToGrid w:val="0"/>
        </w:rPr>
        <w:tab/>
        <w:t>hazards to persons that arise or may arise at the workplace;</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w:t>
      </w:r>
    </w:p>
    <w:p>
      <w:pPr>
        <w:pStyle w:val="Indenta"/>
      </w:pPr>
      <w:r>
        <w:tab/>
        <w:t>(d)</w:t>
      </w:r>
      <w:r>
        <w:tab/>
        <w:t>ensure that a safety and health representative receives any entitlement that becomes due to him or her under subsection (1b) or (3);</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Part.</w:t>
      </w:r>
    </w:p>
    <w:p>
      <w:pPr>
        <w:pStyle w:val="Subsection"/>
      </w:pPr>
      <w:r>
        <w:tab/>
        <w:t>(1a)</w:t>
      </w:r>
      <w:r>
        <w:tab/>
        <w:t xml:space="preserve">If, pursuant to a scheme under section 30A, a safety and health representative has been elected for a group of employees, the references in subsection (1) to </w:t>
      </w:r>
      <w:r>
        <w:rPr>
          <w:b/>
        </w:rPr>
        <w:t>“</w:t>
      </w:r>
      <w:r>
        <w:rPr>
          <w:rStyle w:val="CharDefText"/>
        </w:rPr>
        <w:t>a workplace</w:t>
      </w:r>
      <w:r>
        <w:rPr>
          <w:b/>
        </w:rPr>
        <w:t>”</w:t>
      </w:r>
      <w:r>
        <w:t xml:space="preserve"> and </w:t>
      </w:r>
      <w:r>
        <w:rPr>
          <w:b/>
        </w:rPr>
        <w:t>“</w:t>
      </w:r>
      <w:r>
        <w:rPr>
          <w:rStyle w:val="CharDefText"/>
        </w:rPr>
        <w:t>the workplace</w:t>
      </w:r>
      <w:r>
        <w:rPr>
          <w:b/>
        </w:rPr>
        <w:t>”</w:t>
      </w:r>
      <w:r>
        <w:t xml:space="preserve"> include any workplace at which any member of the group works.</w:t>
      </w:r>
    </w:p>
    <w:p>
      <w:pPr>
        <w:pStyle w:val="Subsection"/>
      </w:pPr>
      <w:r>
        <w:tab/>
        <w:t>(1b)</w:t>
      </w:r>
      <w:r>
        <w:tab/>
        <w:t xml:space="preserve">Where a safety and health representative attends a course of training —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 </w:t>
      </w:r>
    </w:p>
    <w:p>
      <w:pPr>
        <w:pStyle w:val="Indenta"/>
        <w:rPr>
          <w:snapToGrid w:val="0"/>
        </w:rPr>
      </w:pPr>
      <w:r>
        <w:rPr>
          <w:snapToGrid w:val="0"/>
        </w:rPr>
        <w:tab/>
        <w:t>(a)</w:t>
      </w:r>
      <w:r>
        <w:rPr>
          <w:snapToGrid w:val="0"/>
        </w:rPr>
        <w:tab/>
        <w:t>shall not make available to a safety and health representative any medical information concerning an employee unless —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 xml:space="preserve">In subsection (3) — </w:t>
      </w:r>
    </w:p>
    <w:p>
      <w:pPr>
        <w:pStyle w:val="Defstart"/>
      </w:pPr>
      <w:r>
        <w:rPr>
          <w:b/>
        </w:rPr>
        <w:tab/>
        <w:t>“</w:t>
      </w:r>
      <w:r>
        <w:rPr>
          <w:rStyle w:val="CharDefText"/>
        </w:rPr>
        <w:t>entitlements</w:t>
      </w:r>
      <w:r>
        <w:rPr>
          <w:b/>
        </w:rPr>
        <w:t>”</w:t>
      </w:r>
      <w:r>
        <w:t xml:space="preserve"> means —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 xml:space="preserve">[Section 35 inserted by No. 43 of 1987 s. 13; amended by No. 30 of 1995 s. 27 and 47; No. 51 of 2004 s. 48, 69(1) and (2), 89 and 102(2).] </w:t>
      </w:r>
    </w:p>
    <w:p>
      <w:pPr>
        <w:pStyle w:val="Heading5"/>
      </w:pPr>
      <w:bookmarkStart w:id="522" w:name="_Toc109702834"/>
      <w:bookmarkStart w:id="523" w:name="_Toc188695628"/>
      <w:bookmarkStart w:id="524" w:name="_Toc187053955"/>
      <w:bookmarkStart w:id="525" w:name="_Toc402776417"/>
      <w:bookmarkStart w:id="526" w:name="_Toc403985280"/>
      <w:bookmarkStart w:id="527" w:name="_Toc59593054"/>
      <w:r>
        <w:rPr>
          <w:rStyle w:val="CharSectno"/>
        </w:rPr>
        <w:t>35A</w:t>
      </w:r>
      <w:r>
        <w:t>.</w:t>
      </w:r>
      <w:r>
        <w:tab/>
        <w:t>Discrimination against safety and health representative in relation to employment</w:t>
      </w:r>
      <w:bookmarkEnd w:id="522"/>
      <w:bookmarkEnd w:id="523"/>
      <w:bookmarkEnd w:id="524"/>
    </w:p>
    <w:p>
      <w:pPr>
        <w:pStyle w:val="Subsection"/>
      </w:pPr>
      <w:r>
        <w:tab/>
        <w:t>(1)</w:t>
      </w:r>
      <w:r>
        <w:tab/>
        <w:t xml:space="preserve">An employer or a prospective employer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by No. 51 of 2004 s. 49.]</w:t>
      </w:r>
    </w:p>
    <w:p>
      <w:pPr>
        <w:pStyle w:val="Heading5"/>
      </w:pPr>
      <w:bookmarkStart w:id="528" w:name="_Toc109702835"/>
      <w:bookmarkStart w:id="529" w:name="_Toc188695629"/>
      <w:bookmarkStart w:id="530" w:name="_Toc187053956"/>
      <w:r>
        <w:rPr>
          <w:rStyle w:val="CharSectno"/>
        </w:rPr>
        <w:t>35B</w:t>
      </w:r>
      <w:r>
        <w:t>.</w:t>
      </w:r>
      <w:r>
        <w:tab/>
        <w:t>Discrimination against safety and health representative in relation to contract for services</w:t>
      </w:r>
      <w:bookmarkEnd w:id="528"/>
      <w:bookmarkEnd w:id="529"/>
      <w:bookmarkEnd w:id="530"/>
    </w:p>
    <w:p>
      <w:pPr>
        <w:pStyle w:val="Subsection"/>
        <w:outlineLvl w:val="0"/>
      </w:pPr>
      <w:r>
        <w:tab/>
        <w:t>(1)</w:t>
      </w:r>
      <w:r>
        <w:tab/>
        <w:t xml:space="preserve">In this section — </w:t>
      </w:r>
    </w:p>
    <w:p>
      <w:pPr>
        <w:pStyle w:val="Defstart"/>
      </w:pPr>
      <w:r>
        <w:rPr>
          <w:b/>
        </w:rPr>
        <w:tab/>
        <w:t>“</w:t>
      </w:r>
      <w:r>
        <w:rPr>
          <w:rStyle w:val="CharDefText"/>
        </w:rPr>
        <w:t>contractor</w:t>
      </w:r>
      <w:r>
        <w:rPr>
          <w:b/>
        </w:rPr>
        <w:t>”</w:t>
      </w:r>
      <w:r>
        <w:t xml:space="preserve"> and </w:t>
      </w:r>
      <w:r>
        <w:rPr>
          <w:b/>
        </w:rPr>
        <w:t>“</w:t>
      </w:r>
      <w:r>
        <w:rPr>
          <w:rStyle w:val="CharDefText"/>
        </w:rPr>
        <w:t>principal</w:t>
      </w:r>
      <w:r>
        <w:rPr>
          <w:b/>
        </w:rPr>
        <w:t>”</w:t>
      </w:r>
      <w:r>
        <w:t xml:space="preserve"> have the meanings given to those terms in section 23D(1).</w:t>
      </w:r>
    </w:p>
    <w:p>
      <w:pPr>
        <w:pStyle w:val="Subsection"/>
        <w:outlineLvl w:val="0"/>
      </w:pPr>
      <w:r>
        <w:tab/>
        <w:t>(2)</w:t>
      </w:r>
      <w:r>
        <w:tab/>
        <w:t xml:space="preserve">Where a scheme under section 30A makes provision of the kind described in section 30B(3),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keepNext/>
        <w:keepLines/>
      </w:pPr>
      <w:r>
        <w:tab/>
        <w:t>(d)</w:t>
      </w:r>
      <w:r>
        <w:tab/>
        <w:t>is performing or has performed any function as a safety and health representative.</w:t>
      </w:r>
    </w:p>
    <w:p>
      <w:pPr>
        <w:pStyle w:val="Subsection"/>
        <w:outlineLvl w:val="0"/>
      </w:pPr>
      <w:r>
        <w:tab/>
        <w:t>(3)</w:t>
      </w:r>
      <w:r>
        <w:tab/>
        <w:t>A principal that contravenes subsection (2) commits an offence.</w:t>
      </w:r>
    </w:p>
    <w:p>
      <w:pPr>
        <w:pStyle w:val="Footnotesection"/>
      </w:pPr>
      <w:r>
        <w:tab/>
        <w:t>[Section 35B inserted by No. 51 of 2004 s. 49.]</w:t>
      </w:r>
    </w:p>
    <w:p>
      <w:pPr>
        <w:pStyle w:val="Heading5"/>
      </w:pPr>
      <w:bookmarkStart w:id="531" w:name="_Toc109702836"/>
      <w:bookmarkStart w:id="532" w:name="_Toc188695630"/>
      <w:bookmarkStart w:id="533" w:name="_Toc187053957"/>
      <w:r>
        <w:rPr>
          <w:rStyle w:val="CharSectno"/>
        </w:rPr>
        <w:t>35C</w:t>
      </w:r>
      <w:r>
        <w:t>.</w:t>
      </w:r>
      <w:r>
        <w:tab/>
        <w:t>Claim may be referred to the Tribunal</w:t>
      </w:r>
      <w:bookmarkEnd w:id="531"/>
      <w:bookmarkEnd w:id="532"/>
      <w:bookmarkEnd w:id="533"/>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35A(4); or </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by No. 51 of 2004 s. 49.]</w:t>
      </w:r>
    </w:p>
    <w:p>
      <w:pPr>
        <w:pStyle w:val="Heading5"/>
      </w:pPr>
      <w:bookmarkStart w:id="534" w:name="_Toc109702837"/>
      <w:bookmarkStart w:id="535" w:name="_Toc188695631"/>
      <w:bookmarkStart w:id="536" w:name="_Toc187053958"/>
      <w:r>
        <w:rPr>
          <w:rStyle w:val="CharSectno"/>
        </w:rPr>
        <w:t>35D</w:t>
      </w:r>
      <w:r>
        <w:t>.</w:t>
      </w:r>
      <w:r>
        <w:tab/>
        <w:t>Remedies that may be granted</w:t>
      </w:r>
      <w:bookmarkEnd w:id="534"/>
      <w:bookmarkEnd w:id="535"/>
      <w:bookmarkEnd w:id="536"/>
    </w:p>
    <w:p>
      <w:pPr>
        <w:pStyle w:val="Subsection"/>
        <w:spacing w:before="120"/>
      </w:pPr>
      <w:r>
        <w:tab/>
        <w:t>(1)</w:t>
      </w:r>
      <w:r>
        <w:tab/>
        <w:t xml:space="preserve">If, on the hearing of a claim under section 35C(1)(a)(i), the Tribunal is satisfied that an employer or a prospective employer has contravened section 35A,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spacing w:before="120"/>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spacing w:before="120"/>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35D inserted by No. 51 of 2004 s. 49.]</w:t>
      </w:r>
    </w:p>
    <w:p>
      <w:pPr>
        <w:pStyle w:val="Heading3"/>
      </w:pPr>
      <w:bookmarkStart w:id="537" w:name="_Toc100545184"/>
      <w:bookmarkStart w:id="538" w:name="_Toc100716663"/>
      <w:bookmarkStart w:id="539" w:name="_Toc102546252"/>
      <w:bookmarkStart w:id="540" w:name="_Toc103141475"/>
      <w:bookmarkStart w:id="541" w:name="_Toc105909087"/>
      <w:bookmarkStart w:id="542" w:name="_Toc105921973"/>
      <w:bookmarkStart w:id="543" w:name="_Toc106616811"/>
      <w:bookmarkStart w:id="544" w:name="_Toc108848555"/>
      <w:bookmarkStart w:id="545" w:name="_Toc109702838"/>
      <w:bookmarkStart w:id="546" w:name="_Toc113700395"/>
      <w:bookmarkStart w:id="547" w:name="_Toc113779053"/>
      <w:bookmarkStart w:id="548" w:name="_Toc122767434"/>
      <w:bookmarkStart w:id="549" w:name="_Toc122767677"/>
      <w:bookmarkStart w:id="550" w:name="_Toc131409924"/>
      <w:bookmarkStart w:id="551" w:name="_Toc187035491"/>
      <w:bookmarkStart w:id="552" w:name="_Toc187053959"/>
      <w:bookmarkStart w:id="553" w:name="_Toc188695632"/>
      <w:bookmarkStart w:id="554" w:name="_Toc402776421"/>
      <w:bookmarkStart w:id="555" w:name="_Toc403985284"/>
      <w:bookmarkStart w:id="556" w:name="_Toc59593058"/>
      <w:bookmarkEnd w:id="525"/>
      <w:bookmarkEnd w:id="526"/>
      <w:bookmarkEnd w:id="527"/>
      <w:r>
        <w:rPr>
          <w:rStyle w:val="CharDivNo"/>
        </w:rPr>
        <w:t>Division 2</w:t>
      </w:r>
      <w:r>
        <w:t> — </w:t>
      </w:r>
      <w:r>
        <w:rPr>
          <w:rStyle w:val="CharDivText"/>
        </w:rPr>
        <w:t>Safety and health committees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Footnoteheading"/>
        <w:keepNext/>
      </w:pPr>
      <w:r>
        <w:tab/>
        <w:t>[Heading inserted by No. 51 of 2004 s. 50.]</w:t>
      </w:r>
    </w:p>
    <w:p>
      <w:pPr>
        <w:pStyle w:val="Heading5"/>
      </w:pPr>
      <w:bookmarkStart w:id="557" w:name="_Toc109702839"/>
      <w:bookmarkStart w:id="558" w:name="_Toc188695633"/>
      <w:bookmarkStart w:id="559" w:name="_Toc187053960"/>
      <w:r>
        <w:rPr>
          <w:rStyle w:val="CharSectno"/>
        </w:rPr>
        <w:t>36</w:t>
      </w:r>
      <w:r>
        <w:t>.</w:t>
      </w:r>
      <w:r>
        <w:tab/>
        <w:t>Interpretation</w:t>
      </w:r>
      <w:bookmarkEnd w:id="557"/>
      <w:bookmarkEnd w:id="558"/>
      <w:bookmarkEnd w:id="559"/>
    </w:p>
    <w:p>
      <w:pPr>
        <w:pStyle w:val="Subsection"/>
      </w:pPr>
      <w:r>
        <w:tab/>
        <w:t>(1)</w:t>
      </w:r>
      <w:r>
        <w:tab/>
        <w:t xml:space="preserve">In this Division — </w:t>
      </w:r>
    </w:p>
    <w:p>
      <w:pPr>
        <w:pStyle w:val="Defstart"/>
      </w:pPr>
      <w:r>
        <w:rPr>
          <w:b/>
        </w:rPr>
        <w:tab/>
        <w:t>“</w:t>
      </w:r>
      <w:r>
        <w:rPr>
          <w:rStyle w:val="CharDefText"/>
        </w:rPr>
        <w:t>allowed period</w:t>
      </w:r>
      <w:r>
        <w:rPr>
          <w:b/>
        </w:rPr>
        <w:t>”</w:t>
      </w:r>
      <w:r>
        <w:t xml:space="preserve"> means —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t>“</w:t>
      </w:r>
      <w:r>
        <w:rPr>
          <w:rStyle w:val="CharDefText"/>
        </w:rPr>
        <w:t>consultation party</w:t>
      </w:r>
      <w:r>
        <w:rPr>
          <w:b/>
        </w:rPr>
        <w:t>”</w:t>
      </w:r>
      <w:r>
        <w:t xml:space="preserve"> means a person that comes within section 39C(2)(a), (b) or (c);</w:t>
      </w:r>
    </w:p>
    <w:p>
      <w:pPr>
        <w:pStyle w:val="Defstart"/>
      </w:pPr>
      <w:r>
        <w:rPr>
          <w:b/>
        </w:rPr>
        <w:tab/>
        <w:t>“</w:t>
      </w:r>
      <w:r>
        <w:rPr>
          <w:rStyle w:val="CharDefText"/>
        </w:rPr>
        <w:t>prescribed requirements</w:t>
      </w:r>
      <w:r>
        <w:rPr>
          <w:b/>
        </w:rPr>
        <w:t>”</w:t>
      </w:r>
      <w:r>
        <w:t xml:space="preserve"> means — </w:t>
      </w:r>
    </w:p>
    <w:p>
      <w:pPr>
        <w:pStyle w:val="Defpara"/>
      </w:pPr>
      <w:r>
        <w:tab/>
        <w:t>(a)</w:t>
      </w:r>
      <w:r>
        <w:tab/>
        <w:t xml:space="preserve">the provisions of — </w:t>
      </w:r>
    </w:p>
    <w:p>
      <w:pPr>
        <w:pStyle w:val="Defsubpara"/>
      </w:pPr>
      <w:r>
        <w:tab/>
        <w:t>(i)</w:t>
      </w:r>
      <w:r>
        <w:tab/>
        <w:t>an agreement under section 39C(2); and</w:t>
      </w:r>
    </w:p>
    <w:p>
      <w:pPr>
        <w:pStyle w:val="Defsubpara"/>
      </w:pPr>
      <w:r>
        <w:tab/>
        <w:t>(ii)</w:t>
      </w:r>
      <w:r>
        <w:tab/>
        <w:t>section 39C(3);</w:t>
      </w:r>
    </w:p>
    <w:p>
      <w:pPr>
        <w:pStyle w:val="Defpara"/>
      </w:pPr>
      <w:r>
        <w:tab/>
        <w:t>(b)</w:t>
      </w:r>
      <w:r>
        <w:tab/>
        <w:t xml:space="preserve">the terms of a determination of — </w:t>
      </w:r>
    </w:p>
    <w:p>
      <w:pPr>
        <w:pStyle w:val="Defsubpara"/>
      </w:pPr>
      <w:r>
        <w:tab/>
        <w:t>(i)</w:t>
      </w:r>
      <w:r>
        <w:tab/>
        <w:t xml:space="preserve">the Commissioner, under section 39D; or </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b/>
        </w:rPr>
        <w:t>“</w:t>
      </w:r>
      <w:r>
        <w:rPr>
          <w:rStyle w:val="CharDefText"/>
        </w:rPr>
        <w:t>safety and health representative for the workplace</w:t>
      </w:r>
      <w:r>
        <w:rPr>
          <w:b/>
        </w:rPr>
        <w:t>”</w:t>
      </w:r>
      <w:r>
        <w:t xml:space="preserve"> or a </w:t>
      </w:r>
      <w:r>
        <w:rPr>
          <w:b/>
        </w:rPr>
        <w:t>“</w:t>
      </w:r>
      <w:r>
        <w:rPr>
          <w:rStyle w:val="CharDefText"/>
        </w:rPr>
        <w:t>safety and health representative for a workplace</w:t>
      </w:r>
      <w:r>
        <w:rPr>
          <w:b/>
        </w:rPr>
        <w:t>”</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by No. 51 of 2004 s. 50.]</w:t>
      </w:r>
    </w:p>
    <w:p>
      <w:pPr>
        <w:pStyle w:val="Heading5"/>
      </w:pPr>
      <w:bookmarkStart w:id="560" w:name="_Toc109702840"/>
      <w:bookmarkStart w:id="561" w:name="_Toc188695634"/>
      <w:bookmarkStart w:id="562" w:name="_Toc187053961"/>
      <w:r>
        <w:rPr>
          <w:rStyle w:val="CharSectno"/>
        </w:rPr>
        <w:t>37</w:t>
      </w:r>
      <w:r>
        <w:t>.</w:t>
      </w:r>
      <w:r>
        <w:tab/>
        <w:t>Employees to appoint representatives</w:t>
      </w:r>
      <w:bookmarkEnd w:id="560"/>
      <w:bookmarkEnd w:id="561"/>
      <w:bookmarkEnd w:id="562"/>
    </w:p>
    <w:p>
      <w:pPr>
        <w:pStyle w:val="Subsection"/>
      </w:pPr>
      <w:r>
        <w:tab/>
      </w:r>
      <w:r>
        <w:tab/>
        <w:t xml:space="preserve">Whenever required for the purpose of making an agreement under section 39C(2) or 39E(1) in respect of a workplace, the employees who work at the workplace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by No. 51 of 2004 s. 50.]</w:t>
      </w:r>
    </w:p>
    <w:p>
      <w:pPr>
        <w:pStyle w:val="Heading5"/>
      </w:pPr>
      <w:bookmarkStart w:id="563" w:name="_Toc109702841"/>
      <w:bookmarkStart w:id="564" w:name="_Toc188695635"/>
      <w:bookmarkStart w:id="565" w:name="_Toc187053962"/>
      <w:r>
        <w:rPr>
          <w:rStyle w:val="CharSectno"/>
        </w:rPr>
        <w:t>38</w:t>
      </w:r>
      <w:r>
        <w:t>.</w:t>
      </w:r>
      <w:r>
        <w:tab/>
        <w:t>Obligation of employer to establish a safety and health committee</w:t>
      </w:r>
      <w:bookmarkEnd w:id="563"/>
      <w:bookmarkEnd w:id="564"/>
      <w:bookmarkEnd w:id="565"/>
      <w:r>
        <w:t xml:space="preserve"> </w:t>
      </w:r>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by No. 51 of 2004 s. 50.]</w:t>
      </w:r>
    </w:p>
    <w:p>
      <w:pPr>
        <w:pStyle w:val="Heading5"/>
      </w:pPr>
      <w:bookmarkStart w:id="566" w:name="_Toc109702842"/>
      <w:bookmarkStart w:id="567" w:name="_Toc188695636"/>
      <w:bookmarkStart w:id="568" w:name="_Toc187053963"/>
      <w:r>
        <w:rPr>
          <w:rStyle w:val="CharSectno"/>
        </w:rPr>
        <w:t>39</w:t>
      </w:r>
      <w:r>
        <w:t>.</w:t>
      </w:r>
      <w:r>
        <w:tab/>
        <w:t>Request for establishment of safety and health committee</w:t>
      </w:r>
      <w:bookmarkEnd w:id="566"/>
      <w:bookmarkEnd w:id="567"/>
      <w:bookmarkEnd w:id="568"/>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by No. 51 of 2004 s. 50.]</w:t>
      </w:r>
    </w:p>
    <w:p>
      <w:pPr>
        <w:pStyle w:val="Heading5"/>
      </w:pPr>
      <w:bookmarkStart w:id="569" w:name="_Toc109702843"/>
      <w:bookmarkStart w:id="570" w:name="_Toc188695637"/>
      <w:bookmarkStart w:id="571" w:name="_Toc187053964"/>
      <w:r>
        <w:rPr>
          <w:rStyle w:val="CharSectno"/>
        </w:rPr>
        <w:t>39A</w:t>
      </w:r>
      <w:r>
        <w:t>.</w:t>
      </w:r>
      <w:r>
        <w:tab/>
        <w:t>Referral of question to Commissioner</w:t>
      </w:r>
      <w:bookmarkEnd w:id="569"/>
      <w:bookmarkEnd w:id="570"/>
      <w:bookmarkEnd w:id="571"/>
    </w:p>
    <w:p>
      <w:pPr>
        <w:pStyle w:val="Subsection"/>
        <w:outlineLvl w:val="0"/>
      </w:pPr>
      <w:r>
        <w:tab/>
        <w:t>(1)</w:t>
      </w:r>
      <w:r>
        <w:tab/>
        <w:t xml:space="preserve">If —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outlineLvl w:val="0"/>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 xml:space="preserve">the employee concerned; and </w:t>
      </w:r>
    </w:p>
    <w:p>
      <w:pPr>
        <w:pStyle w:val="Indenta"/>
        <w:rPr>
          <w:snapToGrid w:val="0"/>
        </w:rPr>
      </w:pPr>
      <w:r>
        <w:rPr>
          <w:snapToGrid w:val="0"/>
        </w:rPr>
        <w:tab/>
        <w:t>(b)</w:t>
      </w:r>
      <w:r>
        <w:rPr>
          <w:snapToGrid w:val="0"/>
        </w:rPr>
        <w:tab/>
        <w:t>any safety and health representative for the workplace.</w:t>
      </w:r>
    </w:p>
    <w:p>
      <w:pPr>
        <w:pStyle w:val="Subsection"/>
        <w:outlineLvl w:val="0"/>
        <w:rPr>
          <w:snapToGrid w:val="0"/>
        </w:rPr>
      </w:pPr>
      <w:r>
        <w:rPr>
          <w:snapToGrid w:val="0"/>
        </w:rPr>
        <w:tab/>
        <w:t>(3)</w:t>
      </w:r>
      <w:r>
        <w:rPr>
          <w:snapToGrid w:val="0"/>
        </w:rPr>
        <w:tab/>
        <w:t xml:space="preserve">The Commissioner is to — </w:t>
      </w:r>
    </w:p>
    <w:p>
      <w:pPr>
        <w:pStyle w:val="Indenta"/>
        <w:rPr>
          <w:snapToGrid w:val="0"/>
        </w:rPr>
      </w:pPr>
      <w:r>
        <w:rPr>
          <w:snapToGrid w:val="0"/>
        </w:rPr>
        <w:tab/>
        <w:t>(a)</w:t>
      </w:r>
      <w:r>
        <w:rPr>
          <w:snapToGrid w:val="0"/>
        </w:rPr>
        <w:tab/>
        <w:t xml:space="preserve">decide a question referred to the Commissioner under subsection (1); and </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 by No. 51 of 2004 s. 50.]</w:t>
      </w:r>
    </w:p>
    <w:p>
      <w:pPr>
        <w:pStyle w:val="Heading5"/>
      </w:pPr>
      <w:bookmarkStart w:id="572" w:name="_Toc109702844"/>
      <w:bookmarkStart w:id="573" w:name="_Toc188695638"/>
      <w:bookmarkStart w:id="574" w:name="_Toc187053965"/>
      <w:r>
        <w:rPr>
          <w:rStyle w:val="CharSectno"/>
        </w:rPr>
        <w:t>39B</w:t>
      </w:r>
      <w:r>
        <w:t>.</w:t>
      </w:r>
      <w:r>
        <w:tab/>
        <w:t>Employer may establish a safety and health committee</w:t>
      </w:r>
      <w:bookmarkEnd w:id="572"/>
      <w:bookmarkEnd w:id="573"/>
      <w:bookmarkEnd w:id="574"/>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 </w:t>
      </w:r>
    </w:p>
    <w:p>
      <w:pPr>
        <w:pStyle w:val="Indenta"/>
      </w:pPr>
      <w:r>
        <w:tab/>
        <w:t>(a)</w:t>
      </w:r>
      <w:r>
        <w:tab/>
        <w:t>a regulation referred to in section 38(1)(a) has not come into operation;</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by No. 51 of 2004 s. 50.]</w:t>
      </w:r>
    </w:p>
    <w:p>
      <w:pPr>
        <w:pStyle w:val="Heading5"/>
      </w:pPr>
      <w:bookmarkStart w:id="575" w:name="_Toc109702845"/>
      <w:bookmarkStart w:id="576" w:name="_Toc188695639"/>
      <w:bookmarkStart w:id="577" w:name="_Toc187053966"/>
      <w:r>
        <w:rPr>
          <w:rStyle w:val="CharSectno"/>
        </w:rPr>
        <w:t>39C</w:t>
      </w:r>
      <w:r>
        <w:t>.</w:t>
      </w:r>
      <w:r>
        <w:tab/>
        <w:t>How safety and health committee to be constituted</w:t>
      </w:r>
      <w:bookmarkEnd w:id="575"/>
      <w:bookmarkEnd w:id="576"/>
      <w:bookmarkEnd w:id="577"/>
    </w:p>
    <w:p>
      <w:pPr>
        <w:pStyle w:val="Subsection"/>
      </w:pPr>
      <w:r>
        <w:tab/>
        <w:t>(1)</w:t>
      </w:r>
      <w:r>
        <w:tab/>
        <w:t xml:space="preserve">In this section — </w:t>
      </w:r>
    </w:p>
    <w:p>
      <w:pPr>
        <w:pStyle w:val="Defstart"/>
      </w:pPr>
      <w:r>
        <w:rPr>
          <w:b/>
        </w:rPr>
        <w:tab/>
        <w:t>“</w:t>
      </w:r>
      <w:r>
        <w:rPr>
          <w:rStyle w:val="CharDefText"/>
        </w:rPr>
        <w:t>workplace</w:t>
      </w:r>
      <w:r>
        <w:rPr>
          <w:b/>
        </w:rPr>
        <w:t>”</w:t>
      </w:r>
      <w:r>
        <w:t>, where an agreement under section 39E applies, includes 2 or more workplaces.</w:t>
      </w:r>
    </w:p>
    <w:p>
      <w:pPr>
        <w:pStyle w:val="Subsection"/>
      </w:pPr>
      <w:r>
        <w:tab/>
        <w:t>(2)</w:t>
      </w:r>
      <w:r>
        <w:tab/>
        <w:t xml:space="preserve">Subject to subsection (3), the composition, and the manner in which persons become members, of a safety and health committee for a workplace are to be determined by agreement in writing between — </w:t>
      </w:r>
    </w:p>
    <w:p>
      <w:pPr>
        <w:pStyle w:val="Indenta"/>
      </w:pPr>
      <w:r>
        <w:tab/>
        <w:t>(a)</w:t>
      </w:r>
      <w:r>
        <w:tab/>
        <w:t>the employer;</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 xml:space="preserve">At least one half of the members of a safety and health committee for a workplace must be persons each of whom is — </w:t>
      </w:r>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 by No. 51 of 2004 s. 50.]</w:t>
      </w:r>
    </w:p>
    <w:p>
      <w:pPr>
        <w:pStyle w:val="Heading5"/>
      </w:pPr>
      <w:bookmarkStart w:id="578" w:name="_Toc109702846"/>
      <w:bookmarkStart w:id="579" w:name="_Toc188695640"/>
      <w:bookmarkStart w:id="580" w:name="_Toc187053967"/>
      <w:r>
        <w:rPr>
          <w:rStyle w:val="CharSectno"/>
        </w:rPr>
        <w:t>39D</w:t>
      </w:r>
      <w:r>
        <w:t>.</w:t>
      </w:r>
      <w:r>
        <w:tab/>
        <w:t>Commissioner may make determination in certain cases</w:t>
      </w:r>
      <w:bookmarkEnd w:id="578"/>
      <w:bookmarkEnd w:id="579"/>
      <w:bookmarkEnd w:id="580"/>
    </w:p>
    <w:p>
      <w:pPr>
        <w:pStyle w:val="Subsection"/>
        <w:outlineLvl w:val="0"/>
      </w:pPr>
      <w:r>
        <w:tab/>
        <w:t>(1)</w:t>
      </w:r>
      <w:r>
        <w:tab/>
        <w:t xml:space="preserve">This section applies if — </w:t>
      </w:r>
    </w:p>
    <w:p>
      <w:pPr>
        <w:pStyle w:val="Indenta"/>
      </w:pPr>
      <w:r>
        <w:tab/>
        <w:t>(a)</w:t>
      </w:r>
      <w:r>
        <w:tab/>
        <w:t xml:space="preserve">a consultation party considers that discussions for the purpose of making an agreement under section 39C — </w:t>
      </w:r>
    </w:p>
    <w:p>
      <w:pPr>
        <w:pStyle w:val="Indenti"/>
      </w:pPr>
      <w:r>
        <w:tab/>
        <w:t>(i)</w:t>
      </w:r>
      <w:r>
        <w:tab/>
        <w:t>cannot commence or continue because there are no employees appointed under section 37 in respect of the workplace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outlineLvl w:val="0"/>
      </w:pPr>
      <w:r>
        <w:tab/>
        <w:t>(2)</w:t>
      </w:r>
      <w:r>
        <w:tab/>
        <w:t xml:space="preserve">The employer or other consultation party may refer to the Commissioner for determination — </w:t>
      </w:r>
    </w:p>
    <w:p>
      <w:pPr>
        <w:pStyle w:val="Indenta"/>
      </w:pPr>
      <w:r>
        <w:tab/>
        <w:t>(a)</w:t>
      </w:r>
      <w:r>
        <w:tab/>
        <w:t xml:space="preserve">the matters that are required to be settled by agreement under section 39C; or </w:t>
      </w:r>
    </w:p>
    <w:p>
      <w:pPr>
        <w:pStyle w:val="Indenta"/>
      </w:pPr>
      <w:r>
        <w:tab/>
        <w:t>(b)</w:t>
      </w:r>
      <w:r>
        <w:tab/>
        <w:t>any particular matter mentioned in paragraph (a) on which the parties cannot agree.</w:t>
      </w:r>
    </w:p>
    <w:p>
      <w:pPr>
        <w:pStyle w:val="Subsection"/>
        <w:outlineLvl w:val="0"/>
      </w:pPr>
      <w:r>
        <w:tab/>
        <w:t>(3)</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by No. 51 of 2004 s. 50.]</w:t>
      </w:r>
    </w:p>
    <w:p>
      <w:pPr>
        <w:pStyle w:val="Heading5"/>
      </w:pPr>
      <w:bookmarkStart w:id="581" w:name="_Toc109702847"/>
      <w:bookmarkStart w:id="582" w:name="_Toc188695641"/>
      <w:bookmarkStart w:id="583" w:name="_Toc187053968"/>
      <w:r>
        <w:rPr>
          <w:rStyle w:val="CharSectno"/>
        </w:rPr>
        <w:t>39E</w:t>
      </w:r>
      <w:r>
        <w:t>.</w:t>
      </w:r>
      <w:r>
        <w:tab/>
        <w:t>Functions of committee may cover more than one workplace</w:t>
      </w:r>
      <w:bookmarkEnd w:id="581"/>
      <w:bookmarkEnd w:id="582"/>
      <w:bookmarkEnd w:id="583"/>
    </w:p>
    <w:p>
      <w:pPr>
        <w:pStyle w:val="Subsection"/>
      </w:pPr>
      <w:r>
        <w:tab/>
        <w:t>(1)</w:t>
      </w:r>
      <w:r>
        <w:tab/>
        <w:t xml:space="preserve">If — </w:t>
      </w:r>
    </w:p>
    <w:p>
      <w:pPr>
        <w:pStyle w:val="Indenta"/>
      </w:pPr>
      <w:r>
        <w:tab/>
        <w:t>(a)</w:t>
      </w:r>
      <w:r>
        <w:tab/>
        <w:t>an employer —</w:t>
      </w:r>
    </w:p>
    <w:p>
      <w:pPr>
        <w:pStyle w:val="Indenti"/>
      </w:pPr>
      <w:r>
        <w:tab/>
        <w:t>(i)</w:t>
      </w:r>
      <w:r>
        <w:tab/>
        <w:t>is under an obligation by operation of section 38(1); or</w:t>
      </w:r>
    </w:p>
    <w:p>
      <w:pPr>
        <w:pStyle w:val="Indenti"/>
      </w:pPr>
      <w:r>
        <w:tab/>
        <w:t>(ii)</w:t>
      </w:r>
      <w:r>
        <w:tab/>
        <w:t>wishes to take action for the purposes of section 39B,</w:t>
      </w:r>
    </w:p>
    <w:p>
      <w:pPr>
        <w:pStyle w:val="Indenta"/>
      </w:pPr>
      <w:r>
        <w:tab/>
      </w:r>
      <w:r>
        <w:tab/>
        <w:t>in respect of more than one workplace of the employer; and</w:t>
      </w:r>
    </w:p>
    <w:p>
      <w:pPr>
        <w:pStyle w:val="Indenta"/>
      </w:pPr>
      <w:r>
        <w:tab/>
        <w:t>(b)</w:t>
      </w:r>
      <w:r>
        <w:tab/>
        <w:t>a safety and health committee has not been established for one or more of those workplaces,</w:t>
      </w:r>
    </w:p>
    <w:p>
      <w:pPr>
        <w:pStyle w:val="Subsection"/>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 xml:space="preserve">For the purposes of subsection (1) the parties concerned are — </w:t>
      </w:r>
    </w:p>
    <w:p>
      <w:pPr>
        <w:pStyle w:val="Indenta"/>
      </w:pPr>
      <w:r>
        <w:tab/>
        <w:t>(a)</w:t>
      </w:r>
      <w:r>
        <w:tab/>
        <w:t>the employer;</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pPr>
      <w:r>
        <w:tab/>
        <w:t>(3)</w:t>
      </w:r>
      <w:r>
        <w:tab/>
        <w:t xml:space="preserve">An agreement under subsection (1) may provide — </w:t>
      </w:r>
    </w:p>
    <w:p>
      <w:pPr>
        <w:pStyle w:val="Indenta"/>
      </w:pPr>
      <w:r>
        <w:tab/>
        <w:t>(a)</w:t>
      </w:r>
      <w:r>
        <w:tab/>
        <w:t>for the establishment of a safety and health committee to exercise functions in relation to more than one workplace; and</w:t>
      </w:r>
    </w:p>
    <w:p>
      <w:pPr>
        <w:pStyle w:val="Indenta"/>
      </w:pPr>
      <w:r>
        <w:tab/>
        <w:t>(b)</w:t>
      </w:r>
      <w:r>
        <w:tab/>
        <w:t xml:space="preserve">for that committee to have subcommittees for each workplace — </w:t>
      </w:r>
    </w:p>
    <w:p>
      <w:pPr>
        <w:pStyle w:val="Indenti"/>
      </w:pPr>
      <w:r>
        <w:tab/>
        <w:t>(i)</w:t>
      </w:r>
      <w:r>
        <w:tab/>
        <w:t xml:space="preserve">to advise the committee on the exercise of its functions in relation to that workplace; and </w:t>
      </w:r>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 by No. 51 of 2004 s. 50.]</w:t>
      </w:r>
    </w:p>
    <w:p>
      <w:pPr>
        <w:pStyle w:val="Heading5"/>
      </w:pPr>
      <w:bookmarkStart w:id="584" w:name="_Toc109702848"/>
      <w:bookmarkStart w:id="585" w:name="_Toc188695642"/>
      <w:bookmarkStart w:id="586" w:name="_Toc187053969"/>
      <w:r>
        <w:rPr>
          <w:rStyle w:val="CharSectno"/>
        </w:rPr>
        <w:t>39F</w:t>
      </w:r>
      <w:r>
        <w:t>.</w:t>
      </w:r>
      <w:r>
        <w:tab/>
        <w:t>Amendment of agreement and abolition of committee</w:t>
      </w:r>
      <w:bookmarkEnd w:id="584"/>
      <w:bookmarkEnd w:id="585"/>
      <w:bookmarkEnd w:id="586"/>
    </w:p>
    <w:p>
      <w:pPr>
        <w:pStyle w:val="Subsection"/>
      </w:pPr>
      <w:r>
        <w:tab/>
        <w:t>(1)</w:t>
      </w:r>
      <w:r>
        <w:tab/>
        <w:t xml:space="preserve">In this section — </w:t>
      </w:r>
    </w:p>
    <w:p>
      <w:pPr>
        <w:pStyle w:val="Defstart"/>
      </w:pPr>
      <w:r>
        <w:rPr>
          <w:b/>
        </w:rPr>
        <w:tab/>
        <w:t>“</w:t>
      </w:r>
      <w:r>
        <w:rPr>
          <w:rStyle w:val="CharDefText"/>
        </w:rPr>
        <w:t>relevant parties</w:t>
      </w:r>
      <w:r>
        <w:rPr>
          <w:b/>
        </w:rPr>
        <w:t>”</w:t>
      </w:r>
      <w:r>
        <w:t xml:space="preserve">, in respect of a workplace, means —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 xml:space="preserve">Where —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 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workplace,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Commissioner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pPr>
      <w:r>
        <w:tab/>
      </w:r>
      <w:r>
        <w:tab/>
        <w:t>or as to transitional provisions that should be made in respect of such a matter.</w:t>
      </w:r>
    </w:p>
    <w:p>
      <w:pPr>
        <w:pStyle w:val="Subsection"/>
      </w:pPr>
      <w:r>
        <w:tab/>
        <w:t>(5)</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by No. 51 of 2004 s. 50.]</w:t>
      </w:r>
    </w:p>
    <w:p>
      <w:pPr>
        <w:pStyle w:val="Heading5"/>
      </w:pPr>
      <w:bookmarkStart w:id="587" w:name="_Toc109702849"/>
      <w:bookmarkStart w:id="588" w:name="_Toc188695643"/>
      <w:bookmarkStart w:id="589" w:name="_Toc187053970"/>
      <w:r>
        <w:rPr>
          <w:rStyle w:val="CharSectno"/>
        </w:rPr>
        <w:t>39G</w:t>
      </w:r>
      <w:r>
        <w:t>.</w:t>
      </w:r>
      <w:r>
        <w:tab/>
        <w:t>Review of Commissioner’s decision</w:t>
      </w:r>
      <w:bookmarkEnd w:id="587"/>
      <w:bookmarkEnd w:id="588"/>
      <w:bookmarkEnd w:id="589"/>
    </w:p>
    <w:p>
      <w:pPr>
        <w:pStyle w:val="Subsection"/>
      </w:pPr>
      <w:r>
        <w:tab/>
        <w:t>(1)</w:t>
      </w:r>
      <w:r>
        <w:tab/>
        <w:t xml:space="preserve">Where the Commissioner has made a decision under section 39A(3) in respect of a workplace — </w:t>
      </w:r>
    </w:p>
    <w:p>
      <w:pPr>
        <w:pStyle w:val="Indenta"/>
      </w:pPr>
      <w:r>
        <w:tab/>
        <w:t>(a)</w:t>
      </w:r>
      <w:r>
        <w:tab/>
        <w:t xml:space="preserve">the employer; </w:t>
      </w:r>
    </w:p>
    <w:p>
      <w:pPr>
        <w:pStyle w:val="Indenta"/>
      </w:pPr>
      <w:r>
        <w:tab/>
        <w:t>(b)</w:t>
      </w:r>
      <w:r>
        <w:tab/>
        <w:t xml:space="preserve">a safety and health representative for the workplace; or </w:t>
      </w:r>
    </w:p>
    <w:p>
      <w:pPr>
        <w:pStyle w:val="Indenta"/>
      </w:pPr>
      <w:r>
        <w:tab/>
        <w:t>(c)</w:t>
      </w:r>
      <w:r>
        <w:tab/>
        <w:t xml:space="preserve">an employee who works at the workplace, </w:t>
      </w:r>
    </w:p>
    <w:p>
      <w:pPr>
        <w:pStyle w:val="Subsection"/>
      </w:pPr>
      <w:r>
        <w:tab/>
      </w:r>
      <w:r>
        <w:tab/>
        <w:t>may refer the decision to the Tribunal for review.</w:t>
      </w:r>
    </w:p>
    <w:p>
      <w:pPr>
        <w:pStyle w:val="Subsection"/>
      </w:pPr>
      <w:r>
        <w:tab/>
        <w:t>(2)</w:t>
      </w:r>
      <w:r>
        <w:tab/>
        <w:t xml:space="preserve">Where the Commissioner has made a determination under section 39D(3) in respect of one or more workplaces — </w:t>
      </w:r>
    </w:p>
    <w:p>
      <w:pPr>
        <w:pStyle w:val="Indenta"/>
      </w:pPr>
      <w:r>
        <w:tab/>
        <w:t>(a)</w:t>
      </w:r>
      <w:r>
        <w:tab/>
        <w:t xml:space="preserve">the employer; </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pPr>
      <w:r>
        <w:tab/>
      </w:r>
      <w:r>
        <w:tab/>
        <w:t xml:space="preserve">may refer the determination to the Tribunal for review. </w:t>
      </w:r>
    </w:p>
    <w:p>
      <w:pPr>
        <w:pStyle w:val="Subsection"/>
      </w:pPr>
      <w:r>
        <w:tab/>
        <w:t>(3)</w:t>
      </w:r>
      <w:r>
        <w:tab/>
        <w:t xml:space="preserve">Where the Commissioner has made a determination under section 39F(5) in respect of — </w:t>
      </w:r>
    </w:p>
    <w:p>
      <w:pPr>
        <w:pStyle w:val="Indenta"/>
      </w:pPr>
      <w:r>
        <w:tab/>
        <w:t>(a)</w:t>
      </w:r>
      <w:r>
        <w:tab/>
        <w:t xml:space="preserve">an agreement; or </w:t>
      </w:r>
    </w:p>
    <w:p>
      <w:pPr>
        <w:pStyle w:val="Indenta"/>
      </w:pPr>
      <w:r>
        <w:tab/>
        <w:t>(b)</w:t>
      </w:r>
      <w:r>
        <w:tab/>
        <w:t xml:space="preserve">a safety and health committee, </w:t>
      </w:r>
    </w:p>
    <w:p>
      <w:pPr>
        <w:pStyle w:val="Subsection"/>
      </w:pPr>
      <w:r>
        <w:tab/>
      </w:r>
      <w:r>
        <w:tab/>
        <w:t xml:space="preserve">a relevant party, within the meaning in that section, in relation to the workplace concerned may refer the determination to the Tribunal for review. </w:t>
      </w:r>
    </w:p>
    <w:p>
      <w:pPr>
        <w:pStyle w:val="Subsection"/>
      </w:pPr>
      <w:r>
        <w:tab/>
        <w:t>(4)</w:t>
      </w:r>
      <w:r>
        <w:tab/>
        <w:t>The Tribunal may confirm, vary or revoke a decision or determination of the Commissioner referred to it under this section.</w:t>
      </w:r>
    </w:p>
    <w:p>
      <w:pPr>
        <w:pStyle w:val="Footnotesection"/>
      </w:pPr>
      <w:r>
        <w:tab/>
        <w:t>[Section 39G inserted by No. 51 of 2004 s. 50.]</w:t>
      </w:r>
    </w:p>
    <w:p>
      <w:pPr>
        <w:pStyle w:val="Heading5"/>
        <w:rPr>
          <w:snapToGrid w:val="0"/>
        </w:rPr>
      </w:pPr>
      <w:bookmarkStart w:id="590" w:name="_Toc109702850"/>
      <w:bookmarkStart w:id="591" w:name="_Toc188695644"/>
      <w:bookmarkStart w:id="592" w:name="_Toc187053971"/>
      <w:r>
        <w:rPr>
          <w:rStyle w:val="CharSectno"/>
        </w:rPr>
        <w:t>40</w:t>
      </w:r>
      <w:r>
        <w:rPr>
          <w:snapToGrid w:val="0"/>
        </w:rPr>
        <w:t>.</w:t>
      </w:r>
      <w:r>
        <w:rPr>
          <w:snapToGrid w:val="0"/>
        </w:rPr>
        <w:tab/>
        <w:t>Functions of safety and health committees</w:t>
      </w:r>
      <w:bookmarkEnd w:id="554"/>
      <w:bookmarkEnd w:id="555"/>
      <w:bookmarkEnd w:id="556"/>
      <w:bookmarkEnd w:id="590"/>
      <w:bookmarkEnd w:id="591"/>
      <w:bookmarkEnd w:id="592"/>
      <w:r>
        <w:rPr>
          <w:snapToGrid w:val="0"/>
        </w:rPr>
        <w:t xml:space="preserve"> </w:t>
      </w:r>
    </w:p>
    <w:p>
      <w:pPr>
        <w:pStyle w:val="Subsection"/>
      </w:pPr>
      <w:r>
        <w:tab/>
        <w:t>(1)</w:t>
      </w:r>
      <w:r>
        <w:tab/>
        <w:t xml:space="preserve">In this section — </w:t>
      </w:r>
    </w:p>
    <w:p>
      <w:pPr>
        <w:pStyle w:val="Defstart"/>
      </w:pPr>
      <w:r>
        <w:rPr>
          <w:b/>
        </w:rPr>
        <w:tab/>
        <w:t>“</w:t>
      </w:r>
      <w:r>
        <w:rPr>
          <w:rStyle w:val="CharDefText"/>
        </w:rPr>
        <w:t>workplace</w:t>
      </w:r>
      <w:r>
        <w:rPr>
          <w:b/>
        </w:rPr>
        <w:t>”</w:t>
      </w:r>
      <w:r>
        <w:t>, where an agreement under section 39E applies to the establishment of a safety and health committee, means any workplace in relation to which the committee may exercise functions.</w:t>
      </w:r>
    </w:p>
    <w:p>
      <w:pPr>
        <w:pStyle w:val="Subsection"/>
        <w:spacing w:before="120"/>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w:t>
      </w:r>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 xml:space="preserve">[Section 40 inserted by No. 43 of 1987 s. 13; amended by No. 30 of 1995 s. 47; No. 51 of 2004 s. 52 and 90.] </w:t>
      </w:r>
    </w:p>
    <w:p>
      <w:pPr>
        <w:pStyle w:val="Heading5"/>
        <w:rPr>
          <w:snapToGrid w:val="0"/>
        </w:rPr>
      </w:pPr>
      <w:bookmarkStart w:id="593" w:name="_Toc109702851"/>
      <w:bookmarkStart w:id="594" w:name="_Toc188695645"/>
      <w:bookmarkStart w:id="595" w:name="_Toc187053972"/>
      <w:r>
        <w:rPr>
          <w:rStyle w:val="CharSectno"/>
        </w:rPr>
        <w:t>41</w:t>
      </w:r>
      <w:r>
        <w:rPr>
          <w:snapToGrid w:val="0"/>
        </w:rPr>
        <w:t>.</w:t>
      </w:r>
      <w:r>
        <w:rPr>
          <w:snapToGrid w:val="0"/>
        </w:rPr>
        <w:tab/>
        <w:t>Procedures</w:t>
      </w:r>
      <w:bookmarkEnd w:id="593"/>
      <w:bookmarkEnd w:id="594"/>
      <w:bookmarkEnd w:id="595"/>
      <w:r>
        <w:rPr>
          <w:snapToGrid w:val="0"/>
        </w:rPr>
        <w:t xml:space="preserve"> </w:t>
      </w:r>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repealed]</w:t>
      </w:r>
    </w:p>
    <w:p>
      <w:pPr>
        <w:pStyle w:val="Footnotesection"/>
      </w:pPr>
      <w:r>
        <w:tab/>
        <w:t xml:space="preserve">[Section 41 inserted by No. 43 of 1987 s. 13; amended by No. 30 of 1995 s. 47; No. 51 of 2004 s. 53.] </w:t>
      </w:r>
    </w:p>
    <w:p>
      <w:pPr>
        <w:pStyle w:val="Heading2"/>
      </w:pPr>
      <w:bookmarkStart w:id="596" w:name="_Toc88990676"/>
      <w:bookmarkStart w:id="597" w:name="_Toc89568238"/>
      <w:bookmarkStart w:id="598" w:name="_Toc93200941"/>
      <w:bookmarkStart w:id="599" w:name="_Toc97006612"/>
      <w:bookmarkStart w:id="600" w:name="_Toc100545198"/>
      <w:bookmarkStart w:id="601" w:name="_Toc100716677"/>
      <w:bookmarkStart w:id="602" w:name="_Toc102546266"/>
      <w:bookmarkStart w:id="603" w:name="_Toc103141489"/>
      <w:bookmarkStart w:id="604" w:name="_Toc105909101"/>
      <w:bookmarkStart w:id="605" w:name="_Toc105921987"/>
      <w:bookmarkStart w:id="606" w:name="_Toc106616825"/>
      <w:bookmarkStart w:id="607" w:name="_Toc108848569"/>
      <w:bookmarkStart w:id="608" w:name="_Toc109702852"/>
      <w:bookmarkStart w:id="609" w:name="_Toc113700409"/>
      <w:bookmarkStart w:id="610" w:name="_Toc113779067"/>
      <w:bookmarkStart w:id="611" w:name="_Toc122767448"/>
      <w:bookmarkStart w:id="612" w:name="_Toc122767691"/>
      <w:bookmarkStart w:id="613" w:name="_Toc131409938"/>
      <w:bookmarkStart w:id="614" w:name="_Toc187035505"/>
      <w:bookmarkStart w:id="615" w:name="_Toc187053973"/>
      <w:bookmarkStart w:id="616" w:name="_Toc188695646"/>
      <w:r>
        <w:rPr>
          <w:rStyle w:val="CharPartNo"/>
        </w:rPr>
        <w:t>Part V</w:t>
      </w:r>
      <w:r>
        <w:rPr>
          <w:rStyle w:val="CharDivNo"/>
        </w:rPr>
        <w:t> </w:t>
      </w:r>
      <w:r>
        <w:t>—</w:t>
      </w:r>
      <w:r>
        <w:rPr>
          <w:rStyle w:val="CharDivText"/>
        </w:rPr>
        <w:t> </w:t>
      </w:r>
      <w:r>
        <w:rPr>
          <w:rStyle w:val="CharPartText"/>
        </w:rPr>
        <w:t>Inspectors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Footnoteheading"/>
        <w:spacing w:before="80"/>
        <w:rPr>
          <w:snapToGrid w:val="0"/>
        </w:rPr>
      </w:pPr>
      <w:r>
        <w:rPr>
          <w:snapToGrid w:val="0"/>
        </w:rPr>
        <w:tab/>
        <w:t xml:space="preserve">[Heading inserted by No. 43 of 1987 s. 13.] </w:t>
      </w:r>
    </w:p>
    <w:p>
      <w:pPr>
        <w:pStyle w:val="Heading5"/>
        <w:spacing w:before="180"/>
      </w:pPr>
      <w:bookmarkStart w:id="617" w:name="_Toc109702853"/>
      <w:bookmarkStart w:id="618" w:name="_Toc188695647"/>
      <w:bookmarkStart w:id="619" w:name="_Toc187053974"/>
      <w:bookmarkStart w:id="620" w:name="_Toc402776423"/>
      <w:bookmarkStart w:id="621" w:name="_Toc403985286"/>
      <w:bookmarkStart w:id="622" w:name="_Toc59593060"/>
      <w:r>
        <w:rPr>
          <w:rStyle w:val="CharSectno"/>
        </w:rPr>
        <w:t>41A</w:t>
      </w:r>
      <w:r>
        <w:t>.</w:t>
      </w:r>
      <w:r>
        <w:tab/>
        <w:t>Extended meaning of “employer” and “employee”</w:t>
      </w:r>
      <w:bookmarkEnd w:id="617"/>
      <w:bookmarkEnd w:id="618"/>
      <w:bookmarkEnd w:id="619"/>
    </w:p>
    <w:p>
      <w:pPr>
        <w:pStyle w:val="Subsection"/>
        <w:spacing w:before="120"/>
      </w:pPr>
      <w:r>
        <w:tab/>
      </w:r>
      <w:r>
        <w:tab/>
        <w:t xml:space="preserve">In this Part — </w:t>
      </w:r>
    </w:p>
    <w:p>
      <w:pPr>
        <w:pStyle w:val="Defstart"/>
        <w:rPr>
          <w:rFonts w:ascii="Times" w:hAnsi="Times"/>
          <w:spacing w:val="-2"/>
        </w:rPr>
      </w:pPr>
      <w:r>
        <w:rPr>
          <w:b/>
        </w:rPr>
        <w:tab/>
        <w:t>“</w:t>
      </w:r>
      <w:r>
        <w:rPr>
          <w:rStyle w:val="CharDefText"/>
        </w:rPr>
        <w:t>employer</w:t>
      </w:r>
      <w:r>
        <w:rPr>
          <w:b/>
        </w:rPr>
        <w:t>”</w:t>
      </w:r>
      <w:r>
        <w:t xml:space="preserve"> and </w:t>
      </w:r>
      <w:r>
        <w:rPr>
          <w:b/>
        </w:rPr>
        <w:t>“</w:t>
      </w:r>
      <w:r>
        <w:rPr>
          <w:rStyle w:val="CharDefText"/>
        </w:rPr>
        <w:t>employee</w:t>
      </w:r>
      <w:r>
        <w:rPr>
          <w:b/>
        </w:rPr>
        <w:t>”</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pPr>
      <w:r>
        <w:tab/>
        <w:t>[Section 41A inserted by No. 51 of 2004 s. 9.]</w:t>
      </w:r>
    </w:p>
    <w:p>
      <w:pPr>
        <w:pStyle w:val="Heading5"/>
        <w:spacing w:before="180"/>
      </w:pPr>
      <w:bookmarkStart w:id="623" w:name="_Toc109702854"/>
      <w:bookmarkStart w:id="624" w:name="_Toc188695648"/>
      <w:bookmarkStart w:id="625" w:name="_Toc187053975"/>
      <w:bookmarkStart w:id="626" w:name="_Toc402776424"/>
      <w:bookmarkStart w:id="627" w:name="_Toc403985287"/>
      <w:bookmarkStart w:id="628" w:name="_Toc59593061"/>
      <w:bookmarkEnd w:id="620"/>
      <w:bookmarkEnd w:id="621"/>
      <w:bookmarkEnd w:id="622"/>
      <w:r>
        <w:rPr>
          <w:rStyle w:val="CharSectno"/>
        </w:rPr>
        <w:t>42</w:t>
      </w:r>
      <w:r>
        <w:t>.</w:t>
      </w:r>
      <w:r>
        <w:tab/>
        <w:t>Appointment of inspectors</w:t>
      </w:r>
      <w:bookmarkEnd w:id="623"/>
      <w:bookmarkEnd w:id="624"/>
      <w:bookmarkEnd w:id="625"/>
    </w:p>
    <w:p>
      <w:pPr>
        <w:pStyle w:val="Subsection"/>
        <w:spacing w:before="120"/>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pPr>
      <w:r>
        <w:tab/>
        <w:t>[Section 42 inserted by No. 51 of 2004 s. 58.]</w:t>
      </w:r>
    </w:p>
    <w:p>
      <w:pPr>
        <w:pStyle w:val="Heading5"/>
        <w:spacing w:before="180"/>
      </w:pPr>
      <w:bookmarkStart w:id="629" w:name="_Toc109702855"/>
      <w:bookmarkStart w:id="630" w:name="_Toc188695649"/>
      <w:bookmarkStart w:id="631" w:name="_Toc187053976"/>
      <w:r>
        <w:rPr>
          <w:rStyle w:val="CharSectno"/>
        </w:rPr>
        <w:t>42A</w:t>
      </w:r>
      <w:r>
        <w:t>.</w:t>
      </w:r>
      <w:r>
        <w:tab/>
        <w:t>Appointment of restricted inspectors</w:t>
      </w:r>
      <w:bookmarkEnd w:id="629"/>
      <w:bookmarkEnd w:id="630"/>
      <w:bookmarkEnd w:id="631"/>
    </w:p>
    <w:p>
      <w:pPr>
        <w:pStyle w:val="Subsection"/>
        <w:spacing w:before="120"/>
      </w:pPr>
      <w:r>
        <w:tab/>
        <w:t>(1)</w:t>
      </w:r>
      <w:r>
        <w:tab/>
        <w:t xml:space="preserve">The Commissioner may, by instrument in writing, appoint any person employed in the Public Service under Part 3 of the </w:t>
      </w:r>
      <w:r>
        <w:rPr>
          <w:i/>
        </w:rPr>
        <w:t xml:space="preserve">Public Sector Management Act 1994 </w:t>
      </w:r>
      <w:r>
        <w:t xml:space="preserve">to be a restricted inspector for — </w:t>
      </w:r>
    </w:p>
    <w:p>
      <w:pPr>
        <w:pStyle w:val="Indenta"/>
      </w:pPr>
      <w:r>
        <w:tab/>
        <w:t>(a)</w:t>
      </w:r>
      <w:r>
        <w:tab/>
        <w:t>the State; or</w:t>
      </w:r>
    </w:p>
    <w:p>
      <w:pPr>
        <w:pStyle w:val="Indenta"/>
      </w:pPr>
      <w:r>
        <w:tab/>
        <w:t>(b)</w:t>
      </w:r>
      <w:r>
        <w:tab/>
        <w:t>any specified area of the State,</w:t>
      </w:r>
    </w:p>
    <w:p>
      <w:pPr>
        <w:pStyle w:val="Subsection"/>
        <w:spacing w:before="120"/>
      </w:pPr>
      <w:r>
        <w:tab/>
      </w:r>
      <w:r>
        <w:tab/>
        <w:t>during the period specified in the instrument.</w:t>
      </w:r>
    </w:p>
    <w:p>
      <w:pPr>
        <w:pStyle w:val="Subsection"/>
        <w:spacing w:before="120"/>
      </w:pPr>
      <w:r>
        <w:tab/>
        <w:t>(2)</w:t>
      </w:r>
      <w:r>
        <w:tab/>
        <w:t xml:space="preserve">A person ceases to be a restricted inspector —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spacing w:before="120"/>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 by No. 51 of 2004 s. 58.]</w:t>
      </w:r>
    </w:p>
    <w:p>
      <w:pPr>
        <w:pStyle w:val="Heading5"/>
      </w:pPr>
      <w:bookmarkStart w:id="632" w:name="_Toc109702856"/>
      <w:bookmarkStart w:id="633" w:name="_Toc188695650"/>
      <w:bookmarkStart w:id="634" w:name="_Toc187053977"/>
      <w:r>
        <w:rPr>
          <w:rStyle w:val="CharSectno"/>
        </w:rPr>
        <w:t>42B</w:t>
      </w:r>
      <w:r>
        <w:t>.</w:t>
      </w:r>
      <w:r>
        <w:tab/>
        <w:t>Powers of restricted inspector</w:t>
      </w:r>
      <w:bookmarkEnd w:id="632"/>
      <w:bookmarkEnd w:id="633"/>
      <w:bookmarkEnd w:id="634"/>
    </w:p>
    <w:p>
      <w:pPr>
        <w:pStyle w:val="Subsection"/>
        <w:spacing w:before="120"/>
      </w:pPr>
      <w:r>
        <w:tab/>
        <w:t>(1)</w:t>
      </w:r>
      <w:r>
        <w:tab/>
        <w:t xml:space="preserve">A restricted inspector has, in respect of — </w:t>
      </w:r>
    </w:p>
    <w:p>
      <w:pPr>
        <w:pStyle w:val="Indenta"/>
      </w:pPr>
      <w:r>
        <w:tab/>
        <w:t>(a)</w:t>
      </w:r>
      <w:r>
        <w:tab/>
        <w:t xml:space="preserve">the State; or </w:t>
      </w:r>
    </w:p>
    <w:p>
      <w:pPr>
        <w:pStyle w:val="Indenta"/>
      </w:pPr>
      <w:r>
        <w:tab/>
        <w:t>(b)</w:t>
      </w:r>
      <w:r>
        <w:tab/>
        <w:t xml:space="preserve">the area of the State for which the restricted inspector is appointed, </w:t>
      </w:r>
    </w:p>
    <w:p>
      <w:pPr>
        <w:pStyle w:val="Subsection"/>
        <w:spacing w:before="120"/>
      </w:pPr>
      <w:r>
        <w:tab/>
      </w:r>
      <w:r>
        <w:tab/>
        <w:t>such of the functions of an inspector under this Act as are specified in the instrument of appointment.</w:t>
      </w:r>
    </w:p>
    <w:p>
      <w:pPr>
        <w:pStyle w:val="Subsection"/>
        <w:spacing w:before="120"/>
      </w:pPr>
      <w:r>
        <w:tab/>
        <w:t>(2)</w:t>
      </w:r>
      <w:r>
        <w:tab/>
        <w:t>The performance of a function by a restricted inspector may be made subject to any condition or limitation.</w:t>
      </w:r>
    </w:p>
    <w:p>
      <w:pPr>
        <w:pStyle w:val="Subsection"/>
        <w:spacing w:before="120"/>
      </w:pPr>
      <w:r>
        <w:tab/>
        <w:t>(3)</w:t>
      </w:r>
      <w:r>
        <w:tab/>
        <w:t>To the extent provided by the instrument of appointment, and subject to that instrument, a restricted inspector is taken to be an inspector appointed under section 42.</w:t>
      </w:r>
    </w:p>
    <w:p>
      <w:pPr>
        <w:pStyle w:val="Footnotesection"/>
      </w:pPr>
      <w:r>
        <w:tab/>
        <w:t>[Section 42B inserted by No. 51 of 2004 s. 58.]</w:t>
      </w:r>
    </w:p>
    <w:p>
      <w:pPr>
        <w:pStyle w:val="Heading5"/>
      </w:pPr>
      <w:bookmarkStart w:id="635" w:name="_Toc109702857"/>
      <w:bookmarkStart w:id="636" w:name="_Toc188695651"/>
      <w:bookmarkStart w:id="637" w:name="_Toc187053978"/>
      <w:r>
        <w:rPr>
          <w:rStyle w:val="CharSectno"/>
        </w:rPr>
        <w:t>42C</w:t>
      </w:r>
      <w:r>
        <w:t>.</w:t>
      </w:r>
      <w:r>
        <w:tab/>
        <w:t>Certificate of appointment</w:t>
      </w:r>
      <w:bookmarkEnd w:id="635"/>
      <w:bookmarkEnd w:id="636"/>
      <w:bookmarkEnd w:id="637"/>
    </w:p>
    <w:p>
      <w:pPr>
        <w:pStyle w:val="Subsection"/>
        <w:spacing w:before="120"/>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spacing w:before="120"/>
        <w:rPr>
          <w:snapToGrid w:val="0"/>
        </w:rPr>
      </w:pPr>
      <w:r>
        <w:rPr>
          <w:snapToGrid w:val="0"/>
        </w:rPr>
        <w:tab/>
        <w:t>(2)</w:t>
      </w:r>
      <w:r>
        <w:rPr>
          <w:snapToGrid w:val="0"/>
        </w:rPr>
        <w:tab/>
        <w:t xml:space="preserve">An inspector or a restricted inspector must produce the certificate to a person if —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spacing w:before="120"/>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by No. 51 of 2004 s. 58.]</w:t>
      </w:r>
    </w:p>
    <w:p>
      <w:pPr>
        <w:pStyle w:val="Heading5"/>
        <w:rPr>
          <w:snapToGrid w:val="0"/>
        </w:rPr>
      </w:pPr>
      <w:bookmarkStart w:id="638" w:name="_Toc109702858"/>
      <w:bookmarkStart w:id="639" w:name="_Toc188695652"/>
      <w:bookmarkStart w:id="640" w:name="_Toc187053979"/>
      <w:r>
        <w:rPr>
          <w:rStyle w:val="CharSectno"/>
        </w:rPr>
        <w:t>43</w:t>
      </w:r>
      <w:r>
        <w:rPr>
          <w:snapToGrid w:val="0"/>
        </w:rPr>
        <w:t>.</w:t>
      </w:r>
      <w:r>
        <w:rPr>
          <w:snapToGrid w:val="0"/>
        </w:rPr>
        <w:tab/>
        <w:t>Powers</w:t>
      </w:r>
      <w:bookmarkEnd w:id="626"/>
      <w:bookmarkEnd w:id="627"/>
      <w:bookmarkEnd w:id="628"/>
      <w:bookmarkEnd w:id="638"/>
      <w:bookmarkEnd w:id="639"/>
      <w:bookmarkEnd w:id="640"/>
      <w:r>
        <w:rPr>
          <w:snapToGrid w:val="0"/>
        </w:rPr>
        <w:t xml:space="preserve"> </w:t>
      </w:r>
    </w:p>
    <w:p>
      <w:pPr>
        <w:pStyle w:val="Subsection"/>
        <w:rPr>
          <w:snapToGrid w:val="0"/>
        </w:rPr>
      </w:pPr>
      <w:r>
        <w:rPr>
          <w:snapToGrid w:val="0"/>
        </w:rPr>
        <w:tab/>
        <w:t>(1)</w:t>
      </w:r>
      <w:r>
        <w:rPr>
          <w:snapToGrid w:val="0"/>
        </w:rPr>
        <w:tab/>
        <w:t>An inspector may, for the purposes of this Act —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 xml:space="preserve">in accordance with subsections (1b) and (1c), interview any person who the inspector has reasonable grounds to believe — </w:t>
      </w:r>
    </w:p>
    <w:p>
      <w:pPr>
        <w:pStyle w:val="Indenti"/>
      </w:pPr>
      <w:r>
        <w:tab/>
        <w:t>(i)</w:t>
      </w:r>
      <w:r>
        <w:tab/>
        <w:t xml:space="preserve">is, or was at any time during the preceding 3 years — </w:t>
      </w:r>
    </w:p>
    <w:p>
      <w:pPr>
        <w:pStyle w:val="IndentI0"/>
      </w:pPr>
      <w:r>
        <w:tab/>
        <w:t>(I)</w:t>
      </w:r>
      <w:r>
        <w:tab/>
        <w:t>an employee working at a workplace; or</w:t>
      </w:r>
    </w:p>
    <w:p>
      <w:pPr>
        <w:pStyle w:val="IndentI0"/>
      </w:pPr>
      <w:r>
        <w:tab/>
        <w:t>(II)</w:t>
      </w:r>
      <w:r>
        <w:tab/>
        <w:t>an employee occupying residential premises mentioned in section 39G(2),</w:t>
      </w:r>
    </w:p>
    <w:p>
      <w:pPr>
        <w:pStyle w:val="Indenti"/>
      </w:pPr>
      <w:r>
        <w:tab/>
      </w:r>
      <w:r>
        <w:tab/>
        <w:t>in relation to which the inspector is inquiring;</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 xml:space="preserve">In subsection (1) — </w:t>
      </w:r>
    </w:p>
    <w:p>
      <w:pPr>
        <w:pStyle w:val="Defstart"/>
      </w:pPr>
      <w:r>
        <w:rPr>
          <w:b/>
        </w:rPr>
        <w:tab/>
        <w:t>“</w:t>
      </w:r>
      <w:r>
        <w:rPr>
          <w:rStyle w:val="CharDefText"/>
        </w:rPr>
        <w:t>workplace</w:t>
      </w:r>
      <w:r>
        <w:rPr>
          <w:b/>
        </w:rPr>
        <w:t>”</w:t>
      </w:r>
      <w:r>
        <w:t xml:space="preserve"> includes residential premises that an employer is or was under a duty to maintain by virtue of section 23G(2).</w:t>
      </w:r>
    </w:p>
    <w:p>
      <w:pPr>
        <w:pStyle w:val="Subsection"/>
      </w:pPr>
      <w:r>
        <w:tab/>
        <w:t>(1b)</w:t>
      </w:r>
      <w:r>
        <w:tab/>
        <w:t xml:space="preserve">An interview referred to in subsection (1)(k)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 xml:space="preserve">Subsection (1b)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 xml:space="preserve">[Section 43 inserted by No. 43 of 1987 s. 13; amended by No. 30 of 1995 s. 32; No. 54 of 2002 s. 7; No. 51 of 2004 s. 10, 59, 91, 102.] </w:t>
      </w:r>
    </w:p>
    <w:p>
      <w:pPr>
        <w:pStyle w:val="Heading5"/>
        <w:rPr>
          <w:snapToGrid w:val="0"/>
        </w:rPr>
      </w:pPr>
      <w:bookmarkStart w:id="641" w:name="_Toc402776425"/>
      <w:bookmarkStart w:id="642" w:name="_Toc403985288"/>
      <w:bookmarkStart w:id="643" w:name="_Toc59593062"/>
      <w:bookmarkStart w:id="644" w:name="_Toc109702859"/>
      <w:bookmarkStart w:id="645" w:name="_Toc188695653"/>
      <w:bookmarkStart w:id="646" w:name="_Toc187053980"/>
      <w:r>
        <w:rPr>
          <w:rStyle w:val="CharSectno"/>
        </w:rPr>
        <w:t>44</w:t>
      </w:r>
      <w:r>
        <w:rPr>
          <w:snapToGrid w:val="0"/>
        </w:rPr>
        <w:t>.</w:t>
      </w:r>
      <w:r>
        <w:rPr>
          <w:snapToGrid w:val="0"/>
        </w:rPr>
        <w:tab/>
        <w:t>Interpreters</w:t>
      </w:r>
      <w:bookmarkEnd w:id="641"/>
      <w:bookmarkEnd w:id="642"/>
      <w:bookmarkEnd w:id="643"/>
      <w:bookmarkEnd w:id="644"/>
      <w:bookmarkEnd w:id="645"/>
      <w:bookmarkEnd w:id="646"/>
      <w:r>
        <w:rPr>
          <w:snapToGrid w:val="0"/>
        </w:rPr>
        <w:t xml:space="preserve"> </w:t>
      </w:r>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 xml:space="preserve">[Section 44 inserted by No. 43 of 1987 s. 13; amended by No. 51 of 2004 s. 102(1) and (2).] </w:t>
      </w:r>
    </w:p>
    <w:p>
      <w:pPr>
        <w:pStyle w:val="Heading5"/>
        <w:rPr>
          <w:snapToGrid w:val="0"/>
        </w:rPr>
      </w:pPr>
      <w:bookmarkStart w:id="647" w:name="_Toc402776426"/>
      <w:bookmarkStart w:id="648" w:name="_Toc403985289"/>
      <w:bookmarkStart w:id="649" w:name="_Toc59593063"/>
      <w:bookmarkStart w:id="650" w:name="_Toc109702860"/>
      <w:bookmarkStart w:id="651" w:name="_Toc188695654"/>
      <w:bookmarkStart w:id="652" w:name="_Toc187053981"/>
      <w:r>
        <w:rPr>
          <w:rStyle w:val="CharSectno"/>
        </w:rPr>
        <w:t>45</w:t>
      </w:r>
      <w:r>
        <w:rPr>
          <w:snapToGrid w:val="0"/>
        </w:rPr>
        <w:t>.</w:t>
      </w:r>
      <w:r>
        <w:rPr>
          <w:snapToGrid w:val="0"/>
        </w:rPr>
        <w:tab/>
        <w:t>Notification by inspector</w:t>
      </w:r>
      <w:bookmarkEnd w:id="647"/>
      <w:bookmarkEnd w:id="648"/>
      <w:bookmarkEnd w:id="649"/>
      <w:bookmarkEnd w:id="650"/>
      <w:bookmarkEnd w:id="651"/>
      <w:bookmarkEnd w:id="652"/>
      <w:r>
        <w:rPr>
          <w:snapToGrid w:val="0"/>
        </w:rPr>
        <w:t xml:space="preserve"> </w:t>
      </w:r>
    </w:p>
    <w:p>
      <w:pPr>
        <w:pStyle w:val="Subsection"/>
        <w:keepNext/>
      </w:pPr>
      <w:r>
        <w:tab/>
        <w:t>(1)</w:t>
      </w:r>
      <w:r>
        <w:tab/>
        <w:t xml:space="preserve">In this section — </w:t>
      </w:r>
    </w:p>
    <w:p>
      <w:pPr>
        <w:pStyle w:val="Defstart"/>
      </w:pPr>
      <w:r>
        <w:rPr>
          <w:b/>
        </w:rPr>
        <w:tab/>
        <w:t>“</w:t>
      </w:r>
      <w:r>
        <w:rPr>
          <w:rStyle w:val="CharDefText"/>
        </w:rPr>
        <w:t>relevant</w:t>
      </w:r>
      <w:r>
        <w:rPr>
          <w:b/>
        </w:rPr>
        <w:t>”</w:t>
      </w:r>
      <w:r>
        <w:t xml:space="preserve"> — </w:t>
      </w:r>
    </w:p>
    <w:p>
      <w:pPr>
        <w:pStyle w:val="Defpara"/>
      </w:pPr>
      <w:r>
        <w:tab/>
        <w:t>(a)</w:t>
      </w:r>
      <w:r>
        <w:tab/>
        <w:t xml:space="preserve">in relation to an employer, means an employer whose employees — </w:t>
      </w:r>
    </w:p>
    <w:p>
      <w:pPr>
        <w:pStyle w:val="Defsubpara"/>
      </w:pPr>
      <w:r>
        <w:tab/>
        <w:t>(i)</w:t>
      </w:r>
      <w:r>
        <w:tab/>
        <w:t xml:space="preserve">carry out, in a workplace, work of a kind; or </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 xml:space="preserve">in relation to — </w:t>
      </w:r>
    </w:p>
    <w:p>
      <w:pPr>
        <w:pStyle w:val="Defsubpara"/>
      </w:pPr>
      <w:r>
        <w:tab/>
        <w:t>(i)</w:t>
      </w:r>
      <w:r>
        <w:tab/>
        <w:t xml:space="preserve">a safety and health representative; or </w:t>
      </w:r>
    </w:p>
    <w:p>
      <w:pPr>
        <w:pStyle w:val="Defsubpara"/>
      </w:pPr>
      <w:r>
        <w:tab/>
        <w:t>(ii)</w:t>
      </w:r>
      <w:r>
        <w:tab/>
        <w:t xml:space="preserve">a safety and health committee, </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 xml:space="preserve">[Section 45 inserted by No. 43 of 1987 s. 13; amended by No. 30 of 1995 s. 47; No. 51 of 2004 s. 60, 92 and 102(1).] </w:t>
      </w:r>
    </w:p>
    <w:p>
      <w:pPr>
        <w:pStyle w:val="Heading5"/>
        <w:rPr>
          <w:snapToGrid w:val="0"/>
        </w:rPr>
      </w:pPr>
      <w:bookmarkStart w:id="653" w:name="_Toc402776427"/>
      <w:bookmarkStart w:id="654" w:name="_Toc403985290"/>
      <w:bookmarkStart w:id="655" w:name="_Toc59593064"/>
      <w:bookmarkStart w:id="656" w:name="_Toc109702861"/>
      <w:bookmarkStart w:id="657" w:name="_Toc188695655"/>
      <w:bookmarkStart w:id="658" w:name="_Toc187053982"/>
      <w:r>
        <w:rPr>
          <w:rStyle w:val="CharSectno"/>
        </w:rPr>
        <w:t>46</w:t>
      </w:r>
      <w:r>
        <w:rPr>
          <w:snapToGrid w:val="0"/>
        </w:rPr>
        <w:t>.</w:t>
      </w:r>
      <w:r>
        <w:rPr>
          <w:snapToGrid w:val="0"/>
        </w:rPr>
        <w:tab/>
        <w:t>Samples</w:t>
      </w:r>
      <w:bookmarkEnd w:id="653"/>
      <w:bookmarkEnd w:id="654"/>
      <w:bookmarkEnd w:id="655"/>
      <w:bookmarkEnd w:id="656"/>
      <w:bookmarkEnd w:id="657"/>
      <w:bookmarkEnd w:id="658"/>
      <w:r>
        <w:rPr>
          <w:snapToGrid w:val="0"/>
        </w:rPr>
        <w:t xml:space="preserve"> </w:t>
      </w:r>
    </w:p>
    <w:p>
      <w:pPr>
        <w:pStyle w:val="Subsection"/>
        <w:spacing w:before="120"/>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spacing w:before="120"/>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spacing w:before="120"/>
        <w:rPr>
          <w:snapToGrid w:val="0"/>
        </w:rPr>
      </w:pPr>
      <w:r>
        <w:rPr>
          <w:snapToGrid w:val="0"/>
        </w:rPr>
        <w:tab/>
        <w:t>(3)</w:t>
      </w:r>
      <w:r>
        <w:rPr>
          <w:snapToGrid w:val="0"/>
        </w:rPr>
        <w:tab/>
        <w:t>Subsection (2) does not apply in respect of the results of the analysis of a personal biological sample provided by an employee unless —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pPr>
      <w:r>
        <w:tab/>
        <w:t xml:space="preserve">[Section 46 inserted by No. 43 of 1987 s. 13; amended by No. 30 of 1995 s. 33 and 47; No. 51 of 2004 s. 102(1).] </w:t>
      </w:r>
    </w:p>
    <w:p>
      <w:pPr>
        <w:pStyle w:val="Heading5"/>
        <w:rPr>
          <w:snapToGrid w:val="0"/>
        </w:rPr>
      </w:pPr>
      <w:bookmarkStart w:id="659" w:name="_Toc402776428"/>
      <w:bookmarkStart w:id="660" w:name="_Toc403985291"/>
      <w:bookmarkStart w:id="661" w:name="_Toc59593065"/>
      <w:bookmarkStart w:id="662" w:name="_Toc109702862"/>
      <w:bookmarkStart w:id="663" w:name="_Toc188695656"/>
      <w:bookmarkStart w:id="664" w:name="_Toc187053983"/>
      <w:r>
        <w:rPr>
          <w:rStyle w:val="CharSectno"/>
        </w:rPr>
        <w:t>47</w:t>
      </w:r>
      <w:r>
        <w:rPr>
          <w:snapToGrid w:val="0"/>
        </w:rPr>
        <w:t>.</w:t>
      </w:r>
      <w:r>
        <w:rPr>
          <w:snapToGrid w:val="0"/>
        </w:rPr>
        <w:tab/>
        <w:t>Offences</w:t>
      </w:r>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r>
      <w:r>
        <w:t>If a person</w:t>
      </w:r>
      <w:r>
        <w:rPr>
          <w:snapToGrid w:val="0"/>
        </w:rPr>
        <w:t> — </w:t>
      </w:r>
    </w:p>
    <w:p>
      <w:pPr>
        <w:pStyle w:val="Indenta"/>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rPr>
          <w:snapToGrid w:val="0"/>
        </w:rPr>
      </w:pPr>
      <w:r>
        <w:rPr>
          <w:snapToGrid w:val="0"/>
        </w:rPr>
        <w:tab/>
        <w:t>(c)</w:t>
      </w:r>
      <w:r>
        <w:rPr>
          <w:snapToGrid w:val="0"/>
        </w:rPr>
        <w:tab/>
        <w:t>contravenes any requirement of an inspector made under this Act;</w:t>
      </w:r>
    </w:p>
    <w:p>
      <w:pPr>
        <w:pStyle w:val="Indenta"/>
        <w:rPr>
          <w:snapToGrid w:val="0"/>
        </w:rPr>
      </w:pPr>
      <w:r>
        <w:rPr>
          <w:snapToGrid w:val="0"/>
        </w:rPr>
        <w:tab/>
        <w:t>(d)</w:t>
      </w:r>
      <w:r>
        <w:rPr>
          <w:snapToGrid w:val="0"/>
        </w:rPr>
        <w:tab/>
        <w:t>provides to an inspector an answer or information that is false or misleading in any material particular;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r>
      <w:r>
        <w:t>the person</w:t>
      </w:r>
      <w:r>
        <w:rPr>
          <w:snapToGrid w:val="0"/>
        </w:rPr>
        <w:t xml:space="preserve"> commits an offence.</w:t>
      </w:r>
    </w:p>
    <w:p>
      <w:pPr>
        <w:pStyle w:val="Subsection"/>
      </w:pPr>
      <w:r>
        <w:tab/>
        <w:t>(2)</w:t>
      </w:r>
      <w:r>
        <w:tab/>
        <w:t xml:space="preserve">A person is not excused from complying with a requirement under this Act to — </w:t>
      </w:r>
    </w:p>
    <w:p>
      <w:pPr>
        <w:pStyle w:val="Indenta"/>
      </w:pPr>
      <w:r>
        <w:tab/>
        <w:t>(a)</w:t>
      </w:r>
      <w:r>
        <w:tab/>
        <w:t xml:space="preserve">answer a question; </w:t>
      </w:r>
    </w:p>
    <w:p>
      <w:pPr>
        <w:pStyle w:val="Indenta"/>
      </w:pPr>
      <w:r>
        <w:tab/>
        <w:t>(b)</w:t>
      </w:r>
      <w:r>
        <w:tab/>
        <w:t>provide information; or</w:t>
      </w:r>
    </w:p>
    <w:p>
      <w:pPr>
        <w:pStyle w:val="Indenta"/>
      </w:pPr>
      <w:r>
        <w:tab/>
        <w:t>(c)</w:t>
      </w:r>
      <w:r>
        <w:tab/>
        <w:t>produce a document,</w:t>
      </w:r>
    </w:p>
    <w:p>
      <w:pPr>
        <w:pStyle w:val="Subsection"/>
      </w:pPr>
      <w:r>
        <w:tab/>
      </w:r>
      <w:r>
        <w:tab/>
        <w:t>on the ground that to do so might tend to incriminate the person or make the person liable to a penalty.</w:t>
      </w:r>
    </w:p>
    <w:p>
      <w:pPr>
        <w:pStyle w:val="Subsection"/>
      </w:pPr>
      <w:r>
        <w:tab/>
        <w:t>(3)</w:t>
      </w:r>
      <w:r>
        <w:tab/>
        <w:t xml:space="preserve">However —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 xml:space="preserve">Subsection (3) does not apply — </w:t>
      </w:r>
    </w:p>
    <w:p>
      <w:pPr>
        <w:pStyle w:val="Indenta"/>
      </w:pPr>
      <w:r>
        <w:tab/>
        <w:t>(a)</w:t>
      </w:r>
      <w:r>
        <w:tab/>
        <w:t xml:space="preserve">to —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 xml:space="preserve">to —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 xml:space="preserve">[Section 47 inserted by No. 43 of 1987 s. 13; amended by No. 30 of 1995 s. 34; No. 51 of 2004 s. 61, 93 and 102(2).] </w:t>
      </w:r>
    </w:p>
    <w:p>
      <w:pPr>
        <w:pStyle w:val="Heading2"/>
      </w:pPr>
      <w:bookmarkStart w:id="665" w:name="_Toc88990683"/>
      <w:bookmarkStart w:id="666" w:name="_Toc89568245"/>
      <w:bookmarkStart w:id="667" w:name="_Toc93200952"/>
      <w:bookmarkStart w:id="668" w:name="_Toc97006623"/>
      <w:bookmarkStart w:id="669" w:name="_Toc100545209"/>
      <w:bookmarkStart w:id="670" w:name="_Toc100716688"/>
      <w:bookmarkStart w:id="671" w:name="_Toc102546277"/>
      <w:bookmarkStart w:id="672" w:name="_Toc103141500"/>
      <w:bookmarkStart w:id="673" w:name="_Toc105909112"/>
      <w:bookmarkStart w:id="674" w:name="_Toc105921998"/>
      <w:bookmarkStart w:id="675" w:name="_Toc106616836"/>
      <w:bookmarkStart w:id="676" w:name="_Toc108848580"/>
      <w:bookmarkStart w:id="677" w:name="_Toc109702863"/>
      <w:bookmarkStart w:id="678" w:name="_Toc113700420"/>
      <w:bookmarkStart w:id="679" w:name="_Toc113779078"/>
      <w:bookmarkStart w:id="680" w:name="_Toc122767459"/>
      <w:bookmarkStart w:id="681" w:name="_Toc122767702"/>
      <w:bookmarkStart w:id="682" w:name="_Toc131409949"/>
      <w:bookmarkStart w:id="683" w:name="_Toc187035516"/>
      <w:bookmarkStart w:id="684" w:name="_Toc187053984"/>
      <w:bookmarkStart w:id="685" w:name="_Toc188695657"/>
      <w:r>
        <w:rPr>
          <w:rStyle w:val="CharPartNo"/>
        </w:rPr>
        <w:t>Part VI</w:t>
      </w:r>
      <w:r>
        <w:t> — </w:t>
      </w:r>
      <w:r>
        <w:rPr>
          <w:rStyle w:val="CharPartText"/>
        </w:rPr>
        <w:t>Improvement and prohibition notices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686" w:name="_Toc100545210"/>
      <w:bookmarkStart w:id="687" w:name="_Toc100716689"/>
      <w:bookmarkStart w:id="688" w:name="_Toc102546278"/>
      <w:bookmarkStart w:id="689" w:name="_Toc103141501"/>
      <w:bookmarkStart w:id="690" w:name="_Toc105909113"/>
      <w:bookmarkStart w:id="691" w:name="_Toc105921999"/>
      <w:bookmarkStart w:id="692" w:name="_Toc106616837"/>
      <w:bookmarkStart w:id="693" w:name="_Toc108848581"/>
      <w:bookmarkStart w:id="694" w:name="_Toc109702864"/>
      <w:bookmarkStart w:id="695" w:name="_Toc113700421"/>
      <w:bookmarkStart w:id="696" w:name="_Toc113779079"/>
      <w:bookmarkStart w:id="697" w:name="_Toc122767460"/>
      <w:bookmarkStart w:id="698" w:name="_Toc122767703"/>
      <w:bookmarkStart w:id="699" w:name="_Toc131409950"/>
      <w:bookmarkStart w:id="700" w:name="_Toc187035517"/>
      <w:bookmarkStart w:id="701" w:name="_Toc187053985"/>
      <w:bookmarkStart w:id="702" w:name="_Toc188695658"/>
      <w:bookmarkStart w:id="703" w:name="_Toc402776429"/>
      <w:bookmarkStart w:id="704" w:name="_Toc403985292"/>
      <w:bookmarkStart w:id="705" w:name="_Toc59593066"/>
      <w:r>
        <w:rPr>
          <w:rStyle w:val="CharDivNo"/>
        </w:rPr>
        <w:t>Division 1</w:t>
      </w:r>
      <w:r>
        <w:t> — </w:t>
      </w:r>
      <w:r>
        <w:rPr>
          <w:rStyle w:val="CharDivText"/>
        </w:rPr>
        <w:t>Issue of notices by inspector</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Footnoteheading"/>
        <w:rPr>
          <w:snapToGrid w:val="0"/>
        </w:rPr>
      </w:pPr>
      <w:r>
        <w:rPr>
          <w:snapToGrid w:val="0"/>
        </w:rPr>
        <w:tab/>
        <w:t xml:space="preserve">[Heading inserted by No. 51 of 2004 s. 54.] </w:t>
      </w:r>
    </w:p>
    <w:p>
      <w:pPr>
        <w:pStyle w:val="Heading5"/>
      </w:pPr>
      <w:bookmarkStart w:id="706" w:name="_Toc109702865"/>
      <w:bookmarkStart w:id="707" w:name="_Toc188695659"/>
      <w:bookmarkStart w:id="708" w:name="_Toc187053986"/>
      <w:r>
        <w:rPr>
          <w:rStyle w:val="CharSectno"/>
        </w:rPr>
        <w:t>47A</w:t>
      </w:r>
      <w:r>
        <w:t>.</w:t>
      </w:r>
      <w:r>
        <w:tab/>
        <w:t>Extended meaning of “employer” and “employee”</w:t>
      </w:r>
      <w:bookmarkEnd w:id="706"/>
      <w:bookmarkEnd w:id="707"/>
      <w:bookmarkEnd w:id="708"/>
    </w:p>
    <w:p>
      <w:pPr>
        <w:pStyle w:val="Subsection"/>
      </w:pPr>
      <w:r>
        <w:tab/>
      </w:r>
      <w:r>
        <w:tab/>
        <w:t xml:space="preserve">In this Part — </w:t>
      </w:r>
    </w:p>
    <w:p>
      <w:pPr>
        <w:pStyle w:val="Defstart"/>
      </w:pPr>
      <w:r>
        <w:rPr>
          <w:b/>
        </w:rPr>
        <w:tab/>
        <w:t>“</w:t>
      </w:r>
      <w:r>
        <w:rPr>
          <w:rStyle w:val="CharDefText"/>
        </w:rPr>
        <w:t>employer</w:t>
      </w:r>
      <w:r>
        <w:rPr>
          <w:b/>
        </w:rPr>
        <w:t>”</w:t>
      </w:r>
      <w:r>
        <w:t xml:space="preserve"> and </w:t>
      </w:r>
      <w:r>
        <w:rPr>
          <w:b/>
        </w:rPr>
        <w:t>“</w:t>
      </w:r>
      <w:r>
        <w:rPr>
          <w:rStyle w:val="CharDefText"/>
        </w:rPr>
        <w:t>employee</w:t>
      </w:r>
      <w:r>
        <w:rPr>
          <w:b/>
        </w:rPr>
        <w:t>”</w:t>
      </w:r>
      <w:r>
        <w:t xml:space="preserve"> include a person taken to be an employer and an employee respectively by operation of section 23D, 23E or 23F.</w:t>
      </w:r>
    </w:p>
    <w:p>
      <w:pPr>
        <w:pStyle w:val="Footnotesection"/>
      </w:pPr>
      <w:r>
        <w:tab/>
        <w:t>[Section 47A inserted by No. 51 of 2004 s. 11.]</w:t>
      </w:r>
    </w:p>
    <w:p>
      <w:pPr>
        <w:pStyle w:val="Heading5"/>
        <w:rPr>
          <w:snapToGrid w:val="0"/>
        </w:rPr>
      </w:pPr>
      <w:bookmarkStart w:id="709" w:name="_Toc109702866"/>
      <w:bookmarkStart w:id="710" w:name="_Toc188695660"/>
      <w:bookmarkStart w:id="711" w:name="_Toc187053987"/>
      <w:r>
        <w:rPr>
          <w:rStyle w:val="CharSectno"/>
        </w:rPr>
        <w:t>48</w:t>
      </w:r>
      <w:r>
        <w:rPr>
          <w:snapToGrid w:val="0"/>
        </w:rPr>
        <w:t>.</w:t>
      </w:r>
      <w:r>
        <w:rPr>
          <w:snapToGrid w:val="0"/>
        </w:rPr>
        <w:tab/>
        <w:t>Inspectors may issue improvement notices</w:t>
      </w:r>
      <w:bookmarkEnd w:id="703"/>
      <w:bookmarkEnd w:id="704"/>
      <w:bookmarkEnd w:id="705"/>
      <w:bookmarkEnd w:id="709"/>
      <w:bookmarkEnd w:id="710"/>
      <w:bookmarkEnd w:id="711"/>
      <w:r>
        <w:rPr>
          <w:snapToGrid w:val="0"/>
        </w:rPr>
        <w:t xml:space="preserve"> </w:t>
      </w:r>
    </w:p>
    <w:p>
      <w:pPr>
        <w:pStyle w:val="Subsection"/>
        <w:rPr>
          <w:snapToGrid w:val="0"/>
        </w:rPr>
      </w:pPr>
      <w:r>
        <w:rPr>
          <w:snapToGrid w:val="0"/>
        </w:rPr>
        <w:tab/>
        <w:t>(1)</w:t>
      </w:r>
      <w:r>
        <w:rPr>
          <w:snapToGrid w:val="0"/>
        </w:rPr>
        <w:tab/>
        <w:t>Where an inspector is of the opinion that any person —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 </w:t>
      </w:r>
    </w:p>
    <w:p>
      <w:pPr>
        <w:pStyle w:val="Indenta"/>
        <w:spacing w:before="100"/>
        <w:rPr>
          <w:snapToGrid w:val="0"/>
        </w:rPr>
      </w:pPr>
      <w:r>
        <w:rPr>
          <w:snapToGrid w:val="0"/>
        </w:rPr>
        <w:tab/>
        <w:t>(a)</w:t>
      </w:r>
      <w:r>
        <w:rPr>
          <w:snapToGrid w:val="0"/>
        </w:rPr>
        <w:tab/>
        <w:t>state that the inspector is of the opinion that the person — </w:t>
      </w:r>
    </w:p>
    <w:p>
      <w:pPr>
        <w:pStyle w:val="Indenti"/>
        <w:spacing w:before="100"/>
        <w:rPr>
          <w:snapToGrid w:val="0"/>
        </w:rPr>
      </w:pPr>
      <w:r>
        <w:rPr>
          <w:snapToGrid w:val="0"/>
        </w:rPr>
        <w:tab/>
        <w:t>(i)</w:t>
      </w:r>
      <w:r>
        <w:rPr>
          <w:snapToGrid w:val="0"/>
        </w:rPr>
        <w:tab/>
        <w:t>is contravening a provision of this Act; or</w:t>
      </w:r>
    </w:p>
    <w:p>
      <w:pPr>
        <w:pStyle w:val="Indenti"/>
        <w:spacing w:before="100"/>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provision of this Act in respect of which that opinion is held;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 xml:space="preserve">If an improvement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 xml:space="preserve">Subject to sections 51 and 51A, if a person —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 xml:space="preserve">[Section 48 inserted by No. 43 of 1987 s. 13; amended by No. 30 of 1995 s. 35; No. 51 of 2004 s. 94 and 107.] </w:t>
      </w:r>
    </w:p>
    <w:p>
      <w:pPr>
        <w:pStyle w:val="Heading5"/>
        <w:rPr>
          <w:snapToGrid w:val="0"/>
        </w:rPr>
      </w:pPr>
      <w:bookmarkStart w:id="712" w:name="_Toc402776430"/>
      <w:bookmarkStart w:id="713" w:name="_Toc403985293"/>
      <w:bookmarkStart w:id="714" w:name="_Toc59593067"/>
      <w:bookmarkStart w:id="715" w:name="_Toc109702867"/>
      <w:bookmarkStart w:id="716" w:name="_Toc188695661"/>
      <w:bookmarkStart w:id="717" w:name="_Toc187053988"/>
      <w:r>
        <w:rPr>
          <w:rStyle w:val="CharSectno"/>
        </w:rPr>
        <w:t>49</w:t>
      </w:r>
      <w:r>
        <w:rPr>
          <w:snapToGrid w:val="0"/>
        </w:rPr>
        <w:t>.</w:t>
      </w:r>
      <w:r>
        <w:rPr>
          <w:snapToGrid w:val="0"/>
        </w:rPr>
        <w:tab/>
        <w:t>Inspectors may issue prohibition notices</w:t>
      </w:r>
      <w:bookmarkEnd w:id="712"/>
      <w:bookmarkEnd w:id="713"/>
      <w:bookmarkEnd w:id="714"/>
      <w:bookmarkEnd w:id="715"/>
      <w:bookmarkEnd w:id="716"/>
      <w:bookmarkEnd w:id="717"/>
      <w:r>
        <w:rPr>
          <w:snapToGrid w:val="0"/>
        </w:rPr>
        <w:t xml:space="preserve"> </w:t>
      </w:r>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 xml:space="preserve">If a prohibition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pPr>
      <w:r>
        <w:tab/>
        <w:t>(7)</w:t>
      </w:r>
      <w:r>
        <w:tab/>
        <w:t xml:space="preserve">The application of this section extends to residential premises that are being or may be occupied by an employee as mentioned in section 23G(2), and for that purpose — </w:t>
      </w:r>
    </w:p>
    <w:p>
      <w:pPr>
        <w:pStyle w:val="Indenta"/>
      </w:pPr>
      <w:r>
        <w:tab/>
        <w:t>(a)</w:t>
      </w:r>
      <w:r>
        <w:tab/>
        <w:t xml:space="preserve">in this section — </w:t>
      </w:r>
    </w:p>
    <w:p>
      <w:pPr>
        <w:pStyle w:val="Indenti"/>
      </w:pPr>
      <w:r>
        <w:tab/>
        <w:t>(i)</w:t>
      </w:r>
      <w:r>
        <w:tab/>
      </w:r>
      <w:r>
        <w:rPr>
          <w:b/>
        </w:rPr>
        <w:t>“</w:t>
      </w:r>
      <w:r>
        <w:rPr>
          <w:rStyle w:val="CharDefText"/>
        </w:rPr>
        <w:t>workplace</w:t>
      </w:r>
      <w:r>
        <w:rPr>
          <w:b/>
        </w:rPr>
        <w:t>”</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b/>
        </w:rPr>
        <w:t>“</w:t>
      </w:r>
      <w:r>
        <w:rPr>
          <w:rStyle w:val="CharDefText"/>
        </w:rPr>
        <w:t>activity</w:t>
      </w:r>
      <w:r>
        <w:rPr>
          <w:b/>
        </w:rPr>
        <w:t>”</w:t>
      </w:r>
      <w:r>
        <w:t xml:space="preserve"> includes the occupation of such premises.</w:t>
      </w:r>
    </w:p>
    <w:p>
      <w:pPr>
        <w:pStyle w:val="Footnotesection"/>
        <w:spacing w:before="140"/>
        <w:ind w:left="890" w:hanging="890"/>
      </w:pPr>
      <w:r>
        <w:tab/>
        <w:t xml:space="preserve">[Section 49 inserted by No. 43 of 1987 s. 13; amended by No. 30 of 1995 s. 36; No. 51 of 2004 s. 12, 95 and 108.] </w:t>
      </w:r>
    </w:p>
    <w:p>
      <w:pPr>
        <w:pStyle w:val="Heading5"/>
        <w:rPr>
          <w:snapToGrid w:val="0"/>
        </w:rPr>
      </w:pPr>
      <w:bookmarkStart w:id="718" w:name="_Toc402776431"/>
      <w:bookmarkStart w:id="719" w:name="_Toc403985294"/>
      <w:bookmarkStart w:id="720" w:name="_Toc59593068"/>
      <w:bookmarkStart w:id="721" w:name="_Toc109702868"/>
      <w:bookmarkStart w:id="722" w:name="_Toc188695662"/>
      <w:bookmarkStart w:id="723" w:name="_Toc187053989"/>
      <w:r>
        <w:rPr>
          <w:rStyle w:val="CharSectno"/>
        </w:rPr>
        <w:t>50</w:t>
      </w:r>
      <w:r>
        <w:rPr>
          <w:snapToGrid w:val="0"/>
        </w:rPr>
        <w:t>.</w:t>
      </w:r>
      <w:r>
        <w:rPr>
          <w:snapToGrid w:val="0"/>
        </w:rPr>
        <w:tab/>
        <w:t>Notices may include directions</w:t>
      </w:r>
      <w:bookmarkEnd w:id="718"/>
      <w:bookmarkEnd w:id="719"/>
      <w:bookmarkEnd w:id="720"/>
      <w:bookmarkEnd w:id="721"/>
      <w:bookmarkEnd w:id="722"/>
      <w:bookmarkEnd w:id="723"/>
      <w:r>
        <w:rPr>
          <w:snapToGrid w:val="0"/>
        </w:rPr>
        <w:t xml:space="preserve"> </w:t>
      </w:r>
    </w:p>
    <w:p>
      <w:pPr>
        <w:pStyle w:val="Subsection"/>
        <w:spacing w:before="180"/>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spacing w:before="140"/>
        <w:rPr>
          <w:snapToGrid w:val="0"/>
        </w:rPr>
      </w:pPr>
      <w:r>
        <w:rPr>
          <w:snapToGrid w:val="0"/>
        </w:rPr>
        <w:tab/>
        <w:t>(2)</w:t>
      </w:r>
      <w:r>
        <w:rPr>
          <w:snapToGrid w:val="0"/>
        </w:rPr>
        <w:tab/>
        <w:t>Any direction under subsection (1) may —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 xml:space="preserve">[Section 50 inserted by No. 43 of 1987 s. 13; amended by No. 51 of 2004 s. 96.] </w:t>
      </w:r>
    </w:p>
    <w:p>
      <w:pPr>
        <w:pStyle w:val="Heading5"/>
      </w:pPr>
      <w:bookmarkStart w:id="724" w:name="_Toc109702869"/>
      <w:bookmarkStart w:id="725" w:name="_Toc188695663"/>
      <w:bookmarkStart w:id="726" w:name="_Toc187053990"/>
      <w:bookmarkStart w:id="727" w:name="_Toc402776432"/>
      <w:bookmarkStart w:id="728" w:name="_Toc403985295"/>
      <w:bookmarkStart w:id="729" w:name="_Toc59593069"/>
      <w:r>
        <w:rPr>
          <w:rStyle w:val="CharSectno"/>
        </w:rPr>
        <w:t>50A</w:t>
      </w:r>
      <w:r>
        <w:t>.</w:t>
      </w:r>
      <w:r>
        <w:tab/>
        <w:t>Notices may be issued to the Crown</w:t>
      </w:r>
      <w:bookmarkEnd w:id="724"/>
      <w:bookmarkEnd w:id="725"/>
      <w:bookmarkEnd w:id="726"/>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 xml:space="preserve">In the case of any other contravention or activity that relates to the Crown, the notice — </w:t>
      </w:r>
    </w:p>
    <w:p>
      <w:pPr>
        <w:pStyle w:val="Indenta"/>
      </w:pPr>
      <w:r>
        <w:tab/>
        <w:t>(a)</w:t>
      </w:r>
      <w:r>
        <w:tab/>
        <w:t xml:space="preserve">is to be issued to the Crown under the title “State of Western Australia”; and </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 xml:space="preserve">It is sufficient for the purposes of subsection (3) or (4) if the notice —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by No. 51 of 2004 s. 109.]</w:t>
      </w:r>
    </w:p>
    <w:p>
      <w:pPr>
        <w:pStyle w:val="Heading5"/>
        <w:spacing w:before="180"/>
        <w:rPr>
          <w:snapToGrid w:val="0"/>
        </w:rPr>
      </w:pPr>
      <w:bookmarkStart w:id="730" w:name="_Toc109702870"/>
      <w:bookmarkStart w:id="731" w:name="_Toc188695664"/>
      <w:bookmarkStart w:id="732" w:name="_Toc187053991"/>
      <w:r>
        <w:rPr>
          <w:rStyle w:val="CharSectno"/>
        </w:rPr>
        <w:t>51</w:t>
      </w:r>
      <w:r>
        <w:rPr>
          <w:snapToGrid w:val="0"/>
        </w:rPr>
        <w:t>.</w:t>
      </w:r>
      <w:r>
        <w:rPr>
          <w:snapToGrid w:val="0"/>
        </w:rPr>
        <w:tab/>
        <w:t>Review of notices</w:t>
      </w:r>
      <w:bookmarkEnd w:id="727"/>
      <w:bookmarkEnd w:id="728"/>
      <w:bookmarkEnd w:id="729"/>
      <w:bookmarkEnd w:id="730"/>
      <w:bookmarkEnd w:id="731"/>
      <w:bookmarkEnd w:id="732"/>
      <w:r>
        <w:rPr>
          <w:snapToGrid w:val="0"/>
        </w:rPr>
        <w:t xml:space="preserve"> </w:t>
      </w:r>
    </w:p>
    <w:p>
      <w:pPr>
        <w:pStyle w:val="Subsection"/>
        <w:spacing w:before="140"/>
        <w:rPr>
          <w:snapToGrid w:val="0"/>
        </w:rPr>
      </w:pPr>
      <w:r>
        <w:rPr>
          <w:snapToGrid w:val="0"/>
        </w:rPr>
        <w:tab/>
        <w:t>(1)</w:t>
      </w:r>
      <w:r>
        <w:rPr>
          <w:snapToGrid w:val="0"/>
        </w:rPr>
        <w:tab/>
        <w:t>An improvement notice or prohibition notice may, in accordance with this section, be referred for review to the Commissioner by — </w:t>
      </w:r>
    </w:p>
    <w:p>
      <w:pPr>
        <w:pStyle w:val="Indenta"/>
      </w:pPr>
      <w:r>
        <w:tab/>
        <w:t>(a)</w:t>
      </w:r>
      <w:r>
        <w:tab/>
        <w:t>the person issued with the notice; or</w:t>
      </w:r>
    </w:p>
    <w:p>
      <w:pPr>
        <w:pStyle w:val="Indenta"/>
      </w:pPr>
      <w:r>
        <w:tab/>
        <w:t>(b)</w:t>
      </w:r>
      <w:r>
        <w:tab/>
        <w:t>the employer (if any) of the person issued with the notice.</w:t>
      </w:r>
    </w:p>
    <w:p>
      <w:pPr>
        <w:pStyle w:val="Subsection"/>
        <w:spacing w:before="140"/>
        <w:rPr>
          <w:snapToGrid w:val="0"/>
        </w:rPr>
      </w:pPr>
      <w:r>
        <w:rPr>
          <w:snapToGrid w:val="0"/>
        </w:rPr>
        <w:tab/>
        <w:t>(2)</w:t>
      </w:r>
      <w:r>
        <w:rPr>
          <w:snapToGrid w:val="0"/>
        </w:rPr>
        <w:tab/>
        <w:t>A reference under subsection (1) may be made in the prescribed form —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tabs>
          <w:tab w:val="clear" w:pos="595"/>
          <w:tab w:val="clear" w:pos="879"/>
          <w:tab w:val="left" w:pos="0"/>
          <w:tab w:val="left" w:pos="284"/>
        </w:tabs>
        <w:spacing w:before="140"/>
        <w:ind w:left="0" w:firstLine="0"/>
      </w:pPr>
      <w:r>
        <w:tab/>
        <w:t>[(3) and (4)</w:t>
      </w:r>
      <w:r>
        <w:tab/>
        <w:t xml:space="preserve"> repealed]</w:t>
      </w:r>
    </w:p>
    <w:p>
      <w:pPr>
        <w:pStyle w:val="Subsection"/>
        <w:spacing w:before="140"/>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 </w:t>
      </w:r>
    </w:p>
    <w:p>
      <w:pPr>
        <w:pStyle w:val="Indenta"/>
        <w:spacing w:before="60"/>
        <w:rPr>
          <w:snapToGrid w:val="0"/>
        </w:rPr>
      </w:pPr>
      <w:r>
        <w:rPr>
          <w:snapToGrid w:val="0"/>
        </w:rPr>
        <w:tab/>
        <w:t>(a)</w:t>
      </w:r>
      <w:r>
        <w:rPr>
          <w:snapToGrid w:val="0"/>
        </w:rPr>
        <w:tab/>
        <w:t>affirm the notice;</w:t>
      </w:r>
    </w:p>
    <w:p>
      <w:pPr>
        <w:pStyle w:val="Indenta"/>
        <w:spacing w:before="60"/>
        <w:rPr>
          <w:snapToGrid w:val="0"/>
        </w:rPr>
      </w:pPr>
      <w:r>
        <w:rPr>
          <w:snapToGrid w:val="0"/>
        </w:rPr>
        <w:tab/>
        <w:t>(b)</w:t>
      </w:r>
      <w:r>
        <w:rPr>
          <w:snapToGrid w:val="0"/>
        </w:rPr>
        <w:tab/>
        <w:t>affirm the notice with such modifications as seem appropriate; or</w:t>
      </w:r>
    </w:p>
    <w:p>
      <w:pPr>
        <w:pStyle w:val="Indenta"/>
        <w:rPr>
          <w:snapToGrid w:val="0"/>
        </w:rPr>
      </w:pPr>
      <w:r>
        <w:rPr>
          <w:snapToGrid w:val="0"/>
        </w:rPr>
        <w:tab/>
        <w:t>(c)</w:t>
      </w:r>
      <w:r>
        <w:rPr>
          <w:snapToGrid w:val="0"/>
        </w:rPr>
        <w:tab/>
        <w:t>cancel the notice,</w:t>
      </w:r>
    </w:p>
    <w:p>
      <w:pPr>
        <w:pStyle w:val="Subsection"/>
        <w:spacing w:before="140"/>
        <w:rPr>
          <w:snapToGrid w:val="0"/>
        </w:rPr>
      </w:pPr>
      <w:r>
        <w:rPr>
          <w:snapToGrid w:val="0"/>
        </w:rPr>
        <w:tab/>
      </w:r>
      <w:r>
        <w:rPr>
          <w:snapToGrid w:val="0"/>
        </w:rPr>
        <w:tab/>
        <w:t>and, subject to section 51A, the notice shall have effect or, as the case may be, cease to have effect, accordingly.</w:t>
      </w:r>
    </w:p>
    <w:p>
      <w:pPr>
        <w:pStyle w:val="Subsection"/>
        <w:spacing w:before="140"/>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spacing w:before="140"/>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spacing w:before="140"/>
        <w:rPr>
          <w:snapToGrid w:val="0"/>
        </w:rPr>
      </w:pPr>
      <w:r>
        <w:rPr>
          <w:snapToGrid w:val="0"/>
        </w:rPr>
        <w:tab/>
        <w:t>(7)</w:t>
      </w:r>
      <w:r>
        <w:rPr>
          <w:snapToGrid w:val="0"/>
        </w:rPr>
        <w:tab/>
        <w:t>Pending the decision on a reference under this section for the review of a notice, the operation of the notice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 xml:space="preserve">[Section 51 inserted by No. 43 of 1987 s. 13; amended by No. 30 of 1995 s. 37; No. 51 of 2004 s. 97 and 103.] </w:t>
      </w:r>
    </w:p>
    <w:p>
      <w:pPr>
        <w:pStyle w:val="Heading5"/>
      </w:pPr>
      <w:bookmarkStart w:id="733" w:name="_Toc109702871"/>
      <w:bookmarkStart w:id="734" w:name="_Toc188695665"/>
      <w:bookmarkStart w:id="735" w:name="_Toc187053992"/>
      <w:bookmarkStart w:id="736" w:name="_Toc402776433"/>
      <w:bookmarkStart w:id="737" w:name="_Toc403985296"/>
      <w:bookmarkStart w:id="738" w:name="_Toc59593070"/>
      <w:r>
        <w:rPr>
          <w:rStyle w:val="CharSectno"/>
        </w:rPr>
        <w:t>51AA</w:t>
      </w:r>
      <w:r>
        <w:t>.</w:t>
      </w:r>
      <w:r>
        <w:tab/>
        <w:t>Further power of Commissioner to cancel notice</w:t>
      </w:r>
      <w:bookmarkEnd w:id="733"/>
      <w:bookmarkEnd w:id="734"/>
      <w:bookmarkEnd w:id="735"/>
    </w:p>
    <w:p>
      <w:pPr>
        <w:pStyle w:val="Subsection"/>
      </w:pPr>
      <w:r>
        <w:tab/>
        <w:t>(1)</w:t>
      </w:r>
      <w:r>
        <w:tab/>
        <w:t xml:space="preserve">The Commissioner, on his or her own initiative, may cancel an improvement notice or a prohibition notice by giving notice in writing of the cancellation, and the reasons for it — </w:t>
      </w:r>
    </w:p>
    <w:p>
      <w:pPr>
        <w:pStyle w:val="Indenta"/>
      </w:pPr>
      <w:r>
        <w:tab/>
        <w:t>(a)</w:t>
      </w:r>
      <w:r>
        <w:tab/>
        <w:t>to the person issued with the notice; and</w:t>
      </w:r>
    </w:p>
    <w:p>
      <w:pPr>
        <w:pStyle w:val="Indenta"/>
      </w:pPr>
      <w:r>
        <w:tab/>
        <w:t>(b)</w:t>
      </w:r>
      <w:r>
        <w:tab/>
        <w:t>if that person is an employee, to the employee’s employer.</w:t>
      </w:r>
    </w:p>
    <w:p>
      <w:pPr>
        <w:pStyle w:val="Subsection"/>
      </w:pPr>
      <w:r>
        <w:tab/>
        <w:t>(2)</w:t>
      </w:r>
      <w:r>
        <w:tab/>
        <w:t xml:space="preserve">The power conferred by subsection (1) is not to be exercised in respect of a notice —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by No. 51 of 2004 s. 110.]</w:t>
      </w:r>
    </w:p>
    <w:p>
      <w:pPr>
        <w:pStyle w:val="Heading5"/>
        <w:rPr>
          <w:snapToGrid w:val="0"/>
        </w:rPr>
      </w:pPr>
      <w:bookmarkStart w:id="739" w:name="_Toc109702872"/>
      <w:bookmarkStart w:id="740" w:name="_Toc188695666"/>
      <w:bookmarkStart w:id="741" w:name="_Toc187053993"/>
      <w:r>
        <w:rPr>
          <w:rStyle w:val="CharSectno"/>
        </w:rPr>
        <w:t>51A</w:t>
      </w:r>
      <w:r>
        <w:rPr>
          <w:snapToGrid w:val="0"/>
        </w:rPr>
        <w:t xml:space="preserve">. </w:t>
      </w:r>
      <w:r>
        <w:rPr>
          <w:snapToGrid w:val="0"/>
        </w:rPr>
        <w:tab/>
        <w:t>Further review of notices</w:t>
      </w:r>
      <w:bookmarkEnd w:id="736"/>
      <w:bookmarkEnd w:id="737"/>
      <w:bookmarkEnd w:id="738"/>
      <w:bookmarkEnd w:id="739"/>
      <w:bookmarkEnd w:id="740"/>
      <w:bookmarkEnd w:id="741"/>
      <w:r>
        <w:rPr>
          <w:snapToGrid w:val="0"/>
        </w:rPr>
        <w:t xml:space="preserve"> </w:t>
      </w:r>
    </w:p>
    <w:p>
      <w:pPr>
        <w:pStyle w:val="Subsection"/>
        <w:spacing w:before="140"/>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spacing w:before="140"/>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in the prescribed form within 7 days of the issue of the notice under section 51(6).</w:t>
      </w:r>
    </w:p>
    <w:p>
      <w:pPr>
        <w:pStyle w:val="Subsection"/>
        <w:spacing w:before="140"/>
        <w:rPr>
          <w:snapToGrid w:val="0"/>
        </w:rPr>
      </w:pPr>
      <w:r>
        <w:rPr>
          <w:snapToGrid w:val="0"/>
        </w:rPr>
        <w:tab/>
        <w:t>(3)</w:t>
      </w:r>
      <w:r>
        <w:rPr>
          <w:snapToGrid w:val="0"/>
        </w:rPr>
        <w:tab/>
        <w:t>A review of a decision made under section 51 shall be in the nature of a rehearing.</w:t>
      </w:r>
    </w:p>
    <w:p>
      <w:pPr>
        <w:pStyle w:val="Subsection"/>
        <w:spacing w:before="140"/>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spacing w:before="140"/>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 </w:t>
      </w:r>
    </w:p>
    <w:p>
      <w:pPr>
        <w:pStyle w:val="Indenta"/>
        <w:rPr>
          <w:snapToGrid w:val="0"/>
        </w:rPr>
      </w:pPr>
      <w:r>
        <w:rPr>
          <w:snapToGrid w:val="0"/>
        </w:rPr>
        <w:tab/>
        <w:t>(a)</w:t>
      </w:r>
      <w:r>
        <w:rPr>
          <w:snapToGrid w:val="0"/>
        </w:rPr>
        <w:tab/>
        <w:t>affirm the decision of the Commissioner;</w:t>
      </w:r>
    </w:p>
    <w:p>
      <w:pPr>
        <w:pStyle w:val="Indenta"/>
        <w:rPr>
          <w:snapToGrid w:val="0"/>
        </w:rPr>
      </w:pPr>
      <w:r>
        <w:rPr>
          <w:snapToGrid w:val="0"/>
        </w:rPr>
        <w:tab/>
        <w:t>(b)</w:t>
      </w:r>
      <w:r>
        <w:rPr>
          <w:snapToGrid w:val="0"/>
        </w:rPr>
        <w:tab/>
        <w:t>affirm the decision of the Commissioner with such modifications as seem appropriate; or</w:t>
      </w:r>
    </w:p>
    <w:p>
      <w:pPr>
        <w:pStyle w:val="Indenta"/>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t>repealed]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by No. 30 of 1995 s. 38; amended by No. 51 of 2004 s. 64, 69(1)</w:t>
      </w:r>
      <w:r>
        <w:noBreakHyphen/>
        <w:t xml:space="preserve">(3) and 98.] </w:t>
      </w:r>
    </w:p>
    <w:p>
      <w:pPr>
        <w:pStyle w:val="Heading3"/>
      </w:pPr>
      <w:bookmarkStart w:id="742" w:name="_Toc100545219"/>
      <w:bookmarkStart w:id="743" w:name="_Toc100716698"/>
      <w:bookmarkStart w:id="744" w:name="_Toc102546287"/>
      <w:bookmarkStart w:id="745" w:name="_Toc103141510"/>
      <w:bookmarkStart w:id="746" w:name="_Toc105909122"/>
      <w:bookmarkStart w:id="747" w:name="_Toc105922008"/>
      <w:bookmarkStart w:id="748" w:name="_Toc106616846"/>
      <w:bookmarkStart w:id="749" w:name="_Toc108848590"/>
      <w:bookmarkStart w:id="750" w:name="_Toc109702873"/>
      <w:bookmarkStart w:id="751" w:name="_Toc113700430"/>
      <w:bookmarkStart w:id="752" w:name="_Toc113779088"/>
      <w:bookmarkStart w:id="753" w:name="_Toc122767469"/>
      <w:bookmarkStart w:id="754" w:name="_Toc122767712"/>
      <w:bookmarkStart w:id="755" w:name="_Toc131409959"/>
      <w:bookmarkStart w:id="756" w:name="_Toc187035526"/>
      <w:bookmarkStart w:id="757" w:name="_Toc187053994"/>
      <w:bookmarkStart w:id="758" w:name="_Toc188695667"/>
      <w:bookmarkStart w:id="759" w:name="_Toc88990689"/>
      <w:bookmarkStart w:id="760" w:name="_Toc89568251"/>
      <w:bookmarkStart w:id="761" w:name="_Toc93200961"/>
      <w:bookmarkStart w:id="762" w:name="_Toc97006632"/>
      <w:r>
        <w:rPr>
          <w:rStyle w:val="CharDivNo"/>
        </w:rPr>
        <w:t>Division 2</w:t>
      </w:r>
      <w:r>
        <w:t> — </w:t>
      </w:r>
      <w:r>
        <w:rPr>
          <w:rStyle w:val="CharDivText"/>
        </w:rPr>
        <w:t>Issue of provisional improvement notices by safety and health representative</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Footnoteheading"/>
        <w:rPr>
          <w:snapToGrid w:val="0"/>
        </w:rPr>
      </w:pPr>
      <w:r>
        <w:rPr>
          <w:snapToGrid w:val="0"/>
        </w:rPr>
        <w:tab/>
        <w:t xml:space="preserve">[Heading inserted by No. 51 of 2004 s. 55.] </w:t>
      </w:r>
    </w:p>
    <w:p>
      <w:pPr>
        <w:pStyle w:val="Heading5"/>
      </w:pPr>
      <w:bookmarkStart w:id="763" w:name="_Toc109702874"/>
      <w:bookmarkStart w:id="764" w:name="_Toc188695668"/>
      <w:bookmarkStart w:id="765" w:name="_Toc187053995"/>
      <w:r>
        <w:rPr>
          <w:rStyle w:val="CharSectno"/>
        </w:rPr>
        <w:t>51AB</w:t>
      </w:r>
      <w:r>
        <w:t>.</w:t>
      </w:r>
      <w:r>
        <w:tab/>
        <w:t>Definition</w:t>
      </w:r>
      <w:bookmarkEnd w:id="763"/>
      <w:bookmarkEnd w:id="764"/>
      <w:bookmarkEnd w:id="765"/>
    </w:p>
    <w:p>
      <w:pPr>
        <w:pStyle w:val="Subsection"/>
      </w:pPr>
      <w:r>
        <w:tab/>
      </w:r>
      <w:r>
        <w:tab/>
        <w:t xml:space="preserve">In this Division — </w:t>
      </w:r>
    </w:p>
    <w:p>
      <w:pPr>
        <w:pStyle w:val="Defstart"/>
      </w:pPr>
      <w:r>
        <w:rPr>
          <w:b/>
        </w:rPr>
        <w:tab/>
        <w:t>“</w:t>
      </w:r>
      <w:r>
        <w:rPr>
          <w:rStyle w:val="CharDefText"/>
        </w:rPr>
        <w:t>qualified representative</w:t>
      </w:r>
      <w:r>
        <w:rPr>
          <w:b/>
        </w:rPr>
        <w:t>”</w:t>
      </w:r>
      <w:r>
        <w:t xml:space="preserve"> means a safety and health representative who has completed a course of training prescribed for the purposes of this definition.</w:t>
      </w:r>
    </w:p>
    <w:p>
      <w:pPr>
        <w:pStyle w:val="Footnotesection"/>
      </w:pPr>
      <w:r>
        <w:tab/>
        <w:t xml:space="preserve">[Section 51AB inserted by No. 51 of 2004 s. 55.] </w:t>
      </w:r>
    </w:p>
    <w:p>
      <w:pPr>
        <w:pStyle w:val="Heading5"/>
      </w:pPr>
      <w:bookmarkStart w:id="766" w:name="_Toc109702875"/>
      <w:bookmarkStart w:id="767" w:name="_Toc188695669"/>
      <w:bookmarkStart w:id="768" w:name="_Toc187053996"/>
      <w:r>
        <w:rPr>
          <w:rStyle w:val="CharSectno"/>
        </w:rPr>
        <w:t>51AC</w:t>
      </w:r>
      <w:r>
        <w:t>.</w:t>
      </w:r>
      <w:r>
        <w:tab/>
        <w:t>Issue of provisional improvement notices</w:t>
      </w:r>
      <w:bookmarkEnd w:id="766"/>
      <w:bookmarkEnd w:id="767"/>
      <w:bookmarkEnd w:id="768"/>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 xml:space="preserve">[Section 51AC inserted by No. 51 of 2004 s. 55.] </w:t>
      </w:r>
    </w:p>
    <w:p>
      <w:pPr>
        <w:pStyle w:val="Heading5"/>
      </w:pPr>
      <w:bookmarkStart w:id="769" w:name="_Toc109702876"/>
      <w:bookmarkStart w:id="770" w:name="_Toc188695670"/>
      <w:bookmarkStart w:id="771" w:name="_Toc187053997"/>
      <w:r>
        <w:rPr>
          <w:rStyle w:val="CharSectno"/>
        </w:rPr>
        <w:t>51AD</w:t>
      </w:r>
      <w:r>
        <w:t>.</w:t>
      </w:r>
      <w:r>
        <w:tab/>
        <w:t>Consultation required before issue</w:t>
      </w:r>
      <w:bookmarkEnd w:id="769"/>
      <w:bookmarkEnd w:id="770"/>
      <w:bookmarkEnd w:id="771"/>
    </w:p>
    <w:p>
      <w:pPr>
        <w:pStyle w:val="Subsection"/>
      </w:pPr>
      <w:r>
        <w:tab/>
        <w:t>(1)</w:t>
      </w:r>
      <w:r>
        <w:tab/>
        <w:t xml:space="preserve">In this section — </w:t>
      </w:r>
    </w:p>
    <w:p>
      <w:pPr>
        <w:pStyle w:val="Defstart"/>
      </w:pPr>
      <w:r>
        <w:rPr>
          <w:b/>
        </w:rPr>
        <w:tab/>
        <w:t>“</w:t>
      </w:r>
      <w:r>
        <w:rPr>
          <w:rStyle w:val="CharDefText"/>
        </w:rPr>
        <w:t>consult</w:t>
      </w:r>
      <w:r>
        <w:rPr>
          <w:b/>
        </w:rPr>
        <w:t>”</w:t>
      </w:r>
      <w:r>
        <w:t xml:space="preserve"> means consult about the matters or activities to which an intended notice will relate.</w:t>
      </w:r>
    </w:p>
    <w:p>
      <w:pPr>
        <w:pStyle w:val="Subsection"/>
      </w:pPr>
      <w:r>
        <w:tab/>
        <w:t>(2)</w:t>
      </w:r>
      <w:r>
        <w:tab/>
        <w:t xml:space="preserve">Before issuing a provisional improvement notice a qualified representative must — </w:t>
      </w:r>
    </w:p>
    <w:p>
      <w:pPr>
        <w:pStyle w:val="Indenta"/>
      </w:pPr>
      <w:r>
        <w:tab/>
        <w:t>(a)</w:t>
      </w:r>
      <w:r>
        <w:tab/>
        <w:t xml:space="preserve">consult with the person that is to be issued with the notice; and </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 xml:space="preserve">[Section 51AD inserted by No. 51 of 2004 s. 55.] </w:t>
      </w:r>
    </w:p>
    <w:p>
      <w:pPr>
        <w:pStyle w:val="Heading5"/>
      </w:pPr>
      <w:bookmarkStart w:id="772" w:name="_Toc109702877"/>
      <w:bookmarkStart w:id="773" w:name="_Toc188695671"/>
      <w:bookmarkStart w:id="774" w:name="_Toc187053998"/>
      <w:r>
        <w:rPr>
          <w:rStyle w:val="CharSectno"/>
        </w:rPr>
        <w:t>51AE</w:t>
      </w:r>
      <w:r>
        <w:t>.</w:t>
      </w:r>
      <w:r>
        <w:tab/>
        <w:t>Contents of notice</w:t>
      </w:r>
      <w:bookmarkEnd w:id="772"/>
      <w:bookmarkEnd w:id="773"/>
      <w:bookmarkEnd w:id="774"/>
    </w:p>
    <w:p>
      <w:pPr>
        <w:pStyle w:val="Subsection"/>
        <w:outlineLvl w:val="0"/>
      </w:pPr>
      <w:r>
        <w:tab/>
        <w:t>(1)</w:t>
      </w:r>
      <w:r>
        <w:tab/>
        <w:t xml:space="preserve">A provisional improvement notice must — </w:t>
      </w:r>
    </w:p>
    <w:p>
      <w:pPr>
        <w:pStyle w:val="Indenta"/>
      </w:pPr>
      <w:r>
        <w:tab/>
        <w:t>(a)</w:t>
      </w:r>
      <w:r>
        <w:tab/>
        <w:t xml:space="preserve">state that the qualified representative is of the opinion that the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t>(b)</w:t>
      </w:r>
      <w:r>
        <w:tab/>
        <w:t>state reasonable grounds for the representative being of that opinion;</w:t>
      </w:r>
    </w:p>
    <w:p>
      <w:pPr>
        <w:pStyle w:val="Indenta"/>
      </w:pPr>
      <w:r>
        <w:tab/>
        <w:t>(c)</w:t>
      </w:r>
      <w:r>
        <w:tab/>
        <w:t>specify the provision of this Act in respect of which the opinion is held;</w:t>
      </w:r>
    </w:p>
    <w:p>
      <w:pPr>
        <w:pStyle w:val="Indenta"/>
      </w:pPr>
      <w:r>
        <w:tab/>
        <w:t>(d)</w:t>
      </w:r>
      <w:r>
        <w:tab/>
        <w:t xml:space="preserve">specify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outlineLvl w:val="0"/>
      </w:pPr>
      <w:r>
        <w:tab/>
        <w:t>(2)</w:t>
      </w:r>
      <w:r>
        <w:tab/>
        <w:t>The day specified for the purposes of subsection (1)(d) must be more than 7 days after the day on which the notice is issued.</w:t>
      </w:r>
    </w:p>
    <w:p>
      <w:pPr>
        <w:pStyle w:val="Footnotesection"/>
      </w:pPr>
      <w:r>
        <w:tab/>
        <w:t xml:space="preserve">[Section 51AE inserted by No. 51 of 2004 s. 55.] </w:t>
      </w:r>
    </w:p>
    <w:p>
      <w:pPr>
        <w:pStyle w:val="Heading5"/>
        <w:spacing w:before="180"/>
      </w:pPr>
      <w:bookmarkStart w:id="775" w:name="_Toc109702878"/>
      <w:bookmarkStart w:id="776" w:name="_Toc188695672"/>
      <w:bookmarkStart w:id="777" w:name="_Toc187053999"/>
      <w:r>
        <w:rPr>
          <w:rStyle w:val="CharSectno"/>
        </w:rPr>
        <w:t>51AF</w:t>
      </w:r>
      <w:r>
        <w:t>.</w:t>
      </w:r>
      <w:r>
        <w:tab/>
        <w:t>Provisional notices may include directions</w:t>
      </w:r>
      <w:bookmarkEnd w:id="775"/>
      <w:bookmarkEnd w:id="776"/>
      <w:bookmarkEnd w:id="777"/>
    </w:p>
    <w:p>
      <w:pPr>
        <w:pStyle w:val="Subsection"/>
        <w:spacing w:before="120"/>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spacing w:before="120"/>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 xml:space="preserve">[Section 51AF inserted by No. 51 of 2004 s. 55.] </w:t>
      </w:r>
    </w:p>
    <w:p>
      <w:pPr>
        <w:pStyle w:val="Heading5"/>
        <w:spacing w:before="180"/>
      </w:pPr>
      <w:bookmarkStart w:id="778" w:name="_Toc109702879"/>
      <w:bookmarkStart w:id="779" w:name="_Toc188695673"/>
      <w:bookmarkStart w:id="780" w:name="_Toc187054000"/>
      <w:r>
        <w:rPr>
          <w:rStyle w:val="CharSectno"/>
        </w:rPr>
        <w:t>51AG</w:t>
      </w:r>
      <w:r>
        <w:t>.</w:t>
      </w:r>
      <w:r>
        <w:tab/>
        <w:t>Failure to comply with notice</w:t>
      </w:r>
      <w:bookmarkEnd w:id="778"/>
      <w:bookmarkEnd w:id="779"/>
      <w:bookmarkEnd w:id="780"/>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 xml:space="preserve">[Section 51AG inserted by No. 51 of 2004 s. 55.] </w:t>
      </w:r>
    </w:p>
    <w:p>
      <w:pPr>
        <w:pStyle w:val="Heading5"/>
      </w:pPr>
      <w:bookmarkStart w:id="781" w:name="_Toc109702880"/>
      <w:bookmarkStart w:id="782" w:name="_Toc188695674"/>
      <w:bookmarkStart w:id="783" w:name="_Toc187054001"/>
      <w:r>
        <w:rPr>
          <w:rStyle w:val="CharSectno"/>
        </w:rPr>
        <w:t>51AH</w:t>
      </w:r>
      <w:r>
        <w:t>.</w:t>
      </w:r>
      <w:r>
        <w:tab/>
        <w:t>Review of notice by an inspector</w:t>
      </w:r>
      <w:bookmarkEnd w:id="781"/>
      <w:bookmarkEnd w:id="782"/>
      <w:bookmarkEnd w:id="783"/>
    </w:p>
    <w:p>
      <w:pPr>
        <w:pStyle w:val="Subsection"/>
        <w:spacing w:before="120"/>
      </w:pPr>
      <w:r>
        <w:tab/>
        <w:t>(1)</w:t>
      </w:r>
      <w:r>
        <w:tab/>
        <w:t xml:space="preserve">In this section — </w:t>
      </w:r>
    </w:p>
    <w:p>
      <w:pPr>
        <w:pStyle w:val="Defstart"/>
      </w:pPr>
      <w:r>
        <w:rPr>
          <w:b/>
        </w:rPr>
        <w:tab/>
        <w:t>“</w:t>
      </w:r>
      <w:r>
        <w:rPr>
          <w:rStyle w:val="CharDefText"/>
        </w:rPr>
        <w:t>affected person</w:t>
      </w:r>
      <w:r>
        <w:rPr>
          <w:b/>
        </w:rPr>
        <w:t>”</w:t>
      </w:r>
      <w:r>
        <w:t xml:space="preserve"> means — </w:t>
      </w:r>
    </w:p>
    <w:p>
      <w:pPr>
        <w:pStyle w:val="Defpara"/>
      </w:pPr>
      <w:r>
        <w:tab/>
        <w:t>(a)</w:t>
      </w:r>
      <w:r>
        <w:tab/>
        <w:t>the person issued with a provisional improvement notice; or</w:t>
      </w:r>
    </w:p>
    <w:p>
      <w:pPr>
        <w:pStyle w:val="Defpara"/>
      </w:pPr>
      <w:r>
        <w:tab/>
        <w:t>(b)</w:t>
      </w:r>
      <w:r>
        <w:tab/>
        <w:t xml:space="preserve">in the case of a notice issued to an employee — </w:t>
      </w:r>
    </w:p>
    <w:p>
      <w:pPr>
        <w:pStyle w:val="Defsubpara"/>
      </w:pPr>
      <w:r>
        <w:tab/>
        <w:t>(i)</w:t>
      </w:r>
      <w:r>
        <w:tab/>
        <w:t>the employee; and</w:t>
      </w:r>
    </w:p>
    <w:p>
      <w:pPr>
        <w:pStyle w:val="Defsubpara"/>
      </w:pPr>
      <w:r>
        <w:tab/>
        <w:t>(ii)</w:t>
      </w:r>
      <w:r>
        <w:tab/>
        <w:t>the employer of the employee.</w:t>
      </w:r>
    </w:p>
    <w:p>
      <w:pPr>
        <w:pStyle w:val="Subsection"/>
      </w:pPr>
      <w:r>
        <w:tab/>
        <w:t>(2)</w:t>
      </w:r>
      <w:r>
        <w:tab/>
        <w:t xml:space="preserve">An affected person may, in writing delivered or sent to the department (a </w:t>
      </w:r>
      <w:r>
        <w:rPr>
          <w:b/>
        </w:rPr>
        <w:t>“</w:t>
      </w:r>
      <w:r>
        <w:rPr>
          <w:rStyle w:val="CharDefText"/>
        </w:rPr>
        <w:t>review notice</w:t>
      </w:r>
      <w:r>
        <w:rPr>
          <w:b/>
        </w:rPr>
        <w:t>”</w:t>
      </w:r>
      <w:r>
        <w:t>),</w:t>
      </w:r>
      <w:r>
        <w:rPr>
          <w:b/>
          <w:i/>
          <w:sz w:val="20"/>
        </w:rPr>
        <w:t xml:space="preserve"> </w:t>
      </w:r>
      <w:r>
        <w:t>require that an inspector review a provisional improvement notice.</w:t>
      </w:r>
    </w:p>
    <w:p>
      <w:pPr>
        <w:pStyle w:val="Subsection"/>
      </w:pPr>
      <w:r>
        <w:tab/>
        <w:t>(3)</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 xml:space="preserve">Where a review notice is received by the department in accordance with this section, an inspector must as soon as is practicable — </w:t>
      </w:r>
    </w:p>
    <w:p>
      <w:pPr>
        <w:pStyle w:val="Indenta"/>
      </w:pPr>
      <w:r>
        <w:tab/>
        <w:t>(a)</w:t>
      </w:r>
      <w:r>
        <w:tab/>
        <w:t xml:space="preserve">attend at the workplace; and </w:t>
      </w:r>
    </w:p>
    <w:p>
      <w:pPr>
        <w:pStyle w:val="Indenta"/>
      </w:pPr>
      <w:r>
        <w:tab/>
        <w:t>(b)</w:t>
      </w:r>
      <w:r>
        <w:tab/>
        <w:t>inquire into the circumstances relating to the notice,</w:t>
      </w:r>
    </w:p>
    <w:p>
      <w:pPr>
        <w:pStyle w:val="Subsection"/>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 xml:space="preserve">[Section 51AH inserted by No. 51 of 2004 s. 55.] </w:t>
      </w:r>
    </w:p>
    <w:p>
      <w:pPr>
        <w:pStyle w:val="Heading2"/>
      </w:pPr>
      <w:bookmarkStart w:id="784" w:name="_Toc100545227"/>
      <w:bookmarkStart w:id="785" w:name="_Toc100716706"/>
      <w:bookmarkStart w:id="786" w:name="_Toc102546295"/>
      <w:bookmarkStart w:id="787" w:name="_Toc103141518"/>
      <w:bookmarkStart w:id="788" w:name="_Toc105909130"/>
      <w:bookmarkStart w:id="789" w:name="_Toc105922016"/>
      <w:bookmarkStart w:id="790" w:name="_Toc106616854"/>
      <w:bookmarkStart w:id="791" w:name="_Toc108848598"/>
      <w:bookmarkStart w:id="792" w:name="_Toc109702881"/>
      <w:bookmarkStart w:id="793" w:name="_Toc113700438"/>
      <w:bookmarkStart w:id="794" w:name="_Toc113779096"/>
      <w:bookmarkStart w:id="795" w:name="_Toc122767477"/>
      <w:bookmarkStart w:id="796" w:name="_Toc122767720"/>
      <w:bookmarkStart w:id="797" w:name="_Toc131409967"/>
      <w:bookmarkStart w:id="798" w:name="_Toc187035534"/>
      <w:bookmarkStart w:id="799" w:name="_Toc187054002"/>
      <w:bookmarkStart w:id="800" w:name="_Toc188695675"/>
      <w:r>
        <w:rPr>
          <w:rStyle w:val="CharPartNo"/>
        </w:rPr>
        <w:t>Part VIA</w:t>
      </w:r>
      <w:r>
        <w:rPr>
          <w:rStyle w:val="CharDivNo"/>
        </w:rPr>
        <w:t> </w:t>
      </w:r>
      <w:r>
        <w:t>—</w:t>
      </w:r>
      <w:r>
        <w:rPr>
          <w:rStyle w:val="CharDivText"/>
        </w:rPr>
        <w:t> </w:t>
      </w:r>
      <w:r>
        <w:rPr>
          <w:rStyle w:val="CharPartText"/>
        </w:rPr>
        <w:t>Safety and health magistrates</w:t>
      </w:r>
      <w:bookmarkEnd w:id="759"/>
      <w:bookmarkEnd w:id="760"/>
      <w:bookmarkEnd w:id="761"/>
      <w:bookmarkEnd w:id="762"/>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Pr>
          <w:rStyle w:val="CharPartText"/>
        </w:rPr>
        <w:t xml:space="preserve"> </w:t>
      </w:r>
    </w:p>
    <w:p>
      <w:pPr>
        <w:pStyle w:val="Footnoteheading"/>
        <w:spacing w:before="100"/>
      </w:pPr>
      <w:r>
        <w:tab/>
        <w:t>[Heading inserted by No. 30 of 1995 s. 39.]</w:t>
      </w:r>
    </w:p>
    <w:p>
      <w:pPr>
        <w:pStyle w:val="Heading5"/>
        <w:spacing w:before="180"/>
        <w:rPr>
          <w:snapToGrid w:val="0"/>
        </w:rPr>
      </w:pPr>
      <w:bookmarkStart w:id="801" w:name="_Toc402776434"/>
      <w:bookmarkStart w:id="802" w:name="_Toc403985297"/>
      <w:bookmarkStart w:id="803" w:name="_Toc59593071"/>
      <w:bookmarkStart w:id="804" w:name="_Toc109702882"/>
      <w:bookmarkStart w:id="805" w:name="_Toc188695676"/>
      <w:bookmarkStart w:id="806" w:name="_Toc187054003"/>
      <w:r>
        <w:rPr>
          <w:rStyle w:val="CharSectno"/>
        </w:rPr>
        <w:t>51B</w:t>
      </w:r>
      <w:r>
        <w:rPr>
          <w:snapToGrid w:val="0"/>
        </w:rPr>
        <w:t xml:space="preserve">. </w:t>
      </w:r>
      <w:r>
        <w:rPr>
          <w:snapToGrid w:val="0"/>
        </w:rPr>
        <w:tab/>
        <w:t>Safety and health magistrates</w:t>
      </w:r>
      <w:bookmarkEnd w:id="801"/>
      <w:bookmarkEnd w:id="802"/>
      <w:bookmarkEnd w:id="803"/>
      <w:bookmarkEnd w:id="804"/>
      <w:bookmarkEnd w:id="805"/>
      <w:bookmarkEnd w:id="806"/>
      <w:r>
        <w:rPr>
          <w:snapToGrid w:val="0"/>
        </w:rPr>
        <w:t xml:space="preserve"> </w:t>
      </w:r>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spacing w:before="100"/>
        <w:ind w:left="890" w:hanging="890"/>
      </w:pPr>
      <w:r>
        <w:tab/>
        <w:t xml:space="preserve">[Section 51B inserted by No. 30 of 1995 s. 39.] </w:t>
      </w:r>
    </w:p>
    <w:p>
      <w:pPr>
        <w:pStyle w:val="Heading5"/>
        <w:spacing w:before="180"/>
        <w:rPr>
          <w:snapToGrid w:val="0"/>
        </w:rPr>
      </w:pPr>
      <w:bookmarkStart w:id="807" w:name="_Toc402776435"/>
      <w:bookmarkStart w:id="808" w:name="_Toc403985298"/>
      <w:bookmarkStart w:id="809" w:name="_Toc59593072"/>
      <w:bookmarkStart w:id="810" w:name="_Toc109702883"/>
      <w:bookmarkStart w:id="811" w:name="_Toc188695677"/>
      <w:bookmarkStart w:id="812" w:name="_Toc187054004"/>
      <w:r>
        <w:rPr>
          <w:rStyle w:val="CharSectno"/>
        </w:rPr>
        <w:t>51C</w:t>
      </w:r>
      <w:r>
        <w:rPr>
          <w:snapToGrid w:val="0"/>
        </w:rPr>
        <w:t xml:space="preserve">. </w:t>
      </w:r>
      <w:r>
        <w:rPr>
          <w:snapToGrid w:val="0"/>
        </w:rPr>
        <w:tab/>
        <w:t>Jurisdiction of safety and health magistrate</w:t>
      </w:r>
      <w:bookmarkEnd w:id="807"/>
      <w:bookmarkEnd w:id="808"/>
      <w:bookmarkEnd w:id="809"/>
      <w:bookmarkEnd w:id="810"/>
      <w:bookmarkEnd w:id="811"/>
      <w:bookmarkEnd w:id="812"/>
      <w:r>
        <w:rPr>
          <w:snapToGrid w:val="0"/>
        </w:rPr>
        <w:t xml:space="preserve"> </w:t>
      </w:r>
    </w:p>
    <w:p>
      <w:pPr>
        <w:pStyle w:val="Subsection"/>
        <w:spacing w:before="140"/>
        <w:rPr>
          <w:snapToGrid w:val="0"/>
        </w:rPr>
      </w:pPr>
      <w:r>
        <w:rPr>
          <w:snapToGrid w:val="0"/>
        </w:rPr>
        <w:tab/>
        <w:t>(1)</w:t>
      </w:r>
      <w:r>
        <w:rPr>
          <w:snapToGrid w:val="0"/>
        </w:rPr>
        <w:tab/>
        <w:t xml:space="preserve">A </w:t>
      </w:r>
      <w:r>
        <w:rPr>
          <w:snapToGrid w:val="0"/>
          <w:spacing w:val="-2"/>
        </w:rPr>
        <w:t>safety</w:t>
      </w:r>
      <w:r>
        <w:rPr>
          <w:snapToGrid w:val="0"/>
        </w:rPr>
        <w:t xml:space="preserve"> and health magistrate has jurisdiction to — </w:t>
      </w:r>
    </w:p>
    <w:p>
      <w:pPr>
        <w:pStyle w:val="Indenta"/>
        <w:spacing w:before="60"/>
        <w:rPr>
          <w:snapToGrid w:val="0"/>
        </w:rPr>
      </w:pPr>
      <w:r>
        <w:rPr>
          <w:snapToGrid w:val="0"/>
        </w:rPr>
        <w:tab/>
        <w:t>(a)</w:t>
      </w:r>
      <w:r>
        <w:rPr>
          <w:snapToGrid w:val="0"/>
        </w:rPr>
        <w:tab/>
        <w:t>hear and determine any matter referred to a safety and health magistrate under this Act; and</w:t>
      </w:r>
    </w:p>
    <w:p>
      <w:pPr>
        <w:pStyle w:val="Indenta"/>
        <w:spacing w:before="60"/>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Subsection"/>
        <w:spacing w:before="140"/>
        <w:rPr>
          <w:snapToGrid w:val="0"/>
        </w:rPr>
      </w:pPr>
      <w:r>
        <w:rPr>
          <w:snapToGrid w:val="0"/>
        </w:rPr>
        <w:tab/>
        <w:t>(2)</w:t>
      </w:r>
      <w:r>
        <w:rPr>
          <w:snapToGrid w:val="0"/>
        </w:rPr>
        <w:tab/>
        <w:t xml:space="preserve">A </w:t>
      </w:r>
      <w:r>
        <w:rPr>
          <w:snapToGrid w:val="0"/>
          <w:spacing w:val="-2"/>
        </w:rPr>
        <w:t>decision</w:t>
      </w:r>
      <w:r>
        <w:rPr>
          <w:snapToGrid w:val="0"/>
        </w:rPr>
        <w:t xml:space="preserve"> by a safety and health magistrate on a matter referred under this Act has effect according to its substance.</w:t>
      </w:r>
    </w:p>
    <w:p>
      <w:pPr>
        <w:pStyle w:val="Subsection"/>
        <w:spacing w:before="140"/>
        <w:rPr>
          <w:snapToGrid w:val="0"/>
        </w:rPr>
      </w:pPr>
      <w:r>
        <w:rPr>
          <w:snapToGrid w:val="0"/>
        </w:rPr>
        <w:tab/>
        <w:t>(3)</w:t>
      </w:r>
      <w:r>
        <w:rPr>
          <w:snapToGrid w:val="0"/>
        </w:rPr>
        <w:tab/>
      </w:r>
      <w:r>
        <w:rPr>
          <w:snapToGrid w:val="0"/>
          <w:spacing w:val="-2"/>
        </w:rPr>
        <w:t>Except</w:t>
      </w:r>
      <w:r>
        <w:rPr>
          <w:snapToGrid w:val="0"/>
        </w:rPr>
        <w:t xml:space="preserve"> as otherwise prescribed by or under this Act — </w:t>
      </w:r>
    </w:p>
    <w:p>
      <w:pPr>
        <w:pStyle w:val="Indenta"/>
        <w:spacing w:before="60"/>
        <w:rPr>
          <w:snapToGrid w:val="0"/>
        </w:rPr>
      </w:pPr>
      <w:r>
        <w:rPr>
          <w:snapToGrid w:val="0"/>
        </w:rPr>
        <w:tab/>
        <w:t>(a)</w:t>
      </w:r>
      <w:r>
        <w:rPr>
          <w:snapToGrid w:val="0"/>
        </w:rPr>
        <w:tab/>
        <w:t>the powers of a safety and health magistrate; and</w:t>
      </w:r>
    </w:p>
    <w:p>
      <w:pPr>
        <w:pStyle w:val="Indenta"/>
        <w:spacing w:before="60"/>
        <w:rPr>
          <w:snapToGrid w:val="0"/>
        </w:rPr>
      </w:pPr>
      <w:r>
        <w:rPr>
          <w:snapToGrid w:val="0"/>
        </w:rPr>
        <w:tab/>
        <w:t>(b)</w:t>
      </w:r>
      <w:r>
        <w:rPr>
          <w:snapToGrid w:val="0"/>
        </w:rPr>
        <w:tab/>
        <w:t>the practice and procedure to be observed by a safety and health magistrate,</w:t>
      </w:r>
    </w:p>
    <w:p>
      <w:pPr>
        <w:pStyle w:val="Subsection"/>
        <w:spacing w:before="120"/>
        <w:rPr>
          <w:snapToGrid w:val="0"/>
        </w:rPr>
      </w:pPr>
      <w:r>
        <w:rPr>
          <w:snapToGrid w:val="0"/>
        </w:rPr>
        <w:tab/>
      </w:r>
      <w:r>
        <w:rPr>
          <w:snapToGrid w:val="0"/>
        </w:rPr>
        <w:tab/>
        <w:t xml:space="preserve">when </w:t>
      </w:r>
      <w:r>
        <w:rPr>
          <w:snapToGrid w:val="0"/>
          <w:spacing w:val="-2"/>
        </w:rPr>
        <w:t>exercising</w:t>
      </w:r>
      <w:r>
        <w:rPr>
          <w:snapToGrid w:val="0"/>
        </w:rPr>
        <w:t xml:space="preserve"> jurisdiction under subsection (1)(a) are those provided for by the </w:t>
      </w:r>
      <w:r>
        <w:rPr>
          <w:i/>
        </w:rPr>
        <w:t>Magistrates Court (Civil Proceedings) Act 2004</w:t>
      </w:r>
      <w:r>
        <w:t xml:space="preserve"> </w:t>
      </w:r>
      <w:r>
        <w:rPr>
          <w:snapToGrid w:val="0"/>
        </w:rPr>
        <w:t xml:space="preserve">and when exercising that jurisdiction a safety and health magistrate is taken to be </w:t>
      </w:r>
      <w:r>
        <w:t>the Magistrates Court.</w:t>
      </w:r>
    </w:p>
    <w:p>
      <w:pPr>
        <w:pStyle w:val="Subsection"/>
        <w:spacing w:before="140"/>
        <w:rPr>
          <w:snapToGrid w:val="0"/>
        </w:rPr>
      </w:pPr>
      <w:r>
        <w:rPr>
          <w:snapToGrid w:val="0"/>
        </w:rPr>
        <w:tab/>
        <w:t>(4)</w:t>
      </w:r>
      <w:r>
        <w:rPr>
          <w:snapToGrid w:val="0"/>
        </w:rPr>
        <w:tab/>
        <w:t xml:space="preserve">If, in </w:t>
      </w:r>
      <w:r>
        <w:rPr>
          <w:snapToGrid w:val="0"/>
          <w:spacing w:val="-2"/>
        </w:rPr>
        <w:t>relation</w:t>
      </w:r>
      <w:r>
        <w:rPr>
          <w:snapToGrid w:val="0"/>
        </w:rPr>
        <w:t xml:space="preserve"> to a matter referred to a safety and health magistrate under this Act, no provision of the </w:t>
      </w:r>
      <w:r>
        <w:rPr>
          <w:i/>
        </w:rPr>
        <w:t>Magistrates Court (Civil Proceedings) Act 2004</w:t>
      </w:r>
      <w:r>
        <w:t xml:space="preserve"> </w:t>
      </w:r>
      <w:r>
        <w:rPr>
          <w:snapToGrid w:val="0"/>
        </w:rPr>
        <w:t xml:space="preserve">or this Act is applicable the matter shall be dealt with in such manner as the safety and health magistrate may direct. </w:t>
      </w:r>
    </w:p>
    <w:p>
      <w:pPr>
        <w:pStyle w:val="Subsection"/>
        <w:spacing w:before="120"/>
        <w:rPr>
          <w:snapToGrid w:val="0"/>
          <w:spacing w:val="-2"/>
        </w:rPr>
      </w:pPr>
      <w:r>
        <w:rPr>
          <w:snapToGrid w:val="0"/>
          <w:spacing w:val="-2"/>
        </w:rPr>
        <w:tab/>
        <w:t>(5)</w:t>
      </w:r>
      <w:r>
        <w:rPr>
          <w:snapToGrid w:val="0"/>
          <w:spacing w:val="-2"/>
        </w:rPr>
        <w:tab/>
        <w:t>When exercising jurisdiction under subsection (1)(b) a safety and health magistrate constitutes a court of summary jurisdiction.</w:t>
      </w:r>
    </w:p>
    <w:p>
      <w:pPr>
        <w:pStyle w:val="Subsection"/>
        <w:spacing w:before="120"/>
        <w:rPr>
          <w:snapToGrid w:val="0"/>
          <w:spacing w:val="-2"/>
        </w:rPr>
      </w:pPr>
      <w:r>
        <w:tab/>
        <w:t>(6)</w:t>
      </w:r>
      <w:r>
        <w:tab/>
        <w:t xml:space="preserve">Sections 15, 16, 35 and 36 and Part 3 Division 2 of the </w:t>
      </w:r>
      <w:r>
        <w:rPr>
          <w:i/>
        </w:rPr>
        <w:t xml:space="preserve">Magistrates Court Act 2004 </w:t>
      </w:r>
      <w:r>
        <w:t>apply to and in relation to a safety and health magistrate in the same way as they apply to and in relation to the Magistrates Court and its officers.</w:t>
      </w:r>
    </w:p>
    <w:p>
      <w:pPr>
        <w:pStyle w:val="Footnotesection"/>
        <w:spacing w:before="100"/>
        <w:ind w:left="890" w:hanging="890"/>
      </w:pPr>
      <w:r>
        <w:tab/>
        <w:t xml:space="preserve">[Section 51C inserted by No. 30 of 1995 s. 39; amended by No. 59 of 2004 s. 141; No. 84 of 2004 s. 78.] </w:t>
      </w:r>
    </w:p>
    <w:p>
      <w:pPr>
        <w:pStyle w:val="Heading5"/>
        <w:rPr>
          <w:snapToGrid w:val="0"/>
        </w:rPr>
      </w:pPr>
      <w:bookmarkStart w:id="813" w:name="_Toc402776436"/>
      <w:bookmarkStart w:id="814" w:name="_Toc403985299"/>
      <w:bookmarkStart w:id="815" w:name="_Toc59593073"/>
      <w:bookmarkStart w:id="816" w:name="_Toc109702884"/>
      <w:bookmarkStart w:id="817" w:name="_Toc188695678"/>
      <w:bookmarkStart w:id="818" w:name="_Toc187054005"/>
      <w:r>
        <w:rPr>
          <w:rStyle w:val="CharSectno"/>
        </w:rPr>
        <w:t>51D</w:t>
      </w:r>
      <w:r>
        <w:rPr>
          <w:snapToGrid w:val="0"/>
        </w:rPr>
        <w:t xml:space="preserve">. </w:t>
      </w:r>
      <w:r>
        <w:rPr>
          <w:snapToGrid w:val="0"/>
        </w:rPr>
        <w:tab/>
        <w:t>Representation</w:t>
      </w:r>
      <w:bookmarkEnd w:id="813"/>
      <w:bookmarkEnd w:id="814"/>
      <w:bookmarkEnd w:id="815"/>
      <w:bookmarkEnd w:id="816"/>
      <w:bookmarkEnd w:id="817"/>
      <w:bookmarkEnd w:id="818"/>
      <w:r>
        <w:rPr>
          <w:snapToGrid w:val="0"/>
        </w:rPr>
        <w:t xml:space="preserve"> </w:t>
      </w:r>
    </w:p>
    <w:p>
      <w:pPr>
        <w:pStyle w:val="Subsection"/>
        <w:rPr>
          <w:snapToGrid w:val="0"/>
        </w:rPr>
      </w:pPr>
      <w:r>
        <w:rPr>
          <w:snapToGrid w:val="0"/>
        </w:rPr>
        <w:tab/>
      </w:r>
      <w:r>
        <w:rPr>
          <w:snapToGrid w:val="0"/>
        </w:rPr>
        <w:tab/>
        <w:t>In the hearing and determination of a matter under section 51C(1)(a) before a safety and health magistrate a party may appear personally or be represented by any agent, including a legal practitioner.</w:t>
      </w:r>
    </w:p>
    <w:p>
      <w:pPr>
        <w:pStyle w:val="Footnotesection"/>
      </w:pPr>
      <w:r>
        <w:tab/>
        <w:t xml:space="preserve">[Section 51D inserted by No. 30 of 1995 s. 39.] </w:t>
      </w:r>
    </w:p>
    <w:p>
      <w:pPr>
        <w:pStyle w:val="Heading5"/>
        <w:rPr>
          <w:snapToGrid w:val="0"/>
        </w:rPr>
      </w:pPr>
      <w:bookmarkStart w:id="819" w:name="_Toc402776437"/>
      <w:bookmarkStart w:id="820" w:name="_Toc403985300"/>
      <w:bookmarkStart w:id="821" w:name="_Toc59593074"/>
      <w:bookmarkStart w:id="822" w:name="_Toc109702885"/>
      <w:bookmarkStart w:id="823" w:name="_Toc188695679"/>
      <w:bookmarkStart w:id="824" w:name="_Toc187054006"/>
      <w:r>
        <w:rPr>
          <w:rStyle w:val="CharSectno"/>
        </w:rPr>
        <w:t>51E</w:t>
      </w:r>
      <w:r>
        <w:rPr>
          <w:snapToGrid w:val="0"/>
        </w:rPr>
        <w:t xml:space="preserve">. </w:t>
      </w:r>
      <w:r>
        <w:rPr>
          <w:snapToGrid w:val="0"/>
        </w:rPr>
        <w:tab/>
        <w:t>Administrative arrangements</w:t>
      </w:r>
      <w:bookmarkEnd w:id="819"/>
      <w:bookmarkEnd w:id="820"/>
      <w:bookmarkEnd w:id="821"/>
      <w:bookmarkEnd w:id="822"/>
      <w:bookmarkEnd w:id="823"/>
      <w:bookmarkEnd w:id="824"/>
      <w:r>
        <w:rPr>
          <w:snapToGrid w:val="0"/>
        </w:rPr>
        <w:t xml:space="preserve"> </w:t>
      </w:r>
    </w:p>
    <w:p>
      <w:pPr>
        <w:pStyle w:val="Subsection"/>
        <w:rPr>
          <w:snapToGrid w:val="0"/>
        </w:rPr>
      </w:pPr>
      <w:r>
        <w:rPr>
          <w:snapToGrid w:val="0"/>
        </w:rPr>
        <w:tab/>
      </w:r>
      <w:r>
        <w:rPr>
          <w:snapToGrid w:val="0"/>
        </w:rPr>
        <w:tab/>
        <w:t xml:space="preserve">The </w:t>
      </w:r>
      <w:r>
        <w:t xml:space="preserve">Chief Magistrate of the Magistrates Court </w:t>
      </w:r>
      <w:r>
        <w:rPr>
          <w:snapToGrid w:val="0"/>
        </w:rPr>
        <w:t>shall make such administrative arrangements as are necessary to enable a safety and health magistrate to carry out functions under this Act.</w:t>
      </w:r>
    </w:p>
    <w:p>
      <w:pPr>
        <w:pStyle w:val="Footnotesection"/>
      </w:pPr>
      <w:r>
        <w:tab/>
        <w:t xml:space="preserve">[Section 51E inserted by No. 30 of 1995 s. 39; amended by No. 59 of 2004 s. 141.] </w:t>
      </w:r>
    </w:p>
    <w:p>
      <w:pPr>
        <w:pStyle w:val="Heading2"/>
      </w:pPr>
      <w:bookmarkStart w:id="825" w:name="_Toc100545232"/>
      <w:bookmarkStart w:id="826" w:name="_Toc100716711"/>
      <w:bookmarkStart w:id="827" w:name="_Toc102546300"/>
      <w:bookmarkStart w:id="828" w:name="_Toc103141523"/>
      <w:bookmarkStart w:id="829" w:name="_Toc105909135"/>
      <w:bookmarkStart w:id="830" w:name="_Toc105922021"/>
      <w:bookmarkStart w:id="831" w:name="_Toc106616859"/>
      <w:bookmarkStart w:id="832" w:name="_Toc108848603"/>
      <w:bookmarkStart w:id="833" w:name="_Toc109702886"/>
      <w:bookmarkStart w:id="834" w:name="_Toc113700443"/>
      <w:bookmarkStart w:id="835" w:name="_Toc113779101"/>
      <w:bookmarkStart w:id="836" w:name="_Toc122767482"/>
      <w:bookmarkStart w:id="837" w:name="_Toc122767725"/>
      <w:bookmarkStart w:id="838" w:name="_Toc131409972"/>
      <w:bookmarkStart w:id="839" w:name="_Toc187035539"/>
      <w:bookmarkStart w:id="840" w:name="_Toc187054007"/>
      <w:bookmarkStart w:id="841" w:name="_Toc188695680"/>
      <w:bookmarkStart w:id="842" w:name="_Toc88990694"/>
      <w:bookmarkStart w:id="843" w:name="_Toc89568256"/>
      <w:bookmarkStart w:id="844" w:name="_Toc93200966"/>
      <w:bookmarkStart w:id="845" w:name="_Toc97006637"/>
      <w:r>
        <w:rPr>
          <w:rStyle w:val="CharPartNo"/>
        </w:rPr>
        <w:t>Part VIB</w:t>
      </w:r>
      <w:r>
        <w:t> — </w:t>
      </w:r>
      <w:r>
        <w:rPr>
          <w:rStyle w:val="CharPartText"/>
        </w:rPr>
        <w:t>Occupational Safety and Health Tribunal</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Footnoteheading"/>
        <w:rPr>
          <w:snapToGrid w:val="0"/>
        </w:rPr>
      </w:pPr>
      <w:r>
        <w:rPr>
          <w:snapToGrid w:val="0"/>
        </w:rPr>
        <w:tab/>
        <w:t xml:space="preserve">[Heading inserted by No. 51 of 2004 s. 67.] </w:t>
      </w:r>
    </w:p>
    <w:p>
      <w:pPr>
        <w:pStyle w:val="Heading5"/>
      </w:pPr>
      <w:bookmarkStart w:id="846" w:name="_Toc109702887"/>
      <w:bookmarkStart w:id="847" w:name="_Toc188695681"/>
      <w:bookmarkStart w:id="848" w:name="_Toc187054008"/>
      <w:r>
        <w:rPr>
          <w:rStyle w:val="CharSectno"/>
        </w:rPr>
        <w:t>51F</w:t>
      </w:r>
      <w:r>
        <w:t>.</w:t>
      </w:r>
      <w:r>
        <w:tab/>
        <w:t>Interpretation</w:t>
      </w:r>
      <w:bookmarkEnd w:id="846"/>
      <w:bookmarkEnd w:id="847"/>
      <w:bookmarkEnd w:id="848"/>
    </w:p>
    <w:p>
      <w:pPr>
        <w:pStyle w:val="Subsection"/>
      </w:pPr>
      <w:r>
        <w:tab/>
      </w:r>
      <w:r>
        <w:tab/>
        <w:t xml:space="preserve">In this Part — </w:t>
      </w:r>
    </w:p>
    <w:p>
      <w:pPr>
        <w:pStyle w:val="Defstart"/>
      </w:pPr>
      <w:r>
        <w:rPr>
          <w:b/>
        </w:rPr>
        <w:tab/>
        <w:t>“</w:t>
      </w:r>
      <w:r>
        <w:rPr>
          <w:rStyle w:val="CharDefText"/>
        </w:rPr>
        <w:t>Commission</w:t>
      </w:r>
      <w:r>
        <w:rPr>
          <w:b/>
        </w:rPr>
        <w:t>”</w:t>
      </w:r>
      <w:r>
        <w:t xml:space="preserve"> and </w:t>
      </w:r>
      <w:r>
        <w:rPr>
          <w:b/>
        </w:rPr>
        <w:t>“</w:t>
      </w:r>
      <w:r>
        <w:rPr>
          <w:rStyle w:val="CharDefText"/>
        </w:rPr>
        <w:t>Chief Commissioner</w:t>
      </w:r>
      <w:r>
        <w:rPr>
          <w:b/>
        </w:rPr>
        <w:t>”</w:t>
      </w:r>
      <w:r>
        <w:t xml:space="preserve"> have the meanings given to those terms in section 7(1) of the </w:t>
      </w:r>
      <w:r>
        <w:rPr>
          <w:i/>
        </w:rPr>
        <w:t>Industrial Relations Act 1979</w:t>
      </w:r>
      <w:r>
        <w:t>;</w:t>
      </w:r>
    </w:p>
    <w:p>
      <w:pPr>
        <w:pStyle w:val="Defstart"/>
      </w:pPr>
      <w:r>
        <w:rPr>
          <w:b/>
        </w:rPr>
        <w:tab/>
        <w:t>“</w:t>
      </w:r>
      <w:r>
        <w:rPr>
          <w:rStyle w:val="CharDefText"/>
        </w:rPr>
        <w:t>matter</w:t>
      </w:r>
      <w:r>
        <w:rPr>
          <w:b/>
        </w:rPr>
        <w:t>”</w:t>
      </w:r>
      <w:r>
        <w:t xml:space="preserve"> includes a claim under section 35C.</w:t>
      </w:r>
    </w:p>
    <w:p>
      <w:pPr>
        <w:pStyle w:val="Footnotesection"/>
      </w:pPr>
      <w:r>
        <w:tab/>
        <w:t xml:space="preserve">[Section 51F inserted by No. 51 of 2004 s. 67.] </w:t>
      </w:r>
    </w:p>
    <w:p>
      <w:pPr>
        <w:pStyle w:val="Heading5"/>
      </w:pPr>
      <w:bookmarkStart w:id="849" w:name="_Toc109702888"/>
      <w:bookmarkStart w:id="850" w:name="_Toc188695682"/>
      <w:bookmarkStart w:id="851" w:name="_Toc187054009"/>
      <w:r>
        <w:rPr>
          <w:rStyle w:val="CharSectno"/>
        </w:rPr>
        <w:t>51G</w:t>
      </w:r>
      <w:r>
        <w:t>.</w:t>
      </w:r>
      <w:r>
        <w:tab/>
        <w:t>Industrial Relations Commission sitting as the Occupational Safety and Health Tribunal</w:t>
      </w:r>
      <w:bookmarkEnd w:id="849"/>
      <w:bookmarkEnd w:id="850"/>
      <w:bookmarkEnd w:id="851"/>
      <w:r>
        <w:t xml:space="preserve"> </w:t>
      </w:r>
    </w:p>
    <w:p>
      <w:pPr>
        <w:pStyle w:val="Subsection"/>
      </w:pPr>
      <w:r>
        <w:tab/>
        <w:t>(1)</w:t>
      </w:r>
      <w:r>
        <w:tab/>
        <w:t>By this subsection the Commission has jurisdiction to hear and determine matters that may be referred for determination under sections 28(2), 30(6), 30A(4), 31(11), 34(1), 35(3), 35C, 39G(1), (2) and (3) and 51A(1).</w:t>
      </w:r>
    </w:p>
    <w:p>
      <w:pPr>
        <w:pStyle w:val="Subsection"/>
      </w:pPr>
      <w:r>
        <w:tab/>
        <w:t>(2)</w:t>
      </w:r>
      <w:r>
        <w:tab/>
        <w:t xml:space="preserve">When sitting in exercise of the jurisdiction conferred by subsection (1) the Commission is to be known as the Occupational Safety and Health Tribunal (the </w:t>
      </w:r>
      <w:r>
        <w:rPr>
          <w:b/>
        </w:rPr>
        <w:t>“</w:t>
      </w:r>
      <w:r>
        <w:rPr>
          <w:rStyle w:val="CharDefText"/>
        </w:rPr>
        <w:t>Tribunal</w:t>
      </w:r>
      <w:r>
        <w:rPr>
          <w:b/>
        </w:rPr>
        <w:t>”</w:t>
      </w:r>
      <w:r>
        <w:t>).</w:t>
      </w:r>
    </w:p>
    <w:p>
      <w:pPr>
        <w:pStyle w:val="Subsection"/>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pPr>
      <w:r>
        <w:tab/>
        <w:t xml:space="preserve">[Section 51G inserted by No. 51 of 2004 s. 67.] </w:t>
      </w:r>
    </w:p>
    <w:p>
      <w:pPr>
        <w:pStyle w:val="Heading5"/>
      </w:pPr>
      <w:bookmarkStart w:id="852" w:name="_Toc109702889"/>
      <w:bookmarkStart w:id="853" w:name="_Toc188695683"/>
      <w:bookmarkStart w:id="854" w:name="_Toc187054010"/>
      <w:r>
        <w:rPr>
          <w:rStyle w:val="CharSectno"/>
        </w:rPr>
        <w:t>51H</w:t>
      </w:r>
      <w:r>
        <w:t>.</w:t>
      </w:r>
      <w:r>
        <w:tab/>
        <w:t>Jurisdiction to be exercised by Commissioner with requisite qualifications</w:t>
      </w:r>
      <w:bookmarkEnd w:id="852"/>
      <w:bookmarkEnd w:id="853"/>
      <w:bookmarkEnd w:id="854"/>
    </w:p>
    <w:p>
      <w:pPr>
        <w:pStyle w:val="Subsection"/>
      </w:pPr>
      <w:r>
        <w:tab/>
        <w:t>(1)</w:t>
      </w:r>
      <w:r>
        <w:tab/>
        <w:t xml:space="preserve">The jurisdiction conferred by section 51G in respect of any matter is to be exercised — </w:t>
      </w:r>
    </w:p>
    <w:p>
      <w:pPr>
        <w:pStyle w:val="Indenta"/>
      </w:pPr>
      <w:r>
        <w:tab/>
        <w:t>(a)</w:t>
      </w:r>
      <w:r>
        <w:tab/>
        <w:t xml:space="preserve">by the Commissioner appointed for the purposes of section 8(2a) of the </w:t>
      </w:r>
      <w:r>
        <w:rPr>
          <w:i/>
        </w:rPr>
        <w:t>Industrial Relations Act 1979</w:t>
      </w:r>
      <w:r>
        <w:t>; or</w:t>
      </w:r>
    </w:p>
    <w:p>
      <w:pPr>
        <w:pStyle w:val="Indenta"/>
      </w:pPr>
      <w:r>
        <w:tab/>
        <w:t>(b)</w:t>
      </w:r>
      <w:r>
        <w:tab/>
        <w:t xml:space="preserve">if that Commissioner is unable to act by reason of sickness, absence or other cause —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Footnotesection"/>
      </w:pPr>
      <w:r>
        <w:tab/>
        <w:t xml:space="preserve">[Section 51H inserted by No. 51 of 2004 s. 67.] </w:t>
      </w:r>
    </w:p>
    <w:p>
      <w:pPr>
        <w:pStyle w:val="Heading5"/>
      </w:pPr>
      <w:bookmarkStart w:id="855" w:name="_Toc109702890"/>
      <w:bookmarkStart w:id="856" w:name="_Toc188695684"/>
      <w:bookmarkStart w:id="857" w:name="_Toc187054011"/>
      <w:r>
        <w:rPr>
          <w:rStyle w:val="CharSectno"/>
        </w:rPr>
        <w:t>51I</w:t>
      </w:r>
      <w:r>
        <w:t>.</w:t>
      </w:r>
      <w:r>
        <w:tab/>
        <w:t>Practice, procedure and appeals</w:t>
      </w:r>
      <w:bookmarkEnd w:id="855"/>
      <w:bookmarkEnd w:id="856"/>
      <w:bookmarkEnd w:id="857"/>
    </w:p>
    <w:p>
      <w:pPr>
        <w:pStyle w:val="Subsection"/>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 </w:t>
      </w:r>
    </w:p>
    <w:p>
      <w:pPr>
        <w:pStyle w:val="Indenta"/>
      </w:pPr>
      <w:r>
        <w:tab/>
        <w:t>(a)</w:t>
      </w:r>
      <w:r>
        <w:tab/>
        <w:t xml:space="preserve">with such modifications as are prescribed under section 113 of that Act; and </w:t>
      </w:r>
    </w:p>
    <w:p>
      <w:pPr>
        <w:pStyle w:val="Indenta"/>
      </w:pPr>
      <w:r>
        <w:tab/>
        <w:t>(b)</w:t>
      </w:r>
      <w:r>
        <w:tab/>
        <w:t>with such other modifications as may be necessary or appropriate.</w:t>
      </w:r>
    </w:p>
    <w:p>
      <w:pPr>
        <w:pStyle w:val="Subsection"/>
      </w:pPr>
      <w:r>
        <w:tab/>
        <w:t>(2)</w:t>
      </w:r>
      <w:r>
        <w:tab/>
        <w:t xml:space="preserve">For the purposes of subsection (1), section 31(1) of the </w:t>
      </w:r>
      <w:r>
        <w:rPr>
          <w:i/>
        </w:rPr>
        <w:t>Industrial Relations Act 1979</w:t>
      </w:r>
      <w:r>
        <w:t xml:space="preserve"> applies as if paragraph (c) were deleted and the following paragraph were inserted instead — </w:t>
      </w:r>
    </w:p>
    <w:p>
      <w:pPr>
        <w:pStyle w:val="MiscOpen"/>
      </w:pPr>
      <w:r>
        <w:tab/>
        <w:t xml:space="preserve">“    </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 xml:space="preserve">[Section 51I inserted by No. 51 of 2004 s. 67.] </w:t>
      </w:r>
    </w:p>
    <w:p>
      <w:pPr>
        <w:pStyle w:val="Heading5"/>
      </w:pPr>
      <w:bookmarkStart w:id="858" w:name="_Toc109702891"/>
      <w:bookmarkStart w:id="859" w:name="_Toc188695685"/>
      <w:bookmarkStart w:id="860" w:name="_Toc187054012"/>
      <w:r>
        <w:rPr>
          <w:rStyle w:val="CharSectno"/>
        </w:rPr>
        <w:t>51J</w:t>
      </w:r>
      <w:r>
        <w:t>.</w:t>
      </w:r>
      <w:r>
        <w:tab/>
        <w:t>Conciliation</w:t>
      </w:r>
      <w:bookmarkEnd w:id="858"/>
      <w:bookmarkEnd w:id="859"/>
      <w:bookmarkEnd w:id="860"/>
    </w:p>
    <w:p>
      <w:pPr>
        <w:pStyle w:val="Subsection"/>
      </w:pPr>
      <w:r>
        <w:tab/>
        <w:t>(1)</w:t>
      </w:r>
      <w:r>
        <w:tab/>
        <w:t>This section applies where a matter has been referred to the Tribunal for determination under section 28(2), 30(6), 30A(4), 31(11), 35(3) or 39G.</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 xml:space="preserve">If the Tribunal —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 xml:space="preserve">In making a determination mentioned in subsection (6) the Tribunal is to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 xml:space="preserve">[Section 51J inserted by No. 51 of 2004 s. 67.] </w:t>
      </w:r>
    </w:p>
    <w:p>
      <w:pPr>
        <w:pStyle w:val="Heading5"/>
      </w:pPr>
      <w:bookmarkStart w:id="861" w:name="_Toc109702892"/>
      <w:bookmarkStart w:id="862" w:name="_Toc188695686"/>
      <w:bookmarkStart w:id="863" w:name="_Toc187054013"/>
      <w:r>
        <w:rPr>
          <w:rStyle w:val="CharSectno"/>
        </w:rPr>
        <w:t>51K</w:t>
      </w:r>
      <w:r>
        <w:t>.</w:t>
      </w:r>
      <w:r>
        <w:tab/>
        <w:t>Certain matters to be heard together</w:t>
      </w:r>
      <w:bookmarkEnd w:id="861"/>
      <w:bookmarkEnd w:id="862"/>
      <w:bookmarkEnd w:id="863"/>
    </w:p>
    <w:p>
      <w:pPr>
        <w:pStyle w:val="Subsection"/>
      </w:pPr>
      <w:r>
        <w:tab/>
        <w:t>(1)</w:t>
      </w:r>
      <w:r>
        <w:tab/>
        <w:t xml:space="preserve">The section applies if —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 xml:space="preserve">a matter —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 xml:space="preserve">If —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 xml:space="preserve">[Section 51K inserted by No. 51 of 2004 s. 67.] </w:t>
      </w:r>
    </w:p>
    <w:p>
      <w:pPr>
        <w:pStyle w:val="Heading2"/>
      </w:pPr>
      <w:bookmarkStart w:id="864" w:name="_Toc100545239"/>
      <w:bookmarkStart w:id="865" w:name="_Toc100716718"/>
      <w:bookmarkStart w:id="866" w:name="_Toc102546307"/>
      <w:bookmarkStart w:id="867" w:name="_Toc103141530"/>
      <w:bookmarkStart w:id="868" w:name="_Toc105909142"/>
      <w:bookmarkStart w:id="869" w:name="_Toc105922028"/>
      <w:bookmarkStart w:id="870" w:name="_Toc106616866"/>
      <w:bookmarkStart w:id="871" w:name="_Toc108848610"/>
      <w:bookmarkStart w:id="872" w:name="_Toc109702893"/>
      <w:bookmarkStart w:id="873" w:name="_Toc113700450"/>
      <w:bookmarkStart w:id="874" w:name="_Toc113779108"/>
      <w:bookmarkStart w:id="875" w:name="_Toc122767489"/>
      <w:bookmarkStart w:id="876" w:name="_Toc122767732"/>
      <w:bookmarkStart w:id="877" w:name="_Toc131409979"/>
      <w:bookmarkStart w:id="878" w:name="_Toc187035546"/>
      <w:bookmarkStart w:id="879" w:name="_Toc187054014"/>
      <w:bookmarkStart w:id="880" w:name="_Toc188695687"/>
      <w:r>
        <w:rPr>
          <w:rStyle w:val="CharPartNo"/>
        </w:rPr>
        <w:t>Part VII</w:t>
      </w:r>
      <w:r>
        <w:t> — </w:t>
      </w:r>
      <w:r>
        <w:rPr>
          <w:rStyle w:val="CharPartText"/>
        </w:rPr>
        <w:t>Legal proceedings</w:t>
      </w:r>
      <w:bookmarkEnd w:id="842"/>
      <w:bookmarkEnd w:id="843"/>
      <w:bookmarkEnd w:id="844"/>
      <w:bookmarkEnd w:id="845"/>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881" w:name="_Toc93200967"/>
      <w:bookmarkStart w:id="882" w:name="_Toc97006638"/>
      <w:bookmarkStart w:id="883" w:name="_Toc100545240"/>
      <w:bookmarkStart w:id="884" w:name="_Toc100716719"/>
      <w:bookmarkStart w:id="885" w:name="_Toc102546308"/>
      <w:bookmarkStart w:id="886" w:name="_Toc103141531"/>
      <w:bookmarkStart w:id="887" w:name="_Toc105909143"/>
      <w:bookmarkStart w:id="888" w:name="_Toc105922029"/>
      <w:bookmarkStart w:id="889" w:name="_Toc106616867"/>
      <w:bookmarkStart w:id="890" w:name="_Toc108848611"/>
      <w:bookmarkStart w:id="891" w:name="_Toc109702894"/>
      <w:bookmarkStart w:id="892" w:name="_Toc113700451"/>
      <w:bookmarkStart w:id="893" w:name="_Toc113779109"/>
      <w:bookmarkStart w:id="894" w:name="_Toc122767490"/>
      <w:bookmarkStart w:id="895" w:name="_Toc122767733"/>
      <w:bookmarkStart w:id="896" w:name="_Toc131409980"/>
      <w:bookmarkStart w:id="897" w:name="_Toc187035547"/>
      <w:bookmarkStart w:id="898" w:name="_Toc187054015"/>
      <w:bookmarkStart w:id="899" w:name="_Toc188695688"/>
      <w:bookmarkStart w:id="900" w:name="_Toc402776438"/>
      <w:bookmarkStart w:id="901" w:name="_Toc403985301"/>
      <w:bookmarkStart w:id="902" w:name="_Toc59593075"/>
      <w:r>
        <w:rPr>
          <w:rStyle w:val="CharDivNo"/>
        </w:rPr>
        <w:t>Division 1</w:t>
      </w:r>
      <w:r>
        <w:t> — </w:t>
      </w:r>
      <w:r>
        <w:rPr>
          <w:rStyle w:val="CharDivText"/>
        </w:rPr>
        <w:t>General provisions</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Footnoteheading"/>
        <w:tabs>
          <w:tab w:val="left" w:pos="851"/>
        </w:tabs>
      </w:pPr>
      <w:r>
        <w:tab/>
        <w:t>[Heading inserted by No. 51 of 2004 s. 30.]</w:t>
      </w:r>
    </w:p>
    <w:p>
      <w:pPr>
        <w:pStyle w:val="Heading5"/>
        <w:rPr>
          <w:snapToGrid w:val="0"/>
        </w:rPr>
      </w:pPr>
      <w:bookmarkStart w:id="903" w:name="_Toc109702895"/>
      <w:bookmarkStart w:id="904" w:name="_Toc188695689"/>
      <w:bookmarkStart w:id="905" w:name="_Toc187054016"/>
      <w:r>
        <w:rPr>
          <w:rStyle w:val="CharSectno"/>
        </w:rPr>
        <w:t>52</w:t>
      </w:r>
      <w:r>
        <w:rPr>
          <w:snapToGrid w:val="0"/>
        </w:rPr>
        <w:t>.</w:t>
      </w:r>
      <w:r>
        <w:rPr>
          <w:snapToGrid w:val="0"/>
        </w:rPr>
        <w:tab/>
        <w:t>Prosecutions</w:t>
      </w:r>
      <w:bookmarkEnd w:id="900"/>
      <w:bookmarkEnd w:id="901"/>
      <w:bookmarkEnd w:id="902"/>
      <w:bookmarkEnd w:id="903"/>
      <w:bookmarkEnd w:id="904"/>
      <w:bookmarkEnd w:id="905"/>
      <w:r>
        <w:rPr>
          <w:snapToGrid w:val="0"/>
        </w:rPr>
        <w:t xml:space="preserve"> </w:t>
      </w:r>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 xml:space="preserve">[Section 52 inserted by No. 43 of 1987 s. 13; amended by No. 30 of 1995 s. 40; No. 63 of 1998 s. 5(1); No. 59 of 2004 s. 141.] </w:t>
      </w:r>
    </w:p>
    <w:p>
      <w:pPr>
        <w:pStyle w:val="Heading5"/>
        <w:rPr>
          <w:snapToGrid w:val="0"/>
        </w:rPr>
      </w:pPr>
      <w:bookmarkStart w:id="906" w:name="_Toc402776439"/>
      <w:bookmarkStart w:id="907" w:name="_Toc403985302"/>
      <w:bookmarkStart w:id="908" w:name="_Toc59593076"/>
      <w:bookmarkStart w:id="909" w:name="_Toc109702896"/>
      <w:bookmarkStart w:id="910" w:name="_Toc188695690"/>
      <w:bookmarkStart w:id="911" w:name="_Toc187054017"/>
      <w:r>
        <w:rPr>
          <w:rStyle w:val="CharSectno"/>
        </w:rPr>
        <w:t>53</w:t>
      </w:r>
      <w:r>
        <w:rPr>
          <w:snapToGrid w:val="0"/>
        </w:rPr>
        <w:t>.</w:t>
      </w:r>
      <w:r>
        <w:rPr>
          <w:snapToGrid w:val="0"/>
        </w:rPr>
        <w:tab/>
        <w:t>Evidentiary provisions</w:t>
      </w:r>
      <w:bookmarkEnd w:id="906"/>
      <w:bookmarkEnd w:id="907"/>
      <w:bookmarkEnd w:id="908"/>
      <w:bookmarkEnd w:id="909"/>
      <w:bookmarkEnd w:id="910"/>
      <w:bookmarkEnd w:id="911"/>
      <w:r>
        <w:rPr>
          <w:snapToGrid w:val="0"/>
        </w:rPr>
        <w:t xml:space="preserve"> </w:t>
      </w:r>
    </w:p>
    <w:p>
      <w:pPr>
        <w:pStyle w:val="Subsection"/>
        <w:rPr>
          <w:snapToGrid w:val="0"/>
        </w:rPr>
      </w:pPr>
      <w:r>
        <w:rPr>
          <w:snapToGrid w:val="0"/>
        </w:rPr>
        <w:tab/>
        <w:t>(1)</w:t>
      </w:r>
      <w:r>
        <w:rPr>
          <w:snapToGrid w:val="0"/>
        </w:rPr>
        <w:tab/>
        <w:t>In proceedings for an offence against this Act an averment in the charge that at a particular time —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 xml:space="preserve">a particular person had — </w:t>
      </w:r>
    </w:p>
    <w:p>
      <w:pPr>
        <w:pStyle w:val="Indenti"/>
        <w:rPr>
          <w:snapToGrid w:val="0"/>
        </w:rPr>
      </w:pPr>
      <w:r>
        <w:rPr>
          <w:snapToGrid w:val="0"/>
        </w:rPr>
        <w:tab/>
        <w:t>(i)</w:t>
      </w:r>
      <w:r>
        <w:rPr>
          <w:snapToGrid w:val="0"/>
        </w:rPr>
        <w:tab/>
        <w:t>control of a particular workplace; or</w:t>
      </w:r>
    </w:p>
    <w:p>
      <w:pPr>
        <w:pStyle w:val="Indenti"/>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 xml:space="preserve">[Section 53 inserted by No. 43 of 1987 s. 13; amended by No. 30 of 1995 s. 41; No. 10 of 1998 s. 56; No. 51 of 2004 s. 111; No. 84 of 2004 s. 80.] </w:t>
      </w:r>
    </w:p>
    <w:p>
      <w:pPr>
        <w:pStyle w:val="Heading5"/>
      </w:pPr>
      <w:bookmarkStart w:id="912" w:name="_Toc109702897"/>
      <w:bookmarkStart w:id="913" w:name="_Toc188695691"/>
      <w:bookmarkStart w:id="914" w:name="_Toc187054018"/>
      <w:bookmarkStart w:id="915" w:name="_Toc402776442"/>
      <w:bookmarkStart w:id="916" w:name="_Toc403985304"/>
      <w:bookmarkStart w:id="917" w:name="_Toc59593078"/>
      <w:r>
        <w:rPr>
          <w:rStyle w:val="CharSectno"/>
        </w:rPr>
        <w:t>54</w:t>
      </w:r>
      <w:r>
        <w:t>.</w:t>
      </w:r>
      <w:r>
        <w:tab/>
        <w:t>General penalty</w:t>
      </w:r>
      <w:bookmarkEnd w:id="912"/>
      <w:bookmarkEnd w:id="913"/>
      <w:bookmarkEnd w:id="914"/>
    </w:p>
    <w:p>
      <w:pPr>
        <w:pStyle w:val="Subsection"/>
      </w:pPr>
      <w:r>
        <w:tab/>
      </w:r>
      <w:r>
        <w:tab/>
        <w:t>If a person commits an offence against this Act for which a penalty is not otherwise provided, the person is liable to a level one penalty.</w:t>
      </w:r>
    </w:p>
    <w:p>
      <w:pPr>
        <w:pStyle w:val="Footnotesection"/>
      </w:pPr>
      <w:r>
        <w:tab/>
        <w:t>[Section 54 inserted by No. 51 of 2004 s. 31.]</w:t>
      </w:r>
    </w:p>
    <w:bookmarkEnd w:id="915"/>
    <w:bookmarkEnd w:id="916"/>
    <w:bookmarkEnd w:id="917"/>
    <w:p>
      <w:pPr>
        <w:pStyle w:val="Ednotesection"/>
      </w:pPr>
      <w:r>
        <w:t>[</w:t>
      </w:r>
      <w:r>
        <w:rPr>
          <w:b/>
        </w:rPr>
        <w:t>54AA.</w:t>
      </w:r>
      <w:r>
        <w:tab/>
        <w:t>Repealed by No. 51 of 2004 s. 32.]</w:t>
      </w:r>
    </w:p>
    <w:p>
      <w:pPr>
        <w:pStyle w:val="Heading5"/>
        <w:spacing w:before="180"/>
        <w:rPr>
          <w:snapToGrid w:val="0"/>
        </w:rPr>
      </w:pPr>
      <w:bookmarkStart w:id="918" w:name="_Toc402776441"/>
      <w:bookmarkStart w:id="919" w:name="_Toc403985305"/>
      <w:bookmarkStart w:id="920" w:name="_Toc59593079"/>
      <w:bookmarkStart w:id="921" w:name="_Toc109702898"/>
      <w:bookmarkStart w:id="922" w:name="_Toc188695692"/>
      <w:bookmarkStart w:id="923" w:name="_Toc187054019"/>
      <w:r>
        <w:rPr>
          <w:rStyle w:val="CharSectno"/>
        </w:rPr>
        <w:t>54A</w:t>
      </w:r>
      <w:r>
        <w:rPr>
          <w:snapToGrid w:val="0"/>
        </w:rPr>
        <w:t xml:space="preserve">. </w:t>
      </w:r>
      <w:r>
        <w:rPr>
          <w:snapToGrid w:val="0"/>
        </w:rPr>
        <w:tab/>
        <w:t>Continuing offences</w:t>
      </w:r>
      <w:bookmarkEnd w:id="918"/>
      <w:bookmarkEnd w:id="919"/>
      <w:bookmarkEnd w:id="920"/>
      <w:bookmarkEnd w:id="921"/>
      <w:bookmarkEnd w:id="922"/>
      <w:bookmarkEnd w:id="923"/>
      <w:r>
        <w:rPr>
          <w:snapToGrid w:val="0"/>
        </w:rPr>
        <w:t xml:space="preserve"> </w:t>
      </w:r>
    </w:p>
    <w:p>
      <w:pPr>
        <w:pStyle w:val="Subsection"/>
        <w:spacing w:before="120"/>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 xml:space="preserve">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body corporate,</w:t>
      </w:r>
    </w:p>
    <w:p>
      <w:pPr>
        <w:pStyle w:val="Subsection"/>
        <w:spacing w:before="120"/>
        <w:rPr>
          <w:snapToGrid w:val="0"/>
        </w:rPr>
      </w:pPr>
      <w:r>
        <w:tab/>
      </w:r>
      <w:r>
        <w:tab/>
        <w:t>for every day on which the offence is so continued</w:t>
      </w:r>
      <w:r>
        <w:rPr>
          <w:snapToGrid w:val="0"/>
        </w:rPr>
        <w:t>.</w:t>
      </w:r>
    </w:p>
    <w:p>
      <w:pPr>
        <w:pStyle w:val="Footnotesection"/>
        <w:spacing w:before="100"/>
        <w:ind w:left="890" w:hanging="890"/>
      </w:pPr>
      <w:r>
        <w:tab/>
        <w:t xml:space="preserve">[Section 54A inserted by No. 30 of 1995 s. 42; amended by No. 51 of 2004 s. 33 and 103.] </w:t>
      </w:r>
    </w:p>
    <w:p>
      <w:pPr>
        <w:pStyle w:val="Heading5"/>
        <w:spacing w:before="120"/>
        <w:rPr>
          <w:snapToGrid w:val="0"/>
        </w:rPr>
      </w:pPr>
      <w:bookmarkStart w:id="924" w:name="_Toc402776443"/>
      <w:bookmarkStart w:id="925" w:name="_Toc403985306"/>
      <w:bookmarkStart w:id="926" w:name="_Toc59593080"/>
      <w:bookmarkStart w:id="927" w:name="_Toc109702899"/>
      <w:bookmarkStart w:id="928" w:name="_Toc188695693"/>
      <w:bookmarkStart w:id="929" w:name="_Toc187054020"/>
      <w:r>
        <w:rPr>
          <w:rStyle w:val="CharSectno"/>
        </w:rPr>
        <w:t>54B</w:t>
      </w:r>
      <w:r>
        <w:rPr>
          <w:snapToGrid w:val="0"/>
        </w:rPr>
        <w:t xml:space="preserve">. </w:t>
      </w:r>
      <w:r>
        <w:rPr>
          <w:snapToGrid w:val="0"/>
        </w:rPr>
        <w:tab/>
        <w:t>Appeals</w:t>
      </w:r>
      <w:bookmarkEnd w:id="924"/>
      <w:bookmarkEnd w:id="925"/>
      <w:bookmarkEnd w:id="926"/>
      <w:bookmarkEnd w:id="927"/>
      <w:bookmarkEnd w:id="928"/>
      <w:bookmarkEnd w:id="929"/>
      <w:r>
        <w:rPr>
          <w:snapToGrid w:val="0"/>
        </w:rPr>
        <w:t xml:space="preserve"> </w:t>
      </w:r>
    </w:p>
    <w:p>
      <w:pPr>
        <w:pStyle w:val="Subsection"/>
        <w:spacing w:before="100"/>
      </w:pPr>
      <w:r>
        <w:tab/>
        <w:t>(1)</w:t>
      </w:r>
      <w:r>
        <w:tab/>
        <w:t xml:space="preserve">Part 2 of the </w:t>
      </w:r>
      <w:r>
        <w:rPr>
          <w:i/>
        </w:rPr>
        <w:t xml:space="preserve">Criminal Appeals Act 2004 </w:t>
      </w:r>
      <w:r>
        <w:t>applies in respect of decisions of a safety and health magistrate made under section 52.</w:t>
      </w:r>
    </w:p>
    <w:p>
      <w:pPr>
        <w:pStyle w:val="Subsection"/>
        <w:spacing w:before="100"/>
        <w:rPr>
          <w:snapToGrid w:val="0"/>
        </w:rPr>
      </w:pPr>
      <w:r>
        <w:rPr>
          <w:snapToGrid w:val="0"/>
        </w:rPr>
        <w:tab/>
        <w:t>(2)</w:t>
      </w:r>
      <w:r>
        <w:rPr>
          <w:snapToGrid w:val="0"/>
        </w:rPr>
        <w:tab/>
        <w:t xml:space="preserve">A party to </w:t>
      </w:r>
      <w:r>
        <w:t>proceedings</w:t>
      </w:r>
      <w:r>
        <w:rPr>
          <w:snapToGrid w:val="0"/>
        </w:rPr>
        <w:t xml:space="preserve"> before a safety and health magistrate, other than proceedings referred to in section 52, may, by leave of the Supreme Court, appeal to the Supreme Court on a question of law against a determination or decision of the safety and health magistrate.</w:t>
      </w:r>
    </w:p>
    <w:p>
      <w:pPr>
        <w:pStyle w:val="Subsection"/>
        <w:rPr>
          <w:snapToGrid w:val="0"/>
        </w:rPr>
      </w:pPr>
      <w:r>
        <w:rPr>
          <w:snapToGrid w:val="0"/>
        </w:rPr>
        <w:tab/>
        <w:t>(3)</w:t>
      </w:r>
      <w:r>
        <w:rPr>
          <w:snapToGrid w:val="0"/>
        </w:rPr>
        <w:tab/>
        <w:t>An appeal or an application for leave to appeal to the Supreme Court under subsection (2) shall be brought in the manner and in the time prescribed by rules made by the Supreme Court and shall be heard and determined by a single judge of the Supreme Court.</w:t>
      </w:r>
    </w:p>
    <w:p>
      <w:pPr>
        <w:pStyle w:val="Subsection"/>
        <w:rPr>
          <w:snapToGrid w:val="0"/>
        </w:rPr>
      </w:pPr>
      <w:r>
        <w:rPr>
          <w:snapToGrid w:val="0"/>
        </w:rPr>
        <w:tab/>
        <w:t>(4)</w:t>
      </w:r>
      <w:r>
        <w:rPr>
          <w:snapToGrid w:val="0"/>
        </w:rPr>
        <w:tab/>
        <w:t>Without limiting the rules of the Supreme Court, where an appeal under subsection (2) has commenced, the court — </w:t>
      </w:r>
    </w:p>
    <w:p>
      <w:pPr>
        <w:pStyle w:val="Indenta"/>
        <w:rPr>
          <w:snapToGrid w:val="0"/>
        </w:rPr>
      </w:pPr>
      <w:r>
        <w:rPr>
          <w:snapToGrid w:val="0"/>
        </w:rPr>
        <w:tab/>
        <w:t>(a)</w:t>
      </w:r>
      <w:r>
        <w:rPr>
          <w:snapToGrid w:val="0"/>
        </w:rPr>
        <w:tab/>
        <w:t>may suspend the operation or effect of the determination or decision appealed against until the appeal is determined or is withdrawn; and</w:t>
      </w:r>
    </w:p>
    <w:p>
      <w:pPr>
        <w:pStyle w:val="Indenta"/>
        <w:rPr>
          <w:snapToGrid w:val="0"/>
        </w:rPr>
      </w:pPr>
      <w:r>
        <w:rPr>
          <w:snapToGrid w:val="0"/>
        </w:rPr>
        <w:tab/>
        <w:t>(b)</w:t>
      </w:r>
      <w:r>
        <w:rPr>
          <w:snapToGrid w:val="0"/>
        </w:rPr>
        <w:tab/>
        <w:t>may revoke any such suspension.</w:t>
      </w:r>
    </w:p>
    <w:p>
      <w:pPr>
        <w:pStyle w:val="Footnotesection"/>
      </w:pPr>
      <w:r>
        <w:tab/>
        <w:t xml:space="preserve">[Section 54B inserted by No. 30 of 1995 s. 42; amended by No. 59 of 2004 s. 141; No. 84 of 2004 s. 78.] </w:t>
      </w:r>
    </w:p>
    <w:p>
      <w:pPr>
        <w:pStyle w:val="Heading5"/>
        <w:rPr>
          <w:snapToGrid w:val="0"/>
        </w:rPr>
      </w:pPr>
      <w:bookmarkStart w:id="930" w:name="_Toc402776444"/>
      <w:bookmarkStart w:id="931" w:name="_Toc403985307"/>
      <w:bookmarkStart w:id="932" w:name="_Toc59593081"/>
      <w:bookmarkStart w:id="933" w:name="_Toc109702900"/>
      <w:bookmarkStart w:id="934" w:name="_Toc188695694"/>
      <w:bookmarkStart w:id="935" w:name="_Toc187054021"/>
      <w:r>
        <w:rPr>
          <w:rStyle w:val="CharSectno"/>
        </w:rPr>
        <w:t>55</w:t>
      </w:r>
      <w:r>
        <w:rPr>
          <w:snapToGrid w:val="0"/>
        </w:rPr>
        <w:t>.</w:t>
      </w:r>
      <w:r>
        <w:rPr>
          <w:snapToGrid w:val="0"/>
        </w:rPr>
        <w:tab/>
        <w:t>Offences by bodies corporate</w:t>
      </w:r>
      <w:bookmarkEnd w:id="930"/>
      <w:bookmarkEnd w:id="931"/>
      <w:bookmarkEnd w:id="932"/>
      <w:bookmarkEnd w:id="933"/>
      <w:bookmarkEnd w:id="934"/>
      <w:bookmarkEnd w:id="935"/>
      <w:r>
        <w:rPr>
          <w:snapToGrid w:val="0"/>
        </w:rPr>
        <w:t xml:space="preserve"> </w:t>
      </w:r>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 xml:space="preserve">Despite subsection (1), if a body corporate is guilty of an offence under section 19A(1), 21A(1), 21C(1), 22A(1), 23AA(1), 23B(1) or 23H(1) the following provisions apply — </w:t>
      </w:r>
    </w:p>
    <w:p>
      <w:pPr>
        <w:pStyle w:val="Indenta"/>
      </w:pPr>
      <w:r>
        <w:tab/>
        <w:t>(a)</w:t>
      </w:r>
      <w:r>
        <w:tab/>
        <w:t xml:space="preserve">a person referred to in subsection (1) is guilty of that offence if it is proved that — </w:t>
      </w:r>
    </w:p>
    <w:p>
      <w:pPr>
        <w:pStyle w:val="Indenti"/>
      </w:pPr>
      <w:r>
        <w:tab/>
        <w:t>(i)</w:t>
      </w:r>
      <w:r>
        <w:tab/>
        <w:t>the offence was attributable to any neglect on the part of the person; or</w:t>
      </w:r>
    </w:p>
    <w:p>
      <w:pPr>
        <w:pStyle w:val="Indenti"/>
      </w:pPr>
      <w:r>
        <w:tab/>
        <w:t>(ii)</w:t>
      </w:r>
      <w:r>
        <w:tab/>
        <w:t>the person consented to or connived in the acts or omissions to which section 18A(2)(a)(ii) applied that were proved against the body corporate,</w:t>
      </w:r>
    </w:p>
    <w:p>
      <w:pPr>
        <w:pStyle w:val="Indenta"/>
      </w:pPr>
      <w:r>
        <w:tab/>
      </w:r>
      <w:r>
        <w:tab/>
        <w:t xml:space="preserve">in circumstances where the person — </w:t>
      </w:r>
    </w:p>
    <w:p>
      <w:pPr>
        <w:pStyle w:val="Indenti"/>
      </w:pPr>
      <w:r>
        <w:tab/>
        <w:t>(iii)</w:t>
      </w:r>
      <w:r>
        <w:tab/>
        <w:t>knew that the contravention would be likely to cause the death of, or serious harm to, a person to whom a duty was owed; but</w:t>
      </w:r>
    </w:p>
    <w:p>
      <w:pPr>
        <w:pStyle w:val="Indenti"/>
      </w:pPr>
      <w:r>
        <w:tab/>
        <w:t>(iv)</w:t>
      </w:r>
      <w:r>
        <w:tab/>
        <w:t xml:space="preserve">acted or failed to act as mentioned in subparagraph (i) or (ii) in disregard of that likelihood; </w:t>
      </w:r>
    </w:p>
    <w:p>
      <w:pPr>
        <w:pStyle w:val="Indenta"/>
      </w:pPr>
      <w:r>
        <w:tab/>
        <w:t>(b)</w:t>
      </w:r>
      <w:r>
        <w:tab/>
        <w:t xml:space="preserve">if paragraph (a) does not apply, a person referred to in subsection (1) is guilty of an offence under section 19A(2), 21A(2), 21C(2), 22A(2), 23AA(2), 23B(2) or 23H(2), as the case may require, if it is proved that the offence of the body corporate — </w:t>
      </w:r>
    </w:p>
    <w:p>
      <w:pPr>
        <w:pStyle w:val="Indenti"/>
      </w:pPr>
      <w:r>
        <w:tab/>
        <w:t>(i)</w:t>
      </w:r>
      <w:r>
        <w:tab/>
        <w:t xml:space="preserve">occurred with the consent or connivance of the person; or </w:t>
      </w:r>
    </w:p>
    <w:p>
      <w:pPr>
        <w:pStyle w:val="Indenti"/>
      </w:pPr>
      <w:r>
        <w:tab/>
        <w:t>(ii)</w:t>
      </w:r>
      <w:r>
        <w:tab/>
        <w:t>was attributable to any neglect on the part of the person.</w:t>
      </w:r>
    </w:p>
    <w:p>
      <w:pPr>
        <w:pStyle w:val="Subsection"/>
      </w:pPr>
      <w:r>
        <w:tab/>
        <w:t>(1b)</w:t>
      </w:r>
      <w:r>
        <w:tab/>
        <w:t>A person convicted of an offence by virtue of subsection (1) or (1a) is liable to the penalty to which an individual who is convicted of that offence is liable.</w:t>
      </w:r>
    </w:p>
    <w:p>
      <w:pPr>
        <w:pStyle w:val="Subsection"/>
        <w:keepNext/>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pPr>
      <w:r>
        <w:tab/>
        <w:t xml:space="preserve">[Section 55 inserted by No. 43 of 1987 s. 13; amended by No. 51 of 2004 s. 34, 102(1) and (2).] </w:t>
      </w:r>
    </w:p>
    <w:p>
      <w:pPr>
        <w:pStyle w:val="Heading5"/>
      </w:pPr>
      <w:bookmarkStart w:id="936" w:name="_Toc109702901"/>
      <w:bookmarkStart w:id="937" w:name="_Toc188695695"/>
      <w:bookmarkStart w:id="938" w:name="_Toc187054022"/>
      <w:bookmarkStart w:id="939" w:name="_Toc88990702"/>
      <w:bookmarkStart w:id="940" w:name="_Toc89568264"/>
      <w:r>
        <w:rPr>
          <w:rStyle w:val="CharSectno"/>
        </w:rPr>
        <w:t>55A</w:t>
      </w:r>
      <w:r>
        <w:t>.</w:t>
      </w:r>
      <w:r>
        <w:tab/>
        <w:t>No double jeopardy</w:t>
      </w:r>
      <w:bookmarkEnd w:id="936"/>
      <w:bookmarkEnd w:id="937"/>
      <w:bookmarkEnd w:id="938"/>
    </w:p>
    <w:p>
      <w:pPr>
        <w:pStyle w:val="Subsection"/>
      </w:pPr>
      <w:r>
        <w:tab/>
      </w:r>
      <w:r>
        <w:tab/>
        <w:t>A person is not liable to be punished twice under this Act in respect of any act or omission.</w:t>
      </w:r>
    </w:p>
    <w:p>
      <w:pPr>
        <w:pStyle w:val="Footnotesection"/>
      </w:pPr>
      <w:r>
        <w:tab/>
        <w:t>[Section 55A inserted by No. 51 of 2004 s. 35.]</w:t>
      </w:r>
    </w:p>
    <w:p>
      <w:pPr>
        <w:pStyle w:val="Heading3"/>
      </w:pPr>
      <w:bookmarkStart w:id="941" w:name="_Toc93200975"/>
      <w:bookmarkStart w:id="942" w:name="_Toc97006646"/>
      <w:bookmarkStart w:id="943" w:name="_Toc100545248"/>
      <w:bookmarkStart w:id="944" w:name="_Toc100716727"/>
      <w:bookmarkStart w:id="945" w:name="_Toc102546316"/>
      <w:bookmarkStart w:id="946" w:name="_Toc103141539"/>
      <w:bookmarkStart w:id="947" w:name="_Toc105909151"/>
      <w:bookmarkStart w:id="948" w:name="_Toc105922037"/>
      <w:bookmarkStart w:id="949" w:name="_Toc106616875"/>
      <w:bookmarkStart w:id="950" w:name="_Toc108848619"/>
      <w:bookmarkStart w:id="951" w:name="_Toc109702902"/>
      <w:bookmarkStart w:id="952" w:name="_Toc113700459"/>
      <w:bookmarkStart w:id="953" w:name="_Toc113779117"/>
      <w:bookmarkStart w:id="954" w:name="_Toc122767498"/>
      <w:bookmarkStart w:id="955" w:name="_Toc122767741"/>
      <w:bookmarkStart w:id="956" w:name="_Toc131409988"/>
      <w:bookmarkStart w:id="957" w:name="_Toc187035555"/>
      <w:bookmarkStart w:id="958" w:name="_Toc187054023"/>
      <w:bookmarkStart w:id="959" w:name="_Toc188695696"/>
      <w:r>
        <w:rPr>
          <w:rStyle w:val="CharDivNo"/>
        </w:rPr>
        <w:t>Division 2</w:t>
      </w:r>
      <w:r>
        <w:t> — </w:t>
      </w:r>
      <w:r>
        <w:rPr>
          <w:rStyle w:val="CharDivText"/>
        </w:rPr>
        <w:t>Criminal proceedings against the Crown</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Footnoteheading"/>
        <w:keepNext/>
        <w:tabs>
          <w:tab w:val="left" w:pos="851"/>
        </w:tabs>
      </w:pPr>
      <w:r>
        <w:tab/>
        <w:t>[Heading inserted by No. 51 of 2004 s. 36.]</w:t>
      </w:r>
    </w:p>
    <w:p>
      <w:pPr>
        <w:pStyle w:val="Heading5"/>
      </w:pPr>
      <w:bookmarkStart w:id="960" w:name="_Toc109702903"/>
      <w:bookmarkStart w:id="961" w:name="_Toc188695697"/>
      <w:bookmarkStart w:id="962" w:name="_Toc187054024"/>
      <w:r>
        <w:rPr>
          <w:rStyle w:val="CharSectno"/>
        </w:rPr>
        <w:t>55B</w:t>
      </w:r>
      <w:r>
        <w:t>.</w:t>
      </w:r>
      <w:r>
        <w:tab/>
        <w:t>Crown may be prosecuted</w:t>
      </w:r>
      <w:bookmarkEnd w:id="960"/>
      <w:bookmarkEnd w:id="961"/>
      <w:bookmarkEnd w:id="962"/>
    </w:p>
    <w:p>
      <w:pPr>
        <w:pStyle w:val="Subsection"/>
      </w:pPr>
      <w:r>
        <w:tab/>
      </w:r>
      <w:r>
        <w:tab/>
        <w:t>The Crown in any capacity may, in accordance with this Division, be prosecuted for an offence against this Act.</w:t>
      </w:r>
    </w:p>
    <w:p>
      <w:pPr>
        <w:pStyle w:val="Footnotesection"/>
      </w:pPr>
      <w:r>
        <w:tab/>
        <w:t>[Section 55B inserted by No. 51 of 2004 s. 36.]</w:t>
      </w:r>
    </w:p>
    <w:p>
      <w:pPr>
        <w:pStyle w:val="Heading5"/>
      </w:pPr>
      <w:bookmarkStart w:id="963" w:name="_Toc109702904"/>
      <w:bookmarkStart w:id="964" w:name="_Toc188695698"/>
      <w:bookmarkStart w:id="965" w:name="_Toc187054025"/>
      <w:r>
        <w:rPr>
          <w:rStyle w:val="CharSectno"/>
        </w:rPr>
        <w:t>55C</w:t>
      </w:r>
      <w:r>
        <w:t>.</w:t>
      </w:r>
      <w:r>
        <w:tab/>
        <w:t>Prosecution against body corporate</w:t>
      </w:r>
      <w:bookmarkEnd w:id="963"/>
      <w:bookmarkEnd w:id="964"/>
      <w:bookmarkEnd w:id="965"/>
    </w:p>
    <w:p>
      <w:pPr>
        <w:pStyle w:val="Subsection"/>
      </w:pPr>
      <w:r>
        <w:tab/>
        <w:t>(1)</w:t>
      </w:r>
      <w:r>
        <w:tab/>
        <w:t>Where the act or omission constituting the offence is alleged against a body corporate that is an agent of the Crown, the prosecution proceedings are to be taken against the body corporate.</w:t>
      </w:r>
    </w:p>
    <w:p>
      <w:pPr>
        <w:pStyle w:val="Subsection"/>
      </w:pPr>
      <w:r>
        <w:tab/>
        <w:t>(2)</w:t>
      </w:r>
      <w:r>
        <w:tab/>
        <w:t xml:space="preserve">Subsection (1) includes a case where — </w:t>
      </w:r>
    </w:p>
    <w:p>
      <w:pPr>
        <w:pStyle w:val="Indenta"/>
      </w:pPr>
      <w:r>
        <w:tab/>
        <w:t>(a)</w:t>
      </w:r>
      <w:r>
        <w:tab/>
        <w:t>a body corporate is the successor in law, as defined in section 55F(1), of an agency or department; or</w:t>
      </w:r>
    </w:p>
    <w:p>
      <w:pPr>
        <w:pStyle w:val="Indenta"/>
      </w:pPr>
      <w:r>
        <w:tab/>
        <w:t>(b)</w:t>
      </w:r>
      <w:r>
        <w:tab/>
        <w:t>a body corporate is determined under section 55F(3).</w:t>
      </w:r>
    </w:p>
    <w:p>
      <w:pPr>
        <w:pStyle w:val="Footnotesection"/>
      </w:pPr>
      <w:r>
        <w:tab/>
        <w:t>[Section 55C inserted by No. 51 of 2004 s. 36.]</w:t>
      </w:r>
    </w:p>
    <w:p>
      <w:pPr>
        <w:pStyle w:val="Heading5"/>
      </w:pPr>
      <w:bookmarkStart w:id="966" w:name="_Toc109702905"/>
      <w:bookmarkStart w:id="967" w:name="_Toc188695699"/>
      <w:bookmarkStart w:id="968" w:name="_Toc187054026"/>
      <w:r>
        <w:rPr>
          <w:rStyle w:val="CharSectno"/>
        </w:rPr>
        <w:t>55D</w:t>
      </w:r>
      <w:r>
        <w:t>.</w:t>
      </w:r>
      <w:r>
        <w:tab/>
        <w:t>Prosecution in other cases</w:t>
      </w:r>
      <w:bookmarkEnd w:id="966"/>
      <w:bookmarkEnd w:id="967"/>
      <w:bookmarkEnd w:id="968"/>
    </w:p>
    <w:p>
      <w:pPr>
        <w:pStyle w:val="Subsection"/>
      </w:pPr>
      <w:r>
        <w:tab/>
        <w:t>(1)</w:t>
      </w:r>
      <w:r>
        <w:tab/>
        <w:t xml:space="preserve">Where — </w:t>
      </w:r>
    </w:p>
    <w:p>
      <w:pPr>
        <w:pStyle w:val="Indenta"/>
      </w:pPr>
      <w:r>
        <w:tab/>
        <w:t>(a)</w:t>
      </w:r>
      <w:r>
        <w:tab/>
        <w:t xml:space="preserve">the act or omission constituting the offence is alleged against an agency or department that is an agent of the Crown (the </w:t>
      </w:r>
      <w:r>
        <w:rPr>
          <w:b/>
        </w:rPr>
        <w:t>“</w:t>
      </w:r>
      <w:r>
        <w:rPr>
          <w:rStyle w:val="CharDefText"/>
        </w:rPr>
        <w:t>responsible agency</w:t>
      </w:r>
      <w:r>
        <w:rPr>
          <w:b/>
        </w:rPr>
        <w:t>”</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by No. 51 of 2004 s. 36.]</w:t>
      </w:r>
    </w:p>
    <w:p>
      <w:pPr>
        <w:pStyle w:val="Heading5"/>
      </w:pPr>
      <w:bookmarkStart w:id="969" w:name="_Toc109702906"/>
      <w:bookmarkStart w:id="970" w:name="_Toc188695700"/>
      <w:bookmarkStart w:id="971" w:name="_Toc187054027"/>
      <w:r>
        <w:rPr>
          <w:rStyle w:val="CharSectno"/>
        </w:rPr>
        <w:t>55E</w:t>
      </w:r>
      <w:r>
        <w:t>.</w:t>
      </w:r>
      <w:r>
        <w:tab/>
        <w:t>Provisions applicable to responsible agency</w:t>
      </w:r>
      <w:bookmarkEnd w:id="969"/>
      <w:bookmarkEnd w:id="970"/>
      <w:bookmarkEnd w:id="971"/>
    </w:p>
    <w:p>
      <w:pPr>
        <w:pStyle w:val="Subsection"/>
      </w:pPr>
      <w:r>
        <w:tab/>
        <w:t>(1)</w:t>
      </w:r>
      <w:r>
        <w:tab/>
        <w:t xml:space="preserve">In this section — </w:t>
      </w:r>
    </w:p>
    <w:p>
      <w:pPr>
        <w:pStyle w:val="Defstart"/>
      </w:pPr>
      <w:r>
        <w:rPr>
          <w:b/>
        </w:rPr>
        <w:tab/>
        <w:t>“</w:t>
      </w:r>
      <w:r>
        <w:rPr>
          <w:rStyle w:val="CharDefText"/>
        </w:rPr>
        <w:t>chief executive</w:t>
      </w:r>
      <w:r>
        <w:rPr>
          <w:b/>
        </w:rPr>
        <w:t>”</w:t>
      </w:r>
      <w:r>
        <w:t xml:space="preserve"> means the person who is for the time being responsible for the day to day administration of a responsible agency;</w:t>
      </w:r>
    </w:p>
    <w:p>
      <w:pPr>
        <w:pStyle w:val="Defstart"/>
      </w:pPr>
      <w:r>
        <w:rPr>
          <w:b/>
        </w:rPr>
        <w:tab/>
        <w:t>“</w:t>
      </w:r>
      <w:r>
        <w:rPr>
          <w:rStyle w:val="CharDefText"/>
        </w:rPr>
        <w:t>prosecution proceedings</w:t>
      </w:r>
      <w:r>
        <w:rPr>
          <w:b/>
        </w:rPr>
        <w:t>”</w:t>
      </w:r>
      <w:r>
        <w:t xml:space="preserve"> means proceedings referred to in section 55D(1).</w:t>
      </w:r>
    </w:p>
    <w:p>
      <w:pPr>
        <w:pStyle w:val="Subsection"/>
      </w:pPr>
      <w:r>
        <w:tab/>
        <w:t>(2)</w:t>
      </w:r>
      <w:r>
        <w:tab/>
        <w:t xml:space="preserve">For the purposes of prosecution proceedings — </w:t>
      </w:r>
    </w:p>
    <w:p>
      <w:pPr>
        <w:pStyle w:val="Indenta"/>
      </w:pPr>
      <w:r>
        <w:tab/>
        <w:t>(a)</w:t>
      </w:r>
      <w:r>
        <w:tab/>
        <w:t xml:space="preserve">the responsible agency — </w:t>
      </w:r>
    </w:p>
    <w:p>
      <w:pPr>
        <w:pStyle w:val="Indenti"/>
      </w:pPr>
      <w:r>
        <w:tab/>
        <w:t>(i)</w:t>
      </w:r>
      <w:r>
        <w:tab/>
        <w:t>is to be specified in the charge for the offence;</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 xml:space="preserve">It is sufficient service of a document required to be served on a responsible agency for the purposes of prosecution proceedings if the document — </w:t>
      </w:r>
    </w:p>
    <w:p>
      <w:pPr>
        <w:pStyle w:val="Indenta"/>
      </w:pPr>
      <w:r>
        <w:tab/>
        <w:t>(a)</w:t>
      </w:r>
      <w:r>
        <w:tab/>
        <w:t>is delivered to a person who is or appears to be the chief executive of the responsible agency, or a person acting as such, at a place of business of the responsible agency; or</w:t>
      </w:r>
    </w:p>
    <w:p>
      <w:pPr>
        <w:pStyle w:val="Indenta"/>
      </w:pPr>
      <w:r>
        <w:tab/>
        <w:t>(b)</w:t>
      </w:r>
      <w:r>
        <w:tab/>
        <w:t>is sent by pre</w:t>
      </w:r>
      <w:r>
        <w:noBreakHyphen/>
        <w:t>paid letter addressed and posted to the responsible agency at its principal place of business in the State.</w:t>
      </w:r>
    </w:p>
    <w:p>
      <w:pPr>
        <w:pStyle w:val="Footnotesection"/>
      </w:pPr>
      <w:r>
        <w:tab/>
        <w:t>[Section 55E inserted by No. 51 of 2004 s. 36.]</w:t>
      </w:r>
    </w:p>
    <w:p>
      <w:pPr>
        <w:pStyle w:val="Heading5"/>
      </w:pPr>
      <w:bookmarkStart w:id="972" w:name="_Toc109702907"/>
      <w:bookmarkStart w:id="973" w:name="_Toc188695701"/>
      <w:bookmarkStart w:id="974" w:name="_Toc187054028"/>
      <w:r>
        <w:rPr>
          <w:rStyle w:val="CharSectno"/>
        </w:rPr>
        <w:t>55F</w:t>
      </w:r>
      <w:r>
        <w:t>.</w:t>
      </w:r>
      <w:r>
        <w:tab/>
        <w:t>Proceedings where agency has ceased to exist</w:t>
      </w:r>
      <w:bookmarkEnd w:id="972"/>
      <w:bookmarkEnd w:id="973"/>
      <w:bookmarkEnd w:id="974"/>
    </w:p>
    <w:p>
      <w:pPr>
        <w:pStyle w:val="Subsection"/>
        <w:outlineLvl w:val="0"/>
      </w:pPr>
      <w:r>
        <w:tab/>
        <w:t>(1)</w:t>
      </w:r>
      <w:r>
        <w:tab/>
        <w:t xml:space="preserve">In this section — </w:t>
      </w:r>
    </w:p>
    <w:p>
      <w:pPr>
        <w:pStyle w:val="Defstart"/>
      </w:pPr>
      <w:r>
        <w:rPr>
          <w:b/>
        </w:rPr>
        <w:tab/>
        <w:t>“</w:t>
      </w:r>
      <w:r>
        <w:rPr>
          <w:rStyle w:val="CharDefText"/>
        </w:rPr>
        <w:t>successor in law</w:t>
      </w:r>
      <w:r>
        <w:rPr>
          <w:b/>
        </w:rPr>
        <w:t>”</w:t>
      </w:r>
      <w:r>
        <w:t xml:space="preserve">, in relation to an agency or department, means — </w:t>
      </w:r>
    </w:p>
    <w:p>
      <w:pPr>
        <w:pStyle w:val="Defpara"/>
      </w:pPr>
      <w:r>
        <w:tab/>
        <w:t>(a)</w:t>
      </w:r>
      <w:r>
        <w:tab/>
        <w:t>the sole successor; or</w:t>
      </w:r>
    </w:p>
    <w:p>
      <w:pPr>
        <w:pStyle w:val="Defpara"/>
      </w:pPr>
      <w:r>
        <w:tab/>
        <w:t>(b)</w:t>
      </w:r>
      <w:r>
        <w:tab/>
        <w:t>if there is more than one successor, the one that has the relevant functions formerly vested in the agency or department.</w:t>
      </w:r>
    </w:p>
    <w:p>
      <w:pPr>
        <w:pStyle w:val="Subsection"/>
        <w:outlineLvl w:val="0"/>
      </w:pPr>
      <w:r>
        <w:tab/>
        <w:t>(2)</w:t>
      </w:r>
      <w:r>
        <w:tab/>
        <w:t xml:space="preserve">If an agency or department referred to in section 55D(1)(a) — </w:t>
      </w:r>
    </w:p>
    <w:p>
      <w:pPr>
        <w:pStyle w:val="Indenta"/>
      </w:pPr>
      <w:r>
        <w:tab/>
        <w:t>(a)</w:t>
      </w:r>
      <w:r>
        <w:tab/>
        <w:t>has ceased to exist; but</w:t>
      </w:r>
    </w:p>
    <w:p>
      <w:pPr>
        <w:pStyle w:val="Indenta"/>
      </w:pPr>
      <w:r>
        <w:tab/>
        <w:t>(b)</w:t>
      </w:r>
      <w:r>
        <w:tab/>
        <w:t>has a successor in law to which section 55C(2) does not apply,</w:t>
      </w:r>
    </w:p>
    <w:p>
      <w:pPr>
        <w:pStyle w:val="Subsection"/>
      </w:pPr>
      <w:r>
        <w:tab/>
      </w:r>
      <w:r>
        <w:tab/>
        <w:t>the successor in law is the responsible agency for the purposes of section 55D(1).</w:t>
      </w:r>
    </w:p>
    <w:p>
      <w:pPr>
        <w:pStyle w:val="Subsection"/>
        <w:outlineLvl w:val="0"/>
      </w:pPr>
      <w:r>
        <w:tab/>
        <w:t>(3)</w:t>
      </w:r>
      <w:r>
        <w:tab/>
        <w:t xml:space="preserve">If an agency or department referred to in section 55D(1)(a) — </w:t>
      </w:r>
    </w:p>
    <w:p>
      <w:pPr>
        <w:pStyle w:val="Indenta"/>
      </w:pPr>
      <w:r>
        <w:tab/>
        <w:t>(a)</w:t>
      </w:r>
      <w:r>
        <w:tab/>
        <w:t xml:space="preserve">has ceased to exist; and </w:t>
      </w:r>
    </w:p>
    <w:p>
      <w:pPr>
        <w:pStyle w:val="Indenta"/>
      </w:pPr>
      <w:r>
        <w:tab/>
        <w:t>(b)</w:t>
      </w:r>
      <w:r>
        <w:tab/>
        <w:t xml:space="preserve">either — </w:t>
      </w:r>
    </w:p>
    <w:p>
      <w:pPr>
        <w:pStyle w:val="Indenti"/>
      </w:pPr>
      <w:r>
        <w:tab/>
        <w:t>(i)</w:t>
      </w:r>
      <w:r>
        <w:tab/>
        <w:t>it has no apparent successor in law; or</w:t>
      </w:r>
    </w:p>
    <w:p>
      <w:pPr>
        <w:pStyle w:val="Indenti"/>
      </w:pPr>
      <w:r>
        <w:tab/>
        <w:t>(ii)</w:t>
      </w:r>
      <w:r>
        <w:tab/>
        <w:t xml:space="preserve">there is doubt as to which agency or department has the relevant functions, </w:t>
      </w:r>
    </w:p>
    <w:p>
      <w:pPr>
        <w:pStyle w:val="Subsection"/>
      </w:pPr>
      <w:r>
        <w:tab/>
      </w:r>
      <w:r>
        <w:tab/>
        <w:t>the responsible agency for the purposes of that section is such agency of the Crown as the Minister determines.</w:t>
      </w:r>
    </w:p>
    <w:p>
      <w:pPr>
        <w:pStyle w:val="Footnotesection"/>
      </w:pPr>
      <w:r>
        <w:tab/>
        <w:t>[Section 55F inserted by No. 51 of 2004 s. 36.]</w:t>
      </w:r>
    </w:p>
    <w:p>
      <w:pPr>
        <w:pStyle w:val="Heading5"/>
      </w:pPr>
      <w:bookmarkStart w:id="975" w:name="_Toc109702908"/>
      <w:bookmarkStart w:id="976" w:name="_Toc188695702"/>
      <w:bookmarkStart w:id="977" w:name="_Toc187054029"/>
      <w:r>
        <w:rPr>
          <w:rStyle w:val="CharSectno"/>
        </w:rPr>
        <w:t>55G</w:t>
      </w:r>
      <w:r>
        <w:t>.</w:t>
      </w:r>
      <w:r>
        <w:tab/>
        <w:t>Penalties in proceedings against the Crown</w:t>
      </w:r>
      <w:bookmarkEnd w:id="975"/>
      <w:bookmarkEnd w:id="976"/>
      <w:bookmarkEnd w:id="977"/>
    </w:p>
    <w:p>
      <w:pPr>
        <w:pStyle w:val="Subsection"/>
        <w:keepNext/>
      </w:pPr>
      <w:r>
        <w:tab/>
        <w:t>(1)</w:t>
      </w:r>
      <w:r>
        <w:tab/>
        <w:t xml:space="preserve">In subsection (3)(b) — </w:t>
      </w:r>
    </w:p>
    <w:p>
      <w:pPr>
        <w:pStyle w:val="Defstart"/>
      </w:pPr>
      <w:r>
        <w:rPr>
          <w:b/>
        </w:rPr>
        <w:tab/>
        <w:t>“</w:t>
      </w:r>
      <w:r>
        <w:rPr>
          <w:rStyle w:val="CharDefText"/>
        </w:rPr>
        <w:t>successor in law</w:t>
      </w:r>
      <w:r>
        <w:rPr>
          <w:b/>
        </w:rPr>
        <w:t>”</w:t>
      </w:r>
      <w:r>
        <w:t xml:space="preserve">, in relation to an agency or department, means —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 xml:space="preserve">In proceedings referred to in section 55D(1), a higher penalty may be imposed for an offence involving a responsible agency on the ground that it is a subsequent offence, only if the acts or omissions constituting the previous offence or offences were those of — </w:t>
      </w:r>
    </w:p>
    <w:p>
      <w:pPr>
        <w:pStyle w:val="Indenta"/>
      </w:pPr>
      <w:r>
        <w:tab/>
        <w:t>(a)</w:t>
      </w:r>
      <w:r>
        <w:tab/>
        <w:t xml:space="preserve">the same responsible agency; or </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by No. 51 of 2004 s. 36.]</w:t>
      </w:r>
    </w:p>
    <w:p>
      <w:pPr>
        <w:pStyle w:val="Heading3"/>
      </w:pPr>
      <w:bookmarkStart w:id="978" w:name="_Toc93200982"/>
      <w:bookmarkStart w:id="979" w:name="_Toc97006653"/>
      <w:bookmarkStart w:id="980" w:name="_Toc100545255"/>
      <w:bookmarkStart w:id="981" w:name="_Toc100716734"/>
      <w:bookmarkStart w:id="982" w:name="_Toc102546323"/>
      <w:bookmarkStart w:id="983" w:name="_Toc103141546"/>
      <w:bookmarkStart w:id="984" w:name="_Toc105909158"/>
      <w:bookmarkStart w:id="985" w:name="_Toc105922044"/>
      <w:bookmarkStart w:id="986" w:name="_Toc106616882"/>
      <w:bookmarkStart w:id="987" w:name="_Toc108848626"/>
      <w:bookmarkStart w:id="988" w:name="_Toc109702909"/>
      <w:bookmarkStart w:id="989" w:name="_Toc113700466"/>
      <w:bookmarkStart w:id="990" w:name="_Toc113779124"/>
      <w:bookmarkStart w:id="991" w:name="_Toc122767505"/>
      <w:bookmarkStart w:id="992" w:name="_Toc122767748"/>
      <w:bookmarkStart w:id="993" w:name="_Toc131409995"/>
      <w:bookmarkStart w:id="994" w:name="_Toc187035562"/>
      <w:bookmarkStart w:id="995" w:name="_Toc187054030"/>
      <w:bookmarkStart w:id="996" w:name="_Toc188695703"/>
      <w:r>
        <w:rPr>
          <w:rStyle w:val="CharDivNo"/>
        </w:rPr>
        <w:t>Division 3</w:t>
      </w:r>
      <w:r>
        <w:t> — </w:t>
      </w:r>
      <w:r>
        <w:rPr>
          <w:rStyle w:val="CharDivText"/>
        </w:rPr>
        <w:t>Undertaking by offender in lieu of payment of fine</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Footnoteheading"/>
        <w:tabs>
          <w:tab w:val="left" w:pos="851"/>
        </w:tabs>
      </w:pPr>
      <w:r>
        <w:tab/>
        <w:t>[Heading inserted by No. 51 of 2004 s. 36.]</w:t>
      </w:r>
    </w:p>
    <w:p>
      <w:pPr>
        <w:pStyle w:val="Heading5"/>
      </w:pPr>
      <w:bookmarkStart w:id="997" w:name="_Toc109702910"/>
      <w:bookmarkStart w:id="998" w:name="_Toc188695704"/>
      <w:bookmarkStart w:id="999" w:name="_Toc187054031"/>
      <w:r>
        <w:rPr>
          <w:rStyle w:val="CharSectno"/>
        </w:rPr>
        <w:t>55H</w:t>
      </w:r>
      <w:r>
        <w:t>.</w:t>
      </w:r>
      <w:r>
        <w:tab/>
        <w:t>Terms used in this Division</w:t>
      </w:r>
      <w:bookmarkEnd w:id="997"/>
      <w:bookmarkEnd w:id="998"/>
      <w:bookmarkEnd w:id="999"/>
    </w:p>
    <w:p>
      <w:pPr>
        <w:pStyle w:val="Subsection"/>
      </w:pPr>
      <w:r>
        <w:tab/>
      </w:r>
      <w:r>
        <w:tab/>
        <w:t xml:space="preserve">In this Division — </w:t>
      </w:r>
    </w:p>
    <w:p>
      <w:pPr>
        <w:pStyle w:val="Defstart"/>
      </w:pPr>
      <w:r>
        <w:rPr>
          <w:b/>
        </w:rPr>
        <w:tab/>
        <w:t>“</w:t>
      </w:r>
      <w:r>
        <w:rPr>
          <w:rStyle w:val="CharDefText"/>
        </w:rPr>
        <w:t>convicted</w:t>
      </w:r>
      <w:r>
        <w:rPr>
          <w:b/>
        </w:rPr>
        <w:t>”</w:t>
      </w:r>
      <w:r>
        <w:t xml:space="preserve"> means found guilty of an offence, whether after a plea of guilty or otherwise;</w:t>
      </w:r>
    </w:p>
    <w:p>
      <w:pPr>
        <w:pStyle w:val="Defstart"/>
      </w:pPr>
      <w:r>
        <w:rPr>
          <w:b/>
        </w:rPr>
        <w:tab/>
        <w:t>“</w:t>
      </w:r>
      <w:r>
        <w:rPr>
          <w:rStyle w:val="CharDefText"/>
        </w:rPr>
        <w:t>court</w:t>
      </w:r>
      <w:r>
        <w:rPr>
          <w:b/>
        </w:rPr>
        <w:t>”</w:t>
      </w:r>
      <w:r>
        <w:t xml:space="preserve"> means a safety and health magistrate exercising jurisdiction under section 51C(1)(b);</w:t>
      </w:r>
    </w:p>
    <w:p>
      <w:pPr>
        <w:pStyle w:val="Defstart"/>
      </w:pPr>
      <w:r>
        <w:rPr>
          <w:b/>
        </w:rPr>
        <w:tab/>
        <w:t>“</w:t>
      </w:r>
      <w:r>
        <w:rPr>
          <w:rStyle w:val="CharDefText"/>
        </w:rPr>
        <w:t>relevant offence</w:t>
      </w:r>
      <w:r>
        <w:rPr>
          <w:b/>
        </w:rPr>
        <w:t>”</w:t>
      </w:r>
      <w:r>
        <w:t xml:space="preserve"> means an offence against —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by No. 51 of 2004 s. 36.]</w:t>
      </w:r>
    </w:p>
    <w:p>
      <w:pPr>
        <w:pStyle w:val="Heading5"/>
      </w:pPr>
      <w:bookmarkStart w:id="1000" w:name="_Toc109702911"/>
      <w:bookmarkStart w:id="1001" w:name="_Toc188695705"/>
      <w:bookmarkStart w:id="1002" w:name="_Toc187054032"/>
      <w:r>
        <w:rPr>
          <w:rStyle w:val="CharSectno"/>
        </w:rPr>
        <w:t>55I</w:t>
      </w:r>
      <w:r>
        <w:t>.</w:t>
      </w:r>
      <w:r>
        <w:tab/>
        <w:t>Court may allow offender to make election</w:t>
      </w:r>
      <w:bookmarkEnd w:id="1000"/>
      <w:bookmarkEnd w:id="1001"/>
      <w:bookmarkEnd w:id="1002"/>
    </w:p>
    <w:p>
      <w:pPr>
        <w:pStyle w:val="Subsection"/>
        <w:outlineLvl w:val="0"/>
      </w:pPr>
      <w:r>
        <w:tab/>
        <w:t>(1)</w:t>
      </w:r>
      <w:r>
        <w:tab/>
        <w:t xml:space="preserve">Where — </w:t>
      </w:r>
    </w:p>
    <w:p>
      <w:pPr>
        <w:pStyle w:val="Indenta"/>
      </w:pPr>
      <w:r>
        <w:tab/>
        <w:t>(a)</w:t>
      </w:r>
      <w:r>
        <w:tab/>
        <w:t xml:space="preserve">a person (the </w:t>
      </w:r>
      <w:r>
        <w:rPr>
          <w:b/>
        </w:rPr>
        <w:t>“</w:t>
      </w:r>
      <w:r>
        <w:rPr>
          <w:rStyle w:val="CharDefText"/>
        </w:rPr>
        <w:t>offender</w:t>
      </w:r>
      <w:r>
        <w:rPr>
          <w:b/>
        </w:rPr>
        <w:t>”</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Commissioner under section 55M not later than a day specified by the court.</w:t>
      </w:r>
    </w:p>
    <w:p>
      <w:pPr>
        <w:pStyle w:val="Subsection"/>
        <w:outlineLvl w:val="0"/>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complainant does not oppose that being done;</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outlineLvl w:val="0"/>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outlineLvl w:val="0"/>
      </w:pPr>
      <w:r>
        <w:tab/>
        <w:t>(4)</w:t>
      </w:r>
      <w:r>
        <w:tab/>
        <w:t xml:space="preserve">Nothing in this Division limits the powers of a court under the </w:t>
      </w:r>
      <w:r>
        <w:rPr>
          <w:i/>
        </w:rPr>
        <w:t>Sentencing Act 1995</w:t>
      </w:r>
      <w:r>
        <w:t>.</w:t>
      </w:r>
    </w:p>
    <w:p>
      <w:pPr>
        <w:pStyle w:val="Footnotesection"/>
      </w:pPr>
      <w:r>
        <w:tab/>
        <w:t>[Section 55I inserted by No. 51 of 2004 s. 36.]</w:t>
      </w:r>
    </w:p>
    <w:p>
      <w:pPr>
        <w:pStyle w:val="Heading5"/>
      </w:pPr>
      <w:bookmarkStart w:id="1003" w:name="_Toc109702912"/>
      <w:bookmarkStart w:id="1004" w:name="_Toc188695706"/>
      <w:bookmarkStart w:id="1005" w:name="_Toc187054033"/>
      <w:r>
        <w:rPr>
          <w:rStyle w:val="CharSectno"/>
        </w:rPr>
        <w:t>55J</w:t>
      </w:r>
      <w:r>
        <w:t>.</w:t>
      </w:r>
      <w:r>
        <w:tab/>
        <w:t>Making of election</w:t>
      </w:r>
      <w:bookmarkEnd w:id="1003"/>
      <w:bookmarkEnd w:id="1004"/>
      <w:bookmarkEnd w:id="1005"/>
    </w:p>
    <w:p>
      <w:pPr>
        <w:pStyle w:val="Subsection"/>
        <w:outlineLvl w:val="0"/>
      </w:pPr>
      <w:r>
        <w:tab/>
        <w:t>(1)</w:t>
      </w:r>
      <w:r>
        <w:tab/>
        <w:t xml:space="preserve">An election is made, pursuant to an order under section 55I(1), by the offender — </w:t>
      </w:r>
    </w:p>
    <w:p>
      <w:pPr>
        <w:pStyle w:val="Indenta"/>
      </w:pPr>
      <w:r>
        <w:tab/>
        <w:t>(a)</w:t>
      </w:r>
      <w:r>
        <w:tab/>
        <w:t xml:space="preserve">lodging an election in writing with the clerk of the court in which the order was made; and </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outlineLvl w:val="0"/>
      </w:pPr>
      <w:r>
        <w:tab/>
        <w:t>(2)</w:t>
      </w:r>
      <w:r>
        <w:tab/>
        <w:t xml:space="preserve">If — </w:t>
      </w:r>
    </w:p>
    <w:p>
      <w:pPr>
        <w:pStyle w:val="Indenta"/>
      </w:pPr>
      <w:r>
        <w:tab/>
        <w:t>(a)</w:t>
      </w:r>
      <w:r>
        <w:tab/>
        <w:t>an order is made under section 55I(1); but</w:t>
      </w:r>
    </w:p>
    <w:p>
      <w:pPr>
        <w:pStyle w:val="Indenta"/>
      </w:pPr>
      <w:r>
        <w:tab/>
        <w:t>(b)</w:t>
      </w:r>
      <w:r>
        <w:tab/>
        <w:t>the offender fails to make an election in accordance with subsection (1),</w:t>
      </w:r>
    </w:p>
    <w:p>
      <w:pPr>
        <w:pStyle w:val="Subsection"/>
        <w:spacing w:before="120"/>
      </w:pPr>
      <w:r>
        <w:tab/>
      </w:r>
      <w:r>
        <w:tab/>
        <w:t>the offender is taken, at the expiry of the period mentioned in subsection (1), to have elected to pay the fine or fines.</w:t>
      </w:r>
    </w:p>
    <w:p>
      <w:pPr>
        <w:pStyle w:val="Footnotesection"/>
      </w:pPr>
      <w:r>
        <w:tab/>
        <w:t>[Section 55J inserted by No. 51 of 2004 s. 36.]</w:t>
      </w:r>
    </w:p>
    <w:p>
      <w:pPr>
        <w:pStyle w:val="Heading5"/>
      </w:pPr>
      <w:bookmarkStart w:id="1006" w:name="_Toc109702913"/>
      <w:bookmarkStart w:id="1007" w:name="_Toc188695707"/>
      <w:bookmarkStart w:id="1008" w:name="_Toc187054034"/>
      <w:r>
        <w:rPr>
          <w:rStyle w:val="CharSectno"/>
        </w:rPr>
        <w:t>55K</w:t>
      </w:r>
      <w:r>
        <w:t>.</w:t>
      </w:r>
      <w:r>
        <w:tab/>
        <w:t>Failure to enter into undertaking</w:t>
      </w:r>
      <w:bookmarkEnd w:id="1006"/>
      <w:bookmarkEnd w:id="1007"/>
      <w:bookmarkEnd w:id="1008"/>
    </w:p>
    <w:p>
      <w:pPr>
        <w:pStyle w:val="Subsection"/>
        <w:spacing w:before="120"/>
      </w:pPr>
      <w:r>
        <w:tab/>
      </w:r>
      <w:r>
        <w:tab/>
        <w:t>An election under section 55J to enter into an undertaking lapses if the undertaking is for any reason not entered into before the time allowed under section 55I(1)(d).</w:t>
      </w:r>
    </w:p>
    <w:p>
      <w:pPr>
        <w:pStyle w:val="Footnotesection"/>
      </w:pPr>
      <w:r>
        <w:tab/>
        <w:t>[Section 55K inserted by No. 51 of 2004 s. 36.]</w:t>
      </w:r>
    </w:p>
    <w:p>
      <w:pPr>
        <w:pStyle w:val="Heading5"/>
      </w:pPr>
      <w:bookmarkStart w:id="1009" w:name="_Toc109702914"/>
      <w:bookmarkStart w:id="1010" w:name="_Toc188695708"/>
      <w:bookmarkStart w:id="1011" w:name="_Toc187054035"/>
      <w:r>
        <w:rPr>
          <w:rStyle w:val="CharSectno"/>
        </w:rPr>
        <w:t>55L</w:t>
      </w:r>
      <w:r>
        <w:t>.</w:t>
      </w:r>
      <w:r>
        <w:tab/>
        <w:t>Time for payment of fines</w:t>
      </w:r>
      <w:bookmarkEnd w:id="1009"/>
      <w:bookmarkEnd w:id="1010"/>
      <w:bookmarkEnd w:id="1011"/>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section referred to in subsection (2) the fine or fines are taken to have been imposed at the time mentioned in section 55J(2).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section referred to in subsection (2) the fine or fines are taken to have been imposed on the day specified under section 55I(1)(d).</w:t>
      </w:r>
    </w:p>
    <w:p>
      <w:pPr>
        <w:pStyle w:val="Footnotesection"/>
      </w:pPr>
      <w:r>
        <w:tab/>
        <w:t>[Section 55L inserted by No. 51 of 2004 s. 36.]</w:t>
      </w:r>
    </w:p>
    <w:p>
      <w:pPr>
        <w:pStyle w:val="Heading5"/>
      </w:pPr>
      <w:bookmarkStart w:id="1012" w:name="_Toc109702915"/>
      <w:bookmarkStart w:id="1013" w:name="_Toc188695709"/>
      <w:bookmarkStart w:id="1014" w:name="_Toc187054036"/>
      <w:r>
        <w:rPr>
          <w:rStyle w:val="CharSectno"/>
        </w:rPr>
        <w:t>55M</w:t>
      </w:r>
      <w:r>
        <w:t>.</w:t>
      </w:r>
      <w:r>
        <w:tab/>
        <w:t>Nature and terms of undertaking</w:t>
      </w:r>
      <w:bookmarkEnd w:id="1012"/>
      <w:bookmarkEnd w:id="1013"/>
      <w:bookmarkEnd w:id="1014"/>
    </w:p>
    <w:p>
      <w:pPr>
        <w:pStyle w:val="Subsection"/>
      </w:pPr>
      <w:r>
        <w:tab/>
        <w:t>(1)</w:t>
      </w:r>
      <w:r>
        <w:tab/>
        <w:t xml:space="preserve">An undertaking for the purposes of this Division is a document by which the offender gives undertakings to the Commissioner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by No. 51 of 2004 s. 36.]</w:t>
      </w:r>
    </w:p>
    <w:p>
      <w:pPr>
        <w:pStyle w:val="Heading5"/>
      </w:pPr>
      <w:bookmarkStart w:id="1015" w:name="_Toc109702916"/>
      <w:bookmarkStart w:id="1016" w:name="_Toc188695710"/>
      <w:bookmarkStart w:id="1017" w:name="_Toc187054037"/>
      <w:r>
        <w:rPr>
          <w:rStyle w:val="CharSectno"/>
        </w:rPr>
        <w:t>55N</w:t>
      </w:r>
      <w:r>
        <w:t>.</w:t>
      </w:r>
      <w:r>
        <w:tab/>
        <w:t>What may be included in undertaking</w:t>
      </w:r>
      <w:bookmarkEnd w:id="1015"/>
      <w:bookmarkEnd w:id="1016"/>
      <w:bookmarkEnd w:id="1017"/>
    </w:p>
    <w:p>
      <w:pPr>
        <w:pStyle w:val="Subsection"/>
      </w:pPr>
      <w:r>
        <w:tab/>
        <w:t>(1)</w:t>
      </w:r>
      <w:r>
        <w:tab/>
        <w:t xml:space="preserve">In this section — </w:t>
      </w:r>
    </w:p>
    <w:p>
      <w:pPr>
        <w:pStyle w:val="Defstart"/>
      </w:pPr>
      <w:r>
        <w:rPr>
          <w:b/>
        </w:rPr>
        <w:tab/>
        <w:t>“</w:t>
      </w:r>
      <w:r>
        <w:rPr>
          <w:rStyle w:val="CharDefText"/>
        </w:rPr>
        <w:t>specified</w:t>
      </w:r>
      <w:r>
        <w:rPr>
          <w:b/>
        </w:rPr>
        <w:t>”</w:t>
      </w:r>
      <w:r>
        <w:t xml:space="preserve"> means specified in the undertaking.</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a specified workplace; or </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pPr>
      <w:r>
        <w:tab/>
        <w:t>(i)</w:t>
      </w:r>
      <w:r>
        <w:tab/>
        <w:t>in the community;</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 xml:space="preserve">The Commissioner may require that an undertaking contain any incidental or supplementary provision that the Commissioner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Commissioner.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by No. 51 of 2004 s. 36.]</w:t>
      </w:r>
    </w:p>
    <w:p>
      <w:pPr>
        <w:pStyle w:val="Heading5"/>
      </w:pPr>
      <w:bookmarkStart w:id="1018" w:name="_Toc109702917"/>
      <w:bookmarkStart w:id="1019" w:name="_Toc188695711"/>
      <w:bookmarkStart w:id="1020" w:name="_Toc187054038"/>
      <w:r>
        <w:rPr>
          <w:rStyle w:val="CharSectno"/>
        </w:rPr>
        <w:t>55O</w:t>
      </w:r>
      <w:r>
        <w:t>.</w:t>
      </w:r>
      <w:r>
        <w:tab/>
        <w:t>Effect of undertaking</w:t>
      </w:r>
      <w:bookmarkEnd w:id="1018"/>
      <w:bookmarkEnd w:id="1019"/>
      <w:bookmarkEnd w:id="1020"/>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 by No. 51 of 2004 s. 36.]</w:t>
      </w:r>
    </w:p>
    <w:p>
      <w:pPr>
        <w:pStyle w:val="Heading5"/>
      </w:pPr>
      <w:bookmarkStart w:id="1021" w:name="_Toc109702918"/>
      <w:bookmarkStart w:id="1022" w:name="_Toc188695712"/>
      <w:bookmarkStart w:id="1023" w:name="_Toc187054039"/>
      <w:r>
        <w:rPr>
          <w:rStyle w:val="CharSectno"/>
        </w:rPr>
        <w:t>55P</w:t>
      </w:r>
      <w:r>
        <w:t>.</w:t>
      </w:r>
      <w:r>
        <w:tab/>
        <w:t>Failure to comply with undertaking</w:t>
      </w:r>
      <w:bookmarkEnd w:id="1021"/>
      <w:bookmarkEnd w:id="1022"/>
      <w:bookmarkEnd w:id="1023"/>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by No. 51 of 2004 s. 36.]</w:t>
      </w:r>
    </w:p>
    <w:p>
      <w:pPr>
        <w:pStyle w:val="Heading5"/>
      </w:pPr>
      <w:bookmarkStart w:id="1024" w:name="_Toc109702919"/>
      <w:bookmarkStart w:id="1025" w:name="_Toc188695713"/>
      <w:bookmarkStart w:id="1026" w:name="_Toc187054040"/>
      <w:r>
        <w:rPr>
          <w:rStyle w:val="CharSectno"/>
        </w:rPr>
        <w:t>55Q</w:t>
      </w:r>
      <w:r>
        <w:t>.</w:t>
      </w:r>
      <w:r>
        <w:tab/>
        <w:t>Amendment of undertaking</w:t>
      </w:r>
      <w:bookmarkEnd w:id="1024"/>
      <w:bookmarkEnd w:id="1025"/>
      <w:bookmarkEnd w:id="1026"/>
    </w:p>
    <w:p>
      <w:pPr>
        <w:pStyle w:val="Subsection"/>
      </w:pPr>
      <w:r>
        <w:tab/>
      </w:r>
      <w:r>
        <w:tab/>
        <w:t>An undertaking may be amended by an instrument in writing signed by the offender and the Commissioner.</w:t>
      </w:r>
    </w:p>
    <w:p>
      <w:pPr>
        <w:pStyle w:val="Footnotesection"/>
      </w:pPr>
      <w:r>
        <w:tab/>
        <w:t>[Section 55Q inserted by No. 51 of 2004 s. 36.]</w:t>
      </w:r>
    </w:p>
    <w:p>
      <w:pPr>
        <w:pStyle w:val="Heading5"/>
      </w:pPr>
      <w:bookmarkStart w:id="1027" w:name="_Toc109702920"/>
      <w:bookmarkStart w:id="1028" w:name="_Toc188695714"/>
      <w:bookmarkStart w:id="1029" w:name="_Toc187054041"/>
      <w:r>
        <w:rPr>
          <w:rStyle w:val="CharSectno"/>
        </w:rPr>
        <w:t>55R</w:t>
      </w:r>
      <w:r>
        <w:t>.</w:t>
      </w:r>
      <w:r>
        <w:tab/>
        <w:t>Undertaking may be published</w:t>
      </w:r>
      <w:bookmarkEnd w:id="1027"/>
      <w:bookmarkEnd w:id="1028"/>
      <w:bookmarkEnd w:id="1029"/>
    </w:p>
    <w:p>
      <w:pPr>
        <w:pStyle w:val="Subsection"/>
      </w:pPr>
      <w:r>
        <w:tab/>
      </w:r>
      <w:r>
        <w:tab/>
        <w:t xml:space="preserve">The Commissioner may cause an undertaking to be published in any manner the Commissioner thinks fit including —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by No. 51 of 2004 s. 36.]</w:t>
      </w:r>
    </w:p>
    <w:p>
      <w:pPr>
        <w:pStyle w:val="Heading2"/>
      </w:pPr>
      <w:bookmarkStart w:id="1030" w:name="_Toc93200994"/>
      <w:bookmarkStart w:id="1031" w:name="_Toc97006665"/>
      <w:bookmarkStart w:id="1032" w:name="_Toc100545267"/>
      <w:bookmarkStart w:id="1033" w:name="_Toc100716746"/>
      <w:bookmarkStart w:id="1034" w:name="_Toc102546335"/>
      <w:bookmarkStart w:id="1035" w:name="_Toc103141558"/>
      <w:bookmarkStart w:id="1036" w:name="_Toc105909170"/>
      <w:bookmarkStart w:id="1037" w:name="_Toc105922056"/>
      <w:bookmarkStart w:id="1038" w:name="_Toc106616894"/>
      <w:bookmarkStart w:id="1039" w:name="_Toc108848638"/>
      <w:bookmarkStart w:id="1040" w:name="_Toc109702921"/>
      <w:bookmarkStart w:id="1041" w:name="_Toc113700478"/>
      <w:bookmarkStart w:id="1042" w:name="_Toc113779136"/>
      <w:bookmarkStart w:id="1043" w:name="_Toc122767517"/>
      <w:bookmarkStart w:id="1044" w:name="_Toc122767760"/>
      <w:bookmarkStart w:id="1045" w:name="_Toc131410007"/>
      <w:bookmarkStart w:id="1046" w:name="_Toc187035574"/>
      <w:bookmarkStart w:id="1047" w:name="_Toc187054042"/>
      <w:bookmarkStart w:id="1048" w:name="_Toc188695715"/>
      <w:r>
        <w:rPr>
          <w:rStyle w:val="CharPartNo"/>
        </w:rPr>
        <w:t>Part VIII</w:t>
      </w:r>
      <w:r>
        <w:rPr>
          <w:rStyle w:val="CharDivNo"/>
        </w:rPr>
        <w:t> </w:t>
      </w:r>
      <w:r>
        <w:t>—</w:t>
      </w:r>
      <w:r>
        <w:rPr>
          <w:rStyle w:val="CharDivText"/>
        </w:rPr>
        <w:t> </w:t>
      </w:r>
      <w:r>
        <w:rPr>
          <w:rStyle w:val="CharPartText"/>
        </w:rPr>
        <w:t>Miscellaneous</w:t>
      </w:r>
      <w:bookmarkEnd w:id="939"/>
      <w:bookmarkEnd w:id="940"/>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r>
        <w:rPr>
          <w:rStyle w:val="CharPartText"/>
        </w:rPr>
        <w:t xml:space="preserve"> </w:t>
      </w:r>
    </w:p>
    <w:p>
      <w:pPr>
        <w:pStyle w:val="Footnoteheading"/>
        <w:rPr>
          <w:snapToGrid w:val="0"/>
        </w:rPr>
      </w:pPr>
      <w:r>
        <w:rPr>
          <w:snapToGrid w:val="0"/>
        </w:rPr>
        <w:tab/>
        <w:t xml:space="preserve">[Heading inserted by No. 43 of 1987 s. 13.] </w:t>
      </w:r>
    </w:p>
    <w:p>
      <w:pPr>
        <w:pStyle w:val="Heading5"/>
        <w:spacing w:before="180"/>
        <w:rPr>
          <w:snapToGrid w:val="0"/>
        </w:rPr>
      </w:pPr>
      <w:bookmarkStart w:id="1049" w:name="_Toc402776445"/>
      <w:bookmarkStart w:id="1050" w:name="_Toc403985308"/>
      <w:bookmarkStart w:id="1051" w:name="_Toc59593082"/>
      <w:bookmarkStart w:id="1052" w:name="_Toc109702922"/>
      <w:bookmarkStart w:id="1053" w:name="_Toc188695716"/>
      <w:bookmarkStart w:id="1054" w:name="_Toc187054043"/>
      <w:r>
        <w:rPr>
          <w:rStyle w:val="CharSectno"/>
        </w:rPr>
        <w:t>56</w:t>
      </w:r>
      <w:r>
        <w:rPr>
          <w:snapToGrid w:val="0"/>
        </w:rPr>
        <w:t>.</w:t>
      </w:r>
      <w:r>
        <w:rPr>
          <w:snapToGrid w:val="0"/>
        </w:rPr>
        <w:tab/>
        <w:t>Discrimination</w:t>
      </w:r>
      <w:bookmarkEnd w:id="1049"/>
      <w:bookmarkEnd w:id="1050"/>
      <w:bookmarkEnd w:id="1051"/>
      <w:bookmarkEnd w:id="1052"/>
      <w:bookmarkEnd w:id="1053"/>
      <w:bookmarkEnd w:id="1054"/>
      <w:r>
        <w:rPr>
          <w:snapToGrid w:val="0"/>
        </w:rPr>
        <w:t xml:space="preserve"> </w:t>
      </w:r>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 </w:t>
      </w:r>
    </w:p>
    <w:p>
      <w:pPr>
        <w:pStyle w:val="Indenta"/>
        <w:rPr>
          <w:snapToGrid w:val="0"/>
        </w:rPr>
      </w:pPr>
      <w:r>
        <w:rPr>
          <w:snapToGrid w:val="0"/>
        </w:rPr>
        <w:tab/>
        <w:t>(a)</w:t>
      </w:r>
      <w:r>
        <w:rPr>
          <w:snapToGrid w:val="0"/>
        </w:rPr>
        <w:tab/>
        <w:t>is or has been a member of a safety and health committee;</w:t>
      </w:r>
    </w:p>
    <w:p>
      <w:pPr>
        <w:pStyle w:val="Indenta"/>
        <w:rPr>
          <w:snapToGrid w:val="0"/>
        </w:rPr>
      </w:pPr>
      <w:r>
        <w:rPr>
          <w:snapToGrid w:val="0"/>
        </w:rPr>
        <w:tab/>
        <w:t>(b)</w:t>
      </w:r>
      <w:r>
        <w:rPr>
          <w:snapToGrid w:val="0"/>
        </w:rPr>
        <w:tab/>
        <w:t>performs or has performed any function as a member of a safety and health committee;</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 xml:space="preserve">makes or has made a complaint in relation to safety or health to — </w:t>
      </w:r>
    </w:p>
    <w:p>
      <w:pPr>
        <w:pStyle w:val="Indenti"/>
      </w:pPr>
      <w:r>
        <w:tab/>
        <w:t>(i)</w:t>
      </w:r>
      <w:r>
        <w:tab/>
        <w:t>the Commissioner;</w:t>
      </w:r>
    </w:p>
    <w:p>
      <w:pPr>
        <w:pStyle w:val="Indenti"/>
      </w:pPr>
      <w:r>
        <w:tab/>
        <w:t>(ii)</w:t>
      </w:r>
      <w:r>
        <w:tab/>
        <w:t>an inspector;</w:t>
      </w:r>
    </w:p>
    <w:p>
      <w:pPr>
        <w:pStyle w:val="Indenti"/>
      </w:pPr>
      <w:r>
        <w:tab/>
        <w:t>(iii)</w:t>
      </w:r>
      <w:r>
        <w:tab/>
        <w:t>a person who is or was his or her employer or fellow employee;</w:t>
      </w:r>
    </w:p>
    <w:p>
      <w:pPr>
        <w:pStyle w:val="Indenti"/>
      </w:pPr>
      <w:r>
        <w:tab/>
        <w:t>(iv)</w:t>
      </w:r>
      <w:r>
        <w:tab/>
        <w:t xml:space="preserve">a safety and health representative; or </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 xml:space="preserve">[Section 56 inserted by No. 43 of 1987 s. 13; amended by No. 30 of 1995 s. 43 and 47; No. 51 of 2004 s. 56, 99, 102(1) and 112.] </w:t>
      </w:r>
    </w:p>
    <w:p>
      <w:pPr>
        <w:pStyle w:val="Heading5"/>
        <w:spacing w:before="180"/>
        <w:rPr>
          <w:snapToGrid w:val="0"/>
        </w:rPr>
      </w:pPr>
      <w:bookmarkStart w:id="1055" w:name="_Toc402776446"/>
      <w:bookmarkStart w:id="1056" w:name="_Toc403985309"/>
      <w:bookmarkStart w:id="1057" w:name="_Toc59593083"/>
      <w:bookmarkStart w:id="1058" w:name="_Toc109702923"/>
      <w:bookmarkStart w:id="1059" w:name="_Toc188695717"/>
      <w:bookmarkStart w:id="1060" w:name="_Toc187054044"/>
      <w:r>
        <w:rPr>
          <w:rStyle w:val="CharSectno"/>
        </w:rPr>
        <w:t>57</w:t>
      </w:r>
      <w:r>
        <w:rPr>
          <w:snapToGrid w:val="0"/>
        </w:rPr>
        <w:t>.</w:t>
      </w:r>
      <w:r>
        <w:rPr>
          <w:snapToGrid w:val="0"/>
        </w:rPr>
        <w:tab/>
        <w:t>Codes of practice</w:t>
      </w:r>
      <w:bookmarkEnd w:id="1055"/>
      <w:bookmarkEnd w:id="1056"/>
      <w:bookmarkEnd w:id="1057"/>
      <w:bookmarkEnd w:id="1058"/>
      <w:bookmarkEnd w:id="1059"/>
      <w:bookmarkEnd w:id="1060"/>
      <w:r>
        <w:rPr>
          <w:snapToGrid w:val="0"/>
        </w:rPr>
        <w:t xml:space="preserve"> </w:t>
      </w:r>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spacing w:before="140"/>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spacing w:before="140"/>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spacing w:before="140"/>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spacing w:before="140"/>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spacing w:before="140"/>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spacing w:before="140"/>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spacing w:before="140"/>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 xml:space="preserve">[Section 57 inserted by No. 43 of 1987 s. 13; amended by No. 30 of 1995 s. 44 and 47; No. 51 of 2004 s. 100.] </w:t>
      </w:r>
    </w:p>
    <w:p>
      <w:pPr>
        <w:pStyle w:val="Heading5"/>
      </w:pPr>
      <w:bookmarkStart w:id="1061" w:name="_Toc109702924"/>
      <w:bookmarkStart w:id="1062" w:name="_Toc188695718"/>
      <w:bookmarkStart w:id="1063" w:name="_Toc187054045"/>
      <w:bookmarkStart w:id="1064" w:name="_Toc402776447"/>
      <w:bookmarkStart w:id="1065" w:name="_Toc403985310"/>
      <w:bookmarkStart w:id="1066" w:name="_Toc59593084"/>
      <w:r>
        <w:rPr>
          <w:rStyle w:val="CharSectno"/>
        </w:rPr>
        <w:t>57A</w:t>
      </w:r>
      <w:r>
        <w:t>.</w:t>
      </w:r>
      <w:r>
        <w:tab/>
        <w:t>Visitors to comply with directions</w:t>
      </w:r>
      <w:bookmarkEnd w:id="1061"/>
      <w:bookmarkEnd w:id="1062"/>
      <w:bookmarkEnd w:id="1063"/>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in relation to a workplace, means — </w:t>
      </w:r>
    </w:p>
    <w:p>
      <w:pPr>
        <w:pStyle w:val="Defpara"/>
      </w:pPr>
      <w:r>
        <w:tab/>
        <w:t>(a)</w:t>
      </w:r>
      <w:r>
        <w:tab/>
        <w:t>an employer of any employee at the workplace, including a person that is an employer by operation of section 23D, 23E or 23F;</w:t>
      </w:r>
    </w:p>
    <w:p>
      <w:pPr>
        <w:pStyle w:val="Defpara"/>
      </w:pPr>
      <w:r>
        <w:tab/>
        <w:t>(b)</w:t>
      </w:r>
      <w:r>
        <w:tab/>
        <w:t>any self</w:t>
      </w:r>
      <w:r>
        <w:noBreakHyphen/>
        <w:t>employed person carrying out work at the workplace; and</w:t>
      </w:r>
    </w:p>
    <w:p>
      <w:pPr>
        <w:pStyle w:val="Defpara"/>
      </w:pPr>
      <w:r>
        <w:tab/>
        <w:t>(c)</w:t>
      </w:r>
      <w:r>
        <w:tab/>
        <w:t xml:space="preserve">a person at the workplace who has the management and control of — </w:t>
      </w:r>
    </w:p>
    <w:p>
      <w:pPr>
        <w:pStyle w:val="Defsubpara"/>
      </w:pPr>
      <w:r>
        <w:tab/>
        <w:t>(i)</w:t>
      </w:r>
      <w:r>
        <w:tab/>
        <w:t xml:space="preserve">the workplace; or </w:t>
      </w:r>
    </w:p>
    <w:p>
      <w:pPr>
        <w:pStyle w:val="Defsubpara"/>
      </w:pPr>
      <w:r>
        <w:tab/>
        <w:t>(ii)</w:t>
      </w:r>
      <w:r>
        <w:tab/>
        <w:t>the work being carried out at the workplace;</w:t>
      </w:r>
    </w:p>
    <w:p>
      <w:pPr>
        <w:pStyle w:val="Defstart"/>
      </w:pPr>
      <w:r>
        <w:rPr>
          <w:b/>
        </w:rPr>
        <w:tab/>
        <w:t>“</w:t>
      </w:r>
      <w:r>
        <w:rPr>
          <w:rStyle w:val="CharDefText"/>
        </w:rPr>
        <w:t>conduct</w:t>
      </w:r>
      <w:r>
        <w:rPr>
          <w:b/>
        </w:rPr>
        <w:t>”</w:t>
      </w:r>
      <w:r>
        <w:t xml:space="preserve"> includes a failure to do a particular act or thing;</w:t>
      </w:r>
    </w:p>
    <w:p>
      <w:pPr>
        <w:pStyle w:val="Defstart"/>
      </w:pPr>
      <w:r>
        <w:rPr>
          <w:b/>
        </w:rPr>
        <w:tab/>
        <w:t>“</w:t>
      </w:r>
      <w:r>
        <w:rPr>
          <w:rStyle w:val="CharDefText"/>
        </w:rPr>
        <w:t>employee</w:t>
      </w:r>
      <w:r>
        <w:rPr>
          <w:b/>
        </w:rPr>
        <w:t>”</w:t>
      </w:r>
      <w:r>
        <w:t xml:space="preserve"> includes a person who is an employee by operation of section 23D, 23E or 23F.</w:t>
      </w:r>
    </w:p>
    <w:p>
      <w:pPr>
        <w:pStyle w:val="Subsection"/>
      </w:pPr>
      <w:r>
        <w:tab/>
        <w:t>(2)</w:t>
      </w:r>
      <w:r>
        <w:tab/>
        <w:t xml:space="preserve">Subsection (3) applies if — </w:t>
      </w:r>
    </w:p>
    <w:p>
      <w:pPr>
        <w:pStyle w:val="Indenta"/>
      </w:pPr>
      <w:r>
        <w:tab/>
        <w:t>(a)</w:t>
      </w:r>
      <w:r>
        <w:tab/>
        <w:t xml:space="preserve">a person (a </w:t>
      </w:r>
      <w:r>
        <w:rPr>
          <w:b/>
        </w:rPr>
        <w:t>“</w:t>
      </w:r>
      <w:r>
        <w:rPr>
          <w:rStyle w:val="CharDefText"/>
        </w:rPr>
        <w:t>visitor</w:t>
      </w:r>
      <w:r>
        <w:rPr>
          <w:b/>
        </w:rPr>
        <w:t>”</w:t>
      </w:r>
      <w:r>
        <w:t xml:space="preserve">) is at a workplace otherwise than in the capacity of — </w:t>
      </w:r>
    </w:p>
    <w:p>
      <w:pPr>
        <w:pStyle w:val="Indenti"/>
      </w:pPr>
      <w:r>
        <w:tab/>
        <w:t>(i)</w:t>
      </w:r>
      <w:r>
        <w:tab/>
        <w:t xml:space="preserve">an employer; </w:t>
      </w:r>
    </w:p>
    <w:p>
      <w:pPr>
        <w:pStyle w:val="Indenti"/>
      </w:pPr>
      <w:r>
        <w:tab/>
        <w:t>(ii)</w:t>
      </w:r>
      <w:r>
        <w:tab/>
        <w:t xml:space="preserve">an employee; </w:t>
      </w:r>
    </w:p>
    <w:p>
      <w:pPr>
        <w:pStyle w:val="Indenti"/>
      </w:pPr>
      <w:r>
        <w:tab/>
        <w:t>(iii)</w:t>
      </w:r>
      <w:r>
        <w:tab/>
        <w:t>a self</w:t>
      </w:r>
      <w:r>
        <w:noBreakHyphen/>
        <w:t xml:space="preserve">employed person; or </w:t>
      </w:r>
    </w:p>
    <w:p>
      <w:pPr>
        <w:pStyle w:val="Indenti"/>
      </w:pPr>
      <w:r>
        <w:tab/>
        <w:t>(iv)</w:t>
      </w:r>
      <w:r>
        <w:tab/>
        <w:t>a person having control, to any extent, of the workplace;</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workplace; or </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by No. 51 of 2004 s. 113.]</w:t>
      </w:r>
    </w:p>
    <w:p>
      <w:pPr>
        <w:pStyle w:val="Heading5"/>
        <w:rPr>
          <w:snapToGrid w:val="0"/>
        </w:rPr>
      </w:pPr>
      <w:bookmarkStart w:id="1067" w:name="_Toc109702925"/>
      <w:bookmarkStart w:id="1068" w:name="_Toc188695719"/>
      <w:bookmarkStart w:id="1069" w:name="_Toc187054046"/>
      <w:r>
        <w:rPr>
          <w:rStyle w:val="CharSectno"/>
        </w:rPr>
        <w:t>58</w:t>
      </w:r>
      <w:r>
        <w:rPr>
          <w:snapToGrid w:val="0"/>
        </w:rPr>
        <w:t>.</w:t>
      </w:r>
      <w:r>
        <w:rPr>
          <w:snapToGrid w:val="0"/>
        </w:rPr>
        <w:tab/>
        <w:t>Governor may transfer administration of certain laws to Minister</w:t>
      </w:r>
      <w:bookmarkEnd w:id="1064"/>
      <w:bookmarkEnd w:id="1065"/>
      <w:bookmarkEnd w:id="1066"/>
      <w:bookmarkEnd w:id="1067"/>
      <w:bookmarkEnd w:id="1068"/>
      <w:bookmarkEnd w:id="1069"/>
      <w:r>
        <w:rPr>
          <w:snapToGrid w:val="0"/>
        </w:rPr>
        <w:t xml:space="preserve"> </w:t>
      </w:r>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spacing w:before="120"/>
        <w:rPr>
          <w:snapToGrid w:val="0"/>
        </w:rPr>
      </w:pPr>
      <w:r>
        <w:rPr>
          <w:snapToGrid w:val="0"/>
        </w:rPr>
        <w:tab/>
      </w:r>
      <w:r>
        <w:rPr>
          <w:snapToGrid w:val="0"/>
        </w:rPr>
        <w:tab/>
        <w:t>and any such order shall have effect accordingly.</w:t>
      </w:r>
    </w:p>
    <w:p>
      <w:pPr>
        <w:pStyle w:val="Subsection"/>
        <w:spacing w:before="120"/>
        <w:rPr>
          <w:snapToGrid w:val="0"/>
        </w:rPr>
      </w:pPr>
      <w:r>
        <w:rPr>
          <w:snapToGrid w:val="0"/>
        </w:rPr>
        <w:tab/>
        <w:t>(2)</w:t>
      </w:r>
      <w:r>
        <w:rPr>
          <w:snapToGrid w:val="0"/>
        </w:rPr>
        <w:tab/>
        <w:t>An order made under subsection (1) may be amended or revoked by the Governor.</w:t>
      </w:r>
    </w:p>
    <w:p>
      <w:pPr>
        <w:pStyle w:val="Subsection"/>
        <w:spacing w:before="120"/>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spacing w:before="120"/>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 xml:space="preserve">[Section 58, formerly section 19, renumbered as section 58 by No. 43 of 1987 s. 14; amended by No. 30 of 1995 s. 47.] </w:t>
      </w:r>
    </w:p>
    <w:p>
      <w:pPr>
        <w:pStyle w:val="Heading5"/>
        <w:rPr>
          <w:snapToGrid w:val="0"/>
        </w:rPr>
      </w:pPr>
      <w:bookmarkStart w:id="1070" w:name="_Toc402776448"/>
      <w:bookmarkStart w:id="1071" w:name="_Toc403985311"/>
      <w:bookmarkStart w:id="1072" w:name="_Toc59593085"/>
      <w:bookmarkStart w:id="1073" w:name="_Toc109702926"/>
      <w:bookmarkStart w:id="1074" w:name="_Toc188695720"/>
      <w:bookmarkStart w:id="1075" w:name="_Toc187054047"/>
      <w:r>
        <w:rPr>
          <w:rStyle w:val="CharSectno"/>
        </w:rPr>
        <w:t>59</w:t>
      </w:r>
      <w:r>
        <w:rPr>
          <w:snapToGrid w:val="0"/>
        </w:rPr>
        <w:t>.</w:t>
      </w:r>
      <w:r>
        <w:rPr>
          <w:snapToGrid w:val="0"/>
        </w:rPr>
        <w:tab/>
        <w:t>Liability of members</w:t>
      </w:r>
      <w:bookmarkEnd w:id="1070"/>
      <w:bookmarkEnd w:id="1071"/>
      <w:bookmarkEnd w:id="1072"/>
      <w:bookmarkEnd w:id="1073"/>
      <w:bookmarkEnd w:id="1074"/>
      <w:bookmarkEnd w:id="1075"/>
      <w:r>
        <w:rPr>
          <w:snapToGrid w:val="0"/>
        </w:rPr>
        <w:t xml:space="preserve"> </w:t>
      </w:r>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pPr>
      <w:r>
        <w:tab/>
        <w:t xml:space="preserve">[Section 59, formerly section 20, renumbered as section 59 and amended by No. 43 of 1987 s. 15.] </w:t>
      </w:r>
    </w:p>
    <w:p>
      <w:pPr>
        <w:pStyle w:val="Heading5"/>
        <w:rPr>
          <w:snapToGrid w:val="0"/>
        </w:rPr>
      </w:pPr>
      <w:bookmarkStart w:id="1076" w:name="_Toc402776449"/>
      <w:bookmarkStart w:id="1077" w:name="_Toc403985312"/>
      <w:bookmarkStart w:id="1078" w:name="_Toc59593086"/>
      <w:bookmarkStart w:id="1079" w:name="_Toc109702927"/>
      <w:bookmarkStart w:id="1080" w:name="_Toc188695721"/>
      <w:bookmarkStart w:id="1081" w:name="_Toc187054048"/>
      <w:r>
        <w:rPr>
          <w:rStyle w:val="CharSectno"/>
        </w:rPr>
        <w:t>60</w:t>
      </w:r>
      <w:r>
        <w:rPr>
          <w:snapToGrid w:val="0"/>
        </w:rPr>
        <w:t>.</w:t>
      </w:r>
      <w:r>
        <w:rPr>
          <w:snapToGrid w:val="0"/>
        </w:rPr>
        <w:tab/>
        <w:t>Regulations</w:t>
      </w:r>
      <w:bookmarkEnd w:id="1076"/>
      <w:bookmarkEnd w:id="1077"/>
      <w:bookmarkEnd w:id="1078"/>
      <w:bookmarkEnd w:id="1079"/>
      <w:bookmarkEnd w:id="1080"/>
      <w:bookmarkEnd w:id="1081"/>
      <w:r>
        <w:rPr>
          <w:snapToGrid w:val="0"/>
        </w:rPr>
        <w:t xml:space="preserve"> </w:t>
      </w:r>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spacing w:before="180"/>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spacing w:before="180"/>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spacing w:before="180"/>
        <w:rPr>
          <w:snapToGrid w:val="0"/>
        </w:rPr>
      </w:pPr>
      <w:r>
        <w:rPr>
          <w:snapToGrid w:val="0"/>
        </w:rPr>
        <w:tab/>
        <w:t>(5)</w:t>
      </w:r>
      <w:r>
        <w:rPr>
          <w:snapToGrid w:val="0"/>
        </w:rPr>
        <w:tab/>
        <w:t>Without affecting the generality of subsection (1) regulations may be made with respect to any of the matters specified in the Schedule.</w:t>
      </w:r>
    </w:p>
    <w:p>
      <w:pPr>
        <w:pStyle w:val="Subsection"/>
      </w:pPr>
      <w:r>
        <w:tab/>
        <w:t>(6)</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body corporate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 xml:space="preserve">[Section 60, formerly section 21, renumbered as section 60 and amended by No. 43 of 1987 s. 16; No. 30 of 1995 s. 45; No. 51 of 2004 s. 37.] </w:t>
      </w:r>
    </w:p>
    <w:p>
      <w:pPr>
        <w:pStyle w:val="Heading5"/>
        <w:rPr>
          <w:snapToGrid w:val="0"/>
        </w:rPr>
      </w:pPr>
      <w:bookmarkStart w:id="1082" w:name="_Toc402776450"/>
      <w:bookmarkStart w:id="1083" w:name="_Toc403985313"/>
      <w:bookmarkStart w:id="1084" w:name="_Toc59593087"/>
      <w:bookmarkStart w:id="1085" w:name="_Toc109702928"/>
      <w:bookmarkStart w:id="1086" w:name="_Toc188695722"/>
      <w:bookmarkStart w:id="1087" w:name="_Toc187054049"/>
      <w:r>
        <w:rPr>
          <w:rStyle w:val="CharSectno"/>
        </w:rPr>
        <w:t>61</w:t>
      </w:r>
      <w:r>
        <w:rPr>
          <w:snapToGrid w:val="0"/>
        </w:rPr>
        <w:t>.</w:t>
      </w:r>
      <w:r>
        <w:rPr>
          <w:snapToGrid w:val="0"/>
        </w:rPr>
        <w:tab/>
        <w:t>Review of Act</w:t>
      </w:r>
      <w:bookmarkEnd w:id="1082"/>
      <w:bookmarkEnd w:id="1083"/>
      <w:bookmarkEnd w:id="1084"/>
      <w:bookmarkEnd w:id="1085"/>
      <w:bookmarkEnd w:id="1086"/>
      <w:bookmarkEnd w:id="1087"/>
      <w:r>
        <w:rPr>
          <w:snapToGrid w:val="0"/>
        </w:rPr>
        <w:t xml:space="preserve"> </w:t>
      </w:r>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 xml:space="preserve">[Section 61, formerly section 22, renumbered as section 61 by No. 43 of 1987 s. 17; amended by No. 30 of 1995 s. 47; No. 51 of 2004 s. 102(2) and (3).]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rPr>
          <w:snapToGrid/>
        </w:rPr>
      </w:pPr>
      <w:bookmarkStart w:id="1088" w:name="_Toc109702929"/>
      <w:bookmarkStart w:id="1089" w:name="_Toc122767768"/>
      <w:bookmarkStart w:id="1090" w:name="_Toc188695723"/>
      <w:bookmarkStart w:id="1091" w:name="_Toc187054050"/>
      <w:r>
        <w:rPr>
          <w:rStyle w:val="CharSchNo"/>
        </w:rPr>
        <w:t>Schedule</w:t>
      </w:r>
      <w:bookmarkEnd w:id="1088"/>
      <w:bookmarkEnd w:id="1089"/>
      <w:bookmarkEnd w:id="1090"/>
      <w:bookmarkEnd w:id="1091"/>
    </w:p>
    <w:p>
      <w:pPr>
        <w:pStyle w:val="yHeading2"/>
        <w:outlineLvl w:val="9"/>
      </w:pPr>
      <w:bookmarkStart w:id="1092" w:name="_Toc109702930"/>
      <w:bookmarkStart w:id="1093" w:name="_Toc188695724"/>
      <w:bookmarkStart w:id="1094" w:name="_Toc187054051"/>
      <w:r>
        <w:rPr>
          <w:rStyle w:val="CharSchText"/>
        </w:rPr>
        <w:t>Subject matter for regulations</w:t>
      </w:r>
      <w:bookmarkEnd w:id="1092"/>
      <w:bookmarkEnd w:id="1093"/>
      <w:bookmarkEnd w:id="1094"/>
    </w:p>
    <w:p>
      <w:pPr>
        <w:pStyle w:val="ySubsection"/>
        <w:rPr>
          <w:snapToGrid w:val="0"/>
        </w:rPr>
      </w:pPr>
      <w:r>
        <w:rPr>
          <w:snapToGrid w:val="0"/>
        </w:rPr>
        <w:tab/>
        <w:t>1.</w:t>
      </w:r>
      <w:r>
        <w:rPr>
          <w:snapToGrid w:val="0"/>
        </w:rPr>
        <w:tab/>
        <w:t>Safety and health standards or procedures to be complied with — </w:t>
      </w:r>
    </w:p>
    <w:p>
      <w:pPr>
        <w:pStyle w:val="yIndenta"/>
        <w:spacing w:before="100"/>
        <w:rPr>
          <w:snapToGrid w:val="0"/>
        </w:rPr>
      </w:pPr>
      <w:r>
        <w:rPr>
          <w:snapToGrid w:val="0"/>
        </w:rPr>
        <w:tab/>
        <w:t>(a)</w:t>
      </w:r>
      <w:r>
        <w:rPr>
          <w:snapToGrid w:val="0"/>
        </w:rPr>
        <w:tab/>
        <w:t>at any workplace;</w:t>
      </w:r>
    </w:p>
    <w:p>
      <w:pPr>
        <w:pStyle w:val="yIndenta"/>
        <w:spacing w:before="100"/>
        <w:rPr>
          <w:snapToGrid w:val="0"/>
        </w:rPr>
      </w:pPr>
      <w:r>
        <w:rPr>
          <w:snapToGrid w:val="0"/>
        </w:rPr>
        <w:tab/>
        <w:t>(b)</w:t>
      </w:r>
      <w:r>
        <w:rPr>
          <w:snapToGrid w:val="0"/>
        </w:rPr>
        <w:tab/>
        <w:t>in the performance of any work;</w:t>
      </w:r>
    </w:p>
    <w:p>
      <w:pPr>
        <w:pStyle w:val="yIndenta"/>
        <w:spacing w:before="100"/>
        <w:rPr>
          <w:snapToGrid w:val="0"/>
        </w:rPr>
      </w:pPr>
      <w:r>
        <w:rPr>
          <w:snapToGrid w:val="0"/>
        </w:rPr>
        <w:tab/>
        <w:t>(c)</w:t>
      </w:r>
      <w:r>
        <w:rPr>
          <w:snapToGrid w:val="0"/>
        </w:rPr>
        <w:tab/>
        <w:t>in the use, cleaning, maintenance, disposal or transportation of any plant;</w:t>
      </w:r>
    </w:p>
    <w:p>
      <w:pPr>
        <w:pStyle w:val="yIndenta"/>
        <w:spacing w:before="100"/>
        <w:rPr>
          <w:snapToGrid w:val="0"/>
        </w:rPr>
      </w:pPr>
      <w:r>
        <w:rPr>
          <w:snapToGrid w:val="0"/>
        </w:rPr>
        <w:tab/>
        <w:t>(d)</w:t>
      </w:r>
      <w:r>
        <w:rPr>
          <w:snapToGrid w:val="0"/>
        </w:rPr>
        <w:tab/>
        <w:t>in the use, handling, treatment, removal, processing, storing, transport or disposal of any substance;</w:t>
      </w:r>
    </w:p>
    <w:p>
      <w:pPr>
        <w:pStyle w:val="yIndenta"/>
        <w:spacing w:before="100"/>
        <w:rPr>
          <w:snapToGrid w:val="0"/>
        </w:rPr>
      </w:pPr>
      <w:r>
        <w:rPr>
          <w:snapToGrid w:val="0"/>
        </w:rPr>
        <w:tab/>
        <w:t>(e)</w:t>
      </w:r>
      <w:r>
        <w:rPr>
          <w:snapToGrid w:val="0"/>
        </w:rPr>
        <w:tab/>
        <w:t>in the design, manufacture, importing or supplying of any plant;</w:t>
      </w:r>
    </w:p>
    <w:p>
      <w:pPr>
        <w:pStyle w:val="yIndenta"/>
        <w:spacing w:before="100"/>
        <w:rPr>
          <w:snapToGrid w:val="0"/>
        </w:rPr>
      </w:pPr>
      <w:r>
        <w:rPr>
          <w:snapToGrid w:val="0"/>
        </w:rPr>
        <w:tab/>
        <w:t>(f)</w:t>
      </w:r>
      <w:r>
        <w:rPr>
          <w:snapToGrid w:val="0"/>
        </w:rPr>
        <w:tab/>
        <w:t>in the design, manufacture, importing or supplying of any substance; or</w:t>
      </w:r>
    </w:p>
    <w:p>
      <w:pPr>
        <w:pStyle w:val="yIndenta"/>
        <w:spacing w:before="100"/>
        <w:rPr>
          <w:snapToGrid w:val="0"/>
        </w:rPr>
      </w:pPr>
      <w:r>
        <w:rPr>
          <w:snapToGrid w:val="0"/>
        </w:rPr>
        <w:tab/>
        <w:t>(g)</w:t>
      </w:r>
      <w:r>
        <w:rPr>
          <w:snapToGrid w:val="0"/>
        </w:rPr>
        <w:tab/>
        <w:t>in the design or construction of any building or structure, including a temporary structure.</w:t>
      </w:r>
    </w:p>
    <w:p>
      <w:pPr>
        <w:pStyle w:val="ySubsection"/>
      </w:pPr>
      <w:r>
        <w:tab/>
        <w:t>1A.</w:t>
      </w:r>
      <w:r>
        <w:tab/>
        <w:t xml:space="preserve">The imposition of duties on persons in relation to — </w:t>
      </w:r>
    </w:p>
    <w:p>
      <w:pPr>
        <w:pStyle w:val="yIndenta"/>
      </w:pPr>
      <w:r>
        <w:tab/>
        <w:t>(a)</w:t>
      </w:r>
      <w:r>
        <w:tab/>
        <w:t>the identification of hazards at workplaces;</w:t>
      </w:r>
    </w:p>
    <w:p>
      <w:pPr>
        <w:pStyle w:val="yIndenta"/>
      </w:pPr>
      <w:r>
        <w:tab/>
        <w:t>(b)</w:t>
      </w:r>
      <w:r>
        <w:tab/>
        <w:t xml:space="preserve">the assessment of risks resulting from such hazards; and </w:t>
      </w:r>
    </w:p>
    <w:p>
      <w:pPr>
        <w:pStyle w:val="yIndenta"/>
      </w:pPr>
      <w:r>
        <w:tab/>
        <w:t>(c)</w:t>
      </w:r>
      <w:r>
        <w:tab/>
        <w:t>the taking of remedial or other action.</w:t>
      </w:r>
    </w:p>
    <w:p>
      <w:pPr>
        <w:pStyle w:val="ySubsection"/>
        <w:rPr>
          <w:snapToGrid w:val="0"/>
        </w:rPr>
      </w:pPr>
      <w:r>
        <w:rPr>
          <w:snapToGrid w:val="0"/>
        </w:rPr>
        <w:tab/>
        <w:t xml:space="preserve">2. </w:t>
      </w:r>
      <w:r>
        <w:rPr>
          <w:snapToGrid w:val="0"/>
        </w:rPr>
        <w:tab/>
        <w:t>The safeguarding, siting, installing, testing, altering, repairing, maintaining or dismantling of any plant.</w:t>
      </w:r>
    </w:p>
    <w:p>
      <w:pPr>
        <w:pStyle w:val="ySubsection"/>
        <w:spacing w:before="120"/>
        <w:rPr>
          <w:snapToGrid w:val="0"/>
        </w:rPr>
      </w:pPr>
      <w:r>
        <w:rPr>
          <w:snapToGrid w:val="0"/>
        </w:rPr>
        <w:tab/>
        <w:t xml:space="preserve">3. </w:t>
      </w:r>
      <w:r>
        <w:rPr>
          <w:snapToGrid w:val="0"/>
        </w:rPr>
        <w:tab/>
        <w:t>The testing, analysis, labelling or marking of any plant or substance.</w:t>
      </w:r>
    </w:p>
    <w:p>
      <w:pPr>
        <w:pStyle w:val="ySubsection"/>
        <w:spacing w:before="120"/>
        <w:rPr>
          <w:snapToGrid w:val="0"/>
        </w:rPr>
      </w:pPr>
      <w:r>
        <w:rPr>
          <w:snapToGrid w:val="0"/>
        </w:rPr>
        <w:tab/>
        <w:t xml:space="preserve">4. </w:t>
      </w:r>
      <w:r>
        <w:rPr>
          <w:snapToGrid w:val="0"/>
        </w:rPr>
        <w:tab/>
        <w:t>The registration or licensing of — </w:t>
      </w:r>
    </w:p>
    <w:p>
      <w:pPr>
        <w:pStyle w:val="yIndenta"/>
        <w:spacing w:before="100"/>
        <w:rPr>
          <w:snapToGrid w:val="0"/>
        </w:rPr>
      </w:pPr>
      <w:r>
        <w:rPr>
          <w:snapToGrid w:val="0"/>
        </w:rPr>
        <w:tab/>
        <w:t>(a)</w:t>
      </w:r>
      <w:r>
        <w:rPr>
          <w:snapToGrid w:val="0"/>
        </w:rPr>
        <w:tab/>
        <w:t>any work, plant, process, substance or workplace;</w:t>
      </w:r>
    </w:p>
    <w:p>
      <w:pPr>
        <w:pStyle w:val="yIndenta"/>
        <w:spacing w:before="100"/>
        <w:rPr>
          <w:snapToGrid w:val="0"/>
        </w:rPr>
      </w:pPr>
      <w:r>
        <w:rPr>
          <w:snapToGrid w:val="0"/>
        </w:rPr>
        <w:tab/>
        <w:t>(b)</w:t>
      </w:r>
      <w:r>
        <w:rPr>
          <w:snapToGrid w:val="0"/>
        </w:rPr>
        <w:tab/>
        <w:t>any person carrying out any kind of work,</w:t>
      </w:r>
    </w:p>
    <w:p>
      <w:pPr>
        <w:pStyle w:val="ySubsection"/>
        <w:spacing w:before="100"/>
        <w:rPr>
          <w:snapToGrid w:val="0"/>
        </w:rPr>
      </w:pPr>
      <w:r>
        <w:rPr>
          <w:snapToGrid w:val="0"/>
        </w:rPr>
        <w:tab/>
      </w:r>
      <w:r>
        <w:rPr>
          <w:snapToGrid w:val="0"/>
        </w:rPr>
        <w:tab/>
        <w:t>by the Commissioner or any other prescribed person or authority.</w:t>
      </w:r>
    </w:p>
    <w:p>
      <w:pPr>
        <w:pStyle w:val="ySubsection"/>
      </w:pPr>
      <w:r>
        <w:tab/>
        <w:t>4A.</w:t>
      </w:r>
      <w:r>
        <w:tab/>
        <w:t xml:space="preserve">Duties to be observed by — </w:t>
      </w:r>
    </w:p>
    <w:p>
      <w:pPr>
        <w:pStyle w:val="yIndenta"/>
      </w:pPr>
      <w:r>
        <w:tab/>
        <w:t>(a)</w:t>
      </w:r>
      <w:r>
        <w:tab/>
        <w:t xml:space="preserve">the owner; or </w:t>
      </w:r>
    </w:p>
    <w:p>
      <w:pPr>
        <w:pStyle w:val="yIndenta"/>
      </w:pPr>
      <w:r>
        <w:tab/>
        <w:t>(b)</w:t>
      </w:r>
      <w:r>
        <w:tab/>
        <w:t>a person having the control,</w:t>
      </w:r>
    </w:p>
    <w:p>
      <w:pPr>
        <w:pStyle w:val="ySubsection"/>
        <w:spacing w:before="100"/>
      </w:pPr>
      <w:r>
        <w:tab/>
      </w:r>
      <w:r>
        <w:tab/>
        <w:t>of plant used at a workplace.</w:t>
      </w:r>
    </w:p>
    <w:p>
      <w:pPr>
        <w:pStyle w:val="ySubsection"/>
        <w:rPr>
          <w:snapToGrid w:val="0"/>
        </w:rPr>
      </w:pPr>
      <w:r>
        <w:rPr>
          <w:snapToGrid w:val="0"/>
        </w:rPr>
        <w:tab/>
        <w:t xml:space="preserve">5. </w:t>
      </w:r>
      <w:r>
        <w:rPr>
          <w:snapToGrid w:val="0"/>
        </w:rPr>
        <w:tab/>
        <w:t>The issuing of certificates of competency or provisional certificates of competency for persons engaged in prescribed work and for the duration, variation, suspension or cancellation of such certificates.</w:t>
      </w:r>
    </w:p>
    <w:p>
      <w:pPr>
        <w:pStyle w:val="ySubsection"/>
        <w:rPr>
          <w:snapToGrid w:val="0"/>
        </w:rPr>
      </w:pPr>
      <w:r>
        <w:rPr>
          <w:snapToGrid w:val="0"/>
        </w:rPr>
        <w:tab/>
        <w:t xml:space="preserve">6. </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Subsection"/>
        <w:rPr>
          <w:snapToGrid w:val="0"/>
        </w:rPr>
      </w:pPr>
      <w:r>
        <w:rPr>
          <w:snapToGrid w:val="0"/>
        </w:rPr>
        <w:tab/>
        <w:t xml:space="preserve">6A. </w:t>
      </w:r>
      <w:r>
        <w:rPr>
          <w:snapToGrid w:val="0"/>
        </w:rPr>
        <w:tab/>
        <w:t>The prohibition of the use, handling, treatment, storage, transportation or disposal of any prescribed substance at a workplace.</w:t>
      </w:r>
    </w:p>
    <w:p>
      <w:pPr>
        <w:pStyle w:val="ySubsection"/>
        <w:rPr>
          <w:snapToGrid w:val="0"/>
        </w:rPr>
      </w:pPr>
      <w:r>
        <w:rPr>
          <w:snapToGrid w:val="0"/>
        </w:rPr>
        <w:tab/>
        <w:t xml:space="preserve">7. </w:t>
      </w:r>
      <w:r>
        <w:rPr>
          <w:snapToGrid w:val="0"/>
        </w:rPr>
        <w:tab/>
        <w:t>The taking of any measures or precautions to avoid any accident or dangerous occurrence at any workplace.</w:t>
      </w:r>
    </w:p>
    <w:p>
      <w:pPr>
        <w:pStyle w:val="ySubsection"/>
        <w:rPr>
          <w:snapToGrid w:val="0"/>
        </w:rPr>
      </w:pPr>
      <w:r>
        <w:rPr>
          <w:snapToGrid w:val="0"/>
        </w:rPr>
        <w:tab/>
        <w:t xml:space="preserve">8. </w:t>
      </w:r>
      <w:r>
        <w:rPr>
          <w:snapToGrid w:val="0"/>
        </w:rPr>
        <w:tab/>
        <w:t>The taking of any action in the event of any accident, injury, disease or dangerous occurrence.</w:t>
      </w:r>
    </w:p>
    <w:p>
      <w:pPr>
        <w:pStyle w:val="ySubsection"/>
        <w:rPr>
          <w:snapToGrid w:val="0"/>
        </w:rPr>
      </w:pPr>
      <w:r>
        <w:rPr>
          <w:snapToGrid w:val="0"/>
        </w:rPr>
        <w:tab/>
        <w:t xml:space="preserve">9. </w:t>
      </w:r>
      <w:r>
        <w:rPr>
          <w:snapToGrid w:val="0"/>
        </w:rPr>
        <w:tab/>
        <w:t>The monitoring by an employer of — </w:t>
      </w:r>
    </w:p>
    <w:p>
      <w:pPr>
        <w:pStyle w:val="yIndenta"/>
        <w:spacing w:before="100"/>
        <w:rPr>
          <w:snapToGrid w:val="0"/>
        </w:rPr>
      </w:pPr>
      <w:r>
        <w:rPr>
          <w:snapToGrid w:val="0"/>
        </w:rPr>
        <w:tab/>
        <w:t>(a)</w:t>
      </w:r>
      <w:r>
        <w:rPr>
          <w:snapToGrid w:val="0"/>
        </w:rPr>
        <w:tab/>
        <w:t>the health of</w:t>
      </w:r>
      <w:r>
        <w:t xml:space="preserve"> the employees of the employer,</w:t>
      </w:r>
      <w:r>
        <w:rPr>
          <w:snapToGrid w:val="0"/>
        </w:rPr>
        <w:t xml:space="preserve"> subject to their consent; and</w:t>
      </w:r>
    </w:p>
    <w:p>
      <w:pPr>
        <w:pStyle w:val="yIndenta"/>
        <w:spacing w:before="100"/>
        <w:rPr>
          <w:snapToGrid w:val="0"/>
        </w:rPr>
      </w:pPr>
      <w:r>
        <w:rPr>
          <w:snapToGrid w:val="0"/>
        </w:rPr>
        <w:tab/>
        <w:t>(b)</w:t>
      </w:r>
      <w:r>
        <w:rPr>
          <w:snapToGrid w:val="0"/>
        </w:rPr>
        <w:tab/>
        <w:t xml:space="preserve">working conditions at each workplace at which an employee of </w:t>
      </w:r>
      <w:r>
        <w:t xml:space="preserve">the employer, </w:t>
      </w:r>
      <w:r>
        <w:rPr>
          <w:snapToGrid w:val="0"/>
        </w:rPr>
        <w:t>carries out work.</w:t>
      </w:r>
    </w:p>
    <w:p>
      <w:pPr>
        <w:pStyle w:val="ySubsection"/>
        <w:rPr>
          <w:snapToGrid w:val="0"/>
        </w:rPr>
      </w:pPr>
      <w:r>
        <w:rPr>
          <w:snapToGrid w:val="0"/>
        </w:rPr>
        <w:tab/>
        <w:t xml:space="preserve">10. </w:t>
      </w:r>
      <w:r>
        <w:rPr>
          <w:snapToGrid w:val="0"/>
        </w:rPr>
        <w:tab/>
        <w:t>The supply, use and maintenance of clothing and equipment for occupational safety or health purposes and the approval of such clothing and equipment for particular purposes.</w:t>
      </w:r>
    </w:p>
    <w:p>
      <w:pPr>
        <w:pStyle w:val="ySubsection"/>
        <w:rPr>
          <w:snapToGrid w:val="0"/>
        </w:rPr>
      </w:pPr>
      <w:r>
        <w:rPr>
          <w:snapToGrid w:val="0"/>
        </w:rPr>
        <w:tab/>
        <w:t xml:space="preserve">11. </w:t>
      </w:r>
      <w:r>
        <w:rPr>
          <w:snapToGrid w:val="0"/>
        </w:rPr>
        <w:tab/>
        <w:t>Fire</w:t>
      </w:r>
      <w:r>
        <w:rPr>
          <w:snapToGrid w:val="0"/>
        </w:rPr>
        <w:noBreakHyphen/>
        <w:t>safety rules and procedures and the provision and maintenance of fire protection equipment.</w:t>
      </w:r>
    </w:p>
    <w:p>
      <w:pPr>
        <w:pStyle w:val="ySubsection"/>
        <w:rPr>
          <w:snapToGrid w:val="0"/>
        </w:rPr>
      </w:pPr>
      <w:r>
        <w:rPr>
          <w:snapToGrid w:val="0"/>
        </w:rPr>
        <w:tab/>
        <w:t xml:space="preserve">12. </w:t>
      </w:r>
      <w:r>
        <w:rPr>
          <w:snapToGrid w:val="0"/>
        </w:rPr>
        <w:tab/>
        <w:t>The appointment of persons who are to be responsible for the supervision of occupational safety and health in prescribed circumstances or industries.</w:t>
      </w:r>
    </w:p>
    <w:p>
      <w:pPr>
        <w:pStyle w:val="ySubsection"/>
        <w:rPr>
          <w:snapToGrid w:val="0"/>
        </w:rPr>
      </w:pPr>
      <w:r>
        <w:rPr>
          <w:snapToGrid w:val="0"/>
        </w:rPr>
        <w:tab/>
        <w:t xml:space="preserve">13. </w:t>
      </w:r>
      <w:r>
        <w:rPr>
          <w:snapToGrid w:val="0"/>
        </w:rPr>
        <w:tab/>
        <w:t>The form and use of scaffolding, form work, false work and related equipment.</w:t>
      </w:r>
    </w:p>
    <w:p>
      <w:pPr>
        <w:pStyle w:val="ySubsection"/>
        <w:rPr>
          <w:snapToGrid w:val="0"/>
        </w:rPr>
      </w:pPr>
      <w:r>
        <w:rPr>
          <w:snapToGrid w:val="0"/>
        </w:rPr>
        <w:tab/>
        <w:t xml:space="preserve">14. </w:t>
      </w:r>
      <w:r>
        <w:rPr>
          <w:snapToGrid w:val="0"/>
        </w:rPr>
        <w:tab/>
        <w:t>The carriage and handling of cash.</w:t>
      </w:r>
    </w:p>
    <w:p>
      <w:pPr>
        <w:pStyle w:val="ySubsection"/>
        <w:rPr>
          <w:snapToGrid w:val="0"/>
        </w:rPr>
      </w:pPr>
      <w:r>
        <w:rPr>
          <w:snapToGrid w:val="0"/>
        </w:rPr>
        <w:tab/>
        <w:t xml:space="preserve">15. </w:t>
      </w:r>
      <w:r>
        <w:rPr>
          <w:snapToGrid w:val="0"/>
        </w:rPr>
        <w:tab/>
        <w:t>The provision of first aid facilities at workplaces and the standards for such facilities.</w:t>
      </w:r>
    </w:p>
    <w:p>
      <w:pPr>
        <w:pStyle w:val="ySubsection"/>
        <w:rPr>
          <w:snapToGrid w:val="0"/>
        </w:rPr>
      </w:pPr>
      <w:r>
        <w:rPr>
          <w:snapToGrid w:val="0"/>
        </w:rPr>
        <w:tab/>
        <w:t xml:space="preserve">16. </w:t>
      </w:r>
      <w:r>
        <w:rPr>
          <w:snapToGrid w:val="0"/>
        </w:rPr>
        <w:tab/>
        <w:t>The provision by an employer of suitably qualified persons who are available to advise the employer on matters concerning the safety and health of</w:t>
      </w:r>
      <w:r>
        <w:t xml:space="preserve"> the employees of the employer</w:t>
      </w:r>
      <w:r>
        <w:rPr>
          <w:snapToGrid w:val="0"/>
        </w:rPr>
        <w:t>.</w:t>
      </w:r>
    </w:p>
    <w:p>
      <w:pPr>
        <w:pStyle w:val="ySubsection"/>
        <w:rPr>
          <w:snapToGrid w:val="0"/>
        </w:rPr>
      </w:pPr>
      <w:r>
        <w:rPr>
          <w:snapToGrid w:val="0"/>
        </w:rPr>
        <w:tab/>
        <w:t xml:space="preserve">17. </w:t>
      </w:r>
      <w:r>
        <w:rPr>
          <w:snapToGrid w:val="0"/>
        </w:rPr>
        <w:tab/>
        <w:t>The medical examination of employees subject to their consent.</w:t>
      </w:r>
    </w:p>
    <w:p>
      <w:pPr>
        <w:pStyle w:val="ySubsection"/>
        <w:rPr>
          <w:snapToGrid w:val="0"/>
        </w:rPr>
      </w:pPr>
      <w:r>
        <w:rPr>
          <w:snapToGrid w:val="0"/>
        </w:rPr>
        <w:tab/>
        <w:t xml:space="preserve">18. </w:t>
      </w:r>
      <w:r>
        <w:rPr>
          <w:snapToGrid w:val="0"/>
        </w:rPr>
        <w:tab/>
        <w:t>The provision by employers or occupiers of prescribed facilities for the safety and health of persons at the workplace.</w:t>
      </w:r>
    </w:p>
    <w:p>
      <w:pPr>
        <w:pStyle w:val="ySubsection"/>
        <w:rPr>
          <w:snapToGrid w:val="0"/>
        </w:rPr>
      </w:pPr>
      <w:r>
        <w:rPr>
          <w:snapToGrid w:val="0"/>
        </w:rPr>
        <w:tab/>
        <w:t xml:space="preserve">19. </w:t>
      </w:r>
      <w:r>
        <w:rPr>
          <w:snapToGrid w:val="0"/>
        </w:rPr>
        <w:tab/>
        <w:t>The employment of young persons.</w:t>
      </w:r>
    </w:p>
    <w:p>
      <w:pPr>
        <w:pStyle w:val="ySubsection"/>
        <w:rPr>
          <w:snapToGrid w:val="0"/>
        </w:rPr>
      </w:pPr>
      <w:r>
        <w:rPr>
          <w:snapToGrid w:val="0"/>
        </w:rPr>
        <w:tab/>
        <w:t xml:space="preserve">20. </w:t>
      </w:r>
      <w:r>
        <w:rPr>
          <w:snapToGrid w:val="0"/>
        </w:rPr>
        <w:tab/>
        <w:t>The safety of persons in isolated or remote areas.</w:t>
      </w:r>
    </w:p>
    <w:p>
      <w:pPr>
        <w:pStyle w:val="ySubsection"/>
        <w:rPr>
          <w:snapToGrid w:val="0"/>
        </w:rPr>
      </w:pPr>
      <w:r>
        <w:rPr>
          <w:snapToGrid w:val="0"/>
        </w:rPr>
        <w:tab/>
        <w:t xml:space="preserve">21. </w:t>
      </w:r>
      <w:r>
        <w:rPr>
          <w:snapToGrid w:val="0"/>
        </w:rPr>
        <w:tab/>
        <w:t>Standards for the manual handling of loads by employees.</w:t>
      </w:r>
    </w:p>
    <w:p>
      <w:pPr>
        <w:pStyle w:val="ySubsection"/>
        <w:rPr>
          <w:snapToGrid w:val="0"/>
        </w:rPr>
      </w:pPr>
      <w:r>
        <w:rPr>
          <w:snapToGrid w:val="0"/>
        </w:rPr>
        <w:tab/>
        <w:t xml:space="preserve">22. </w:t>
      </w:r>
      <w:r>
        <w:rPr>
          <w:snapToGrid w:val="0"/>
        </w:rPr>
        <w:tab/>
        <w:t>The safety of persons in the vicinity of any workplace.</w:t>
      </w:r>
    </w:p>
    <w:p>
      <w:pPr>
        <w:pStyle w:val="ySubsection"/>
        <w:rPr>
          <w:snapToGrid w:val="0"/>
        </w:rPr>
      </w:pPr>
      <w:r>
        <w:rPr>
          <w:snapToGrid w:val="0"/>
        </w:rPr>
        <w:tab/>
        <w:t xml:space="preserve">23. </w:t>
      </w:r>
      <w:r>
        <w:rPr>
          <w:snapToGrid w:val="0"/>
        </w:rPr>
        <w:tab/>
        <w:t>The giving of notices, in specified circumstances, to the Minister, an inspector or other prescribed person or authority.</w:t>
      </w:r>
    </w:p>
    <w:p>
      <w:pPr>
        <w:pStyle w:val="ySubsection"/>
        <w:rPr>
          <w:snapToGrid w:val="0"/>
        </w:rPr>
      </w:pPr>
      <w:r>
        <w:rPr>
          <w:snapToGrid w:val="0"/>
        </w:rPr>
        <w:tab/>
        <w:t xml:space="preserve">24. </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Subsection"/>
        <w:rPr>
          <w:snapToGrid w:val="0"/>
        </w:rPr>
      </w:pPr>
      <w:r>
        <w:rPr>
          <w:snapToGrid w:val="0"/>
        </w:rPr>
        <w:tab/>
        <w:t xml:space="preserve">24A. </w:t>
      </w:r>
      <w:r>
        <w:rPr>
          <w:snapToGrid w:val="0"/>
        </w:rPr>
        <w:tab/>
        <w:t>The reporting of injuries incurred at workplaces, or diseases affecting employees at workplaces, other than injuries and diseases prescribed for the purposes of section </w:t>
      </w:r>
      <w:r>
        <w:t>23I</w:t>
      </w:r>
      <w:r>
        <w:rPr>
          <w:snapToGrid w:val="0"/>
        </w:rPr>
        <w:t>.</w:t>
      </w:r>
    </w:p>
    <w:p>
      <w:pPr>
        <w:pStyle w:val="ySubsection"/>
        <w:rPr>
          <w:snapToGrid w:val="0"/>
        </w:rPr>
      </w:pPr>
      <w:r>
        <w:rPr>
          <w:snapToGrid w:val="0"/>
        </w:rPr>
        <w:tab/>
        <w:t xml:space="preserve">25. </w:t>
      </w:r>
      <w:r>
        <w:rPr>
          <w:snapToGrid w:val="0"/>
        </w:rPr>
        <w:tab/>
        <w:t>The provision by an employer to</w:t>
      </w:r>
      <w:r>
        <w:t xml:space="preserve"> the employees of the employer</w:t>
      </w:r>
      <w:r>
        <w:rPr>
          <w:snapToGrid w:val="0"/>
        </w:rPr>
        <w:t>, in such languages as may be appropriate, of information relating to safety and health in connection with the work carried out by the employee.</w:t>
      </w:r>
    </w:p>
    <w:p>
      <w:pPr>
        <w:pStyle w:val="ySubsection"/>
        <w:rPr>
          <w:snapToGrid w:val="0"/>
        </w:rPr>
      </w:pPr>
      <w:r>
        <w:rPr>
          <w:snapToGrid w:val="0"/>
        </w:rPr>
        <w:tab/>
        <w:t xml:space="preserve">26. </w:t>
      </w:r>
      <w:r>
        <w:rPr>
          <w:snapToGrid w:val="0"/>
        </w:rPr>
        <w:tab/>
        <w:t>Procedures that are to be carried out on inspections under this Act.</w:t>
      </w:r>
    </w:p>
    <w:p>
      <w:pPr>
        <w:pStyle w:val="ySubsection"/>
        <w:rPr>
          <w:snapToGrid w:val="0"/>
        </w:rPr>
      </w:pPr>
      <w:r>
        <w:rPr>
          <w:snapToGrid w:val="0"/>
        </w:rPr>
        <w:tab/>
        <w:t xml:space="preserve">26A. </w:t>
      </w:r>
      <w:r>
        <w:rPr>
          <w:snapToGrid w:val="0"/>
        </w:rPr>
        <w:tab/>
        <w:t>The conduct of elections under this Act by secret ballot.</w:t>
      </w:r>
    </w:p>
    <w:p>
      <w:pPr>
        <w:pStyle w:val="yEdnotesubsection"/>
      </w:pPr>
      <w:r>
        <w:tab/>
        <w:t>[26B.</w:t>
      </w:r>
      <w:r>
        <w:tab/>
        <w:t>deleted]</w:t>
      </w:r>
    </w:p>
    <w:p>
      <w:pPr>
        <w:pStyle w:val="ySubsection"/>
        <w:rPr>
          <w:snapToGrid w:val="0"/>
        </w:rPr>
      </w:pPr>
      <w:r>
        <w:rPr>
          <w:snapToGrid w:val="0"/>
        </w:rPr>
        <w:tab/>
        <w:t xml:space="preserve">26C. </w:t>
      </w:r>
      <w:r>
        <w:rPr>
          <w:snapToGrid w:val="0"/>
        </w:rPr>
        <w:tab/>
        <w:t>The remuneration of agents for services performed in connection with appearances under section 51D.</w:t>
      </w:r>
    </w:p>
    <w:p>
      <w:pPr>
        <w:pStyle w:val="ySubsection"/>
      </w:pPr>
      <w:r>
        <w:tab/>
        <w:t>26D.</w:t>
      </w:r>
      <w:r>
        <w:tab/>
        <w:t>The establishment of safety and health committees by employers.</w:t>
      </w:r>
    </w:p>
    <w:p>
      <w:pPr>
        <w:pStyle w:val="ySubsection"/>
        <w:rPr>
          <w:snapToGrid w:val="0"/>
        </w:rPr>
      </w:pPr>
      <w:r>
        <w:rPr>
          <w:snapToGrid w:val="0"/>
        </w:rPr>
        <w:tab/>
        <w:t xml:space="preserve">27. </w:t>
      </w:r>
      <w:r>
        <w:rPr>
          <w:snapToGrid w:val="0"/>
        </w:rPr>
        <w:tab/>
        <w:t>Fees (including differential and periodic fees) for the purpose of this Act.</w:t>
      </w:r>
    </w:p>
    <w:p>
      <w:pPr>
        <w:pStyle w:val="ySubsection"/>
        <w:rPr>
          <w:snapToGrid w:val="0"/>
        </w:rPr>
      </w:pPr>
      <w:r>
        <w:rPr>
          <w:snapToGrid w:val="0"/>
        </w:rPr>
        <w:tab/>
        <w:t xml:space="preserve">28. </w:t>
      </w:r>
      <w:r>
        <w:rPr>
          <w:snapToGrid w:val="0"/>
        </w:rPr>
        <w:tab/>
        <w:t>Forms to be used for the purposes of this Act.</w:t>
      </w:r>
    </w:p>
    <w:p>
      <w:pPr>
        <w:pStyle w:val="ySubsection"/>
        <w:rPr>
          <w:snapToGrid w:val="0"/>
        </w:rPr>
      </w:pPr>
      <w:r>
        <w:rPr>
          <w:snapToGrid w:val="0"/>
        </w:rPr>
        <w:tab/>
        <w:t xml:space="preserve">29. </w:t>
      </w:r>
      <w:r>
        <w:rPr>
          <w:snapToGrid w:val="0"/>
        </w:rPr>
        <w:tab/>
        <w:t>The recovery of fees under this Act.</w:t>
      </w:r>
    </w:p>
    <w:p>
      <w:pPr>
        <w:pStyle w:val="ySubsection"/>
        <w:rPr>
          <w:snapToGrid w:val="0"/>
        </w:rPr>
      </w:pPr>
      <w:r>
        <w:rPr>
          <w:snapToGrid w:val="0"/>
        </w:rPr>
        <w:tab/>
        <w:t xml:space="preserve">30. </w:t>
      </w:r>
      <w:r>
        <w:rPr>
          <w:snapToGrid w:val="0"/>
        </w:rPr>
        <w:tab/>
        <w:t>Standards in relation to the use of any physical, biological, chemical or psychological hazard (including standards concerning exposure to any of those hazards).</w:t>
      </w:r>
    </w:p>
    <w:p>
      <w:pPr>
        <w:pStyle w:val="ySubsection"/>
        <w:rPr>
          <w:snapToGrid w:val="0"/>
        </w:rPr>
      </w:pPr>
      <w:r>
        <w:rPr>
          <w:snapToGrid w:val="0"/>
        </w:rPr>
        <w:tab/>
        <w:t xml:space="preserve">31. </w:t>
      </w:r>
      <w:r>
        <w:rPr>
          <w:snapToGrid w:val="0"/>
        </w:rPr>
        <w:tab/>
        <w:t>The approval of laboratories for the analysis of samples taken under this Act and the conduct of tests for the purposes of this Act.</w:t>
      </w:r>
    </w:p>
    <w:p>
      <w:pPr>
        <w:pStyle w:val="yFootnotesection"/>
        <w:tabs>
          <w:tab w:val="clear" w:pos="893"/>
        </w:tabs>
        <w:spacing w:before="140"/>
        <w:ind w:left="0" w:firstLine="0"/>
      </w:pPr>
      <w:r>
        <w:t>[Schedule inserted by No. 43 of 1987 s. 18; amended by No. 30 of 1995 s. 46 and 47; No. 51 of 2004 s. 13, 57, 69(4), 101 and 114.]</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1095" w:name="_Toc88990710"/>
      <w:bookmarkStart w:id="1096" w:name="_Toc89568272"/>
      <w:bookmarkStart w:id="1097" w:name="_Toc93201003"/>
      <w:bookmarkStart w:id="1098" w:name="_Toc97006674"/>
      <w:bookmarkStart w:id="1099" w:name="_Toc100545276"/>
      <w:bookmarkStart w:id="1100" w:name="_Toc100716755"/>
      <w:bookmarkStart w:id="1101" w:name="_Toc102546344"/>
      <w:bookmarkStart w:id="1102" w:name="_Toc103141567"/>
      <w:bookmarkStart w:id="1103" w:name="_Toc105909179"/>
      <w:bookmarkStart w:id="1104" w:name="_Toc105922065"/>
      <w:bookmarkStart w:id="1105" w:name="_Toc106616903"/>
      <w:bookmarkStart w:id="1106" w:name="_Toc108848648"/>
      <w:bookmarkStart w:id="1107" w:name="_Toc109702931"/>
      <w:bookmarkStart w:id="1108" w:name="_Toc113700488"/>
      <w:bookmarkStart w:id="1109" w:name="_Toc113779146"/>
      <w:bookmarkStart w:id="1110" w:name="_Toc122767527"/>
      <w:bookmarkStart w:id="1111" w:name="_Toc122767770"/>
      <w:bookmarkStart w:id="1112" w:name="_Toc131410017"/>
      <w:bookmarkStart w:id="1113" w:name="_Toc187035584"/>
      <w:bookmarkStart w:id="1114" w:name="_Toc187054052"/>
      <w:bookmarkStart w:id="1115" w:name="_Toc188695725"/>
      <w:r>
        <w:t>Notes</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Act 1984</w:t>
      </w:r>
      <w:r>
        <w:rPr>
          <w:snapToGrid w:val="0"/>
        </w:rPr>
        <w:t xml:space="preserve"> and includes the amendments made by the other written laws referred to in the following table </w:t>
      </w:r>
      <w:r>
        <w:rPr>
          <w:snapToGrid w:val="0"/>
          <w:vertAlign w:val="superscript"/>
        </w:rPr>
        <w:t>1a, 14</w:t>
      </w:r>
      <w:r>
        <w:rPr>
          <w:snapToGrid w:val="0"/>
        </w:rPr>
        <w:t>.  The table also contains information about any reprint.</w:t>
      </w:r>
    </w:p>
    <w:p>
      <w:pPr>
        <w:pStyle w:val="nHeading3"/>
        <w:outlineLvl w:val="0"/>
        <w:rPr>
          <w:snapToGrid w:val="0"/>
        </w:rPr>
      </w:pPr>
      <w:bookmarkStart w:id="1116" w:name="_Toc109702932"/>
      <w:bookmarkStart w:id="1117" w:name="_Toc188695726"/>
      <w:bookmarkStart w:id="1118" w:name="_Toc187054053"/>
      <w:r>
        <w:rPr>
          <w:snapToGrid w:val="0"/>
        </w:rPr>
        <w:t>Compilation table</w:t>
      </w:r>
      <w:bookmarkEnd w:id="1116"/>
      <w:bookmarkEnd w:id="1117"/>
      <w:bookmarkEnd w:id="111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Occupational Health, Safety and Welfare Act 1984</w:t>
            </w:r>
            <w:r>
              <w:rPr>
                <w:iCs/>
                <w:sz w:val="19"/>
                <w:vertAlign w:val="superscript"/>
              </w:rPr>
              <w:t> 4</w:t>
            </w:r>
          </w:p>
        </w:tc>
        <w:tc>
          <w:tcPr>
            <w:tcW w:w="1134" w:type="dxa"/>
          </w:tcPr>
          <w:p>
            <w:pPr>
              <w:pStyle w:val="nTable"/>
              <w:spacing w:after="40"/>
              <w:rPr>
                <w:sz w:val="19"/>
              </w:rPr>
            </w:pPr>
            <w:r>
              <w:rPr>
                <w:sz w:val="19"/>
              </w:rPr>
              <w:t>101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4 Apr 1985 (see s. 2 and </w:t>
            </w:r>
            <w:r>
              <w:rPr>
                <w:i/>
                <w:sz w:val="19"/>
              </w:rPr>
              <w:t>Gazette</w:t>
            </w:r>
            <w:r>
              <w:rPr>
                <w:sz w:val="19"/>
              </w:rPr>
              <w:t xml:space="preserve"> 4 Apr 1985 p. 1241)</w:t>
            </w:r>
          </w:p>
        </w:tc>
      </w:tr>
      <w:tr>
        <w:trPr>
          <w:cantSplit/>
        </w:trPr>
        <w:tc>
          <w:tcPr>
            <w:tcW w:w="2268" w:type="dxa"/>
          </w:tcPr>
          <w:p>
            <w:pPr>
              <w:pStyle w:val="nTable"/>
              <w:spacing w:after="40"/>
              <w:ind w:right="170"/>
              <w:rPr>
                <w:sz w:val="19"/>
              </w:rPr>
            </w:pPr>
            <w:r>
              <w:rPr>
                <w:i/>
                <w:sz w:val="19"/>
              </w:rPr>
              <w:t>Occupational Health, Safety and Welfare Amendment Act 1987</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3757)</w:t>
            </w:r>
          </w:p>
        </w:tc>
      </w:tr>
      <w:tr>
        <w:trPr>
          <w:cantSplit/>
        </w:trPr>
        <w:tc>
          <w:tcPr>
            <w:tcW w:w="2268" w:type="dxa"/>
          </w:tcPr>
          <w:p>
            <w:pPr>
              <w:pStyle w:val="nTable"/>
              <w:spacing w:after="40"/>
              <w:ind w:right="170"/>
              <w:rPr>
                <w:sz w:val="19"/>
              </w:rPr>
            </w:pPr>
            <w:r>
              <w:rPr>
                <w:i/>
                <w:sz w:val="19"/>
              </w:rPr>
              <w:t>Occupational Health, Safety and Welfare Amendment Act (No. 2) 1987</w:t>
            </w:r>
          </w:p>
        </w:tc>
        <w:tc>
          <w:tcPr>
            <w:tcW w:w="1134" w:type="dxa"/>
          </w:tcPr>
          <w:p>
            <w:pPr>
              <w:pStyle w:val="nTable"/>
              <w:spacing w:after="40"/>
              <w:rPr>
                <w:sz w:val="19"/>
              </w:rPr>
            </w:pPr>
            <w:r>
              <w:rPr>
                <w:sz w:val="19"/>
              </w:rPr>
              <w:t>55 of 1987</w:t>
            </w:r>
          </w:p>
        </w:tc>
        <w:tc>
          <w:tcPr>
            <w:tcW w:w="1134" w:type="dxa"/>
          </w:tcPr>
          <w:p>
            <w:pPr>
              <w:pStyle w:val="nTable"/>
              <w:spacing w:after="40"/>
              <w:rPr>
                <w:sz w:val="19"/>
              </w:rPr>
            </w:pPr>
            <w:r>
              <w:rPr>
                <w:sz w:val="19"/>
              </w:rPr>
              <w:t>3 Nov 1987</w:t>
            </w:r>
          </w:p>
        </w:tc>
        <w:tc>
          <w:tcPr>
            <w:tcW w:w="2551" w:type="dxa"/>
          </w:tcPr>
          <w:p>
            <w:pPr>
              <w:pStyle w:val="nTable"/>
              <w:spacing w:after="40"/>
              <w:rPr>
                <w:sz w:val="19"/>
              </w:rPr>
            </w:pPr>
            <w:r>
              <w:rPr>
                <w:sz w:val="19"/>
              </w:rPr>
              <w:t>3 Nov 1987 (see s. 2)</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Health, Safety and Welfare Act 1984</w:t>
            </w:r>
            <w:r>
              <w:rPr>
                <w:b/>
                <w:bCs/>
                <w:iCs/>
                <w:sz w:val="19"/>
              </w:rPr>
              <w:t xml:space="preserve"> as at 23 Jan 1989</w:t>
            </w:r>
            <w:r>
              <w:rPr>
                <w:iCs/>
                <w:sz w:val="19"/>
              </w:rPr>
              <w:t xml:space="preserve"> (includes amendments listed above)</w:t>
            </w:r>
          </w:p>
        </w:tc>
      </w:tr>
      <w:tr>
        <w:trPr>
          <w:cantSplit/>
        </w:trPr>
        <w:tc>
          <w:tcPr>
            <w:tcW w:w="2268" w:type="dxa"/>
          </w:tcPr>
          <w:p>
            <w:pPr>
              <w:pStyle w:val="nTable"/>
              <w:spacing w:after="40"/>
              <w:ind w:right="170"/>
              <w:rPr>
                <w:sz w:val="19"/>
              </w:rPr>
            </w:pPr>
            <w:r>
              <w:rPr>
                <w:i/>
                <w:sz w:val="19"/>
              </w:rPr>
              <w:t>Occupational Health, Safety and Welfare Amendment Act 1990</w:t>
            </w:r>
          </w:p>
        </w:tc>
        <w:tc>
          <w:tcPr>
            <w:tcW w:w="1134" w:type="dxa"/>
          </w:tcPr>
          <w:p>
            <w:pPr>
              <w:pStyle w:val="nTable"/>
              <w:spacing w:after="40"/>
              <w:rPr>
                <w:sz w:val="19"/>
              </w:rPr>
            </w:pPr>
            <w:r>
              <w:rPr>
                <w:sz w:val="19"/>
              </w:rPr>
              <w:t>84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70"/>
              <w:rPr>
                <w:sz w:val="19"/>
              </w:rPr>
            </w:pPr>
            <w:r>
              <w:rPr>
                <w:i/>
                <w:sz w:val="19"/>
              </w:rPr>
              <w:t>Occupational Safety and Health Legislation Amendment Act 1995</w:t>
            </w:r>
            <w:r>
              <w:rPr>
                <w:sz w:val="19"/>
              </w:rPr>
              <w:t xml:space="preserve"> Pt. 2 </w:t>
            </w:r>
            <w:r>
              <w:rPr>
                <w:sz w:val="19"/>
                <w:vertAlign w:val="superscript"/>
              </w:rPr>
              <w:t>5, 6</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16 Nov 1995</w:t>
            </w:r>
            <w:r>
              <w:rPr>
                <w:iCs/>
                <w:sz w:val="19"/>
              </w:rPr>
              <w:t xml:space="preserve"> (includes amendments listed above)</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Pt. 55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Industrial Relations Legislation Amendment and Repeal Act 1995</w:t>
            </w:r>
            <w:r>
              <w:rPr>
                <w:sz w:val="19"/>
              </w:rPr>
              <w:t xml:space="preserve"> s. 67(5)</w:t>
            </w:r>
          </w:p>
        </w:tc>
        <w:tc>
          <w:tcPr>
            <w:tcW w:w="1134" w:type="dxa"/>
          </w:tcPr>
          <w:p>
            <w:pPr>
              <w:pStyle w:val="nTable"/>
              <w:keepNext/>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15 May 1996</w:t>
            </w:r>
            <w:r>
              <w:rPr>
                <w:iCs/>
                <w:sz w:val="19"/>
              </w:rPr>
              <w:t xml:space="preserve"> (includes amendments listed above except those in the </w:t>
            </w:r>
            <w:r>
              <w:rPr>
                <w:i/>
                <w:sz w:val="19"/>
              </w:rPr>
              <w:t>Sentencing (Consequential Provisions) Act 1995</w:t>
            </w:r>
            <w:r>
              <w:rPr>
                <w:iCs/>
                <w:sz w:val="19"/>
              </w:rPr>
              <w:t>)</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56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iCs/>
                <w:sz w:val="19"/>
                <w:vertAlign w:val="superscript"/>
              </w:rPr>
            </w:pPr>
            <w:r>
              <w:rPr>
                <w:i/>
                <w:sz w:val="19"/>
              </w:rPr>
              <w:t>Occupational Safety and Health (Validation) Act 1998</w:t>
            </w:r>
            <w:r>
              <w:rPr>
                <w:iCs/>
                <w:sz w:val="19"/>
                <w:vertAlign w:val="superscript"/>
              </w:rPr>
              <w:t> 7, 8</w:t>
            </w:r>
          </w:p>
        </w:tc>
        <w:tc>
          <w:tcPr>
            <w:tcW w:w="1134" w:type="dxa"/>
          </w:tcPr>
          <w:p>
            <w:pPr>
              <w:pStyle w:val="nTable"/>
              <w:spacing w:after="40"/>
              <w:rPr>
                <w:sz w:val="19"/>
              </w:rPr>
            </w:pPr>
            <w:r>
              <w:rPr>
                <w:sz w:val="19"/>
              </w:rPr>
              <w:t>63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22 Mar 1999</w:t>
            </w:r>
            <w:r>
              <w:rPr>
                <w:iCs/>
                <w:sz w:val="19"/>
              </w:rPr>
              <w:t xml:space="preserve"> (includes amendments listed above)</w:t>
            </w:r>
          </w:p>
        </w:tc>
      </w:tr>
      <w:tr>
        <w:trPr>
          <w:cantSplit/>
        </w:trPr>
        <w:tc>
          <w:tcPr>
            <w:tcW w:w="2268" w:type="dxa"/>
          </w:tcPr>
          <w:p>
            <w:pPr>
              <w:pStyle w:val="nTable"/>
              <w:spacing w:after="40"/>
              <w:ind w:right="170"/>
              <w:rPr>
                <w:iCs/>
                <w:sz w:val="19"/>
              </w:rPr>
            </w:pPr>
            <w:r>
              <w:rPr>
                <w:i/>
                <w:sz w:val="19"/>
              </w:rPr>
              <w:t>Occupational Safety and Health Amendment Act 2002</w:t>
            </w:r>
            <w:r>
              <w:rPr>
                <w:iCs/>
                <w:sz w:val="19"/>
                <w:vertAlign w:val="superscript"/>
              </w:rPr>
              <w:t> 9</w:t>
            </w:r>
          </w:p>
        </w:tc>
        <w:tc>
          <w:tcPr>
            <w:tcW w:w="1134" w:type="dxa"/>
          </w:tcPr>
          <w:p>
            <w:pPr>
              <w:pStyle w:val="nTable"/>
              <w:spacing w:after="40"/>
              <w:rPr>
                <w:sz w:val="19"/>
              </w:rPr>
            </w:pPr>
            <w:r>
              <w:rPr>
                <w:sz w:val="19"/>
              </w:rPr>
              <w:t>54 of 2002</w:t>
            </w:r>
          </w:p>
        </w:tc>
        <w:tc>
          <w:tcPr>
            <w:tcW w:w="1134" w:type="dxa"/>
          </w:tcPr>
          <w:p>
            <w:pPr>
              <w:pStyle w:val="nTable"/>
              <w:spacing w:after="40"/>
              <w:rPr>
                <w:sz w:val="19"/>
              </w:rPr>
            </w:pPr>
            <w:r>
              <w:rPr>
                <w:sz w:val="19"/>
              </w:rPr>
              <w:t>3 Jan 2003</w:t>
            </w:r>
          </w:p>
        </w:tc>
        <w:tc>
          <w:tcPr>
            <w:tcW w:w="2551" w:type="dxa"/>
          </w:tcPr>
          <w:p>
            <w:pPr>
              <w:pStyle w:val="nTable"/>
              <w:spacing w:after="40"/>
              <w:rPr>
                <w:sz w:val="19"/>
              </w:rPr>
            </w:pPr>
            <w:r>
              <w:rPr>
                <w:sz w:val="19"/>
              </w:rPr>
              <w:t>s. 8: 3 Jan 2003 (see s. 2(2));</w:t>
            </w:r>
            <w:r>
              <w:rPr>
                <w:sz w:val="19"/>
              </w:rPr>
              <w:br/>
              <w:t>balance: 3 Jan 2004 (see s. 2(1))</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87</w:t>
            </w:r>
            <w:r>
              <w:rPr>
                <w:sz w:val="19"/>
                <w:vertAlign w:val="superscript"/>
              </w:rPr>
              <w:t> 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71"/>
              <w:rPr>
                <w:sz w:val="19"/>
              </w:rPr>
            </w:pPr>
            <w:r>
              <w:rPr>
                <w:i/>
                <w:sz w:val="19"/>
              </w:rPr>
              <w:t>Occupational Safety and Health Legislation Amendment and Repeal Act 2004</w:t>
            </w:r>
            <w:r>
              <w:rPr>
                <w:sz w:val="19"/>
              </w:rPr>
              <w:t xml:space="preserve"> Pt. 1</w:t>
            </w:r>
            <w:r>
              <w:rPr>
                <w:sz w:val="19"/>
              </w:rPr>
              <w:noBreakHyphen/>
              <w:t>6 (other than s. 65, 66 and 68), Pt. 7 and s. 104</w:t>
            </w:r>
            <w:r>
              <w:rPr>
                <w:sz w:val="19"/>
              </w:rPr>
              <w:noBreakHyphen/>
              <w:t>114</w:t>
            </w:r>
            <w:r>
              <w:rPr>
                <w:sz w:val="19"/>
                <w:vertAlign w:val="superscript"/>
              </w:rPr>
              <w:t> 11, 12, 13</w:t>
            </w:r>
          </w:p>
        </w:tc>
        <w:tc>
          <w:tcPr>
            <w:tcW w:w="1134" w:type="dxa"/>
          </w:tcPr>
          <w:p>
            <w:pPr>
              <w:pStyle w:val="nTable"/>
              <w:spacing w:after="40"/>
              <w:rPr>
                <w:sz w:val="19"/>
              </w:rPr>
            </w:pPr>
            <w:r>
              <w:rPr>
                <w:sz w:val="19"/>
              </w:rPr>
              <w:t>51 of 2004</w:t>
            </w:r>
          </w:p>
        </w:tc>
        <w:tc>
          <w:tcPr>
            <w:tcW w:w="1134" w:type="dxa"/>
          </w:tcPr>
          <w:p>
            <w:pPr>
              <w:pStyle w:val="nTable"/>
              <w:spacing w:after="40"/>
              <w:rPr>
                <w:sz w:val="19"/>
              </w:rPr>
            </w:pPr>
            <w:r>
              <w:rPr>
                <w:sz w:val="19"/>
              </w:rPr>
              <w:t>12 Nov 2004</w:t>
            </w:r>
          </w:p>
        </w:tc>
        <w:tc>
          <w:tcPr>
            <w:tcW w:w="2551" w:type="dxa"/>
          </w:tcPr>
          <w:p>
            <w:pPr>
              <w:pStyle w:val="nTable"/>
              <w:spacing w:after="40"/>
              <w:rPr>
                <w:spacing w:val="-2"/>
                <w:sz w:val="19"/>
              </w:rPr>
            </w:pPr>
            <w:r>
              <w:rPr>
                <w:spacing w:val="-2"/>
                <w:sz w:val="19"/>
              </w:rPr>
              <w:t xml:space="preserve">Act other than Pt. 4 and 6 and s. 105 and 106: 1 Jan 2005 (see s. 2 and </w:t>
            </w:r>
            <w:r>
              <w:rPr>
                <w:i/>
                <w:spacing w:val="-2"/>
                <w:sz w:val="19"/>
              </w:rPr>
              <w:t>Gazette</w:t>
            </w:r>
            <w:r>
              <w:rPr>
                <w:spacing w:val="-2"/>
                <w:sz w:val="19"/>
              </w:rPr>
              <w:t xml:space="preserve"> 14 Dec 2004 p. 5999</w:t>
            </w:r>
            <w:r>
              <w:rPr>
                <w:spacing w:val="-2"/>
                <w:sz w:val="19"/>
              </w:rPr>
              <w:noBreakHyphen/>
              <w:t>6000);</w:t>
            </w:r>
            <w:r>
              <w:rPr>
                <w:spacing w:val="-2"/>
                <w:sz w:val="19"/>
              </w:rPr>
              <w:br/>
            </w:r>
            <w:r>
              <w:rPr>
                <w:snapToGrid w:val="0"/>
                <w:sz w:val="19"/>
                <w:lang w:val="en-US"/>
              </w:rPr>
              <w:t xml:space="preserve">Pt. 4 and 6 (other than s. 65, 66 and 68), s. 105 and 106: 4 Apr 2005 (see s. 2 and </w:t>
            </w:r>
            <w:r>
              <w:rPr>
                <w:i/>
                <w:snapToGrid w:val="0"/>
                <w:sz w:val="19"/>
                <w:lang w:val="en-US"/>
              </w:rPr>
              <w:t>Gazette</w:t>
            </w:r>
            <w:r>
              <w:rPr>
                <w:snapToGrid w:val="0"/>
                <w:sz w:val="19"/>
                <w:lang w:val="en-US"/>
              </w:rPr>
              <w:t xml:space="preserve"> 14 Dec 2004 p. 5999</w:t>
            </w:r>
            <w:r>
              <w:rPr>
                <w:snapToGrid w:val="0"/>
                <w:sz w:val="19"/>
                <w:lang w:val="en-US"/>
              </w:rPr>
              <w:noBreakHyphen/>
              <w:t>6000)</w:t>
            </w:r>
          </w:p>
        </w:tc>
      </w:tr>
      <w:tr>
        <w:trPr>
          <w:cantSplit/>
        </w:trPr>
        <w:tc>
          <w:tcPr>
            <w:tcW w:w="2268" w:type="dxa"/>
          </w:tcPr>
          <w:p>
            <w:pPr>
              <w:pStyle w:val="nTable"/>
              <w:spacing w:after="40"/>
              <w:ind w:right="71"/>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71"/>
              <w:rPr>
                <w:i/>
                <w:sz w:val="19"/>
              </w:rPr>
            </w:pPr>
            <w:r>
              <w:rPr>
                <w:i/>
                <w:snapToGrid w:val="0"/>
                <w:sz w:val="19"/>
                <w:lang w:val="en-US"/>
              </w:rPr>
              <w:t>Mines Safety and Inspection Amendment Act 2004</w:t>
            </w:r>
            <w:r>
              <w:rPr>
                <w:snapToGrid w:val="0"/>
                <w:sz w:val="19"/>
                <w:lang w:val="en-US"/>
              </w:rPr>
              <w:t xml:space="preserve"> s. 94</w:t>
            </w:r>
          </w:p>
        </w:tc>
        <w:tc>
          <w:tcPr>
            <w:tcW w:w="1134" w:type="dxa"/>
          </w:tcPr>
          <w:p>
            <w:pPr>
              <w:pStyle w:val="nTable"/>
              <w:spacing w:after="40"/>
              <w:rPr>
                <w:sz w:val="19"/>
              </w:rPr>
            </w:pPr>
            <w:r>
              <w:rPr>
                <w:snapToGrid w:val="0"/>
                <w:sz w:val="19"/>
                <w:lang w:val="en-US"/>
              </w:rPr>
              <w:t>68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napToGrid w:val="0"/>
                <w:sz w:val="19"/>
                <w:lang w:val="en-US"/>
              </w:rPr>
              <w:t xml:space="preserve">4 Apr 2005 (see s. 2(1) and </w:t>
            </w:r>
            <w:r>
              <w:rPr>
                <w:i/>
                <w:snapToGrid w:val="0"/>
                <w:sz w:val="19"/>
                <w:lang w:val="en-US"/>
              </w:rPr>
              <w:t>Gazette</w:t>
            </w:r>
            <w:r>
              <w:rPr>
                <w:snapToGrid w:val="0"/>
                <w:sz w:val="19"/>
                <w:lang w:val="en-US"/>
              </w:rPr>
              <w:t xml:space="preserve"> 11 Feb 2005 p. 695)</w:t>
            </w:r>
          </w:p>
        </w:tc>
      </w:tr>
      <w:tr>
        <w:trPr>
          <w:cantSplit/>
        </w:trPr>
        <w:tc>
          <w:tcPr>
            <w:tcW w:w="2268" w:type="dxa"/>
          </w:tcPr>
          <w:p>
            <w:pPr>
              <w:pStyle w:val="nTable"/>
              <w:spacing w:after="40"/>
              <w:ind w:right="71"/>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bCs/>
                <w:sz w:val="19"/>
              </w:rPr>
              <w:t xml:space="preserve">Reprint 5: The </w:t>
            </w:r>
            <w:r>
              <w:rPr>
                <w:b/>
                <w:bCs/>
                <w:i/>
                <w:sz w:val="19"/>
              </w:rPr>
              <w:t>Occupational Safety and Health Act 1984</w:t>
            </w:r>
            <w:r>
              <w:rPr>
                <w:b/>
                <w:bCs/>
                <w:iCs/>
                <w:sz w:val="19"/>
              </w:rPr>
              <w:t xml:space="preserve"> as at 24 Jun 2005</w:t>
            </w:r>
            <w:r>
              <w:rPr>
                <w:iCs/>
                <w:sz w:val="19"/>
              </w:rPr>
              <w:t xml:space="preserve"> (includes amendments listed above)</w:t>
            </w:r>
          </w:p>
        </w:tc>
      </w:tr>
      <w:tr>
        <w:trPr>
          <w:cantSplit/>
        </w:trPr>
        <w:tc>
          <w:tcPr>
            <w:tcW w:w="2268" w:type="dxa"/>
          </w:tcPr>
          <w:p>
            <w:pPr>
              <w:pStyle w:val="nTable"/>
              <w:spacing w:after="40"/>
              <w:ind w:right="71"/>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ins w:id="1119" w:author="svcMRProcess" w:date="2019-05-11T02:50:00Z"/>
        </w:trPr>
        <w:tc>
          <w:tcPr>
            <w:tcW w:w="2268" w:type="dxa"/>
            <w:tcBorders>
              <w:bottom w:val="single" w:sz="4" w:space="0" w:color="auto"/>
            </w:tcBorders>
          </w:tcPr>
          <w:p>
            <w:pPr>
              <w:pStyle w:val="nTable"/>
              <w:spacing w:after="40"/>
              <w:ind w:right="71"/>
              <w:rPr>
                <w:ins w:id="1120" w:author="svcMRProcess" w:date="2019-05-11T02:50:00Z"/>
                <w:i/>
                <w:snapToGrid w:val="0"/>
                <w:sz w:val="19"/>
                <w:vertAlign w:val="superscript"/>
                <w:lang w:val="en-US"/>
              </w:rPr>
            </w:pPr>
            <w:ins w:id="1121" w:author="svcMRProcess" w:date="2019-05-11T02:50:00Z">
              <w:r>
                <w:rPr>
                  <w:i/>
                  <w:snapToGrid w:val="0"/>
                  <w:sz w:val="19"/>
                </w:rPr>
                <w:t>Petroleum Amendment Act 2007</w:t>
              </w:r>
              <w:r>
                <w:rPr>
                  <w:iCs/>
                  <w:snapToGrid w:val="0"/>
                  <w:sz w:val="19"/>
                </w:rPr>
                <w:t xml:space="preserve"> s. 101 </w:t>
              </w:r>
              <w:r>
                <w:rPr>
                  <w:iCs/>
                  <w:snapToGrid w:val="0"/>
                  <w:sz w:val="19"/>
                  <w:vertAlign w:val="superscript"/>
                </w:rPr>
                <w:t>17</w:t>
              </w:r>
            </w:ins>
          </w:p>
        </w:tc>
        <w:tc>
          <w:tcPr>
            <w:tcW w:w="1134" w:type="dxa"/>
            <w:tcBorders>
              <w:bottom w:val="single" w:sz="4" w:space="0" w:color="auto"/>
            </w:tcBorders>
          </w:tcPr>
          <w:p>
            <w:pPr>
              <w:pStyle w:val="nTable"/>
              <w:spacing w:after="40"/>
              <w:rPr>
                <w:ins w:id="1122" w:author="svcMRProcess" w:date="2019-05-11T02:50:00Z"/>
                <w:snapToGrid w:val="0"/>
                <w:sz w:val="19"/>
                <w:lang w:val="en-US"/>
              </w:rPr>
            </w:pPr>
            <w:ins w:id="1123" w:author="svcMRProcess" w:date="2019-05-11T02:50:00Z">
              <w:r>
                <w:rPr>
                  <w:sz w:val="19"/>
                </w:rPr>
                <w:t>35 of 2007</w:t>
              </w:r>
            </w:ins>
          </w:p>
        </w:tc>
        <w:tc>
          <w:tcPr>
            <w:tcW w:w="1134" w:type="dxa"/>
            <w:tcBorders>
              <w:bottom w:val="single" w:sz="4" w:space="0" w:color="auto"/>
            </w:tcBorders>
          </w:tcPr>
          <w:p>
            <w:pPr>
              <w:pStyle w:val="nTable"/>
              <w:spacing w:after="40"/>
              <w:rPr>
                <w:ins w:id="1124" w:author="svcMRProcess" w:date="2019-05-11T02:50:00Z"/>
                <w:sz w:val="19"/>
              </w:rPr>
            </w:pPr>
            <w:ins w:id="1125" w:author="svcMRProcess" w:date="2019-05-11T02:50:00Z">
              <w:r>
                <w:rPr>
                  <w:sz w:val="19"/>
                </w:rPr>
                <w:t>21 Dec 2007</w:t>
              </w:r>
            </w:ins>
          </w:p>
        </w:tc>
        <w:tc>
          <w:tcPr>
            <w:tcW w:w="2551" w:type="dxa"/>
            <w:tcBorders>
              <w:bottom w:val="single" w:sz="4" w:space="0" w:color="auto"/>
            </w:tcBorders>
          </w:tcPr>
          <w:p>
            <w:pPr>
              <w:pStyle w:val="nTable"/>
              <w:spacing w:after="40"/>
              <w:rPr>
                <w:ins w:id="1126" w:author="svcMRProcess" w:date="2019-05-11T02:50:00Z"/>
                <w:snapToGrid w:val="0"/>
                <w:sz w:val="19"/>
                <w:lang w:val="en-US"/>
              </w:rPr>
            </w:pPr>
            <w:ins w:id="1127" w:author="svcMRProcess" w:date="2019-05-11T02:50:00Z">
              <w:r>
                <w:rPr>
                  <w:sz w:val="19"/>
                </w:rPr>
                <w:t xml:space="preserve">19 Jan 2008 (see s. 2(b) and </w:t>
              </w:r>
              <w:r>
                <w:rPr>
                  <w:i/>
                  <w:iCs/>
                  <w:sz w:val="19"/>
                </w:rPr>
                <w:t>Gazette</w:t>
              </w:r>
              <w:r>
                <w:rPr>
                  <w:sz w:val="19"/>
                </w:rPr>
                <w:t xml:space="preserve"> 18 Jan 2008 p. 147)</w:t>
              </w:r>
            </w:ins>
          </w:p>
        </w:tc>
      </w:tr>
    </w:tbl>
    <w:p>
      <w:pPr>
        <w:pStyle w:val="nSubsection"/>
        <w:spacing w:before="360"/>
        <w:ind w:left="482" w:hanging="482"/>
      </w:pPr>
      <w:r>
        <w:rPr>
          <w:vertAlign w:val="superscript"/>
        </w:rPr>
        <w:t>1a</w:t>
      </w:r>
      <w:r>
        <w:tab/>
        <w:t>On the date as at which thi</w:t>
      </w:r>
      <w:bookmarkStart w:id="1128" w:name="_Hlt507390729"/>
      <w:bookmarkEnd w:id="1128"/>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1129" w:name="_Toc109702933"/>
      <w:bookmarkStart w:id="1130" w:name="_Toc188695727"/>
      <w:bookmarkStart w:id="1131" w:name="_Toc187054054"/>
      <w:r>
        <w:rPr>
          <w:snapToGrid w:val="0"/>
        </w:rPr>
        <w:t>Provisions that have not come into operation</w:t>
      </w:r>
      <w:bookmarkEnd w:id="1129"/>
      <w:bookmarkEnd w:id="1130"/>
      <w:bookmarkEnd w:id="1131"/>
    </w:p>
    <w:tbl>
      <w:tblPr>
        <w:tblW w:w="7116"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80"/>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80"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snapToGrid w:val="0"/>
                <w:sz w:val="19"/>
                <w:vertAlign w:val="superscript"/>
                <w:lang w:val="en-US"/>
              </w:rPr>
            </w:pPr>
            <w:r>
              <w:rPr>
                <w:i/>
                <w:snapToGrid w:val="0"/>
                <w:sz w:val="19"/>
                <w:lang w:val="en-US"/>
              </w:rPr>
              <w:t>Occupational Safety and Health Legislation Amendment and Repeal Act 2004</w:t>
            </w:r>
            <w:r>
              <w:rPr>
                <w:iCs/>
                <w:snapToGrid w:val="0"/>
                <w:sz w:val="19"/>
                <w:lang w:val="en-US"/>
              </w:rPr>
              <w:t xml:space="preserve"> s</w:t>
            </w:r>
            <w:r>
              <w:rPr>
                <w:snapToGrid w:val="0"/>
                <w:sz w:val="19"/>
                <w:lang w:val="en-US"/>
              </w:rPr>
              <w:t>. 65, 66 and 68 </w:t>
            </w:r>
            <w:r>
              <w:rPr>
                <w:snapToGrid w:val="0"/>
                <w:sz w:val="19"/>
                <w:vertAlign w:val="superscript"/>
                <w:lang w:val="en-US"/>
              </w:rPr>
              <w:t>15</w:t>
            </w:r>
          </w:p>
        </w:tc>
        <w:tc>
          <w:tcPr>
            <w:tcW w:w="1134" w:type="dxa"/>
            <w:tcBorders>
              <w:top w:val="nil"/>
              <w:bottom w:val="nil"/>
            </w:tcBorders>
          </w:tcPr>
          <w:p>
            <w:pPr>
              <w:pStyle w:val="nTable"/>
              <w:spacing w:after="40"/>
              <w:rPr>
                <w:snapToGrid w:val="0"/>
                <w:sz w:val="19"/>
                <w:lang w:val="en-US"/>
              </w:rPr>
            </w:pPr>
            <w:r>
              <w:rPr>
                <w:snapToGrid w:val="0"/>
                <w:sz w:val="19"/>
                <w:lang w:val="en-US"/>
              </w:rPr>
              <w:t>51 of 2004</w:t>
            </w:r>
          </w:p>
        </w:tc>
        <w:tc>
          <w:tcPr>
            <w:tcW w:w="1134" w:type="dxa"/>
            <w:tcBorders>
              <w:top w:val="nil"/>
              <w:bottom w:val="nil"/>
            </w:tcBorders>
          </w:tcPr>
          <w:p>
            <w:pPr>
              <w:pStyle w:val="nTable"/>
              <w:spacing w:after="40"/>
              <w:rPr>
                <w:sz w:val="19"/>
              </w:rPr>
            </w:pPr>
            <w:r>
              <w:rPr>
                <w:sz w:val="19"/>
              </w:rPr>
              <w:t>12 Nov 2004</w:t>
            </w:r>
          </w:p>
        </w:tc>
        <w:tc>
          <w:tcPr>
            <w:tcW w:w="2580" w:type="dxa"/>
            <w:tcBorders>
              <w:top w:val="nil"/>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single" w:sz="4" w:space="0" w:color="auto"/>
            </w:tcBorders>
          </w:tcPr>
          <w:p>
            <w:pPr>
              <w:pStyle w:val="nTable"/>
              <w:spacing w:after="40"/>
              <w:rPr>
                <w:iCs/>
                <w:snapToGrid w:val="0"/>
                <w:sz w:val="19"/>
                <w:lang w:val="en-US"/>
              </w:rPr>
            </w:pPr>
            <w:r>
              <w:rPr>
                <w:i/>
                <w:snapToGrid w:val="0"/>
                <w:sz w:val="19"/>
                <w:lang w:val="en-US"/>
              </w:rPr>
              <w:t>Petroleum Legislation Amendment and Repeal Act 2005</w:t>
            </w:r>
            <w:r>
              <w:rPr>
                <w:iCs/>
                <w:snapToGrid w:val="0"/>
                <w:sz w:val="19"/>
                <w:lang w:val="en-US"/>
              </w:rPr>
              <w:t xml:space="preserve"> s. 50</w:t>
            </w:r>
            <w:r>
              <w:rPr>
                <w:iCs/>
                <w:snapToGrid w:val="0"/>
                <w:sz w:val="19"/>
                <w:vertAlign w:val="superscript"/>
                <w:lang w:val="en-US"/>
              </w:rPr>
              <w:t> 16</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13 of 2005</w:t>
            </w:r>
          </w:p>
        </w:tc>
        <w:tc>
          <w:tcPr>
            <w:tcW w:w="1134" w:type="dxa"/>
            <w:tcBorders>
              <w:top w:val="nil"/>
              <w:bottom w:val="single" w:sz="4" w:space="0" w:color="auto"/>
            </w:tcBorders>
          </w:tcPr>
          <w:p>
            <w:pPr>
              <w:pStyle w:val="nTable"/>
              <w:spacing w:after="40"/>
              <w:rPr>
                <w:sz w:val="19"/>
              </w:rPr>
            </w:pPr>
            <w:r>
              <w:rPr>
                <w:sz w:val="19"/>
              </w:rPr>
              <w:t>1 Sep 2005</w:t>
            </w:r>
          </w:p>
        </w:tc>
        <w:tc>
          <w:tcPr>
            <w:tcW w:w="2580"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w:t>
            </w:r>
          </w:p>
        </w:tc>
      </w:tr>
      <w:tr>
        <w:trPr>
          <w:del w:id="1132" w:author="svcMRProcess" w:date="2019-05-11T02:50:00Z"/>
        </w:trPr>
        <w:tc>
          <w:tcPr>
            <w:tcW w:w="2268" w:type="dxa"/>
            <w:tcBorders>
              <w:top w:val="nil"/>
              <w:bottom w:val="single" w:sz="4" w:space="0" w:color="auto"/>
            </w:tcBorders>
          </w:tcPr>
          <w:p>
            <w:pPr>
              <w:pStyle w:val="nTable"/>
              <w:spacing w:after="40"/>
              <w:rPr>
                <w:del w:id="1133" w:author="svcMRProcess" w:date="2019-05-11T02:50:00Z"/>
                <w:i/>
                <w:snapToGrid w:val="0"/>
                <w:sz w:val="19"/>
                <w:lang w:val="en-US"/>
              </w:rPr>
            </w:pPr>
            <w:del w:id="1134" w:author="svcMRProcess" w:date="2019-05-11T02:50:00Z">
              <w:r>
                <w:rPr>
                  <w:i/>
                  <w:snapToGrid w:val="0"/>
                  <w:sz w:val="19"/>
                </w:rPr>
                <w:delText>Petroleum Amendment Act 2007</w:delText>
              </w:r>
              <w:r>
                <w:rPr>
                  <w:iCs/>
                  <w:snapToGrid w:val="0"/>
                  <w:sz w:val="19"/>
                </w:rPr>
                <w:delText xml:space="preserve"> s. 101 </w:delText>
              </w:r>
              <w:r>
                <w:rPr>
                  <w:iCs/>
                  <w:snapToGrid w:val="0"/>
                  <w:sz w:val="19"/>
                  <w:vertAlign w:val="superscript"/>
                </w:rPr>
                <w:delText>17</w:delText>
              </w:r>
            </w:del>
          </w:p>
        </w:tc>
        <w:tc>
          <w:tcPr>
            <w:tcW w:w="1134" w:type="dxa"/>
            <w:tcBorders>
              <w:top w:val="nil"/>
              <w:bottom w:val="single" w:sz="4" w:space="0" w:color="auto"/>
            </w:tcBorders>
          </w:tcPr>
          <w:p>
            <w:pPr>
              <w:pStyle w:val="nTable"/>
              <w:spacing w:after="40"/>
              <w:rPr>
                <w:del w:id="1135" w:author="svcMRProcess" w:date="2019-05-11T02:50:00Z"/>
                <w:snapToGrid w:val="0"/>
                <w:sz w:val="19"/>
                <w:lang w:val="en-US"/>
              </w:rPr>
            </w:pPr>
            <w:del w:id="1136" w:author="svcMRProcess" w:date="2019-05-11T02:50:00Z">
              <w:r>
                <w:rPr>
                  <w:sz w:val="19"/>
                </w:rPr>
                <w:delText>35 of 2007</w:delText>
              </w:r>
            </w:del>
          </w:p>
        </w:tc>
        <w:tc>
          <w:tcPr>
            <w:tcW w:w="1134" w:type="dxa"/>
            <w:tcBorders>
              <w:top w:val="nil"/>
              <w:bottom w:val="single" w:sz="4" w:space="0" w:color="auto"/>
            </w:tcBorders>
          </w:tcPr>
          <w:p>
            <w:pPr>
              <w:pStyle w:val="nTable"/>
              <w:spacing w:after="40"/>
              <w:rPr>
                <w:del w:id="1137" w:author="svcMRProcess" w:date="2019-05-11T02:50:00Z"/>
                <w:sz w:val="19"/>
              </w:rPr>
            </w:pPr>
            <w:del w:id="1138" w:author="svcMRProcess" w:date="2019-05-11T02:50:00Z">
              <w:r>
                <w:rPr>
                  <w:sz w:val="19"/>
                </w:rPr>
                <w:delText>21 Dec 2007</w:delText>
              </w:r>
            </w:del>
          </w:p>
        </w:tc>
        <w:tc>
          <w:tcPr>
            <w:tcW w:w="2580" w:type="dxa"/>
            <w:tcBorders>
              <w:top w:val="nil"/>
              <w:bottom w:val="single" w:sz="4" w:space="0" w:color="auto"/>
            </w:tcBorders>
          </w:tcPr>
          <w:p>
            <w:pPr>
              <w:pStyle w:val="nTable"/>
              <w:spacing w:after="40"/>
              <w:rPr>
                <w:del w:id="1139" w:author="svcMRProcess" w:date="2019-05-11T02:50:00Z"/>
                <w:snapToGrid w:val="0"/>
                <w:sz w:val="19"/>
                <w:lang w:val="en-US"/>
              </w:rPr>
            </w:pPr>
            <w:del w:id="1140" w:author="svcMRProcess" w:date="2019-05-11T02:50:00Z">
              <w:r>
                <w:rPr>
                  <w:sz w:val="19"/>
                </w:rPr>
                <w:delText>To be proclaimed (see s. 2(b))</w:delText>
              </w:r>
            </w:del>
          </w:p>
        </w:tc>
      </w:tr>
    </w:tbl>
    <w:p>
      <w:pPr>
        <w:pStyle w:val="nSubsection"/>
        <w:rPr>
          <w:snapToGrid w:val="0"/>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p>
    <w:p>
      <w:pPr>
        <w:pStyle w:val="nSubsection"/>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iCs/>
          <w:snapToGrid w:val="0"/>
        </w:rPr>
      </w:pPr>
      <w:r>
        <w:rPr>
          <w:snapToGrid w:val="0"/>
          <w:vertAlign w:val="superscript"/>
        </w:rPr>
        <w:t>4</w:t>
      </w:r>
      <w:r>
        <w:rPr>
          <w:snapToGrid w:val="0"/>
        </w:rPr>
        <w:tab/>
        <w:t xml:space="preserve">Now known as the </w:t>
      </w:r>
      <w:r>
        <w:rPr>
          <w:i/>
        </w:rPr>
        <w:t>Occupational Safety and Health Act 1984</w:t>
      </w:r>
      <w:r>
        <w:rPr>
          <w:iCs/>
        </w:rPr>
        <w:t>; short title changed (see note under s. 1).</w:t>
      </w:r>
    </w:p>
    <w:p>
      <w:pPr>
        <w:pStyle w:val="nSubsection"/>
        <w:rPr>
          <w:snapToGrid w:val="0"/>
        </w:rPr>
      </w:pPr>
      <w:r>
        <w:rPr>
          <w:snapToGrid w:val="0"/>
          <w:vertAlign w:val="superscript"/>
        </w:rPr>
        <w:t>5</w:t>
      </w:r>
      <w:r>
        <w:rPr>
          <w:snapToGrid w:val="0"/>
        </w:rPr>
        <w:tab/>
        <w:t xml:space="preserve">The </w:t>
      </w:r>
      <w:r>
        <w:rPr>
          <w:i/>
          <w:snapToGrid w:val="0"/>
        </w:rPr>
        <w:t>Occupational Safety and Health Legislation Amendment Act 1995</w:t>
      </w:r>
      <w:r>
        <w:rPr>
          <w:snapToGrid w:val="0"/>
        </w:rPr>
        <w:t xml:space="preserve"> s. 49 </w:t>
      </w:r>
      <w:r>
        <w:t>is a transitional provision that is of no further effect.</w:t>
      </w:r>
    </w:p>
    <w:p>
      <w:pPr>
        <w:pStyle w:val="nSubsection"/>
      </w:pPr>
      <w:r>
        <w:rPr>
          <w:snapToGrid w:val="0"/>
          <w:vertAlign w:val="superscript"/>
        </w:rPr>
        <w:t>6</w:t>
      </w:r>
      <w:r>
        <w:rPr>
          <w:snapToGrid w:val="0"/>
        </w:rPr>
        <w:tab/>
        <w:t xml:space="preserve">The </w:t>
      </w:r>
      <w:r>
        <w:rPr>
          <w:i/>
          <w:snapToGrid w:val="0"/>
        </w:rPr>
        <w:t>Occupational Safety and Health Legislation Amendment Act 1995</w:t>
      </w:r>
      <w:r>
        <w:rPr>
          <w:snapToGrid w:val="0"/>
        </w:rPr>
        <w:t xml:space="preserve"> s. 50 is a transitional provision that is of no further effect. </w:t>
      </w:r>
    </w:p>
    <w:p>
      <w:pPr>
        <w:pStyle w:val="nSubsection"/>
        <w:keepNext/>
      </w:pPr>
      <w:r>
        <w:rPr>
          <w:vertAlign w:val="superscript"/>
        </w:rPr>
        <w:t>7</w:t>
      </w:r>
      <w:r>
        <w:tab/>
        <w:t xml:space="preserve">The </w:t>
      </w:r>
      <w:r>
        <w:rPr>
          <w:i/>
        </w:rPr>
        <w:t>Occupational Safety and Health (Validation) Act 1998</w:t>
      </w:r>
      <w:r>
        <w:t xml:space="preserve"> s. 4 reads as follows:</w:t>
      </w:r>
    </w:p>
    <w:p>
      <w:pPr>
        <w:pStyle w:val="MiscOpen"/>
      </w:pPr>
      <w:r>
        <w:t>“</w:t>
      </w:r>
    </w:p>
    <w:p>
      <w:pPr>
        <w:pStyle w:val="nzHeading5"/>
        <w:spacing w:before="0"/>
      </w:pPr>
      <w:r>
        <w:t>4.</w:t>
      </w:r>
      <w:r>
        <w:tab/>
        <w:t>Validation</w:t>
      </w:r>
    </w:p>
    <w:p>
      <w:pPr>
        <w:pStyle w:val="nzSubsection"/>
        <w:spacing w:before="140"/>
      </w:pPr>
      <w:r>
        <w:tab/>
        <w:t>(1)</w:t>
      </w:r>
      <w:r>
        <w:tab/>
        <w:t xml:space="preserve">In this section — </w:t>
      </w:r>
    </w:p>
    <w:p>
      <w:pPr>
        <w:pStyle w:val="nzDefstart"/>
        <w:outlineLvl w:val="0"/>
      </w:pPr>
      <w:r>
        <w:tab/>
      </w:r>
      <w:r>
        <w:rPr>
          <w:b/>
        </w:rPr>
        <w:t>“</w:t>
      </w:r>
      <w:r>
        <w:rPr>
          <w:rStyle w:val="CharDefText"/>
        </w:rPr>
        <w:t>Commissioner</w:t>
      </w:r>
      <w:r>
        <w:rPr>
          <w:b/>
        </w:rPr>
        <w:t>”</w:t>
      </w:r>
      <w:r>
        <w:t xml:space="preserve"> means —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 xml:space="preserve">No act, matter or thing done before 8 October 1996 —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MiscClose"/>
      </w:pPr>
      <w:r>
        <w:t>”.</w:t>
      </w:r>
    </w:p>
    <w:p>
      <w:pPr>
        <w:pStyle w:val="nSubsection"/>
      </w:pPr>
      <w:r>
        <w:rPr>
          <w:vertAlign w:val="superscript"/>
        </w:rPr>
        <w:t>8</w:t>
      </w:r>
      <w:r>
        <w:tab/>
        <w:t xml:space="preserve">The </w:t>
      </w:r>
      <w:r>
        <w:rPr>
          <w:i/>
        </w:rPr>
        <w:t xml:space="preserve">Occupational Safety and Health (Validation) Act 1998 </w:t>
      </w:r>
      <w:r>
        <w:t>s. 5(2) reads as follows:</w:t>
      </w:r>
    </w:p>
    <w:p>
      <w:pPr>
        <w:pStyle w:val="MiscOpen"/>
      </w:pPr>
      <w:r>
        <w:t>“</w:t>
      </w: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MiscClose"/>
      </w:pPr>
      <w:r>
        <w:t>”.</w:t>
      </w:r>
    </w:p>
    <w:p>
      <w:pPr>
        <w:pStyle w:val="nSubsection"/>
      </w:pPr>
      <w:r>
        <w:rPr>
          <w:vertAlign w:val="superscript"/>
        </w:rPr>
        <w:t>9</w:t>
      </w:r>
      <w:r>
        <w:tab/>
        <w:t xml:space="preserve">The </w:t>
      </w:r>
      <w:r>
        <w:rPr>
          <w:i/>
        </w:rPr>
        <w:t>Occupational Safety and Health Amendment Act 2002</w:t>
      </w:r>
      <w:r>
        <w:t xml:space="preserve"> s. 8 reads as follows:</w:t>
      </w:r>
    </w:p>
    <w:p>
      <w:pPr>
        <w:pStyle w:val="MiscOpen"/>
      </w:pPr>
      <w:r>
        <w:t>“</w:t>
      </w:r>
    </w:p>
    <w:p>
      <w:pPr>
        <w:pStyle w:val="nzHeading5"/>
      </w:pPr>
      <w:bookmarkStart w:id="1141" w:name="_Toc29613100"/>
      <w:r>
        <w:rPr>
          <w:rStyle w:val="CharSectno"/>
        </w:rPr>
        <w:t>8</w:t>
      </w:r>
      <w:r>
        <w:t>.</w:t>
      </w:r>
      <w:r>
        <w:tab/>
        <w:t>Election of safety and health representatives by police officers before the commencement of this Act</w:t>
      </w:r>
      <w:bookmarkEnd w:id="1141"/>
    </w:p>
    <w:p>
      <w:pPr>
        <w:pStyle w:val="nzSubsection"/>
      </w:pPr>
      <w:r>
        <w:tab/>
        <w:t>(1)</w:t>
      </w:r>
      <w:r>
        <w:tab/>
        <w:t xml:space="preserve">In this section — </w:t>
      </w:r>
    </w:p>
    <w:p>
      <w:pPr>
        <w:pStyle w:val="nzDefstart"/>
      </w:pPr>
      <w:r>
        <w:tab/>
      </w:r>
      <w:r>
        <w:rPr>
          <w:b/>
        </w:rPr>
        <w:t>“</w:t>
      </w:r>
      <w:r>
        <w:rPr>
          <w:rStyle w:val="CharDefText"/>
        </w:rPr>
        <w:t>commencement day</w:t>
      </w:r>
      <w:r>
        <w:rPr>
          <w:b/>
        </w:rPr>
        <w:t>”</w:t>
      </w:r>
      <w:r>
        <w:t xml:space="preserve"> means the day on which this Act comes into operation;</w:t>
      </w:r>
    </w:p>
    <w:p>
      <w:pPr>
        <w:pStyle w:val="nzDefstart"/>
      </w:pPr>
      <w:r>
        <w:tab/>
      </w:r>
      <w:r>
        <w:rPr>
          <w:b/>
        </w:rPr>
        <w:t>“</w:t>
      </w:r>
      <w:r>
        <w:rPr>
          <w:rStyle w:val="CharDefText"/>
        </w:rPr>
        <w:t>police officer</w:t>
      </w:r>
      <w:r>
        <w:rPr>
          <w:b/>
        </w:rPr>
        <w:t>”</w:t>
      </w:r>
      <w:r>
        <w:t xml:space="preserve"> has the same meaning as it has in section 3(1) of the </w:t>
      </w:r>
      <w:r>
        <w:rPr>
          <w:i/>
        </w:rPr>
        <w:t>Occupational Safety and Health Act 1984</w:t>
      </w:r>
      <w:r>
        <w:t xml:space="preserve"> on and after the commencement day;</w:t>
      </w:r>
    </w:p>
    <w:p>
      <w:pPr>
        <w:pStyle w:val="nzDefstart"/>
      </w:pPr>
      <w:r>
        <w:tab/>
      </w:r>
      <w:r>
        <w:rPr>
          <w:b/>
        </w:rPr>
        <w:t>“</w:t>
      </w:r>
      <w:r>
        <w:rPr>
          <w:rStyle w:val="CharDefText"/>
        </w:rPr>
        <w:t>transition period</w:t>
      </w:r>
      <w:r>
        <w:rPr>
          <w:b/>
        </w:rPr>
        <w:t>”</w:t>
      </w:r>
      <w:r>
        <w:t xml:space="preserve"> means the period of 9 months ending immediately before the commencement day.</w:t>
      </w:r>
    </w:p>
    <w:p>
      <w:pPr>
        <w:pStyle w:val="nzSubsection"/>
      </w:pPr>
      <w:r>
        <w:tab/>
        <w:t>(2)</w:t>
      </w:r>
      <w:r>
        <w:tab/>
        <w:t>The provisions listed in the Table to this subsection are to be treated as being in operation during the transition period for the purposes of allowing police officers to elect safety and health representatives for a workplace and for the training of those representatives during that period.</w:t>
      </w:r>
    </w:p>
    <w:p>
      <w:pPr>
        <w:pStyle w:val="nzMiscellaneousHeading"/>
        <w:outlineLvl w:val="0"/>
      </w:pPr>
      <w:r>
        <w:rPr>
          <w:b/>
        </w:rPr>
        <w:t>Table</w:t>
      </w:r>
    </w:p>
    <w:tbl>
      <w:tblPr>
        <w:tblW w:w="0" w:type="auto"/>
        <w:tblInd w:w="1548" w:type="dxa"/>
        <w:tblLayout w:type="fixed"/>
        <w:tblLook w:val="0000" w:firstRow="0" w:lastRow="0" w:firstColumn="0" w:lastColumn="0" w:noHBand="0" w:noVBand="0"/>
      </w:tblPr>
      <w:tblGrid>
        <w:gridCol w:w="2880"/>
        <w:gridCol w:w="2760"/>
      </w:tblGrid>
      <w:tr>
        <w:tc>
          <w:tcPr>
            <w:tcW w:w="2880" w:type="dxa"/>
          </w:tcPr>
          <w:p>
            <w:pPr>
              <w:pStyle w:val="nzTable"/>
              <w:tabs>
                <w:tab w:val="left" w:pos="601"/>
              </w:tabs>
              <w:spacing w:before="40"/>
            </w:pPr>
            <w:r>
              <w:rPr>
                <w:b/>
              </w:rPr>
              <w:t>1.</w:t>
            </w:r>
            <w:r>
              <w:rPr>
                <w:b/>
              </w:rPr>
              <w:tab/>
              <w:t>This Act</w:t>
            </w:r>
          </w:p>
        </w:tc>
        <w:tc>
          <w:tcPr>
            <w:tcW w:w="2760" w:type="dxa"/>
          </w:tcPr>
          <w:p>
            <w:pPr>
              <w:pStyle w:val="nzTable"/>
              <w:spacing w:before="40"/>
            </w:pPr>
          </w:p>
        </w:tc>
      </w:tr>
      <w:tr>
        <w:tc>
          <w:tcPr>
            <w:tcW w:w="2880" w:type="dxa"/>
          </w:tcPr>
          <w:p>
            <w:pPr>
              <w:pStyle w:val="nzTable"/>
              <w:spacing w:before="40"/>
              <w:ind w:left="612"/>
            </w:pPr>
            <w:r>
              <w:t>s. 4</w:t>
            </w:r>
          </w:p>
        </w:tc>
        <w:tc>
          <w:tcPr>
            <w:tcW w:w="2760" w:type="dxa"/>
          </w:tcPr>
          <w:p>
            <w:pPr>
              <w:pStyle w:val="nzTable"/>
              <w:spacing w:before="40"/>
            </w:pPr>
          </w:p>
        </w:tc>
      </w:tr>
      <w:tr>
        <w:tc>
          <w:tcPr>
            <w:tcW w:w="2880" w:type="dxa"/>
          </w:tcPr>
          <w:p>
            <w:pPr>
              <w:pStyle w:val="nzTable"/>
              <w:spacing w:before="40"/>
              <w:ind w:left="612"/>
            </w:pPr>
            <w:r>
              <w:t>s. 5</w:t>
            </w:r>
          </w:p>
        </w:tc>
        <w:tc>
          <w:tcPr>
            <w:tcW w:w="2760" w:type="dxa"/>
          </w:tcPr>
          <w:p>
            <w:pPr>
              <w:pStyle w:val="nzTable"/>
              <w:spacing w:before="40"/>
            </w:pPr>
          </w:p>
        </w:tc>
      </w:tr>
      <w:tr>
        <w:trPr>
          <w:cantSplit/>
        </w:trPr>
        <w:tc>
          <w:tcPr>
            <w:tcW w:w="5640" w:type="dxa"/>
            <w:gridSpan w:val="2"/>
          </w:tcPr>
          <w:p>
            <w:pPr>
              <w:pStyle w:val="nzTable"/>
              <w:tabs>
                <w:tab w:val="left" w:pos="601"/>
              </w:tabs>
              <w:spacing w:before="40"/>
            </w:pPr>
            <w:r>
              <w:rPr>
                <w:b/>
              </w:rPr>
              <w:t>2.</w:t>
            </w:r>
            <w:r>
              <w:tab/>
            </w:r>
            <w:r>
              <w:rPr>
                <w:b/>
                <w:i/>
              </w:rPr>
              <w:t>Occupational Safety and Health Act 1984</w:t>
            </w:r>
          </w:p>
        </w:tc>
      </w:tr>
      <w:tr>
        <w:tc>
          <w:tcPr>
            <w:tcW w:w="2880" w:type="dxa"/>
          </w:tcPr>
          <w:p>
            <w:pPr>
              <w:pStyle w:val="nzTable"/>
              <w:spacing w:before="40"/>
              <w:ind w:left="612"/>
            </w:pPr>
            <w:r>
              <w:t>s. 3(1)</w:t>
            </w:r>
          </w:p>
        </w:tc>
        <w:tc>
          <w:tcPr>
            <w:tcW w:w="2760" w:type="dxa"/>
          </w:tcPr>
          <w:p>
            <w:pPr>
              <w:pStyle w:val="nzTable"/>
              <w:spacing w:before="40"/>
            </w:pPr>
            <w:r>
              <w:t>s. 32(2)(b) and (c)</w:t>
            </w:r>
          </w:p>
        </w:tc>
      </w:tr>
      <w:tr>
        <w:tc>
          <w:tcPr>
            <w:tcW w:w="2880" w:type="dxa"/>
          </w:tcPr>
          <w:p>
            <w:pPr>
              <w:pStyle w:val="nzTable"/>
              <w:spacing w:before="40"/>
              <w:ind w:left="612"/>
            </w:pPr>
            <w:r>
              <w:t>s. 29</w:t>
            </w:r>
          </w:p>
        </w:tc>
        <w:tc>
          <w:tcPr>
            <w:tcW w:w="2760" w:type="dxa"/>
          </w:tcPr>
          <w:p>
            <w:pPr>
              <w:pStyle w:val="nzTable"/>
              <w:spacing w:before="40"/>
            </w:pPr>
            <w:r>
              <w:t>s. 35(1)(e)</w:t>
            </w:r>
          </w:p>
        </w:tc>
      </w:tr>
      <w:tr>
        <w:tc>
          <w:tcPr>
            <w:tcW w:w="2880" w:type="dxa"/>
          </w:tcPr>
          <w:p>
            <w:pPr>
              <w:pStyle w:val="nzTable"/>
              <w:spacing w:before="40"/>
              <w:ind w:left="612"/>
            </w:pPr>
            <w:r>
              <w:t>s. 30</w:t>
            </w:r>
          </w:p>
        </w:tc>
        <w:tc>
          <w:tcPr>
            <w:tcW w:w="2760" w:type="dxa"/>
          </w:tcPr>
          <w:p>
            <w:pPr>
              <w:pStyle w:val="nzTable"/>
              <w:spacing w:before="40"/>
            </w:pPr>
            <w:r>
              <w:t>s. 35(3)(b)</w:t>
            </w:r>
          </w:p>
        </w:tc>
      </w:tr>
      <w:tr>
        <w:tc>
          <w:tcPr>
            <w:tcW w:w="2880" w:type="dxa"/>
          </w:tcPr>
          <w:p>
            <w:pPr>
              <w:pStyle w:val="nzTable"/>
              <w:spacing w:before="40"/>
              <w:ind w:left="612"/>
            </w:pPr>
            <w:r>
              <w:t>s. 31</w:t>
            </w:r>
          </w:p>
        </w:tc>
        <w:tc>
          <w:tcPr>
            <w:tcW w:w="2760" w:type="dxa"/>
          </w:tcPr>
          <w:p>
            <w:pPr>
              <w:pStyle w:val="nzTable"/>
              <w:spacing w:before="40"/>
            </w:pPr>
            <w:r>
              <w:t>s. 56(1)</w:t>
            </w:r>
          </w:p>
        </w:tc>
      </w:tr>
      <w:tr>
        <w:tc>
          <w:tcPr>
            <w:tcW w:w="2880" w:type="dxa"/>
          </w:tcPr>
          <w:p>
            <w:pPr>
              <w:pStyle w:val="nzTable"/>
              <w:spacing w:before="40"/>
              <w:ind w:left="612"/>
            </w:pPr>
            <w:r>
              <w:t>s. 32(1)</w:t>
            </w:r>
          </w:p>
        </w:tc>
        <w:tc>
          <w:tcPr>
            <w:tcW w:w="2760" w:type="dxa"/>
          </w:tcPr>
          <w:p>
            <w:pPr>
              <w:pStyle w:val="nzTable"/>
              <w:spacing w:before="40"/>
            </w:pPr>
          </w:p>
        </w:tc>
      </w:tr>
      <w:tr>
        <w:trPr>
          <w:cantSplit/>
        </w:trPr>
        <w:tc>
          <w:tcPr>
            <w:tcW w:w="5640" w:type="dxa"/>
            <w:gridSpan w:val="2"/>
          </w:tcPr>
          <w:p>
            <w:pPr>
              <w:pStyle w:val="nzTable"/>
              <w:tabs>
                <w:tab w:val="left" w:pos="601"/>
              </w:tabs>
              <w:spacing w:before="40"/>
            </w:pPr>
            <w:r>
              <w:rPr>
                <w:b/>
              </w:rPr>
              <w:t>3.</w:t>
            </w:r>
            <w:r>
              <w:rPr>
                <w:b/>
              </w:rPr>
              <w:tab/>
            </w:r>
            <w:r>
              <w:rPr>
                <w:b/>
                <w:i/>
              </w:rPr>
              <w:t>Occupational Safety and Health Regulations 1996</w:t>
            </w:r>
          </w:p>
        </w:tc>
      </w:tr>
      <w:tr>
        <w:tc>
          <w:tcPr>
            <w:tcW w:w="2880" w:type="dxa"/>
          </w:tcPr>
          <w:p>
            <w:pPr>
              <w:pStyle w:val="nzTable"/>
              <w:spacing w:before="40"/>
              <w:ind w:left="612"/>
            </w:pPr>
            <w:r>
              <w:t>r. 2.2</w:t>
            </w:r>
          </w:p>
        </w:tc>
        <w:tc>
          <w:tcPr>
            <w:tcW w:w="2760" w:type="dxa"/>
          </w:tcPr>
          <w:p>
            <w:pPr>
              <w:pStyle w:val="nzTable"/>
              <w:spacing w:before="40"/>
            </w:pPr>
          </w:p>
        </w:tc>
      </w:tr>
    </w:tbl>
    <w:p>
      <w:pPr>
        <w:pStyle w:val="nzSubsection"/>
      </w:pPr>
      <w:r>
        <w:tab/>
        <w:t>(3)</w:t>
      </w:r>
      <w:r>
        <w:tab/>
        <w:t xml:space="preserve">The term of a safety and health representative elected before the commencement day begins, for the purpose of section 32(1) of the </w:t>
      </w:r>
      <w:r>
        <w:rPr>
          <w:i/>
        </w:rPr>
        <w:t>Occupational Safety and Health Act 1984</w:t>
      </w:r>
      <w:r>
        <w:t>, on the commencement day.</w:t>
      </w:r>
    </w:p>
    <w:p>
      <w:pPr>
        <w:pStyle w:val="nzSubsection"/>
      </w:pPr>
      <w:r>
        <w:tab/>
        <w:t>(4)</w:t>
      </w:r>
      <w:r>
        <w:tab/>
        <w:t xml:space="preserve">Despite subsection (3), regulation 2.2(3) of the </w:t>
      </w:r>
      <w:r>
        <w:rPr>
          <w:i/>
        </w:rPr>
        <w:t>Occupational Safety and Health Regulations 1996</w:t>
      </w:r>
      <w:r>
        <w:t xml:space="preserve"> applies to a safety and health representative elected before the commencement day in relation to the first 12 months of being so elected.</w:t>
      </w:r>
    </w:p>
    <w:p>
      <w:pPr>
        <w:pStyle w:val="MiscClose"/>
      </w:pPr>
      <w:r>
        <w:t>”.</w:t>
      </w:r>
    </w:p>
    <w:p>
      <w:pPr>
        <w:pStyle w:val="nSubsection"/>
        <w:keepNext/>
      </w:pPr>
      <w:bookmarkStart w:id="1142" w:name="_Hlt4817960"/>
      <w:bookmarkEnd w:id="1142"/>
      <w:r>
        <w:rPr>
          <w:vertAlign w:val="superscript"/>
        </w:rPr>
        <w:t>10</w:t>
      </w:r>
      <w:r>
        <w:tab/>
        <w:t xml:space="preserve">The </w:t>
      </w:r>
      <w:r>
        <w:rPr>
          <w:i/>
        </w:rPr>
        <w:t>Statutes (Repeals and Minor Amendments) Act 2003</w:t>
      </w:r>
      <w:r>
        <w:t xml:space="preserve"> s. 87(6) reads as follows:</w:t>
      </w:r>
    </w:p>
    <w:p>
      <w:pPr>
        <w:pStyle w:val="MiscOpen"/>
      </w:pPr>
      <w:r>
        <w:t>“</w:t>
      </w:r>
    </w:p>
    <w:p>
      <w:pPr>
        <w:pStyle w:val="nzSubsection"/>
      </w:pPr>
      <w:r>
        <w:tab/>
        <w:t>(6)</w:t>
      </w:r>
      <w:r>
        <w:tab/>
        <w:t>The amendment made by subsection (5) to the name of the Commission referred to in that subsection does not affect the appointment of a member of that Commission who holds office immediately before the commencement of this section.</w:t>
      </w:r>
    </w:p>
    <w:p>
      <w:pPr>
        <w:pStyle w:val="MiscClose"/>
      </w:pPr>
      <w:r>
        <w:t>”.</w:t>
      </w:r>
    </w:p>
    <w:p>
      <w:pPr>
        <w:pStyle w:val="nSubsection"/>
      </w:pPr>
      <w:r>
        <w:rPr>
          <w:vertAlign w:val="superscript"/>
        </w:rPr>
        <w:t>11</w:t>
      </w:r>
      <w:r>
        <w:tab/>
        <w:t xml:space="preserve">The </w:t>
      </w:r>
      <w:r>
        <w:rPr>
          <w:i/>
        </w:rPr>
        <w:t>Occupational Safety and Health Legislation Amendment and Repeal Act 2004</w:t>
      </w:r>
      <w:r>
        <w:t xml:space="preserve"> s. 44 reads as follows:</w:t>
      </w:r>
    </w:p>
    <w:p>
      <w:pPr>
        <w:pStyle w:val="MiscOpen"/>
      </w:pPr>
      <w:r>
        <w:t>“</w:t>
      </w:r>
    </w:p>
    <w:p>
      <w:pPr>
        <w:pStyle w:val="nzHeading5"/>
      </w:pPr>
      <w:r>
        <w:t>44.</w:t>
      </w:r>
      <w:r>
        <w:tab/>
        <w:t>Saving provision for existing safety and health representatives</w:t>
      </w:r>
    </w:p>
    <w:p>
      <w:pPr>
        <w:pStyle w:val="nzSubsection"/>
      </w:pPr>
      <w:r>
        <w:tab/>
      </w:r>
      <w:r>
        <w:tab/>
        <w:t xml:space="preserve">The amendments made by section 43 do not affect the continuation in office of any safety and health representative who held office under Part IV of the </w:t>
      </w:r>
      <w:r>
        <w:rPr>
          <w:i/>
        </w:rPr>
        <w:t>Occupational Safety and Health Act 1984</w:t>
      </w:r>
      <w:r>
        <w:t xml:space="preserve"> immediately before the commencement of that section.</w:t>
      </w:r>
    </w:p>
    <w:p>
      <w:pPr>
        <w:pStyle w:val="MiscClose"/>
      </w:pPr>
      <w:r>
        <w:t>”.</w:t>
      </w:r>
    </w:p>
    <w:p>
      <w:pPr>
        <w:pStyle w:val="nSubsection"/>
      </w:pPr>
      <w:r>
        <w:rPr>
          <w:vertAlign w:val="superscript"/>
        </w:rPr>
        <w:t>12</w:t>
      </w:r>
      <w:r>
        <w:tab/>
        <w:t xml:space="preserve">The </w:t>
      </w:r>
      <w:r>
        <w:rPr>
          <w:i/>
        </w:rPr>
        <w:t>Occupational Safety and Health Legislation Amendment and Repeal Act 2004</w:t>
      </w:r>
      <w:r>
        <w:t xml:space="preserve"> s. 51 reads as follows:</w:t>
      </w:r>
    </w:p>
    <w:p>
      <w:pPr>
        <w:pStyle w:val="MiscOpen"/>
      </w:pPr>
      <w:r>
        <w:t>“</w:t>
      </w: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b/>
        </w:rPr>
        <w:t>“</w:t>
      </w:r>
      <w:r>
        <w:rPr>
          <w:rStyle w:val="CharDefText"/>
        </w:rPr>
        <w:t>OSH Act</w:t>
      </w:r>
      <w:r>
        <w:rPr>
          <w:b/>
        </w:rPr>
        <w: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 xml:space="preserve">If before the commencement of section 50 —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MiscClose"/>
      </w:pPr>
      <w:r>
        <w:t>”.</w:t>
      </w:r>
    </w:p>
    <w:p>
      <w:pPr>
        <w:pStyle w:val="nSubsection"/>
      </w:pPr>
      <w:r>
        <w:rPr>
          <w:vertAlign w:val="superscript"/>
        </w:rPr>
        <w:t>13</w:t>
      </w:r>
      <w:r>
        <w:tab/>
        <w:t xml:space="preserve">The </w:t>
      </w:r>
      <w:r>
        <w:rPr>
          <w:i/>
        </w:rPr>
        <w:t>Occupational Safety and Health Legislation Amendment and Repeal Act 2004</w:t>
      </w:r>
      <w:r>
        <w:t xml:space="preserve"> Pt. 6 Div. 3 reads as follows:</w:t>
      </w:r>
    </w:p>
    <w:p>
      <w:pPr>
        <w:pStyle w:val="MiscOpen"/>
        <w:spacing w:before="0"/>
      </w:pPr>
      <w:r>
        <w:t>“</w:t>
      </w:r>
    </w:p>
    <w:p>
      <w:pPr>
        <w:pStyle w:val="nzHeading3"/>
        <w:spacing w:before="0"/>
        <w:outlineLvl w:val="0"/>
      </w:pPr>
      <w:r>
        <w:t>Division 3 — Transitional provisions</w:t>
      </w:r>
    </w:p>
    <w:p>
      <w:pPr>
        <w:pStyle w:val="nzHeading5"/>
        <w:outlineLvl w:val="0"/>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 xml:space="preserve">and not finally determined before the commencement of section 65 —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 xml:space="preserve">A determination or decision of a safety and health magistrate made before the commencement of section 65 may be the subject of — </w:t>
      </w:r>
    </w:p>
    <w:p>
      <w:pPr>
        <w:pStyle w:val="nzIndenta"/>
      </w:pPr>
      <w:r>
        <w:tab/>
        <w:t>(a)</w:t>
      </w:r>
      <w:r>
        <w:tab/>
        <w:t xml:space="preserve">an application for leave to appeal under section 54B(2) of the </w:t>
      </w:r>
      <w:r>
        <w:rPr>
          <w:i/>
        </w:rPr>
        <w:t xml:space="preserve">Occupational Safety and Health Act 1984 </w:t>
      </w:r>
      <w:r>
        <w:t xml:space="preserve">repealed by section 68; and </w:t>
      </w:r>
    </w:p>
    <w:p>
      <w:pPr>
        <w:pStyle w:val="nzIndenta"/>
      </w:pPr>
      <w:r>
        <w:tab/>
        <w:t>(b)</w:t>
      </w:r>
      <w:r>
        <w:tab/>
        <w:t xml:space="preserve">an appeal for which leave is granted under section 54B(2), </w:t>
      </w:r>
    </w:p>
    <w:p>
      <w:pPr>
        <w:pStyle w:val="nzSubsection"/>
      </w:pPr>
      <w:r>
        <w:tab/>
      </w:r>
      <w:r>
        <w:tab/>
        <w:t>as if section 68 had not been enacted.</w:t>
      </w:r>
    </w:p>
    <w:p>
      <w:pPr>
        <w:pStyle w:val="nzHeading5"/>
        <w:outlineLvl w:val="0"/>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MiscClose"/>
      </w:pPr>
      <w:r>
        <w:t>”.</w:t>
      </w:r>
    </w:p>
    <w:p>
      <w:pPr>
        <w:pStyle w:val="nSubsection"/>
      </w:pPr>
      <w:r>
        <w:rPr>
          <w:vertAlign w:val="superscript"/>
        </w:rPr>
        <w:t>14</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Sch. 2 that was to amend this Act was repealed by the </w:t>
      </w:r>
      <w:r>
        <w:rPr>
          <w:i/>
          <w:iCs/>
          <w:snapToGrid w:val="0"/>
          <w:lang w:val="en-US"/>
        </w:rPr>
        <w:t>Petroleum Legislation Amendment and Repeal Act 2005</w:t>
      </w:r>
      <w:r>
        <w:rPr>
          <w:snapToGrid w:val="0"/>
          <w:lang w:val="en-US"/>
        </w:rPr>
        <w:t xml:space="preserve"> s. 51 before the amendment came into operation.</w:t>
      </w:r>
    </w:p>
    <w:p>
      <w:pPr>
        <w:pStyle w:val="nSubsection"/>
        <w:rPr>
          <w:snapToGrid w:val="0"/>
        </w:rPr>
      </w:pPr>
      <w:r>
        <w:rPr>
          <w:vertAlign w:val="superscript"/>
        </w:rPr>
        <w:t>15</w:t>
      </w:r>
      <w:r>
        <w:tab/>
      </w:r>
      <w:r>
        <w:rPr>
          <w:snapToGrid w:val="0"/>
        </w:rPr>
        <w:t xml:space="preserve">On the date as at which this compilation was prepared, the </w:t>
      </w:r>
      <w:r>
        <w:rPr>
          <w:i/>
          <w:snapToGrid w:val="0"/>
        </w:rPr>
        <w:t>Occupational Safety and Health Legislation Amendment and Repeal Act 2004</w:t>
      </w:r>
      <w:r>
        <w:rPr>
          <w:snapToGrid w:val="0"/>
        </w:rPr>
        <w:t xml:space="preserve"> </w:t>
      </w:r>
      <w:r>
        <w:rPr>
          <w:snapToGrid w:val="0"/>
          <w:lang w:val="en-US"/>
        </w:rPr>
        <w:t>s. 65, 66 and 68</w:t>
      </w:r>
      <w:r>
        <w:rPr>
          <w:snapToGrid w:val="0"/>
          <w:sz w:val="19"/>
          <w:lang w:val="en-US"/>
        </w:rPr>
        <w:t xml:space="preserve"> </w:t>
      </w:r>
      <w:r>
        <w:rPr>
          <w:snapToGrid w:val="0"/>
        </w:rPr>
        <w:t>had not come into operation.  They read as follows:</w:t>
      </w:r>
    </w:p>
    <w:p>
      <w:pPr>
        <w:pStyle w:val="MiscOpen"/>
        <w:rPr>
          <w:snapToGrid w:val="0"/>
        </w:rPr>
      </w:pPr>
      <w:r>
        <w:rPr>
          <w:snapToGrid w:val="0"/>
        </w:rPr>
        <w:t>“</w:t>
      </w:r>
    </w:p>
    <w:p>
      <w:pPr>
        <w:pStyle w:val="nzHeading5"/>
      </w:pPr>
      <w:r>
        <w:rPr>
          <w:rStyle w:val="CharSectno"/>
        </w:rPr>
        <w:t>65</w:t>
      </w:r>
      <w:r>
        <w:t>.</w:t>
      </w:r>
      <w:r>
        <w:tab/>
        <w:t>Section 51C amended</w:t>
      </w:r>
    </w:p>
    <w:p>
      <w:pPr>
        <w:pStyle w:val="nzSubsection"/>
      </w:pPr>
      <w:r>
        <w:tab/>
        <w:t>(1)</w:t>
      </w:r>
      <w:r>
        <w:tab/>
        <w:t>Section 51C(1) is amended by deleting paragraph (a) and “and” after that paragraph.</w:t>
      </w:r>
    </w:p>
    <w:p>
      <w:pPr>
        <w:pStyle w:val="nzSubsection"/>
      </w:pPr>
      <w:r>
        <w:tab/>
        <w:t>(2)</w:t>
      </w:r>
      <w:r>
        <w:tab/>
        <w:t>Section 51C(2), (3) and (4) are repealed.</w:t>
      </w:r>
    </w:p>
    <w:p>
      <w:pPr>
        <w:pStyle w:val="nzHeading5"/>
      </w:pPr>
      <w:r>
        <w:rPr>
          <w:rStyle w:val="CharSectno"/>
        </w:rPr>
        <w:t>66</w:t>
      </w:r>
      <w:r>
        <w:t>.</w:t>
      </w:r>
      <w:r>
        <w:tab/>
        <w:t>Section 51D repealed</w:t>
      </w:r>
    </w:p>
    <w:p>
      <w:pPr>
        <w:pStyle w:val="nzSubsection"/>
      </w:pPr>
      <w:r>
        <w:tab/>
      </w:r>
      <w:r>
        <w:tab/>
        <w:t>Section 51D is repealed.</w:t>
      </w:r>
    </w:p>
    <w:p>
      <w:pPr>
        <w:pStyle w:val="nzHeading5"/>
      </w:pPr>
      <w:r>
        <w:rPr>
          <w:rStyle w:val="CharSectno"/>
        </w:rPr>
        <w:t>68</w:t>
      </w:r>
      <w:r>
        <w:t>.</w:t>
      </w:r>
      <w:r>
        <w:tab/>
        <w:t>Section 54B amended</w:t>
      </w:r>
    </w:p>
    <w:p>
      <w:pPr>
        <w:pStyle w:val="nzSubsection"/>
      </w:pPr>
      <w:r>
        <w:tab/>
      </w:r>
      <w:r>
        <w:tab/>
        <w:t>Section 54B(2), (3) and (4) are repealed.</w:t>
      </w:r>
    </w:p>
    <w:p>
      <w:pPr>
        <w:pStyle w:val="MiscClose"/>
      </w:pPr>
      <w:r>
        <w:t xml:space="preserve">    ”.</w:t>
      </w:r>
    </w:p>
    <w:p>
      <w:pPr>
        <w:pStyle w:val="nSubsection"/>
        <w:rPr>
          <w:snapToGrid w:val="0"/>
        </w:rPr>
      </w:pPr>
      <w:r>
        <w:rPr>
          <w:vertAlign w:val="superscript"/>
        </w:rPr>
        <w:t>16</w:t>
      </w:r>
      <w:r>
        <w:tab/>
      </w:r>
      <w:r>
        <w:rPr>
          <w:snapToGrid w:val="0"/>
        </w:rPr>
        <w:t xml:space="preserve">On the date as at which this compilation was prepared, the </w:t>
      </w:r>
      <w:r>
        <w:rPr>
          <w:i/>
          <w:snapToGrid w:val="0"/>
        </w:rPr>
        <w:t>Petroleum Legislation Amendment and Repeal Act 2005</w:t>
      </w:r>
      <w:r>
        <w:rPr>
          <w:snapToGrid w:val="0"/>
        </w:rPr>
        <w:t xml:space="preserve"> </w:t>
      </w:r>
      <w:r>
        <w:rPr>
          <w:snapToGrid w:val="0"/>
          <w:lang w:val="en-US"/>
        </w:rPr>
        <w:t>s. 50</w:t>
      </w:r>
      <w:r>
        <w:rPr>
          <w:snapToGrid w:val="0"/>
          <w:sz w:val="19"/>
          <w:lang w:val="en-US"/>
        </w:rPr>
        <w:t xml:space="preserve"> </w:t>
      </w:r>
      <w:r>
        <w:rPr>
          <w:snapToGrid w:val="0"/>
        </w:rPr>
        <w:t>had not come into operation.  It reads as follows:</w:t>
      </w:r>
    </w:p>
    <w:p>
      <w:pPr>
        <w:pStyle w:val="MiscOpen"/>
      </w:pPr>
      <w:r>
        <w:t>“</w:t>
      </w:r>
    </w:p>
    <w:p>
      <w:pPr>
        <w:pStyle w:val="nzHeading5"/>
      </w:pPr>
      <w:bookmarkStart w:id="1143" w:name="_Toc80428059"/>
      <w:bookmarkStart w:id="1144" w:name="_Toc99357139"/>
      <w:bookmarkStart w:id="1145" w:name="_Toc99769638"/>
      <w:bookmarkStart w:id="1146" w:name="_Toc112746555"/>
      <w:r>
        <w:rPr>
          <w:rStyle w:val="CharSectno"/>
        </w:rPr>
        <w:t>50</w:t>
      </w:r>
      <w:r>
        <w:t>.</w:t>
      </w:r>
      <w:r>
        <w:tab/>
      </w:r>
      <w:r>
        <w:rPr>
          <w:i/>
          <w:iCs/>
        </w:rPr>
        <w:t xml:space="preserve">Occupational Safety and Health Act 1984 </w:t>
      </w:r>
      <w:r>
        <w:t>amended</w:t>
      </w:r>
      <w:bookmarkEnd w:id="1143"/>
      <w:bookmarkEnd w:id="1144"/>
      <w:bookmarkEnd w:id="1145"/>
      <w:bookmarkEnd w:id="1146"/>
    </w:p>
    <w:p>
      <w:pPr>
        <w:pStyle w:val="nzSubsection"/>
      </w:pPr>
      <w:r>
        <w:tab/>
        <w:t>(1)</w:t>
      </w:r>
      <w:r>
        <w:tab/>
        <w:t xml:space="preserve">The amendments in this section are to the </w:t>
      </w:r>
      <w:r>
        <w:rPr>
          <w:i/>
        </w:rPr>
        <w:t>Occupational Safety and Health Act 1984</w:t>
      </w:r>
      <w:r>
        <w:t>.</w:t>
      </w:r>
    </w:p>
    <w:p>
      <w:pPr>
        <w:pStyle w:val="nzSubsection"/>
      </w:pPr>
      <w:r>
        <w:tab/>
        <w:t>(2)</w:t>
      </w:r>
      <w:r>
        <w:tab/>
        <w:t xml:space="preserve">Section 4(2) is repealed and the following section is inserted instead — </w:t>
      </w:r>
    </w:p>
    <w:p>
      <w:pPr>
        <w:pStyle w:val="MiscOpen"/>
        <w:ind w:left="600"/>
      </w:pPr>
      <w:r>
        <w:t xml:space="preserve">“    </w:t>
      </w:r>
    </w:p>
    <w:p>
      <w:pPr>
        <w:pStyle w:val="nzSubsection"/>
      </w:pPr>
      <w:r>
        <w:tab/>
        <w:t>(2)</w:t>
      </w:r>
      <w:r>
        <w:tab/>
        <w:t xml:space="preserve">Subject to this section and except as may be otherwise expressly provided by Parliament, this Act does not apply to or in relation to a workplace — </w:t>
      </w:r>
    </w:p>
    <w:p>
      <w:pPr>
        <w:pStyle w:val="nzIndenta"/>
      </w:pPr>
      <w:r>
        <w:tab/>
        <w:t>(a)</w:t>
      </w:r>
      <w:r>
        <w:tab/>
        <w:t xml:space="preserve">that is, or at which work is carried out on, a mine to which the </w:t>
      </w:r>
      <w:r>
        <w:rPr>
          <w:i/>
        </w:rPr>
        <w:t>Mining Act 1978</w:t>
      </w:r>
      <w:r>
        <w:t xml:space="preserve">, or the </w:t>
      </w:r>
      <w:r>
        <w:rPr>
          <w:i/>
        </w:rPr>
        <w:t>Mines Safety and Inspection Act 1994</w:t>
      </w:r>
      <w:r>
        <w:t>, applies;</w:t>
      </w:r>
    </w:p>
    <w:p>
      <w:pPr>
        <w:pStyle w:val="nzIndenta"/>
      </w:pPr>
      <w:r>
        <w:tab/>
        <w:t>(b)</w:t>
      </w:r>
      <w:r>
        <w:tab/>
        <w:t xml:space="preserve">at which a petroleum operation, as defined in </w:t>
      </w:r>
      <w:r>
        <w:rPr>
          <w:iCs/>
        </w:rPr>
        <w:t xml:space="preserve">section 5(1) of </w:t>
      </w:r>
      <w:r>
        <w:t xml:space="preserve">the </w:t>
      </w:r>
      <w:r>
        <w:rPr>
          <w:i/>
        </w:rPr>
        <w:t>Petroleum Act 1967</w:t>
      </w:r>
      <w:r>
        <w:rPr>
          <w:iCs/>
        </w:rPr>
        <w:t>, is carried on</w:t>
      </w:r>
      <w:r>
        <w:t>;</w:t>
      </w:r>
    </w:p>
    <w:p>
      <w:pPr>
        <w:pStyle w:val="nz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nz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MiscClose"/>
        <w:ind w:right="618"/>
      </w:pPr>
      <w:r>
        <w:t xml:space="preserve">    ”.</w:t>
      </w:r>
    </w:p>
    <w:p>
      <w:pPr>
        <w:pStyle w:val="MiscClose"/>
      </w:pPr>
      <w:r>
        <w:t>”.</w:t>
      </w:r>
    </w:p>
    <w:p>
      <w:pPr>
        <w:pStyle w:val="nSubsection"/>
        <w:keepLines/>
        <w:rPr>
          <w:snapToGrid w:val="0"/>
        </w:rPr>
      </w:pPr>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sz w:val="19"/>
        </w:rPr>
        <w:t>Petro</w:t>
      </w:r>
      <w:bookmarkStart w:id="1147" w:name="UpToHere"/>
      <w:bookmarkEnd w:id="1147"/>
      <w:r>
        <w:rPr>
          <w:i/>
          <w:snapToGrid w:val="0"/>
          <w:sz w:val="19"/>
        </w:rPr>
        <w:t>leum Amendment Act 2007</w:t>
      </w:r>
      <w:r>
        <w:rPr>
          <w:iCs/>
          <w:snapToGrid w:val="0"/>
          <w:sz w:val="19"/>
        </w:rPr>
        <w:t xml:space="preserve"> s. </w:t>
      </w:r>
      <w:del w:id="1148" w:author="svcMRProcess" w:date="2019-05-11T02:50:00Z">
        <w:r>
          <w:rPr>
            <w:iCs/>
            <w:snapToGrid w:val="0"/>
            <w:sz w:val="19"/>
          </w:rPr>
          <w:delText>101</w:delText>
        </w:r>
        <w:r>
          <w:delText xml:space="preserve"> </w:delText>
        </w:r>
        <w:r>
          <w:rPr>
            <w:snapToGrid w:val="0"/>
          </w:rPr>
          <w:delText>had not come</w:delText>
        </w:r>
      </w:del>
      <w:ins w:id="1149" w:author="svcMRProcess" w:date="2019-05-11T02:50:00Z">
        <w:r>
          <w:rPr>
            <w:iCs/>
            <w:snapToGrid w:val="0"/>
            <w:sz w:val="19"/>
          </w:rPr>
          <w:t>101</w:t>
        </w:r>
        <w:r>
          <w:t xml:space="preserve"> </w:t>
        </w:r>
        <w:r>
          <w:rPr>
            <w:snapToGrid w:val="0"/>
          </w:rPr>
          <w:t xml:space="preserve">was proclaimed but cannot take effect until the </w:t>
        </w:r>
        <w:r>
          <w:rPr>
            <w:i/>
            <w:snapToGrid w:val="0"/>
          </w:rPr>
          <w:t>Petroleum Legislation Amendment and Repeal Act 2005</w:t>
        </w:r>
        <w:r>
          <w:rPr>
            <w:snapToGrid w:val="0"/>
          </w:rPr>
          <w:t xml:space="preserve"> </w:t>
        </w:r>
        <w:r>
          <w:rPr>
            <w:snapToGrid w:val="0"/>
            <w:lang w:val="en-US"/>
          </w:rPr>
          <w:t>s. 50 comes</w:t>
        </w:r>
      </w:ins>
      <w:r>
        <w:rPr>
          <w:snapToGrid w:val="0"/>
          <w:lang w:val="en-US"/>
        </w:rPr>
        <w:t xml:space="preserve"> into operation</w:t>
      </w:r>
      <w:r>
        <w:rPr>
          <w:snapToGrid w:val="0"/>
        </w:rPr>
        <w:t>.  It reads as follows:</w:t>
      </w:r>
    </w:p>
    <w:p>
      <w:pPr>
        <w:pStyle w:val="MiscOpen"/>
        <w:keepNext w:val="0"/>
        <w:spacing w:before="60"/>
      </w:pPr>
      <w:r>
        <w:t>“</w:t>
      </w:r>
    </w:p>
    <w:p>
      <w:pPr>
        <w:pStyle w:val="nzHeading5"/>
      </w:pPr>
      <w:bookmarkStart w:id="1150" w:name="_Toc185403668"/>
      <w:bookmarkStart w:id="1151" w:name="_Toc186515104"/>
      <w:r>
        <w:rPr>
          <w:rStyle w:val="CharSectno"/>
        </w:rPr>
        <w:t>101</w:t>
      </w:r>
      <w:r>
        <w:t>.</w:t>
      </w:r>
      <w:r>
        <w:tab/>
      </w:r>
      <w:r>
        <w:rPr>
          <w:i/>
        </w:rPr>
        <w:t>Occupational Safety and Health Act 1984</w:t>
      </w:r>
      <w:r>
        <w:t xml:space="preserve"> amended</w:t>
      </w:r>
      <w:bookmarkEnd w:id="1150"/>
      <w:bookmarkEnd w:id="1151"/>
    </w:p>
    <w:p>
      <w:pPr>
        <w:pStyle w:val="nzSubsection"/>
      </w:pPr>
      <w:r>
        <w:tab/>
        <w:t>(1)</w:t>
      </w:r>
      <w:r>
        <w:tab/>
        <w:t xml:space="preserve">The amendments in this section are to the </w:t>
      </w:r>
      <w:r>
        <w:rPr>
          <w:i/>
        </w:rPr>
        <w:t>Occupational Safety and Health Act 1984</w:t>
      </w:r>
      <w:r>
        <w:rPr>
          <w:iCs/>
        </w:rPr>
        <w:t xml:space="preserve"> as amended by the </w:t>
      </w:r>
      <w:r>
        <w:rPr>
          <w:i/>
        </w:rPr>
        <w:t>Petroleum Legislation Amendment and Repeal Act 2005</w:t>
      </w:r>
      <w:r>
        <w:rPr>
          <w:iCs/>
        </w:rPr>
        <w:t>.</w:t>
      </w:r>
    </w:p>
    <w:p>
      <w:pPr>
        <w:pStyle w:val="nzSubsection"/>
      </w:pPr>
      <w:r>
        <w:tab/>
        <w:t>(2)</w:t>
      </w:r>
      <w:r>
        <w:tab/>
        <w:t>Section 4(2)(b) is amended as follows:</w:t>
      </w:r>
    </w:p>
    <w:p>
      <w:pPr>
        <w:pStyle w:val="nzIndenta"/>
      </w:pPr>
      <w:r>
        <w:tab/>
        <w:t>(a)</w:t>
      </w:r>
      <w:r>
        <w:tab/>
        <w:t xml:space="preserve">after “petroleum operation” by inserting — </w:t>
      </w:r>
    </w:p>
    <w:p>
      <w:pPr>
        <w:pStyle w:val="nzIndenta"/>
      </w:pPr>
      <w:r>
        <w:tab/>
      </w:r>
      <w:r>
        <w:tab/>
        <w:t>“    or geothermal energy operation    ”;</w:t>
      </w:r>
    </w:p>
    <w:p>
      <w:pPr>
        <w:pStyle w:val="nzIndenta"/>
      </w:pPr>
      <w:r>
        <w:tab/>
        <w:t>(b)</w:t>
      </w:r>
      <w:r>
        <w:tab/>
        <w:t>by deleting “</w:t>
      </w:r>
      <w:r>
        <w:rPr>
          <w:i/>
          <w:iCs/>
        </w:rPr>
        <w:t>Petroleum Act 1967</w:t>
      </w:r>
      <w:r>
        <w:t xml:space="preserve">,” and inserting instead — </w:t>
      </w:r>
    </w:p>
    <w:p>
      <w:pPr>
        <w:pStyle w:val="MiscOpen"/>
        <w:spacing w:before="80"/>
        <w:ind w:left="1622"/>
      </w:pPr>
      <w:r>
        <w:t xml:space="preserve">“    </w:t>
      </w:r>
    </w:p>
    <w:p>
      <w:pPr>
        <w:pStyle w:val="nzIndenta"/>
      </w:pPr>
      <w:r>
        <w:tab/>
      </w:r>
      <w:r>
        <w:tab/>
      </w:r>
      <w:r>
        <w:rPr>
          <w:i/>
          <w:iCs/>
        </w:rPr>
        <w:t>Petroleum and Geothermal Energy Resources Act 1967</w:t>
      </w:r>
      <w:r>
        <w:t>,</w:t>
      </w:r>
    </w:p>
    <w:p>
      <w:pPr>
        <w:pStyle w:val="MiscClose"/>
      </w:pPr>
      <w:r>
        <w:t xml:space="preserve">    ”.</w:t>
      </w:r>
    </w:p>
    <w:p>
      <w:pPr>
        <w:pStyle w:val="MiscClose"/>
      </w:pPr>
      <w: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Occupational Safety and Health Act 1984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Occupational Safety and Health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7E2C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B4D1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9C894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DAE8A6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A8C4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3E09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A07B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FA27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018A8A8"/>
    <w:lvl w:ilvl="0">
      <w:start w:val="1"/>
      <w:numFmt w:val="decimal"/>
      <w:pStyle w:val="ListNumber"/>
      <w:lvlText w:val="%1."/>
      <w:lvlJc w:val="left"/>
      <w:pPr>
        <w:tabs>
          <w:tab w:val="num" w:pos="360"/>
        </w:tabs>
        <w:ind w:left="360" w:hanging="360"/>
      </w:pPr>
    </w:lvl>
  </w:abstractNum>
  <w:abstractNum w:abstractNumId="9">
    <w:nsid w:val="FFFFFF89"/>
    <w:multiLevelType w:val="singleLevel"/>
    <w:tmpl w:val="F4C6EC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E9CCE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7442A8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806"/>
    <w:docVar w:name="WAFER_20151208152806" w:val="RemoveTrackChanges"/>
    <w:docVar w:name="WAFER_20151208152806_GUID" w:val="f8c3a05f-60ba-42ea-b0a5-5b618006d9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35398</Words>
  <Characters>168144</Characters>
  <Application>Microsoft Office Word</Application>
  <DocSecurity>0</DocSecurity>
  <Lines>4544</Lines>
  <Paragraphs>2713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05-d0-02 - 05-e0-02</dc:title>
  <dc:subject/>
  <dc:creator/>
  <cp:keywords/>
  <dc:description/>
  <cp:lastModifiedBy>svcMRProcess</cp:lastModifiedBy>
  <cp:revision>2</cp:revision>
  <cp:lastPrinted>2008-01-18T08:18:00Z</cp:lastPrinted>
  <dcterms:created xsi:type="dcterms:W3CDTF">2019-05-10T18:50:00Z</dcterms:created>
  <dcterms:modified xsi:type="dcterms:W3CDTF">2019-05-10T18:50:00Z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CommencementDate">
    <vt:lpwstr>20080119</vt:lpwstr>
  </property>
  <property fmtid="{D5CDD505-2E9C-101B-9397-08002B2CF9AE}" pid="4" name="DocumentType">
    <vt:lpwstr>Act</vt:lpwstr>
  </property>
  <property fmtid="{D5CDD505-2E9C-101B-9397-08002B2CF9AE}" pid="5" name="OwlsUID">
    <vt:i4>555</vt:i4>
  </property>
  <property fmtid="{D5CDD505-2E9C-101B-9397-08002B2CF9AE}" pid="6" name="FromSuffix">
    <vt:lpwstr>05-d0-02</vt:lpwstr>
  </property>
  <property fmtid="{D5CDD505-2E9C-101B-9397-08002B2CF9AE}" pid="7" name="FromAsAtDate">
    <vt:lpwstr>21 Dec 2007</vt:lpwstr>
  </property>
  <property fmtid="{D5CDD505-2E9C-101B-9397-08002B2CF9AE}" pid="8" name="ToSuffix">
    <vt:lpwstr>05-e0-02</vt:lpwstr>
  </property>
  <property fmtid="{D5CDD505-2E9C-101B-9397-08002B2CF9AE}" pid="9" name="ToAsAtDate">
    <vt:lpwstr>19 Jan 2008</vt:lpwstr>
  </property>
</Properties>
</file>