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Aged Sailors, Soldiers and Airmen’s Relief Fund Act 1932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Aged Sailors, Soldiers and Airmen’s Relief Fund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Aged Sailors, Soldiers and Airmen’s Relief Fund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_Toc425251971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_Toc425251972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_Toc425251973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Application for assistance</w:t>
      </w:r>
      <w:r>
        <w:tab/>
      </w:r>
      <w:r>
        <w:fldChar w:fldCharType="begin"/>
      </w:r>
      <w:r>
        <w:instrText xml:space="preserve"> PAGEREF _Toc425251974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Provision of assistance</w:t>
      </w:r>
      <w:r>
        <w:tab/>
      </w:r>
      <w:r>
        <w:fldChar w:fldCharType="begin"/>
      </w:r>
      <w:r>
        <w:instrText xml:space="preserve"> PAGEREF _Toc425251975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Register of applications</w:t>
      </w:r>
      <w:r>
        <w:tab/>
      </w:r>
      <w:r>
        <w:fldChar w:fldCharType="begin"/>
      </w:r>
      <w:r>
        <w:instrText xml:space="preserve"> PAGEREF _Toc425251976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r>
        <w:tab/>
      </w:r>
      <w:r>
        <w:fldChar w:fldCharType="begin"/>
      </w:r>
      <w:r>
        <w:instrText xml:space="preserve"> PAGEREF _Toc425251977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_Toc425251979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Western Australian Aged Sailors, Soldiers and Airmen’s Relief Fund Act 1932</w:t>
      </w:r>
    </w:p>
    <w:p>
      <w:pPr>
        <w:pStyle w:val="NameofActReg"/>
        <w:spacing w:before="360" w:after="480"/>
      </w:pPr>
      <w:r>
        <w:t>Western Australian Aged Sailors, Soldiers and Airmen’s Relief Fund Regulations 2009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28690457"/>
      <w:bookmarkStart w:id="11" w:name="_Toc425247864"/>
      <w:bookmarkStart w:id="12" w:name="_Toc42525197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Aged Sailors, Soldiers and Airmen’s Relief Fund Regulations 2009</w:t>
      </w:r>
      <w:r>
        <w:t>.</w:t>
      </w:r>
    </w:p>
    <w:p>
      <w:pPr>
        <w:pStyle w:val="Heading5"/>
        <w:rPr>
          <w:spacing w:val="-2"/>
        </w:rPr>
      </w:pPr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228690458"/>
      <w:bookmarkStart w:id="22" w:name="_Toc425247865"/>
      <w:bookmarkStart w:id="23" w:name="_Toc4252519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4" w:name="_Toc228690459"/>
      <w:bookmarkStart w:id="25" w:name="_Toc425247866"/>
      <w:bookmarkStart w:id="26" w:name="_Toc425251973"/>
      <w:r>
        <w:rPr>
          <w:rStyle w:val="CharSectno"/>
        </w:rPr>
        <w:t>3</w:t>
      </w:r>
      <w:r>
        <w:t>.</w:t>
      </w:r>
      <w:r>
        <w:tab/>
        <w:t>Terms used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assistance</w:t>
      </w:r>
      <w:r>
        <w:t xml:space="preserve"> means the application of moneys held in the Fund for the benefit of an eligible person;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eligible person</w:t>
      </w:r>
      <w:r>
        <w:t xml:space="preserve"> means a person for whose benefit moneys may be applied under section 5 of the Act.</w:t>
      </w:r>
    </w:p>
    <w:p>
      <w:pPr>
        <w:pStyle w:val="Heading5"/>
      </w:pPr>
      <w:bookmarkStart w:id="27" w:name="_Toc228690460"/>
      <w:bookmarkStart w:id="28" w:name="_Toc425247867"/>
      <w:bookmarkStart w:id="29" w:name="_Toc425251974"/>
      <w:r>
        <w:rPr>
          <w:rStyle w:val="CharSectno"/>
        </w:rPr>
        <w:t>4</w:t>
      </w:r>
      <w:r>
        <w:t>.</w:t>
      </w:r>
      <w:r>
        <w:tab/>
        <w:t>Application for assistance</w:t>
      </w:r>
      <w:bookmarkEnd w:id="27"/>
      <w:bookmarkEnd w:id="28"/>
      <w:bookmarkEnd w:id="29"/>
    </w:p>
    <w:p>
      <w:pPr>
        <w:pStyle w:val="Subsection"/>
      </w:pPr>
      <w:r>
        <w:tab/>
        <w:t>(1)</w:t>
      </w:r>
      <w:r>
        <w:tab/>
        <w:t>An eligible person may apply to the Trust for assistance.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An application — </w:t>
      </w:r>
    </w:p>
    <w:p>
      <w:pPr>
        <w:pStyle w:val="Indenta"/>
      </w:pPr>
      <w:r>
        <w:tab/>
        <w:t>(a)</w:t>
      </w:r>
      <w:r>
        <w:tab/>
        <w:t>is to be made in writing; and</w:t>
      </w:r>
    </w:p>
    <w:p>
      <w:pPr>
        <w:pStyle w:val="Indenta"/>
      </w:pPr>
      <w:r>
        <w:tab/>
        <w:t>(b)</w:t>
      </w:r>
      <w:r>
        <w:tab/>
        <w:t xml:space="preserve">must set out — </w:t>
      </w:r>
    </w:p>
    <w:p>
      <w:pPr>
        <w:pStyle w:val="Indenti"/>
      </w:pPr>
      <w:r>
        <w:tab/>
        <w:t>(i)</w:t>
      </w:r>
      <w:r>
        <w:tab/>
        <w:t>what assistance is sought by the applicant; and</w:t>
      </w:r>
    </w:p>
    <w:p>
      <w:pPr>
        <w:pStyle w:val="Indenti"/>
      </w:pPr>
      <w:r>
        <w:tab/>
        <w:t>(ii)</w:t>
      </w:r>
      <w:r>
        <w:tab/>
        <w:t>the grounds on which it is sought.</w:t>
      </w:r>
    </w:p>
    <w:p>
      <w:pPr>
        <w:pStyle w:val="Subsection"/>
      </w:pPr>
      <w:r>
        <w:tab/>
        <w:t>(3)</w:t>
      </w:r>
      <w:r>
        <w:tab/>
        <w:t>An applicant must provide the Trust with any additional information or document that the Trust asks for.</w:t>
      </w:r>
    </w:p>
    <w:p>
      <w:pPr>
        <w:pStyle w:val="Subsection"/>
      </w:pPr>
      <w:r>
        <w:tab/>
        <w:t>(4)</w:t>
      </w:r>
      <w:r>
        <w:tab/>
        <w:t>The Trust may make any inquiries it thinks fit for the purpose of determining an application.</w:t>
      </w:r>
    </w:p>
    <w:p>
      <w:pPr>
        <w:pStyle w:val="Heading5"/>
      </w:pPr>
      <w:bookmarkStart w:id="30" w:name="_Toc228690461"/>
      <w:bookmarkStart w:id="31" w:name="_Toc425247868"/>
      <w:bookmarkStart w:id="32" w:name="_Toc425251975"/>
      <w:r>
        <w:rPr>
          <w:rStyle w:val="CharSectno"/>
        </w:rPr>
        <w:t>5</w:t>
      </w:r>
      <w:r>
        <w:t>.</w:t>
      </w:r>
      <w:r>
        <w:tab/>
        <w:t>Provision of assistance</w:t>
      </w:r>
      <w:bookmarkEnd w:id="30"/>
      <w:bookmarkEnd w:id="31"/>
      <w:bookmarkEnd w:id="32"/>
    </w:p>
    <w:p>
      <w:pPr>
        <w:pStyle w:val="Subsection"/>
      </w:pPr>
      <w:r>
        <w:tab/>
        <w:t>(1)</w:t>
      </w:r>
      <w:r>
        <w:tab/>
        <w:t>The Trust may provide, or refuse to provide, assistance to an applicant as it thinks fit.</w:t>
      </w:r>
    </w:p>
    <w:p>
      <w:pPr>
        <w:pStyle w:val="Subsection"/>
      </w:pPr>
      <w:r>
        <w:tab/>
        <w:t>(2)</w:t>
      </w:r>
      <w:r>
        <w:tab/>
        <w:t>The amount of assistance, and the form or manner in which it is provided, is to be determined by the Trust.</w:t>
      </w:r>
    </w:p>
    <w:p>
      <w:pPr>
        <w:pStyle w:val="Subsection"/>
      </w:pPr>
      <w:r>
        <w:tab/>
        <w:t>(3)</w:t>
      </w:r>
      <w:r>
        <w:tab/>
        <w:t>The Trust may provide assistance subject to any conditions it thinks fit.</w:t>
      </w:r>
    </w:p>
    <w:p>
      <w:pPr>
        <w:pStyle w:val="Heading5"/>
      </w:pPr>
      <w:bookmarkStart w:id="33" w:name="_Toc228690462"/>
      <w:bookmarkStart w:id="34" w:name="_Toc425247869"/>
      <w:bookmarkStart w:id="35" w:name="_Toc425251976"/>
      <w:r>
        <w:rPr>
          <w:rStyle w:val="CharSectno"/>
        </w:rPr>
        <w:t>6</w:t>
      </w:r>
      <w:r>
        <w:t>.</w:t>
      </w:r>
      <w:r>
        <w:tab/>
        <w:t>Register of applications</w:t>
      </w:r>
      <w:bookmarkEnd w:id="33"/>
      <w:bookmarkEnd w:id="34"/>
      <w:bookmarkEnd w:id="35"/>
    </w:p>
    <w:p>
      <w:pPr>
        <w:pStyle w:val="Subsection"/>
      </w:pPr>
      <w:r>
        <w:tab/>
        <w:t>(1)</w:t>
      </w:r>
      <w:r>
        <w:tab/>
        <w:t>The Trust must maintain a register of applications for assistance.</w:t>
      </w:r>
    </w:p>
    <w:p>
      <w:pPr>
        <w:pStyle w:val="Subsection"/>
      </w:pPr>
      <w:r>
        <w:tab/>
        <w:t>(2)</w:t>
      </w:r>
      <w:r>
        <w:tab/>
        <w:t>The register may be kept in any manner the Trust thinks fit.</w:t>
      </w:r>
    </w:p>
    <w:p>
      <w:pPr>
        <w:pStyle w:val="Subsection"/>
      </w:pPr>
      <w:r>
        <w:tab/>
        <w:t>(3)</w:t>
      </w:r>
      <w:r>
        <w:tab/>
        <w:t xml:space="preserve">The register is to contain, for each application — </w:t>
      </w:r>
    </w:p>
    <w:p>
      <w:pPr>
        <w:pStyle w:val="Indenta"/>
      </w:pPr>
      <w:r>
        <w:tab/>
        <w:t>(a)</w:t>
      </w:r>
      <w:r>
        <w:tab/>
        <w:t>all relevant details of the application; and</w:t>
      </w:r>
    </w:p>
    <w:p>
      <w:pPr>
        <w:pStyle w:val="Indenta"/>
      </w:pPr>
      <w:r>
        <w:tab/>
        <w:t>(b)</w:t>
      </w:r>
      <w:r>
        <w:tab/>
        <w:t>if assistance is provided to the applicant, all relevant details of that assistance.</w:t>
      </w:r>
    </w:p>
    <w:p>
      <w:pPr>
        <w:pStyle w:val="Heading5"/>
        <w:rPr>
          <w:snapToGrid w:val="0"/>
        </w:rPr>
      </w:pPr>
      <w:bookmarkStart w:id="36" w:name="_Toc423332724"/>
      <w:bookmarkStart w:id="37" w:name="_Toc425219443"/>
      <w:bookmarkStart w:id="38" w:name="_Toc426249310"/>
      <w:bookmarkStart w:id="39" w:name="_Toc449924706"/>
      <w:bookmarkStart w:id="40" w:name="_Toc449947724"/>
      <w:bookmarkStart w:id="41" w:name="_Toc454185715"/>
      <w:bookmarkStart w:id="42" w:name="_Toc515958688"/>
      <w:bookmarkStart w:id="43" w:name="_Toc228690463"/>
      <w:bookmarkStart w:id="44" w:name="_Toc425247870"/>
      <w:bookmarkStart w:id="45" w:name="_Toc425251977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</w:r>
      <w:bookmarkEnd w:id="36"/>
      <w:bookmarkEnd w:id="37"/>
      <w:bookmarkEnd w:id="38"/>
      <w:bookmarkEnd w:id="39"/>
      <w:bookmarkEnd w:id="40"/>
      <w:bookmarkEnd w:id="41"/>
      <w:bookmarkEnd w:id="42"/>
      <w:r>
        <w:rPr>
          <w:snapToGrid w:val="0"/>
        </w:rPr>
        <w:t>Regulations repealed</w:t>
      </w:r>
      <w:bookmarkEnd w:id="43"/>
      <w:bookmarkEnd w:id="44"/>
      <w:bookmarkEnd w:id="45"/>
    </w:p>
    <w:p>
      <w:pPr>
        <w:pStyle w:val="Subsection"/>
      </w:pPr>
      <w:r>
        <w:tab/>
      </w:r>
      <w:r>
        <w:tab/>
        <w:t xml:space="preserve">The regulations made under the Western Australian Aged Sailors, Soldiers and Airmen’s Relief Fund Act 1932 </w:t>
      </w:r>
      <w:r>
        <w:rPr>
          <w:iCs/>
        </w:rPr>
        <w:t xml:space="preserve">and published in the </w:t>
      </w:r>
      <w:r>
        <w:t xml:space="preserve">Gazette </w:t>
      </w:r>
      <w:r>
        <w:rPr>
          <w:iCs/>
        </w:rPr>
        <w:t xml:space="preserve">on 16 July 1943 </w:t>
      </w:r>
      <w:r>
        <w:t>are repealed.</w:t>
      </w:r>
      <w:bookmarkStart w:id="46" w:name="_Toc113695922"/>
    </w:p>
    <w:p>
      <w:pPr>
        <w:pStyle w:val="Subsection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7" w:name="_Toc228678184"/>
      <w:bookmarkStart w:id="48" w:name="_Toc228679121"/>
      <w:bookmarkStart w:id="49" w:name="_Toc228684020"/>
      <w:bookmarkStart w:id="50" w:name="_Toc228685678"/>
      <w:bookmarkStart w:id="51" w:name="_Toc228689799"/>
      <w:bookmarkStart w:id="52" w:name="_Toc228690036"/>
      <w:bookmarkStart w:id="53" w:name="_Toc228690220"/>
      <w:bookmarkStart w:id="54" w:name="_Toc228690464"/>
      <w:bookmarkStart w:id="55" w:name="_Toc425247855"/>
      <w:bookmarkStart w:id="56" w:name="_Toc425247871"/>
      <w:bookmarkStart w:id="57" w:name="_Toc425251957"/>
      <w:bookmarkStart w:id="58" w:name="_Toc425251978"/>
      <w:r>
        <w:t>Notes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nSubsection"/>
        <w:rPr>
          <w:snapToGrid w:val="0"/>
        </w:rPr>
      </w:pPr>
      <w:bookmarkStart w:id="59" w:name="_Toc70311430"/>
      <w:bookmarkStart w:id="60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Western Australian Aged Sailors, Soldiers and Airmen’s Relief Fund Regulations 2009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61" w:name="_Toc228690465"/>
      <w:bookmarkStart w:id="62" w:name="_Toc425247872"/>
      <w:bookmarkStart w:id="63" w:name="_Toc425251979"/>
      <w:r>
        <w:t>Compilation table</w:t>
      </w:r>
      <w:bookmarkEnd w:id="59"/>
      <w:bookmarkEnd w:id="60"/>
      <w:bookmarkEnd w:id="61"/>
      <w:bookmarkEnd w:id="62"/>
      <w:bookmarkEnd w:id="6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Western Australian Aged Sailors, Soldiers and Airmen’s Relief Fund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Apr 2009 p. 1417</w:t>
            </w:r>
            <w: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 1 and 2: 28 Apr 2009 (see r. 2(a));</w:t>
            </w:r>
            <w:r>
              <w:rPr>
                <w:snapToGrid w:val="0"/>
                <w:spacing w:val="-2"/>
                <w:lang w:val="en-US"/>
              </w:rPr>
              <w:br/>
              <w:t>Regulations other than r. 1 and 2: 29 Apr 2009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5" w:name="_Toc425251980"/>
      <w:r>
        <w:rPr>
          <w:sz w:val="28"/>
        </w:rPr>
        <w:t>Defined terms</w:t>
      </w:r>
      <w:bookmarkEnd w:id="6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assistance</w:t>
      </w:r>
      <w:r>
        <w:tab/>
        <w:t>3</w:t>
      </w:r>
    </w:p>
    <w:p>
      <w:pPr>
        <w:pStyle w:val="DefinedTerms"/>
      </w:pPr>
      <w:r>
        <w:t>eligible person</w:t>
      </w:r>
      <w:r>
        <w:tab/>
        <w:t>3</w:t>
      </w:r>
    </w:p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Apr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4" w:name="Compilation"/>
    <w:bookmarkEnd w:id="6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66" w:name="DefinedTerms"/>
    <w:bookmarkEnd w:id="6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Aged Sailors, Soldiers and Airmen’s Relief Fund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EC7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541D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3470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F8C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0DE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62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4B5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5814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F0C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243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5FC635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541"/>
    <w:docVar w:name="WAFER_20150721125456" w:val="ResetPageSize,UpdateArrangement,UpdateNTable"/>
    <w:docVar w:name="WAFER_20150721125456_GUID" w:val="d7333abf-406d-4435-a508-4f3fc5473c17"/>
    <w:docVar w:name="WAFER_20151112113541" w:val="UpdateStyles,UsedStyles"/>
    <w:docVar w:name="WAFER_20151112113541_GUID" w:val="328a4bc4-e176-4104-afd4-eb421b7e40b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640</Words>
  <Characters>3266</Characters>
  <Application>Microsoft Office Word</Application>
  <DocSecurity>0</DocSecurity>
  <Lines>120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Notes</vt:lpstr>
      <vt:lpstr>    Defined Terms</vt:lpstr>
    </vt:vector>
  </TitlesOfParts>
  <Manager/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Aged Sailors, Soldiers and Airmen's Relief Fund Regulations 2009 - 00-a0-04</dc:title>
  <dc:subject/>
  <dc:creator/>
  <cp:keywords/>
  <dc:description/>
  <cp:lastModifiedBy>svcMRProcess</cp:lastModifiedBy>
  <cp:revision>4</cp:revision>
  <cp:lastPrinted>2009-03-12T06:03:00Z</cp:lastPrinted>
  <dcterms:created xsi:type="dcterms:W3CDTF">2019-01-16T09:04:00Z</dcterms:created>
  <dcterms:modified xsi:type="dcterms:W3CDTF">2019-01-16T09:04:00Z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2009 p 1417-19</vt:lpwstr>
  </property>
  <property fmtid="{D5CDD505-2E9C-101B-9397-08002B2CF9AE}" pid="3" name="CommencementDate">
    <vt:lpwstr>20090429</vt:lpwstr>
  </property>
  <property fmtid="{D5CDD505-2E9C-101B-9397-08002B2CF9AE}" pid="4" name="DocumentType">
    <vt:lpwstr>Reg</vt:lpwstr>
  </property>
  <property fmtid="{D5CDD505-2E9C-101B-9397-08002B2CF9AE}" pid="5" name="OwlsUID">
    <vt:i4>40556</vt:i4>
  </property>
  <property fmtid="{D5CDD505-2E9C-101B-9397-08002B2CF9AE}" pid="6" name="AsAtDate">
    <vt:lpwstr>29 Apr 2009</vt:lpwstr>
  </property>
  <property fmtid="{D5CDD505-2E9C-101B-9397-08002B2CF9AE}" pid="7" name="Suffix">
    <vt:lpwstr>00-a0-04</vt:lpwstr>
  </property>
</Properties>
</file>