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(Meat Hygiene) Regulations 2001</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Health (Food and Pet Meat) Repeal Regulations 2009 </w:t>
      </w:r>
      <w:r>
        <w:rPr>
          <w:color w:val="000000"/>
          <w:sz w:val="22"/>
          <w:szCs w:val="22"/>
        </w:rPr>
        <w:t xml:space="preserve">r. 3(d) as at 24 Oct 2009 (see r. 2(b) and </w:t>
      </w:r>
      <w:r>
        <w:rPr>
          <w:i/>
          <w:iCs/>
          <w:color w:val="000000"/>
          <w:sz w:val="22"/>
          <w:szCs w:val="22"/>
        </w:rPr>
        <w:t>Gazette</w:t>
      </w:r>
      <w:r>
        <w:rPr>
          <w:color w:val="000000"/>
          <w:sz w:val="22"/>
          <w:szCs w:val="22"/>
        </w:rPr>
        <w:t xml:space="preserve"> 23 Oct 2009 p. 4157).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_Toc426984241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_Toc426984242 \h </w:instrText>
      </w:r>
      <w:r>
        <w:fldChar w:fldCharType="separate"/>
      </w:r>
      <w:r>
        <w:t>1</w:t>
      </w:r>
      <w:r>
        <w:fldChar w:fldCharType="end"/>
      </w:r>
    </w:p>
    <w:p>
      <w:pPr>
        <w:pStyle w:val="TOC8"/>
        <w:rPr>
          <w:rFonts w:asciiTheme="minorHAnsi" w:eastAsiaTheme="minorEastAsia" w:hAnsiTheme="minorHAnsi" w:cstheme="minorBidi"/>
          <w:szCs w:val="22"/>
        </w:rPr>
      </w:pPr>
      <w:r>
        <w:t>3.</w:t>
      </w:r>
      <w:r>
        <w:tab/>
        <w:t>Animals prescribed as game</w:t>
      </w:r>
      <w:r>
        <w:tab/>
      </w:r>
      <w:r>
        <w:fldChar w:fldCharType="begin"/>
      </w:r>
      <w:r>
        <w:instrText xml:space="preserve"> PAGEREF _Toc426984243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standards</w:t>
      </w:r>
      <w:r>
        <w:tab/>
      </w:r>
      <w:r>
        <w:fldChar w:fldCharType="begin"/>
      </w:r>
      <w:r>
        <w:instrText xml:space="preserve"> PAGEREF _Toc426984244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Inspection, branding and processing of meat</w:t>
      </w:r>
    </w:p>
    <w:p>
      <w:pPr>
        <w:pStyle w:val="TOC8"/>
        <w:rPr>
          <w:rFonts w:asciiTheme="minorHAnsi" w:eastAsiaTheme="minorEastAsia" w:hAnsiTheme="minorHAnsi" w:cstheme="minorBidi"/>
          <w:szCs w:val="22"/>
        </w:rPr>
      </w:pPr>
      <w:r>
        <w:t>5.</w:t>
      </w:r>
      <w:r>
        <w:tab/>
        <w:t>Application of Part 2 to primary producers</w:t>
      </w:r>
      <w:r>
        <w:tab/>
      </w:r>
      <w:r>
        <w:fldChar w:fldCharType="begin"/>
      </w:r>
      <w:r>
        <w:instrText xml:space="preserve"> PAGEREF _Toc426984246 \h </w:instrText>
      </w:r>
      <w:r>
        <w:fldChar w:fldCharType="separate"/>
      </w:r>
      <w:r>
        <w:t>6</w:t>
      </w:r>
      <w:r>
        <w:fldChar w:fldCharType="end"/>
      </w:r>
    </w:p>
    <w:p>
      <w:pPr>
        <w:pStyle w:val="TOC8"/>
        <w:rPr>
          <w:rFonts w:asciiTheme="minorHAnsi" w:eastAsiaTheme="minorEastAsia" w:hAnsiTheme="minorHAnsi" w:cstheme="minorBidi"/>
          <w:szCs w:val="22"/>
        </w:rPr>
      </w:pPr>
      <w:r>
        <w:t>6.</w:t>
      </w:r>
      <w:r>
        <w:tab/>
        <w:t>Inspection</w:t>
      </w:r>
      <w:r>
        <w:tab/>
      </w:r>
      <w:r>
        <w:fldChar w:fldCharType="begin"/>
      </w:r>
      <w:r>
        <w:instrText xml:space="preserve"> PAGEREF _Toc426984247 \h </w:instrText>
      </w:r>
      <w:r>
        <w:fldChar w:fldCharType="separate"/>
      </w:r>
      <w:r>
        <w:t>6</w:t>
      </w:r>
      <w:r>
        <w:fldChar w:fldCharType="end"/>
      </w:r>
    </w:p>
    <w:p>
      <w:pPr>
        <w:pStyle w:val="TOC8"/>
        <w:rPr>
          <w:rFonts w:asciiTheme="minorHAnsi" w:eastAsiaTheme="minorEastAsia" w:hAnsiTheme="minorHAnsi" w:cstheme="minorBidi"/>
          <w:szCs w:val="22"/>
        </w:rPr>
      </w:pPr>
      <w:r>
        <w:t>7.</w:t>
      </w:r>
      <w:r>
        <w:tab/>
        <w:t>Branding carcases fit for human consumption</w:t>
      </w:r>
      <w:r>
        <w:tab/>
      </w:r>
      <w:r>
        <w:fldChar w:fldCharType="begin"/>
      </w:r>
      <w:r>
        <w:instrText xml:space="preserve"> PAGEREF _Toc426984248 \h </w:instrText>
      </w:r>
      <w:r>
        <w:fldChar w:fldCharType="separate"/>
      </w:r>
      <w:r>
        <w:t>6</w:t>
      </w:r>
      <w:r>
        <w:fldChar w:fldCharType="end"/>
      </w:r>
    </w:p>
    <w:p>
      <w:pPr>
        <w:pStyle w:val="TOC8"/>
        <w:rPr>
          <w:rFonts w:asciiTheme="minorHAnsi" w:eastAsiaTheme="minorEastAsia" w:hAnsiTheme="minorHAnsi" w:cstheme="minorBidi"/>
          <w:szCs w:val="22"/>
        </w:rPr>
      </w:pPr>
      <w:r>
        <w:t>8.</w:t>
      </w:r>
      <w:r>
        <w:tab/>
        <w:t>Branding carcases unfit for human consumption</w:t>
      </w:r>
      <w:r>
        <w:tab/>
      </w:r>
      <w:r>
        <w:fldChar w:fldCharType="begin"/>
      </w:r>
      <w:r>
        <w:instrText xml:space="preserve"> PAGEREF _Toc426984249 \h </w:instrText>
      </w:r>
      <w:r>
        <w:fldChar w:fldCharType="separate"/>
      </w:r>
      <w:r>
        <w:t>8</w:t>
      </w:r>
      <w:r>
        <w:fldChar w:fldCharType="end"/>
      </w:r>
    </w:p>
    <w:p>
      <w:pPr>
        <w:pStyle w:val="TOC8"/>
        <w:rPr>
          <w:rFonts w:asciiTheme="minorHAnsi" w:eastAsiaTheme="minorEastAsia" w:hAnsiTheme="minorHAnsi" w:cstheme="minorBidi"/>
          <w:szCs w:val="22"/>
        </w:rPr>
      </w:pPr>
      <w:r>
        <w:t>9.</w:t>
      </w:r>
      <w:r>
        <w:tab/>
        <w:t>Offences relating to brands</w:t>
      </w:r>
      <w:r>
        <w:tab/>
      </w:r>
      <w:r>
        <w:fldChar w:fldCharType="begin"/>
      </w:r>
      <w:r>
        <w:instrText xml:space="preserve"> PAGEREF _Toc426984250 \h </w:instrText>
      </w:r>
      <w:r>
        <w:fldChar w:fldCharType="separate"/>
      </w:r>
      <w:r>
        <w:t>8</w:t>
      </w:r>
      <w:r>
        <w:fldChar w:fldCharType="end"/>
      </w:r>
    </w:p>
    <w:p>
      <w:pPr>
        <w:pStyle w:val="TOC8"/>
        <w:rPr>
          <w:rFonts w:asciiTheme="minorHAnsi" w:eastAsiaTheme="minorEastAsia" w:hAnsiTheme="minorHAnsi" w:cstheme="minorBidi"/>
          <w:szCs w:val="22"/>
        </w:rPr>
      </w:pPr>
      <w:r>
        <w:t>10.</w:t>
      </w:r>
      <w:r>
        <w:tab/>
        <w:t>Restriction on sale of carcases</w:t>
      </w:r>
      <w:r>
        <w:tab/>
      </w:r>
      <w:r>
        <w:fldChar w:fldCharType="begin"/>
      </w:r>
      <w:r>
        <w:instrText xml:space="preserve"> PAGEREF _Toc426984251 \h </w:instrText>
      </w:r>
      <w:r>
        <w:fldChar w:fldCharType="separate"/>
      </w:r>
      <w:r>
        <w:t>9</w:t>
      </w:r>
      <w:r>
        <w:fldChar w:fldCharType="end"/>
      </w:r>
    </w:p>
    <w:p>
      <w:pPr>
        <w:pStyle w:val="TOC8"/>
        <w:rPr>
          <w:rFonts w:asciiTheme="minorHAnsi" w:eastAsiaTheme="minorEastAsia" w:hAnsiTheme="minorHAnsi" w:cstheme="minorBidi"/>
          <w:szCs w:val="22"/>
        </w:rPr>
      </w:pPr>
      <w:r>
        <w:t>11.</w:t>
      </w:r>
      <w:r>
        <w:tab/>
        <w:t>Inspection fees</w:t>
      </w:r>
      <w:r>
        <w:tab/>
      </w:r>
      <w:r>
        <w:fldChar w:fldCharType="begin"/>
      </w:r>
      <w:r>
        <w:instrText xml:space="preserve"> PAGEREF _Toc426984252 \h </w:instrText>
      </w:r>
      <w:r>
        <w:fldChar w:fldCharType="separate"/>
      </w:r>
      <w:r>
        <w:t>9</w:t>
      </w:r>
      <w:r>
        <w:fldChar w:fldCharType="end"/>
      </w:r>
    </w:p>
    <w:p>
      <w:pPr>
        <w:pStyle w:val="TOC8"/>
        <w:rPr>
          <w:rFonts w:asciiTheme="minorHAnsi" w:eastAsiaTheme="minorEastAsia" w:hAnsiTheme="minorHAnsi" w:cstheme="minorBidi"/>
          <w:szCs w:val="22"/>
        </w:rPr>
      </w:pPr>
      <w:r>
        <w:t>12.</w:t>
      </w:r>
      <w:r>
        <w:tab/>
        <w:t>Local government to lodge returns</w:t>
      </w:r>
      <w:r>
        <w:tab/>
      </w:r>
      <w:r>
        <w:fldChar w:fldCharType="begin"/>
      </w:r>
      <w:r>
        <w:instrText xml:space="preserve"> PAGEREF _Toc426984253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Premises used in meat production</w:t>
      </w:r>
    </w:p>
    <w:p>
      <w:pPr>
        <w:pStyle w:val="TOC8"/>
        <w:rPr>
          <w:rFonts w:asciiTheme="minorHAnsi" w:eastAsiaTheme="minorEastAsia" w:hAnsiTheme="minorHAnsi" w:cstheme="minorBidi"/>
          <w:szCs w:val="22"/>
        </w:rPr>
      </w:pPr>
      <w:r>
        <w:t>13.</w:t>
      </w:r>
      <w:r>
        <w:tab/>
        <w:t>Operator to ensure premises comply with relevant standards</w:t>
      </w:r>
      <w:r>
        <w:tab/>
      </w:r>
      <w:r>
        <w:fldChar w:fldCharType="begin"/>
      </w:r>
      <w:r>
        <w:instrText xml:space="preserve"> PAGEREF _Toc426984255 \h </w:instrText>
      </w:r>
      <w:r>
        <w:fldChar w:fldCharType="separate"/>
      </w:r>
      <w:r>
        <w:t>11</w:t>
      </w:r>
      <w:r>
        <w:fldChar w:fldCharType="end"/>
      </w:r>
    </w:p>
    <w:p>
      <w:pPr>
        <w:pStyle w:val="TOC8"/>
        <w:rPr>
          <w:rFonts w:asciiTheme="minorHAnsi" w:eastAsiaTheme="minorEastAsia" w:hAnsiTheme="minorHAnsi" w:cstheme="minorBidi"/>
          <w:szCs w:val="22"/>
        </w:rPr>
      </w:pPr>
      <w:r>
        <w:t>14.</w:t>
      </w:r>
      <w:r>
        <w:tab/>
        <w:t>Operator to ensure slaughter and processing complies with relevant standards</w:t>
      </w:r>
      <w:r>
        <w:tab/>
      </w:r>
      <w:r>
        <w:fldChar w:fldCharType="begin"/>
      </w:r>
      <w:r>
        <w:instrText xml:space="preserve"> PAGEREF _Toc426984256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Premises used in game meat production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in this Part</w:t>
      </w:r>
      <w:r>
        <w:tab/>
      </w:r>
      <w:r>
        <w:fldChar w:fldCharType="begin"/>
      </w:r>
      <w:r>
        <w:instrText xml:space="preserve"> PAGEREF _Toc426984259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Premises to be registered</w:t>
      </w:r>
    </w:p>
    <w:p>
      <w:pPr>
        <w:pStyle w:val="TOC8"/>
        <w:rPr>
          <w:rFonts w:asciiTheme="minorHAnsi" w:eastAsiaTheme="minorEastAsia" w:hAnsiTheme="minorHAnsi" w:cstheme="minorBidi"/>
          <w:szCs w:val="22"/>
        </w:rPr>
      </w:pPr>
      <w:r>
        <w:t>16.</w:t>
      </w:r>
      <w:r>
        <w:tab/>
        <w:t>Construction and operation of game processing establishments and field depots</w:t>
      </w:r>
      <w:r>
        <w:tab/>
      </w:r>
      <w:r>
        <w:fldChar w:fldCharType="begin"/>
      </w:r>
      <w:r>
        <w:instrText xml:space="preserve"> PAGEREF _Toc426984261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Applications</w:t>
      </w:r>
      <w:r>
        <w:tab/>
      </w:r>
      <w:r>
        <w:fldChar w:fldCharType="begin"/>
      </w:r>
      <w:r>
        <w:instrText xml:space="preserve"> PAGEREF _Toc426984262 \h </w:instrText>
      </w:r>
      <w:r>
        <w:fldChar w:fldCharType="separate"/>
      </w:r>
      <w:r>
        <w:t>12</w:t>
      </w:r>
      <w:r>
        <w:fldChar w:fldCharType="end"/>
      </w:r>
    </w:p>
    <w:p>
      <w:pPr>
        <w:pStyle w:val="TOC8"/>
        <w:rPr>
          <w:rFonts w:asciiTheme="minorHAnsi" w:eastAsiaTheme="minorEastAsia" w:hAnsiTheme="minorHAnsi" w:cstheme="minorBidi"/>
          <w:szCs w:val="22"/>
        </w:rPr>
      </w:pPr>
      <w:r>
        <w:t>18.</w:t>
      </w:r>
      <w:r>
        <w:tab/>
        <w:t>Registration or approval</w:t>
      </w:r>
      <w:r>
        <w:tab/>
      </w:r>
      <w:r>
        <w:fldChar w:fldCharType="begin"/>
      </w:r>
      <w:r>
        <w:instrText xml:space="preserve"> PAGEREF _Toc426984263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tab/>
        <w:t>Certificate of registration</w:t>
      </w:r>
      <w:r>
        <w:tab/>
      </w:r>
      <w:r>
        <w:fldChar w:fldCharType="begin"/>
      </w:r>
      <w:r>
        <w:instrText xml:space="preserve"> PAGEREF _Toc426984264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Duration of registration</w:t>
      </w:r>
      <w:r>
        <w:tab/>
      </w:r>
      <w:r>
        <w:fldChar w:fldCharType="begin"/>
      </w:r>
      <w:r>
        <w:instrText xml:space="preserve"> PAGEREF _Toc426984265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ab/>
        <w:t>Suspension or cancellation of registration</w:t>
      </w:r>
      <w:r>
        <w:tab/>
      </w:r>
      <w:r>
        <w:fldChar w:fldCharType="begin"/>
      </w:r>
      <w:r>
        <w:instrText xml:space="preserve"> PAGEREF _Toc426984266 \h </w:instrText>
      </w:r>
      <w:r>
        <w:fldChar w:fldCharType="separate"/>
      </w:r>
      <w:r>
        <w:t>14</w:t>
      </w:r>
      <w:r>
        <w:fldChar w:fldCharType="end"/>
      </w:r>
    </w:p>
    <w:p>
      <w:pPr>
        <w:pStyle w:val="TOC8"/>
        <w:rPr>
          <w:rFonts w:asciiTheme="minorHAnsi" w:eastAsiaTheme="minorEastAsia" w:hAnsiTheme="minorHAnsi" w:cstheme="minorBidi"/>
          <w:szCs w:val="22"/>
        </w:rPr>
      </w:pPr>
      <w:r>
        <w:t>22.</w:t>
      </w:r>
      <w:r>
        <w:tab/>
        <w:t>Appeal to Minister</w:t>
      </w:r>
      <w:r>
        <w:tab/>
      </w:r>
      <w:r>
        <w:fldChar w:fldCharType="begin"/>
      </w:r>
      <w:r>
        <w:instrText xml:space="preserve"> PAGEREF _Toc426984267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Operation of field depots and game processing establishments</w:t>
      </w:r>
    </w:p>
    <w:p>
      <w:pPr>
        <w:pStyle w:val="TOC8"/>
        <w:rPr>
          <w:rFonts w:asciiTheme="minorHAnsi" w:eastAsiaTheme="minorEastAsia" w:hAnsiTheme="minorHAnsi" w:cstheme="minorBidi"/>
          <w:szCs w:val="22"/>
        </w:rPr>
      </w:pPr>
      <w:r>
        <w:rPr>
          <w:snapToGrid w:val="0"/>
        </w:rPr>
        <w:t>23.</w:t>
      </w:r>
      <w:r>
        <w:rPr>
          <w:snapToGrid w:val="0"/>
        </w:rPr>
        <w:tab/>
        <w:t>Field depots</w:t>
      </w:r>
      <w:r>
        <w:tab/>
      </w:r>
      <w:r>
        <w:fldChar w:fldCharType="begin"/>
      </w:r>
      <w:r>
        <w:instrText xml:space="preserve"> PAGEREF _Toc426984269 \h </w:instrText>
      </w:r>
      <w:r>
        <w:fldChar w:fldCharType="separate"/>
      </w:r>
      <w:r>
        <w:t>15</w:t>
      </w:r>
      <w:r>
        <w:fldChar w:fldCharType="end"/>
      </w:r>
    </w:p>
    <w:p>
      <w:pPr>
        <w:pStyle w:val="TOC8"/>
        <w:rPr>
          <w:rFonts w:asciiTheme="minorHAnsi" w:eastAsiaTheme="minorEastAsia" w:hAnsiTheme="minorHAnsi" w:cstheme="minorBidi"/>
          <w:szCs w:val="22"/>
        </w:rPr>
      </w:pPr>
      <w:r>
        <w:t>24.</w:t>
      </w:r>
      <w:r>
        <w:tab/>
        <w:t>Game processing establishments</w:t>
      </w:r>
      <w:r>
        <w:tab/>
      </w:r>
      <w:r>
        <w:fldChar w:fldCharType="begin"/>
      </w:r>
      <w:r>
        <w:instrText xml:space="preserve"> PAGEREF _Toc426984270 \h </w:instrText>
      </w:r>
      <w:r>
        <w:fldChar w:fldCharType="separate"/>
      </w:r>
      <w:r>
        <w:t>15</w:t>
      </w:r>
      <w:r>
        <w:fldChar w:fldCharType="end"/>
      </w:r>
    </w:p>
    <w:p>
      <w:pPr>
        <w:pStyle w:val="TOC8"/>
        <w:rPr>
          <w:rFonts w:asciiTheme="minorHAnsi" w:eastAsiaTheme="minorEastAsia" w:hAnsiTheme="minorHAnsi" w:cstheme="minorBidi"/>
          <w:szCs w:val="22"/>
        </w:rPr>
      </w:pPr>
      <w:r>
        <w:t>25.</w:t>
      </w:r>
      <w:r>
        <w:tab/>
        <w:t>Inspector’s powers</w:t>
      </w:r>
      <w:r>
        <w:tab/>
      </w:r>
      <w:r>
        <w:fldChar w:fldCharType="begin"/>
      </w:r>
      <w:r>
        <w:instrText xml:space="preserve"> PAGEREF _Toc426984271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Transport of meat</w:t>
      </w:r>
    </w:p>
    <w:p>
      <w:pPr>
        <w:pStyle w:val="TOC8"/>
        <w:rPr>
          <w:rFonts w:asciiTheme="minorHAnsi" w:eastAsiaTheme="minorEastAsia" w:hAnsiTheme="minorHAnsi" w:cstheme="minorBidi"/>
          <w:szCs w:val="22"/>
        </w:rPr>
      </w:pPr>
      <w:r>
        <w:t>26.</w:t>
      </w:r>
      <w:r>
        <w:tab/>
        <w:t>Vehicles transporting meat</w:t>
      </w:r>
      <w:r>
        <w:tab/>
      </w:r>
      <w:r>
        <w:fldChar w:fldCharType="begin"/>
      </w:r>
      <w:r>
        <w:instrText xml:space="preserve"> PAGEREF _Toc426984273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27.</w:t>
      </w:r>
      <w:r>
        <w:tab/>
        <w:t>Offence and penalty</w:t>
      </w:r>
      <w:r>
        <w:tab/>
      </w:r>
      <w:r>
        <w:fldChar w:fldCharType="begin"/>
      </w:r>
      <w:r>
        <w:instrText xml:space="preserve"> PAGEREF _Toc426984275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Brands</w:t>
      </w:r>
    </w:p>
    <w:p>
      <w:pPr>
        <w:pStyle w:val="TOC8"/>
        <w:rPr>
          <w:rFonts w:asciiTheme="minorHAnsi" w:eastAsiaTheme="minorEastAsia" w:hAnsiTheme="minorHAnsi" w:cstheme="minorBidi"/>
          <w:szCs w:val="22"/>
        </w:rPr>
      </w:pPr>
      <w:r>
        <w:t>1.</w:t>
      </w:r>
      <w:r>
        <w:tab/>
        <w:t>Health Department of Western Australia</w:t>
      </w:r>
      <w:r>
        <w:rPr>
          <w:vertAlign w:val="superscript"/>
        </w:rPr>
        <w:t> </w:t>
      </w:r>
      <w:r>
        <w:t xml:space="preserve"> brands</w:t>
      </w:r>
      <w:r>
        <w:tab/>
      </w:r>
      <w:r>
        <w:fldChar w:fldCharType="begin"/>
      </w:r>
      <w:r>
        <w:instrText xml:space="preserve"> PAGEREF _Toc426984277 \h </w:instrText>
      </w:r>
      <w:r>
        <w:fldChar w:fldCharType="separate"/>
      </w:r>
      <w:r>
        <w:t>19</w:t>
      </w:r>
      <w:r>
        <w:fldChar w:fldCharType="end"/>
      </w:r>
    </w:p>
    <w:p>
      <w:pPr>
        <w:pStyle w:val="TOC8"/>
        <w:rPr>
          <w:rFonts w:asciiTheme="minorHAnsi" w:eastAsiaTheme="minorEastAsia" w:hAnsiTheme="minorHAnsi" w:cstheme="minorBidi"/>
          <w:szCs w:val="22"/>
        </w:rPr>
      </w:pPr>
      <w:r>
        <w:t>2.</w:t>
      </w:r>
      <w:r>
        <w:tab/>
        <w:t>Western Australian Meat Industry Authority brands</w:t>
      </w:r>
      <w:r>
        <w:tab/>
      </w:r>
      <w:r>
        <w:fldChar w:fldCharType="begin"/>
      </w:r>
      <w:r>
        <w:instrText xml:space="preserve"> PAGEREF _Toc426984278 \h </w:instrText>
      </w:r>
      <w:r>
        <w:fldChar w:fldCharType="separate"/>
      </w:r>
      <w:r>
        <w:t>19</w:t>
      </w:r>
      <w:r>
        <w:fldChar w:fldCharType="end"/>
      </w:r>
    </w:p>
    <w:p>
      <w:pPr>
        <w:pStyle w:val="TOC8"/>
        <w:rPr>
          <w:rFonts w:asciiTheme="minorHAnsi" w:eastAsiaTheme="minorEastAsia" w:hAnsiTheme="minorHAnsi" w:cstheme="minorBidi"/>
          <w:szCs w:val="22"/>
        </w:rPr>
      </w:pPr>
      <w:r>
        <w:t>3.</w:t>
      </w:r>
      <w:r>
        <w:tab/>
        <w:t>Western Australian brands</w:t>
      </w:r>
      <w:r>
        <w:tab/>
      </w:r>
      <w:r>
        <w:fldChar w:fldCharType="begin"/>
      </w:r>
      <w:r>
        <w:instrText xml:space="preserve"> PAGEREF _Toc426984279 \h </w:instrText>
      </w:r>
      <w:r>
        <w:fldChar w:fldCharType="separate"/>
      </w:r>
      <w:r>
        <w:t>20</w:t>
      </w:r>
      <w:r>
        <w:fldChar w:fldCharType="end"/>
      </w:r>
    </w:p>
    <w:p>
      <w:pPr>
        <w:pStyle w:val="TOC8"/>
        <w:rPr>
          <w:rFonts w:asciiTheme="minorHAnsi" w:eastAsiaTheme="minorEastAsia" w:hAnsiTheme="minorHAnsi" w:cstheme="minorBidi"/>
          <w:szCs w:val="22"/>
        </w:rPr>
      </w:pPr>
      <w:r>
        <w:t>4.</w:t>
      </w:r>
      <w:r>
        <w:tab/>
        <w:t>Commonwealth brands</w:t>
      </w:r>
      <w:r>
        <w:tab/>
      </w:r>
      <w:r>
        <w:fldChar w:fldCharType="begin"/>
      </w:r>
      <w:r>
        <w:instrText xml:space="preserve"> PAGEREF _Toc426984280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Part 1 — Meat inspection fees</w:t>
      </w:r>
    </w:p>
    <w:p>
      <w:pPr>
        <w:pStyle w:val="TOC2"/>
        <w:tabs>
          <w:tab w:val="right" w:leader="dot" w:pos="7077"/>
        </w:tabs>
        <w:rPr>
          <w:rFonts w:asciiTheme="minorHAnsi" w:eastAsiaTheme="minorEastAsia" w:hAnsiTheme="minorHAnsi" w:cstheme="minorBidi"/>
          <w:b w:val="0"/>
          <w:sz w:val="22"/>
          <w:szCs w:val="22"/>
        </w:rPr>
      </w:pPr>
      <w:r>
        <w:t>Part 2 — Game meat premises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_Toc426984286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3" w:name="_Toc378670549"/>
      <w:bookmarkStart w:id="4" w:name="_Toc426984193"/>
      <w:bookmarkStart w:id="5" w:name="_Toc42698424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8670550"/>
      <w:bookmarkStart w:id="7" w:name="_Toc426984241"/>
      <w:r>
        <w:rPr>
          <w:rStyle w:val="CharSectno"/>
        </w:rPr>
        <w:t>1</w:t>
      </w:r>
      <w:r>
        <w:t>.</w:t>
      </w:r>
      <w:r>
        <w:tab/>
        <w:t>Citation</w:t>
      </w:r>
      <w:bookmarkEnd w:id="6"/>
      <w:bookmarkEnd w:id="7"/>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8" w:name="_Toc378670551"/>
      <w:bookmarkStart w:id="9" w:name="_Toc426984242"/>
      <w:r>
        <w:rPr>
          <w:rStyle w:val="CharSectno"/>
        </w:rPr>
        <w:t>2</w:t>
      </w:r>
      <w:r>
        <w:t>.</w:t>
      </w:r>
      <w:r>
        <w:tab/>
        <w:t>Terms used in these regulations</w:t>
      </w:r>
      <w:bookmarkEnd w:id="8"/>
      <w:bookmarkEnd w:id="9"/>
    </w:p>
    <w:p>
      <w:pPr>
        <w:pStyle w:val="Subsection"/>
        <w:spacing w:before="120"/>
      </w:pPr>
      <w:r>
        <w:tab/>
      </w:r>
      <w:r>
        <w:tab/>
        <w:t xml:space="preserve">In these </w:t>
      </w:r>
      <w:r>
        <w:rPr>
          <w:spacing w:val="-2"/>
        </w:rPr>
        <w:t>regulations</w:t>
      </w:r>
      <w:r>
        <w:t> —</w:t>
      </w:r>
    </w:p>
    <w:p>
      <w:pPr>
        <w:pStyle w:val="Defstart"/>
      </w:pPr>
      <w:r>
        <w:tab/>
      </w:r>
      <w:r>
        <w:rPr>
          <w:rStyle w:val="CharDefText"/>
        </w:rPr>
        <w:t>abattoir</w:t>
      </w:r>
      <w:r>
        <w:t xml:space="preserve"> means a slaughter</w:t>
      </w:r>
      <w:r>
        <w:noBreakHyphen/>
        <w:t>house or other premises used for or in connection with the slaughtering of animals, including holding yards and similar places;</w:t>
      </w:r>
    </w:p>
    <w:p>
      <w:pPr>
        <w:pStyle w:val="Defstart"/>
      </w:pPr>
      <w:r>
        <w:tab/>
      </w:r>
      <w:r>
        <w:rPr>
          <w:rStyle w:val="CharDefText"/>
        </w:rPr>
        <w:t>animal</w:t>
      </w:r>
      <w:r>
        <w:t xml:space="preserve"> does not include a fish, crustacean or mollusc;</w:t>
      </w:r>
    </w:p>
    <w:p>
      <w:pPr>
        <w:pStyle w:val="Defstart"/>
      </w:pPr>
      <w:r>
        <w:tab/>
      </w:r>
      <w:r>
        <w:rPr>
          <w:rStyle w:val="CharDefText"/>
        </w:rPr>
        <w:t>brand</w:t>
      </w:r>
      <w:r>
        <w:t xml:space="preserve"> includes mark or stamp; </w:t>
      </w:r>
    </w:p>
    <w:p>
      <w:pPr>
        <w:pStyle w:val="Defstart"/>
      </w:pPr>
      <w:r>
        <w:tab/>
      </w:r>
      <w:r>
        <w:rPr>
          <w:rStyle w:val="CharDefText"/>
        </w:rPr>
        <w:t>carcase</w:t>
      </w:r>
      <w:r>
        <w:t xml:space="preserve"> means the whole or part of the body of a slaughtered animal but excludes any part (such as blood, viscera, head or hide) removed or severed during or immediately following slaughter;</w:t>
      </w:r>
    </w:p>
    <w:p>
      <w:pPr>
        <w:pStyle w:val="Defstart"/>
      </w:pPr>
      <w:r>
        <w:tab/>
      </w:r>
      <w:r>
        <w:rPr>
          <w:rStyle w:val="CharDefText"/>
        </w:rPr>
        <w:t>EDPH</w:t>
      </w:r>
      <w:r>
        <w:t xml:space="preserve"> means the Executive Director, Public Health;</w:t>
      </w:r>
    </w:p>
    <w:p>
      <w:pPr>
        <w:pStyle w:val="Defstart"/>
      </w:pPr>
      <w:r>
        <w:tab/>
      </w:r>
      <w:r>
        <w:rPr>
          <w:rStyle w:val="CharDefText"/>
        </w:rPr>
        <w:t>game</w:t>
      </w:r>
      <w:r>
        <w:t xml:space="preserve"> has the same meaning as in section 207A of the </w:t>
      </w:r>
      <w:r>
        <w:rPr>
          <w:i/>
        </w:rPr>
        <w:t>Health Act 1911</w:t>
      </w:r>
      <w:r>
        <w:t>;</w:t>
      </w:r>
    </w:p>
    <w:p>
      <w:pPr>
        <w:pStyle w:val="Defstart"/>
        <w:keepNext/>
      </w:pPr>
      <w:r>
        <w:tab/>
      </w:r>
      <w:r>
        <w:rPr>
          <w:rStyle w:val="CharDefText"/>
        </w:rPr>
        <w:t>inspector</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rStyle w:val="CharDefText"/>
        </w:rPr>
        <w:t>poultry</w:t>
      </w:r>
      <w:r>
        <w:t xml:space="preserve"> means avian species ordinarily consumed by humans (such as fowls, ducks, geese, turkeys, pigeons, pheasants, quails and guinea fowls) other than ratites;</w:t>
      </w:r>
    </w:p>
    <w:p>
      <w:pPr>
        <w:pStyle w:val="Defstart"/>
      </w:pPr>
      <w:r>
        <w:rPr>
          <w:b/>
        </w:rPr>
        <w:tab/>
      </w:r>
      <w:r>
        <w:rPr>
          <w:rStyle w:val="CharDefText"/>
        </w:rPr>
        <w:t>processing premises</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rStyle w:val="CharDefText"/>
        </w:rPr>
        <w:t>slaughter</w:t>
      </w:r>
      <w:r>
        <w:t xml:space="preserve"> means slaughter for food for human consumption;</w:t>
      </w:r>
    </w:p>
    <w:p>
      <w:pPr>
        <w:pStyle w:val="Defstart"/>
      </w:pPr>
      <w:r>
        <w:tab/>
      </w:r>
      <w:r>
        <w:rPr>
          <w:rStyle w:val="CharDefText"/>
        </w:rPr>
        <w:t>standard</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10" w:name="_Toc378670552"/>
      <w:bookmarkStart w:id="11" w:name="_Toc426984243"/>
      <w:r>
        <w:rPr>
          <w:rStyle w:val="CharSectno"/>
        </w:rPr>
        <w:t>3</w:t>
      </w:r>
      <w:r>
        <w:t>.</w:t>
      </w:r>
      <w:r>
        <w:tab/>
        <w:t>Animals prescribed as game</w:t>
      </w:r>
      <w:bookmarkEnd w:id="10"/>
      <w:bookmarkEnd w:id="11"/>
    </w:p>
    <w:p>
      <w:pPr>
        <w:pStyle w:val="Subsection"/>
        <w:spacing w:before="120"/>
      </w:pPr>
      <w:r>
        <w:tab/>
      </w:r>
      <w:r>
        <w:tab/>
        <w:t>For the purposes of section 207A of the Act, camel is prescribed as game.</w:t>
      </w:r>
    </w:p>
    <w:p>
      <w:pPr>
        <w:pStyle w:val="Heading5"/>
      </w:pPr>
      <w:bookmarkStart w:id="12" w:name="_Toc378670553"/>
      <w:bookmarkStart w:id="13" w:name="_Toc426984244"/>
      <w:r>
        <w:rPr>
          <w:rStyle w:val="CharSectno"/>
        </w:rPr>
        <w:t>4</w:t>
      </w:r>
      <w:r>
        <w:t>.</w:t>
      </w:r>
      <w:r>
        <w:tab/>
        <w:t>Adoption of standards</w:t>
      </w:r>
      <w:bookmarkEnd w:id="12"/>
      <w:bookmarkEnd w:id="13"/>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rStyle w:val="CharDefText"/>
        </w:rPr>
        <w:t>Meat Standard</w:t>
      </w:r>
      <w:r>
        <w:t>);</w:t>
      </w:r>
    </w:p>
    <w:p>
      <w:pPr>
        <w:pStyle w:val="Indenta"/>
        <w:spacing w:before="60"/>
      </w:pPr>
      <w:r>
        <w:tab/>
        <w:t>(b)</w:t>
      </w:r>
      <w:r>
        <w:tab/>
        <w:t xml:space="preserve">the </w:t>
      </w:r>
      <w:r>
        <w:rPr>
          <w:i/>
        </w:rPr>
        <w:t xml:space="preserve">Australian Standard for Hygienic Production of Rabbit Meat for Human Consumption </w:t>
      </w:r>
      <w:r>
        <w:t>(</w:t>
      </w:r>
      <w:r>
        <w:rPr>
          <w:rStyle w:val="CharDefText"/>
        </w:rPr>
        <w:t>Rabbit Standard</w:t>
      </w:r>
      <w:r>
        <w:t>);</w:t>
      </w:r>
    </w:p>
    <w:p>
      <w:pPr>
        <w:pStyle w:val="Indenta"/>
        <w:spacing w:before="60"/>
      </w:pPr>
      <w:r>
        <w:tab/>
        <w:t>(c)</w:t>
      </w:r>
      <w:r>
        <w:tab/>
        <w:t xml:space="preserve">the </w:t>
      </w:r>
      <w:r>
        <w:rPr>
          <w:i/>
        </w:rPr>
        <w:t xml:space="preserve">Australian Standard for Hygienic Production of Ratite (Emu/Ostrich) Meat for Human Consumption </w:t>
      </w:r>
      <w:r>
        <w:t>(</w:t>
      </w:r>
      <w:r>
        <w:rPr>
          <w:rStyle w:val="CharDefText"/>
        </w:rPr>
        <w:t>Ratite Standard</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rStyle w:val="CharDefText"/>
        </w:rPr>
        <w:t>Crocodile Standard</w:t>
      </w:r>
      <w:r>
        <w:t>);</w:t>
      </w:r>
    </w:p>
    <w:p>
      <w:pPr>
        <w:pStyle w:val="Indenta"/>
        <w:spacing w:before="60"/>
        <w:rPr>
          <w:i/>
        </w:rPr>
      </w:pPr>
      <w:r>
        <w:tab/>
        <w:t>(e)</w:t>
      </w:r>
      <w:r>
        <w:tab/>
        <w:t xml:space="preserve">the </w:t>
      </w:r>
      <w:r>
        <w:rPr>
          <w:i/>
        </w:rPr>
        <w:t xml:space="preserve">Australian Standard for Hygienic Production of Game Meat for Human Consumption </w:t>
      </w:r>
      <w:r>
        <w:t>(</w:t>
      </w:r>
      <w:r>
        <w:rPr>
          <w:rStyle w:val="CharDefText"/>
        </w:rPr>
        <w:t>Game Standard</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rStyle w:val="CharDefText"/>
        </w:rPr>
        <w:t>Poultry Standard</w:t>
      </w:r>
      <w:r>
        <w:t>);</w:t>
      </w:r>
    </w:p>
    <w:p>
      <w:pPr>
        <w:pStyle w:val="Indenta"/>
      </w:pPr>
      <w:r>
        <w:tab/>
        <w:t>(g)</w:t>
      </w:r>
      <w:r>
        <w:tab/>
        <w:t xml:space="preserve">the </w:t>
      </w:r>
      <w:r>
        <w:rPr>
          <w:i/>
        </w:rPr>
        <w:t>Australian Standard for the Hygienic Production of Natural Casings for Human Consumption</w:t>
      </w:r>
      <w:r>
        <w:t xml:space="preserve"> (</w:t>
      </w:r>
      <w:r>
        <w:rPr>
          <w:rStyle w:val="CharDefText"/>
        </w:rPr>
        <w:t>Casings Standard</w:t>
      </w:r>
      <w:r>
        <w:t>); and</w:t>
      </w:r>
    </w:p>
    <w:p>
      <w:pPr>
        <w:pStyle w:val="Indenta"/>
      </w:pPr>
      <w:r>
        <w:tab/>
        <w:t>(h)</w:t>
      </w:r>
      <w:r>
        <w:tab/>
        <w:t xml:space="preserve">the </w:t>
      </w:r>
      <w:r>
        <w:rPr>
          <w:i/>
        </w:rPr>
        <w:t>Australian Standard for the Hygienic Rendering of Animal Products</w:t>
      </w:r>
      <w:r>
        <w:t xml:space="preserve"> (</w:t>
      </w:r>
      <w:r>
        <w:rPr>
          <w:rStyle w:val="CharDefText"/>
        </w:rPr>
        <w:t>Rendering Standard</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14" w:name="_Toc378670554"/>
      <w:bookmarkStart w:id="15" w:name="_Toc426984198"/>
      <w:bookmarkStart w:id="16" w:name="_Toc426984245"/>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14"/>
      <w:bookmarkEnd w:id="15"/>
      <w:bookmarkEnd w:id="16"/>
    </w:p>
    <w:p>
      <w:pPr>
        <w:pStyle w:val="Heading5"/>
      </w:pPr>
      <w:bookmarkStart w:id="17" w:name="_Toc378670555"/>
      <w:bookmarkStart w:id="18" w:name="_Toc426984246"/>
      <w:r>
        <w:rPr>
          <w:rStyle w:val="CharSectno"/>
        </w:rPr>
        <w:t>5</w:t>
      </w:r>
      <w:r>
        <w:t>.</w:t>
      </w:r>
      <w:r>
        <w:tab/>
        <w:t>Application of Part 2 to primary producers</w:t>
      </w:r>
      <w:bookmarkEnd w:id="17"/>
      <w:bookmarkEnd w:id="18"/>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rStyle w:val="CharDefText"/>
        </w:rPr>
        <w:t>primary producer</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19" w:name="_Toc378670556"/>
      <w:bookmarkStart w:id="20" w:name="_Toc426984247"/>
      <w:r>
        <w:rPr>
          <w:rStyle w:val="CharSectno"/>
        </w:rPr>
        <w:t>6</w:t>
      </w:r>
      <w:r>
        <w:t>.</w:t>
      </w:r>
      <w:r>
        <w:tab/>
      </w:r>
      <w:r>
        <w:rPr>
          <w:rStyle w:val="CharSectno"/>
        </w:rPr>
        <w:t>Inspection</w:t>
      </w:r>
      <w:bookmarkEnd w:id="19"/>
      <w:bookmarkEnd w:id="20"/>
    </w:p>
    <w:p>
      <w:pPr>
        <w:pStyle w:val="Subsection"/>
        <w:spacing w:before="120"/>
      </w:pPr>
      <w:r>
        <w:tab/>
        <w:t>(1)</w:t>
      </w:r>
      <w:r>
        <w:tab/>
        <w:t>The operator of an abattoir must ensure that every animal slaughtered in the abattoir is inspected by an inspector in accordance with the relevant standard adopted by regulation 4.</w:t>
      </w:r>
    </w:p>
    <w:p>
      <w:pPr>
        <w:pStyle w:val="Subsection"/>
        <w:spacing w:before="120"/>
      </w:pPr>
      <w:r>
        <w:tab/>
        <w:t>(2)</w:t>
      </w:r>
      <w:r>
        <w:tab/>
        <w:t>Subregulation (1) does not apply in relation to an abattoir in the districts of Kellerberrin or Kondinin.</w:t>
      </w:r>
    </w:p>
    <w:p>
      <w:pPr>
        <w:pStyle w:val="Heading5"/>
      </w:pPr>
      <w:bookmarkStart w:id="21" w:name="_Toc378670557"/>
      <w:bookmarkStart w:id="22" w:name="_Toc426984248"/>
      <w:r>
        <w:rPr>
          <w:rStyle w:val="CharSectno"/>
        </w:rPr>
        <w:t>7</w:t>
      </w:r>
      <w:r>
        <w:t>.</w:t>
      </w:r>
      <w:r>
        <w:tab/>
        <w:t>Branding carcases fit for human consumption</w:t>
      </w:r>
      <w:bookmarkEnd w:id="21"/>
      <w:bookmarkEnd w:id="22"/>
    </w:p>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1.</w:t>
      </w:r>
    </w:p>
    <w:p>
      <w:pPr>
        <w:pStyle w:val="Subsection"/>
        <w:keepNext/>
        <w:spacing w:before="80"/>
      </w:pPr>
      <w:r>
        <w:tab/>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23" w:name="_Toc378670558"/>
      <w:bookmarkStart w:id="24" w:name="_Toc426984249"/>
      <w:r>
        <w:rPr>
          <w:rStyle w:val="CharSectno"/>
        </w:rPr>
        <w:t>8</w:t>
      </w:r>
      <w:r>
        <w:t>.</w:t>
      </w:r>
      <w:r>
        <w:tab/>
        <w:t>Branding carcases unfit for human consumption</w:t>
      </w:r>
      <w:bookmarkEnd w:id="23"/>
      <w:bookmarkEnd w:id="24"/>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25" w:name="_Toc378670559"/>
      <w:bookmarkStart w:id="26" w:name="_Toc426984250"/>
      <w:r>
        <w:rPr>
          <w:rStyle w:val="CharSectno"/>
        </w:rPr>
        <w:t>9</w:t>
      </w:r>
      <w:r>
        <w:t>.</w:t>
      </w:r>
      <w:r>
        <w:tab/>
        <w:t>Offences relating to brands</w:t>
      </w:r>
      <w:bookmarkEnd w:id="25"/>
      <w:bookmarkEnd w:id="26"/>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27" w:name="_Toc378670560"/>
      <w:bookmarkStart w:id="28" w:name="_Toc426984251"/>
      <w:r>
        <w:rPr>
          <w:rStyle w:val="CharSectno"/>
        </w:rPr>
        <w:t>10</w:t>
      </w:r>
      <w:r>
        <w:t>.</w:t>
      </w:r>
      <w:r>
        <w:tab/>
        <w:t>Restriction on sale of carcases</w:t>
      </w:r>
      <w:bookmarkEnd w:id="27"/>
      <w:bookmarkEnd w:id="28"/>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29" w:name="_Toc378670561"/>
      <w:bookmarkStart w:id="30" w:name="_Toc426984252"/>
      <w:r>
        <w:rPr>
          <w:rStyle w:val="CharSectno"/>
        </w:rPr>
        <w:t>11</w:t>
      </w:r>
      <w:r>
        <w:t>.</w:t>
      </w:r>
      <w:r>
        <w:tab/>
        <w:t>Inspection fees</w:t>
      </w:r>
      <w:bookmarkEnd w:id="29"/>
      <w:bookmarkEnd w:id="30"/>
    </w:p>
    <w:p>
      <w:pPr>
        <w:pStyle w:val="Subsection"/>
      </w:pPr>
      <w:r>
        <w:tab/>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2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31" w:name="_Toc378670562"/>
      <w:bookmarkStart w:id="32" w:name="_Toc426984253"/>
      <w:r>
        <w:rPr>
          <w:rStyle w:val="CharSectno"/>
        </w:rPr>
        <w:t>12</w:t>
      </w:r>
      <w:r>
        <w:t>.</w:t>
      </w:r>
      <w:r>
        <w:tab/>
        <w:t>Local government to lodge returns</w:t>
      </w:r>
      <w:bookmarkEnd w:id="31"/>
      <w:bookmarkEnd w:id="32"/>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rStyle w:val="CharDefText"/>
        </w:rPr>
        <w:t>quarter</w:t>
      </w:r>
      <w:r>
        <w:t xml:space="preserve"> means a period of 3 months beginning on 1 July, 1 October, 1 January or 1 April in any year.</w:t>
      </w:r>
    </w:p>
    <w:p>
      <w:pPr>
        <w:pStyle w:val="Heading2"/>
      </w:pPr>
      <w:bookmarkStart w:id="33" w:name="_Toc378670563"/>
      <w:bookmarkStart w:id="34" w:name="_Toc426984207"/>
      <w:bookmarkStart w:id="35" w:name="_Toc426984254"/>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33"/>
      <w:bookmarkEnd w:id="34"/>
      <w:bookmarkEnd w:id="35"/>
    </w:p>
    <w:p>
      <w:pPr>
        <w:pStyle w:val="Heading5"/>
      </w:pPr>
      <w:bookmarkStart w:id="36" w:name="_Toc378670564"/>
      <w:bookmarkStart w:id="37" w:name="_Toc426984255"/>
      <w:r>
        <w:rPr>
          <w:rStyle w:val="CharSectno"/>
        </w:rPr>
        <w:t>13</w:t>
      </w:r>
      <w:r>
        <w:t>.</w:t>
      </w:r>
      <w:r>
        <w:tab/>
        <w:t>Operator to ensure premises comply with relevant standards</w:t>
      </w:r>
      <w:bookmarkEnd w:id="36"/>
      <w:bookmarkEnd w:id="3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38" w:name="_Toc378670565"/>
      <w:bookmarkStart w:id="39" w:name="_Toc426984256"/>
      <w:r>
        <w:rPr>
          <w:rStyle w:val="CharSectno"/>
        </w:rPr>
        <w:t>14</w:t>
      </w:r>
      <w:r>
        <w:t>.</w:t>
      </w:r>
      <w:r>
        <w:tab/>
        <w:t>Operator to ensure slaughter and processing complies with relevant standards</w:t>
      </w:r>
      <w:bookmarkEnd w:id="38"/>
      <w:bookmarkEnd w:id="39"/>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r>
        <w:tab/>
        <w:t>[Regulation 14 inserted in Gazette 4 Feb 2005 p. 622.]</w:t>
      </w:r>
    </w:p>
    <w:p>
      <w:pPr>
        <w:pStyle w:val="Heading2"/>
      </w:pPr>
      <w:bookmarkStart w:id="40" w:name="_Toc378670566"/>
      <w:bookmarkStart w:id="41" w:name="_Toc426984210"/>
      <w:bookmarkStart w:id="42" w:name="_Toc426984257"/>
      <w:r>
        <w:rPr>
          <w:rStyle w:val="CharPartNo"/>
        </w:rPr>
        <w:t>Part 4</w:t>
      </w:r>
      <w:r>
        <w:t xml:space="preserve"> — </w:t>
      </w:r>
      <w:r>
        <w:rPr>
          <w:rStyle w:val="CharPartText"/>
        </w:rPr>
        <w:t>Premises used in game meat production</w:t>
      </w:r>
      <w:bookmarkEnd w:id="40"/>
      <w:bookmarkEnd w:id="41"/>
      <w:bookmarkEnd w:id="42"/>
    </w:p>
    <w:p>
      <w:pPr>
        <w:pStyle w:val="Heading3"/>
        <w:spacing w:before="200"/>
      </w:pPr>
      <w:bookmarkStart w:id="43" w:name="_Toc378670567"/>
      <w:bookmarkStart w:id="44" w:name="_Toc426984211"/>
      <w:bookmarkStart w:id="45" w:name="_Toc426984258"/>
      <w:r>
        <w:rPr>
          <w:rStyle w:val="CharDivNo"/>
        </w:rPr>
        <w:t>Division 1</w:t>
      </w:r>
      <w:r>
        <w:t xml:space="preserve"> — </w:t>
      </w:r>
      <w:r>
        <w:rPr>
          <w:rStyle w:val="CharDivText"/>
        </w:rPr>
        <w:t>Preliminary</w:t>
      </w:r>
      <w:bookmarkEnd w:id="43"/>
      <w:bookmarkEnd w:id="44"/>
      <w:bookmarkEnd w:id="45"/>
    </w:p>
    <w:p>
      <w:pPr>
        <w:pStyle w:val="Heading5"/>
        <w:spacing w:before="160"/>
      </w:pPr>
      <w:bookmarkStart w:id="46" w:name="_Toc378670568"/>
      <w:bookmarkStart w:id="47" w:name="_Toc426984259"/>
      <w:r>
        <w:rPr>
          <w:rStyle w:val="CharSectno"/>
        </w:rPr>
        <w:t>15</w:t>
      </w:r>
      <w:r>
        <w:t>.</w:t>
      </w:r>
      <w:r>
        <w:tab/>
        <w:t>Terms used in this Part</w:t>
      </w:r>
      <w:bookmarkEnd w:id="46"/>
      <w:bookmarkEnd w:id="47"/>
    </w:p>
    <w:p>
      <w:pPr>
        <w:pStyle w:val="Subsection"/>
        <w:spacing w:before="120"/>
        <w:rPr>
          <w:i/>
        </w:rPr>
      </w:pPr>
      <w:r>
        <w:tab/>
        <w:t>(1)</w:t>
      </w:r>
      <w:r>
        <w:tab/>
        <w:t xml:space="preserve">In this Part </w:t>
      </w:r>
      <w:r>
        <w:rPr>
          <w:rStyle w:val="CharDefText"/>
        </w:rPr>
        <w:t>field depot</w:t>
      </w:r>
      <w:r>
        <w:rPr>
          <w:b/>
        </w:rPr>
        <w:t xml:space="preserve"> </w:t>
      </w:r>
      <w:r>
        <w:t xml:space="preserve">and </w:t>
      </w:r>
      <w:r>
        <w:rPr>
          <w:rStyle w:val="CharDefText"/>
        </w:rPr>
        <w:t>game processing establishment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48" w:name="_Toc378670569"/>
      <w:bookmarkStart w:id="49" w:name="_Toc426984213"/>
      <w:bookmarkStart w:id="50" w:name="_Toc426984260"/>
      <w:r>
        <w:rPr>
          <w:rStyle w:val="CharDivNo"/>
        </w:rPr>
        <w:t>Division 2</w:t>
      </w:r>
      <w:r>
        <w:t xml:space="preserve"> — </w:t>
      </w:r>
      <w:r>
        <w:rPr>
          <w:rStyle w:val="CharDivText"/>
        </w:rPr>
        <w:t>Premises to be registered</w:t>
      </w:r>
      <w:bookmarkEnd w:id="48"/>
      <w:bookmarkEnd w:id="49"/>
      <w:bookmarkEnd w:id="50"/>
    </w:p>
    <w:p>
      <w:pPr>
        <w:pStyle w:val="Heading5"/>
        <w:spacing w:before="160"/>
      </w:pPr>
      <w:bookmarkStart w:id="51" w:name="_Toc378670570"/>
      <w:bookmarkStart w:id="52" w:name="_Toc426984261"/>
      <w:r>
        <w:rPr>
          <w:rStyle w:val="CharSectno"/>
        </w:rPr>
        <w:t>16</w:t>
      </w:r>
      <w:r>
        <w:t>.</w:t>
      </w:r>
      <w:r>
        <w:tab/>
        <w:t>Construction and operation of game processing establishments and field depots</w:t>
      </w:r>
      <w:bookmarkEnd w:id="51"/>
      <w:bookmarkEnd w:id="52"/>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53" w:name="_Toc378670571"/>
      <w:bookmarkStart w:id="54" w:name="_Toc426984262"/>
      <w:r>
        <w:rPr>
          <w:rStyle w:val="CharSectno"/>
        </w:rPr>
        <w:t>17.</w:t>
      </w:r>
      <w:r>
        <w:rPr>
          <w:rStyle w:val="CharSectno"/>
        </w:rPr>
        <w:tab/>
      </w:r>
      <w:r>
        <w:t>Applications</w:t>
      </w:r>
      <w:bookmarkEnd w:id="53"/>
      <w:bookmarkEnd w:id="54"/>
      <w:r>
        <w:rPr>
          <w:rStyle w:val="CharSectno"/>
        </w:rPr>
        <w:t xml:space="preserve"> </w:t>
      </w:r>
    </w:p>
    <w:p>
      <w:pPr>
        <w:pStyle w:val="Subsection"/>
        <w:spacing w:before="120"/>
        <w:rPr>
          <w:snapToGrid w:val="0"/>
        </w:rPr>
      </w:pPr>
      <w:r>
        <w:rPr>
          <w:snapToGrid w:val="0"/>
        </w:rPr>
        <w:tab/>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t>(d)</w:t>
      </w:r>
      <w:r>
        <w:rPr>
          <w:snapToGrid w:val="0"/>
        </w:rPr>
        <w:tab/>
        <w:t xml:space="preserve">made in the form of Form 1 </w:t>
      </w:r>
      <w:r>
        <w:t>in Schedule 3</w:t>
      </w:r>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2 of Schedule 2.</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55" w:name="_Toc378670572"/>
      <w:bookmarkStart w:id="56" w:name="_Toc426984263"/>
      <w:r>
        <w:rPr>
          <w:rStyle w:val="CharSectno"/>
        </w:rPr>
        <w:t>18</w:t>
      </w:r>
      <w:r>
        <w:t>.</w:t>
      </w:r>
      <w:r>
        <w:tab/>
        <w:t>Registration or approval</w:t>
      </w:r>
      <w:bookmarkEnd w:id="55"/>
      <w:bookmarkEnd w:id="56"/>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57" w:name="_Toc378670573"/>
      <w:bookmarkStart w:id="58" w:name="_Toc426984264"/>
      <w:r>
        <w:rPr>
          <w:rStyle w:val="CharSectno"/>
        </w:rPr>
        <w:t>19</w:t>
      </w:r>
      <w:r>
        <w:rPr>
          <w:snapToGrid w:val="0"/>
        </w:rPr>
        <w:t>.</w:t>
      </w:r>
      <w:r>
        <w:rPr>
          <w:rStyle w:val="CharSectno"/>
        </w:rPr>
        <w:tab/>
        <w:t>Certificate of registration</w:t>
      </w:r>
      <w:bookmarkEnd w:id="57"/>
      <w:bookmarkEnd w:id="58"/>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59" w:name="_Toc378670574"/>
      <w:bookmarkStart w:id="60" w:name="_Toc426984265"/>
      <w:r>
        <w:rPr>
          <w:rStyle w:val="CharSectno"/>
        </w:rPr>
        <w:t>20.</w:t>
      </w:r>
      <w:r>
        <w:rPr>
          <w:rStyle w:val="CharSectno"/>
        </w:rPr>
        <w:tab/>
      </w:r>
      <w:r>
        <w:rPr>
          <w:snapToGrid w:val="0"/>
        </w:rPr>
        <w:t>Duration of registration</w:t>
      </w:r>
      <w:bookmarkEnd w:id="59"/>
      <w:bookmarkEnd w:id="60"/>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61" w:name="_Toc378670575"/>
      <w:bookmarkStart w:id="62" w:name="_Toc426984266"/>
      <w:r>
        <w:rPr>
          <w:rStyle w:val="CharSectno"/>
        </w:rPr>
        <w:t>21.</w:t>
      </w:r>
      <w:r>
        <w:rPr>
          <w:snapToGrid w:val="0"/>
        </w:rPr>
        <w:tab/>
        <w:t>Suspension or cancellation of registration</w:t>
      </w:r>
      <w:bookmarkEnd w:id="61"/>
      <w:bookmarkEnd w:id="6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63" w:name="_Toc378670576"/>
      <w:bookmarkStart w:id="64" w:name="_Toc426984267"/>
      <w:r>
        <w:rPr>
          <w:rStyle w:val="CharSectno"/>
        </w:rPr>
        <w:t>22</w:t>
      </w:r>
      <w:r>
        <w:t>.</w:t>
      </w:r>
      <w:r>
        <w:tab/>
        <w:t>Appeal to Minister</w:t>
      </w:r>
      <w:bookmarkEnd w:id="63"/>
      <w:bookmarkEnd w:id="64"/>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65" w:name="_Toc378670577"/>
      <w:bookmarkStart w:id="66" w:name="_Toc426984221"/>
      <w:bookmarkStart w:id="67" w:name="_Toc426984268"/>
      <w:r>
        <w:rPr>
          <w:rStyle w:val="CharDivNo"/>
        </w:rPr>
        <w:t>Division 3</w:t>
      </w:r>
      <w:r>
        <w:t xml:space="preserve"> — </w:t>
      </w:r>
      <w:r>
        <w:rPr>
          <w:rStyle w:val="CharDivText"/>
        </w:rPr>
        <w:t>Operation of field depots and game processing establishments</w:t>
      </w:r>
      <w:bookmarkEnd w:id="65"/>
      <w:bookmarkEnd w:id="66"/>
      <w:bookmarkEnd w:id="67"/>
    </w:p>
    <w:p>
      <w:pPr>
        <w:pStyle w:val="Heading5"/>
        <w:rPr>
          <w:snapToGrid w:val="0"/>
        </w:rPr>
      </w:pPr>
      <w:bookmarkStart w:id="68" w:name="_Toc378670578"/>
      <w:bookmarkStart w:id="69" w:name="_Toc426984269"/>
      <w:r>
        <w:rPr>
          <w:snapToGrid w:val="0"/>
        </w:rPr>
        <w:t>23.</w:t>
      </w:r>
      <w:r>
        <w:rPr>
          <w:snapToGrid w:val="0"/>
        </w:rPr>
        <w:tab/>
        <w:t>Field depots</w:t>
      </w:r>
      <w:bookmarkEnd w:id="68"/>
      <w:bookmarkEnd w:id="69"/>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70" w:name="_Toc378670579"/>
      <w:bookmarkStart w:id="71" w:name="_Toc426984270"/>
      <w:r>
        <w:rPr>
          <w:rStyle w:val="CharSectno"/>
        </w:rPr>
        <w:t>24</w:t>
      </w:r>
      <w:r>
        <w:t>.</w:t>
      </w:r>
      <w:r>
        <w:tab/>
        <w:t>Game processing establishments</w:t>
      </w:r>
      <w:bookmarkEnd w:id="70"/>
      <w:bookmarkEnd w:id="71"/>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72" w:name="_Toc378670580"/>
      <w:bookmarkStart w:id="73" w:name="_Toc426984271"/>
      <w:r>
        <w:rPr>
          <w:rStyle w:val="CharSectno"/>
        </w:rPr>
        <w:t>25</w:t>
      </w:r>
      <w:r>
        <w:t>.</w:t>
      </w:r>
      <w:r>
        <w:tab/>
        <w:t>Inspector’s powers</w:t>
      </w:r>
      <w:bookmarkEnd w:id="72"/>
      <w:bookmarkEnd w:id="73"/>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74" w:name="_Toc378670581"/>
      <w:bookmarkStart w:id="75" w:name="_Toc426984225"/>
      <w:bookmarkStart w:id="76" w:name="_Toc426984272"/>
      <w:r>
        <w:rPr>
          <w:rStyle w:val="CharPartNo"/>
        </w:rPr>
        <w:t>Part 5</w:t>
      </w:r>
      <w:r>
        <w:rPr>
          <w:rStyle w:val="CharDivNo"/>
        </w:rPr>
        <w:t xml:space="preserve"> </w:t>
      </w:r>
      <w:r>
        <w:t>—</w:t>
      </w:r>
      <w:r>
        <w:rPr>
          <w:rStyle w:val="CharDivText"/>
        </w:rPr>
        <w:t xml:space="preserve"> </w:t>
      </w:r>
      <w:r>
        <w:rPr>
          <w:rStyle w:val="CharPartText"/>
        </w:rPr>
        <w:t>Transport of meat</w:t>
      </w:r>
      <w:bookmarkEnd w:id="74"/>
      <w:bookmarkEnd w:id="75"/>
      <w:bookmarkEnd w:id="76"/>
    </w:p>
    <w:p>
      <w:pPr>
        <w:pStyle w:val="Heading5"/>
      </w:pPr>
      <w:bookmarkStart w:id="77" w:name="_Toc378670582"/>
      <w:bookmarkStart w:id="78" w:name="_Toc426984273"/>
      <w:r>
        <w:rPr>
          <w:rStyle w:val="CharSectno"/>
        </w:rPr>
        <w:t>26</w:t>
      </w:r>
      <w:r>
        <w:t>.</w:t>
      </w:r>
      <w:r>
        <w:tab/>
        <w:t>Vehicles transporting meat</w:t>
      </w:r>
      <w:bookmarkEnd w:id="77"/>
      <w:bookmarkEnd w:id="78"/>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79" w:name="_Toc378670583"/>
      <w:bookmarkStart w:id="80" w:name="_Toc426984227"/>
      <w:bookmarkStart w:id="81" w:name="_Toc426984274"/>
      <w:r>
        <w:rPr>
          <w:rStyle w:val="CharPartNo"/>
        </w:rPr>
        <w:t>Part 6</w:t>
      </w:r>
      <w:r>
        <w:rPr>
          <w:rStyle w:val="CharDivNo"/>
        </w:rPr>
        <w:t xml:space="preserve"> </w:t>
      </w:r>
      <w:r>
        <w:t>—</w:t>
      </w:r>
      <w:r>
        <w:rPr>
          <w:rStyle w:val="CharDivText"/>
        </w:rPr>
        <w:t xml:space="preserve"> </w:t>
      </w:r>
      <w:r>
        <w:rPr>
          <w:rStyle w:val="CharPartText"/>
        </w:rPr>
        <w:t>General</w:t>
      </w:r>
      <w:bookmarkEnd w:id="79"/>
      <w:bookmarkEnd w:id="80"/>
      <w:bookmarkEnd w:id="81"/>
    </w:p>
    <w:p>
      <w:pPr>
        <w:pStyle w:val="Heading5"/>
      </w:pPr>
      <w:bookmarkStart w:id="82" w:name="_Toc378670584"/>
      <w:bookmarkStart w:id="83" w:name="_Toc426984275"/>
      <w:r>
        <w:rPr>
          <w:rStyle w:val="CharSectno"/>
        </w:rPr>
        <w:t>27</w:t>
      </w:r>
      <w:r>
        <w:t>.</w:t>
      </w:r>
      <w:r>
        <w:tab/>
        <w:t>Offence and penalty</w:t>
      </w:r>
      <w:bookmarkEnd w:id="82"/>
      <w:bookmarkEnd w:id="83"/>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4" w:name="_Toc378670585"/>
      <w:bookmarkStart w:id="85" w:name="_Toc426984229"/>
      <w:bookmarkStart w:id="86" w:name="_Toc426984276"/>
      <w:r>
        <w:rPr>
          <w:rStyle w:val="CharSchNo"/>
        </w:rPr>
        <w:t>Schedule 1</w:t>
      </w:r>
      <w:r>
        <w:rPr>
          <w:rStyle w:val="CharSDivNo"/>
        </w:rPr>
        <w:t> </w:t>
      </w:r>
      <w:r>
        <w:rPr>
          <w:noProof/>
        </w:rPr>
        <w:t>—</w:t>
      </w:r>
      <w:r>
        <w:rPr>
          <w:rStyle w:val="CharSDivText"/>
        </w:rPr>
        <w:t> </w:t>
      </w:r>
      <w:r>
        <w:rPr>
          <w:rStyle w:val="CharSchText"/>
        </w:rPr>
        <w:t>Brands</w:t>
      </w:r>
      <w:bookmarkEnd w:id="84"/>
      <w:bookmarkEnd w:id="85"/>
      <w:bookmarkEnd w:id="86"/>
    </w:p>
    <w:p>
      <w:pPr>
        <w:pStyle w:val="yShoulderClause"/>
      </w:pPr>
      <w:r>
        <w:t>[r. 7]</w:t>
      </w:r>
    </w:p>
    <w:p>
      <w:pPr>
        <w:pStyle w:val="yHeading5"/>
        <w:outlineLvl w:val="9"/>
      </w:pPr>
      <w:bookmarkStart w:id="87" w:name="_Toc378670586"/>
      <w:bookmarkStart w:id="88" w:name="_Toc426984277"/>
      <w:r>
        <w:rPr>
          <w:rStyle w:val="CharSClsNo"/>
        </w:rPr>
        <w:t>1</w:t>
      </w:r>
      <w:r>
        <w:t>.</w:t>
      </w:r>
      <w:r>
        <w:tab/>
        <w:t>Health Department of Western Australia</w:t>
      </w:r>
      <w:r>
        <w:rPr>
          <w:vertAlign w:val="superscript"/>
        </w:rPr>
        <w:t> 3</w:t>
      </w:r>
      <w:r>
        <w:t xml:space="preserve"> brands</w:t>
      </w:r>
      <w:bookmarkEnd w:id="87"/>
      <w:bookmarkEnd w:id="88"/>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89" w:name="_Toc378670587"/>
      <w:bookmarkStart w:id="90" w:name="_Toc426984278"/>
      <w:r>
        <w:rPr>
          <w:rStyle w:val="CharSClsNo"/>
        </w:rPr>
        <w:t>2</w:t>
      </w:r>
      <w:r>
        <w:t>.</w:t>
      </w:r>
      <w:r>
        <w:tab/>
        <w:t>Western Australian Meat Industry Authority brands</w:t>
      </w:r>
      <w:bookmarkEnd w:id="89"/>
      <w:bookmarkEnd w:id="90"/>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91" w:name="_Toc378670588"/>
      <w:bookmarkStart w:id="92" w:name="_Toc426984279"/>
      <w:r>
        <w:rPr>
          <w:rStyle w:val="CharSClsNo"/>
        </w:rPr>
        <w:t>3</w:t>
      </w:r>
      <w:r>
        <w:t>.</w:t>
      </w:r>
      <w:r>
        <w:tab/>
        <w:t>Western Australian brands</w:t>
      </w:r>
      <w:bookmarkEnd w:id="91"/>
      <w:bookmarkEnd w:id="92"/>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93" w:name="_Toc378670589"/>
      <w:bookmarkStart w:id="94" w:name="_Toc426984280"/>
      <w:r>
        <w:rPr>
          <w:rStyle w:val="CharSClsNo"/>
        </w:rPr>
        <w:t>4</w:t>
      </w:r>
      <w:r>
        <w:t>.</w:t>
      </w:r>
      <w:r>
        <w:tab/>
        <w:t>Commonwealth brands</w:t>
      </w:r>
      <w:bookmarkEnd w:id="93"/>
      <w:bookmarkEnd w:id="94"/>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yScheduleHeading"/>
      </w:pPr>
      <w:bookmarkStart w:id="96" w:name="_Toc378670590"/>
      <w:bookmarkStart w:id="97" w:name="_Toc426984234"/>
      <w:bookmarkStart w:id="98" w:name="_Toc426984281"/>
      <w:r>
        <w:rPr>
          <w:rStyle w:val="CharSchNo"/>
        </w:rPr>
        <w:t>Schedule 2</w:t>
      </w:r>
      <w:r>
        <w:t xml:space="preserve"> — </w:t>
      </w:r>
      <w:r>
        <w:rPr>
          <w:rStyle w:val="CharSchText"/>
        </w:rPr>
        <w:t>Fees</w:t>
      </w:r>
      <w:bookmarkEnd w:id="96"/>
      <w:bookmarkEnd w:id="97"/>
      <w:bookmarkEnd w:id="98"/>
    </w:p>
    <w:p>
      <w:pPr>
        <w:pStyle w:val="yHeading2"/>
      </w:pPr>
      <w:bookmarkStart w:id="99" w:name="_Toc378670591"/>
      <w:bookmarkStart w:id="100" w:name="_Toc426984235"/>
      <w:bookmarkStart w:id="101" w:name="_Toc426984282"/>
      <w:r>
        <w:rPr>
          <w:rStyle w:val="CharSDivNo"/>
          <w:sz w:val="28"/>
        </w:rPr>
        <w:t>Part 1</w:t>
      </w:r>
      <w:r>
        <w:rPr>
          <w:rStyle w:val="CharDivNo"/>
        </w:rPr>
        <w:t> </w:t>
      </w:r>
      <w:r>
        <w:t>—</w:t>
      </w:r>
      <w:r>
        <w:rPr>
          <w:rStyle w:val="CharDivText"/>
        </w:rPr>
        <w:t> </w:t>
      </w:r>
      <w:r>
        <w:rPr>
          <w:rStyle w:val="CharSDivText"/>
          <w:sz w:val="28"/>
        </w:rPr>
        <w:t>Meat inspection fees</w:t>
      </w:r>
      <w:bookmarkEnd w:id="99"/>
      <w:bookmarkEnd w:id="100"/>
      <w:bookmarkEnd w:id="10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3A</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19</w:t>
            </w:r>
          </w:p>
        </w:tc>
        <w:tc>
          <w:tcPr>
            <w:tcW w:w="2763" w:type="dxa"/>
            <w:tcBorders>
              <w:top w:val="nil"/>
              <w:left w:val="nil"/>
              <w:bottom w:val="nil"/>
              <w:right w:val="nil"/>
            </w:tcBorders>
          </w:tcPr>
          <w:p>
            <w:pPr>
              <w:pStyle w:val="yTable"/>
              <w:spacing w:after="20"/>
            </w:pPr>
            <w:r>
              <w:t>Wyndham/East Kimberley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20</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 2 May 2008 p. 1700; 13 Feb 2009 p. 301.]</w:t>
      </w:r>
    </w:p>
    <w:p>
      <w:pPr>
        <w:pStyle w:val="yHeading2"/>
      </w:pPr>
      <w:bookmarkStart w:id="102" w:name="_Toc378670592"/>
      <w:bookmarkStart w:id="103" w:name="_Toc426984236"/>
      <w:bookmarkStart w:id="104" w:name="_Toc426984283"/>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102"/>
      <w:bookmarkEnd w:id="103"/>
      <w:bookmarkEnd w:id="104"/>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105" w:name="_Toc378670593"/>
      <w:bookmarkStart w:id="106" w:name="_Toc426984237"/>
      <w:bookmarkStart w:id="107" w:name="_Toc426984284"/>
      <w:r>
        <w:rPr>
          <w:rStyle w:val="CharSchNo"/>
        </w:rPr>
        <w:t>Schedule 3</w:t>
      </w:r>
      <w:r>
        <w:rPr>
          <w:rStyle w:val="CharSDivNo"/>
          <w:sz w:val="28"/>
        </w:rPr>
        <w:t> </w:t>
      </w:r>
      <w:r>
        <w:t>—</w:t>
      </w:r>
      <w:r>
        <w:rPr>
          <w:rStyle w:val="CharSDivText"/>
          <w:sz w:val="28"/>
        </w:rPr>
        <w:t> </w:t>
      </w:r>
      <w:r>
        <w:rPr>
          <w:rStyle w:val="CharSchText"/>
        </w:rPr>
        <w:t>Forms</w:t>
      </w:r>
      <w:bookmarkEnd w:id="105"/>
      <w:bookmarkEnd w:id="106"/>
      <w:bookmarkEnd w:id="107"/>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08" w:name="_Toc378670594"/>
      <w:bookmarkStart w:id="109" w:name="_Toc426984238"/>
      <w:bookmarkStart w:id="110" w:name="_Toc426984285"/>
      <w:r>
        <w:t>Notes</w:t>
      </w:r>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11" w:name="_Toc378670595"/>
      <w:bookmarkStart w:id="112" w:name="_Toc426984286"/>
      <w:r>
        <w:t>Compilation table</w:t>
      </w:r>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Health (Meat Hygiene) Regulations 2001</w:t>
            </w:r>
          </w:p>
        </w:tc>
        <w:tc>
          <w:tcPr>
            <w:tcW w:w="1276" w:type="dxa"/>
            <w:tcBorders>
              <w:top w:val="single" w:sz="4" w:space="0" w:color="auto"/>
            </w:tcBorders>
          </w:tcPr>
          <w:p>
            <w:pPr>
              <w:pStyle w:val="nTable"/>
              <w:spacing w:after="40"/>
            </w:pPr>
            <w:r>
              <w:t>1 Jun 2001 p. 2749</w:t>
            </w:r>
            <w:r>
              <w:noBreakHyphen/>
              <w:t>64</w:t>
            </w:r>
          </w:p>
        </w:tc>
        <w:tc>
          <w:tcPr>
            <w:tcW w:w="2693" w:type="dxa"/>
            <w:tcBorders>
              <w:top w:val="single" w:sz="4" w:space="0" w:color="auto"/>
            </w:tcBorders>
          </w:tcPr>
          <w:p>
            <w:pPr>
              <w:pStyle w:val="nTable"/>
              <w:spacing w:after="40"/>
            </w:pPr>
            <w:r>
              <w:t>1 Jun 2001</w:t>
            </w:r>
          </w:p>
        </w:tc>
      </w:tr>
      <w:tr>
        <w:tc>
          <w:tcPr>
            <w:tcW w:w="3119" w:type="dxa"/>
          </w:tcPr>
          <w:p>
            <w:pPr>
              <w:pStyle w:val="nTable"/>
              <w:spacing w:after="40"/>
              <w:rPr>
                <w:i/>
              </w:rPr>
            </w:pPr>
            <w:r>
              <w:rPr>
                <w:i/>
              </w:rPr>
              <w:t>Health (Meat Hygiene) Amendment Regulations 2001</w:t>
            </w:r>
          </w:p>
        </w:tc>
        <w:tc>
          <w:tcPr>
            <w:tcW w:w="1276" w:type="dxa"/>
          </w:tcPr>
          <w:p>
            <w:pPr>
              <w:pStyle w:val="nTable"/>
              <w:spacing w:after="40"/>
            </w:pPr>
            <w:r>
              <w:t>17 Jul 2001 p. 3636</w:t>
            </w:r>
          </w:p>
        </w:tc>
        <w:tc>
          <w:tcPr>
            <w:tcW w:w="2693" w:type="dxa"/>
          </w:tcPr>
          <w:p>
            <w:pPr>
              <w:pStyle w:val="nTable"/>
              <w:spacing w:after="40"/>
            </w:pPr>
            <w:r>
              <w:t>17 Jul 2001</w:t>
            </w:r>
          </w:p>
        </w:tc>
      </w:tr>
      <w:tr>
        <w:tc>
          <w:tcPr>
            <w:tcW w:w="3119" w:type="dxa"/>
          </w:tcPr>
          <w:p>
            <w:pPr>
              <w:pStyle w:val="nTable"/>
              <w:spacing w:after="40"/>
              <w:rPr>
                <w:i/>
              </w:rPr>
            </w:pPr>
            <w:r>
              <w:rPr>
                <w:i/>
              </w:rPr>
              <w:t>Health (Meat Hygiene) Amendment Regulations (No. 2) 2001</w:t>
            </w:r>
          </w:p>
        </w:tc>
        <w:tc>
          <w:tcPr>
            <w:tcW w:w="1276" w:type="dxa"/>
          </w:tcPr>
          <w:p>
            <w:pPr>
              <w:pStyle w:val="nTable"/>
              <w:spacing w:after="40"/>
            </w:pPr>
            <w:r>
              <w:t>30 Nov 2001 p. 6073</w:t>
            </w:r>
          </w:p>
        </w:tc>
        <w:tc>
          <w:tcPr>
            <w:tcW w:w="2693" w:type="dxa"/>
          </w:tcPr>
          <w:p>
            <w:pPr>
              <w:pStyle w:val="nTable"/>
              <w:spacing w:after="40"/>
            </w:pPr>
            <w:r>
              <w:t>30 Nov 2001</w:t>
            </w:r>
          </w:p>
        </w:tc>
      </w:tr>
      <w:tr>
        <w:tc>
          <w:tcPr>
            <w:tcW w:w="3119" w:type="dxa"/>
          </w:tcPr>
          <w:p>
            <w:pPr>
              <w:pStyle w:val="nTable"/>
              <w:spacing w:after="40"/>
              <w:rPr>
                <w:i/>
              </w:rPr>
            </w:pPr>
            <w:r>
              <w:rPr>
                <w:i/>
              </w:rPr>
              <w:t>Health (Meat Hygiene) Amendment Regulations 2002</w:t>
            </w:r>
          </w:p>
        </w:tc>
        <w:tc>
          <w:tcPr>
            <w:tcW w:w="1276" w:type="dxa"/>
          </w:tcPr>
          <w:p>
            <w:pPr>
              <w:pStyle w:val="nTable"/>
              <w:spacing w:after="40"/>
            </w:pPr>
            <w:r>
              <w:t>12 Mar 2002 p. 1031</w:t>
            </w:r>
            <w:r>
              <w:noBreakHyphen/>
              <w:t>2</w:t>
            </w:r>
          </w:p>
        </w:tc>
        <w:tc>
          <w:tcPr>
            <w:tcW w:w="2693" w:type="dxa"/>
          </w:tcPr>
          <w:p>
            <w:pPr>
              <w:pStyle w:val="nTable"/>
              <w:spacing w:after="40"/>
            </w:pPr>
            <w:r>
              <w:t>12 Mar 2002</w:t>
            </w:r>
          </w:p>
        </w:tc>
      </w:tr>
      <w:tr>
        <w:tc>
          <w:tcPr>
            <w:tcW w:w="3119" w:type="dxa"/>
          </w:tcPr>
          <w:p>
            <w:pPr>
              <w:pStyle w:val="nTable"/>
              <w:spacing w:after="40"/>
              <w:rPr>
                <w:i/>
              </w:rPr>
            </w:pPr>
            <w:r>
              <w:rPr>
                <w:i/>
              </w:rPr>
              <w:t>Health (Meat Hygiene) Amendment Regulations (No. 2) 2002</w:t>
            </w:r>
          </w:p>
        </w:tc>
        <w:tc>
          <w:tcPr>
            <w:tcW w:w="1276" w:type="dxa"/>
          </w:tcPr>
          <w:p>
            <w:pPr>
              <w:pStyle w:val="nTable"/>
              <w:spacing w:after="40"/>
            </w:pPr>
            <w:r>
              <w:t>13 Aug 2002 p. 4180</w:t>
            </w:r>
          </w:p>
        </w:tc>
        <w:tc>
          <w:tcPr>
            <w:tcW w:w="2693" w:type="dxa"/>
          </w:tcPr>
          <w:p>
            <w:pPr>
              <w:pStyle w:val="nTable"/>
              <w:spacing w:after="40"/>
            </w:pPr>
            <w:r>
              <w:t>13 Aug 2002</w:t>
            </w:r>
          </w:p>
        </w:tc>
      </w:tr>
      <w:tr>
        <w:tc>
          <w:tcPr>
            <w:tcW w:w="3119" w:type="dxa"/>
          </w:tcPr>
          <w:p>
            <w:pPr>
              <w:pStyle w:val="nTable"/>
              <w:spacing w:after="40"/>
              <w:rPr>
                <w:i/>
              </w:rPr>
            </w:pPr>
            <w:r>
              <w:rPr>
                <w:i/>
              </w:rPr>
              <w:t>Health (Meat Hygiene) Amendment Regulations (No. 3) 2002</w:t>
            </w:r>
          </w:p>
        </w:tc>
        <w:tc>
          <w:tcPr>
            <w:tcW w:w="1276" w:type="dxa"/>
          </w:tcPr>
          <w:p>
            <w:pPr>
              <w:pStyle w:val="nTable"/>
              <w:spacing w:after="40"/>
            </w:pPr>
            <w:r>
              <w:t>3 Dec 2002 p. 5712</w:t>
            </w:r>
          </w:p>
        </w:tc>
        <w:tc>
          <w:tcPr>
            <w:tcW w:w="2693" w:type="dxa"/>
          </w:tcPr>
          <w:p>
            <w:pPr>
              <w:pStyle w:val="nTable"/>
              <w:spacing w:after="40"/>
            </w:pPr>
            <w:r>
              <w:t>3 Dec 2002</w:t>
            </w:r>
          </w:p>
        </w:tc>
      </w:tr>
      <w:tr>
        <w:tc>
          <w:tcPr>
            <w:tcW w:w="3119" w:type="dxa"/>
          </w:tcPr>
          <w:p>
            <w:pPr>
              <w:pStyle w:val="nTable"/>
              <w:spacing w:after="40"/>
              <w:rPr>
                <w:i/>
              </w:rPr>
            </w:pPr>
            <w:r>
              <w:rPr>
                <w:i/>
              </w:rPr>
              <w:t>Health (Meat Hygiene) Amendment Regulations 2003</w:t>
            </w:r>
          </w:p>
        </w:tc>
        <w:tc>
          <w:tcPr>
            <w:tcW w:w="1276" w:type="dxa"/>
          </w:tcPr>
          <w:p>
            <w:pPr>
              <w:pStyle w:val="nTable"/>
              <w:spacing w:after="40"/>
            </w:pPr>
            <w:r>
              <w:t>14 Feb 2003 p. 468</w:t>
            </w:r>
          </w:p>
        </w:tc>
        <w:tc>
          <w:tcPr>
            <w:tcW w:w="2693" w:type="dxa"/>
          </w:tcPr>
          <w:p>
            <w:pPr>
              <w:pStyle w:val="nTable"/>
              <w:spacing w:after="40"/>
            </w:pPr>
            <w:r>
              <w:t>14 Feb 2003</w:t>
            </w:r>
          </w:p>
        </w:tc>
      </w:tr>
      <w:tr>
        <w:trPr>
          <w:cantSplit/>
        </w:trPr>
        <w:tc>
          <w:tcPr>
            <w:tcW w:w="7088" w:type="dxa"/>
            <w:gridSpan w:val="3"/>
          </w:tcPr>
          <w:p>
            <w:pPr>
              <w:pStyle w:val="nTable"/>
              <w:spacing w:after="40"/>
              <w:rPr>
                <w:i/>
              </w:rPr>
            </w:pPr>
            <w:r>
              <w:rPr>
                <w:b/>
              </w:rPr>
              <w:t xml:space="preserve">Reprint 1:  The </w:t>
            </w:r>
            <w:r>
              <w:rPr>
                <w:b/>
                <w:i/>
              </w:rPr>
              <w:t xml:space="preserve">Health (Meat Hygiene) Regulations 2001 </w:t>
            </w:r>
            <w:r>
              <w:rPr>
                <w:b/>
              </w:rPr>
              <w:t xml:space="preserve">as at 14 Mar 2003 </w:t>
            </w:r>
            <w:r>
              <w:t>(includes amendments listed above)</w:t>
            </w:r>
          </w:p>
        </w:tc>
      </w:tr>
      <w:tr>
        <w:tc>
          <w:tcPr>
            <w:tcW w:w="3119" w:type="dxa"/>
          </w:tcPr>
          <w:p>
            <w:pPr>
              <w:pStyle w:val="nTable"/>
              <w:spacing w:after="40"/>
              <w:rPr>
                <w:i/>
              </w:rPr>
            </w:pPr>
            <w:r>
              <w:rPr>
                <w:i/>
              </w:rPr>
              <w:t>Health (Meat Hygiene) Amendment Regulations (No. 2) 2003</w:t>
            </w:r>
          </w:p>
        </w:tc>
        <w:tc>
          <w:tcPr>
            <w:tcW w:w="1276" w:type="dxa"/>
          </w:tcPr>
          <w:p>
            <w:pPr>
              <w:pStyle w:val="nTable"/>
              <w:spacing w:after="40"/>
            </w:pPr>
            <w:r>
              <w:t>4 Nov 2003 p. 4613</w:t>
            </w:r>
          </w:p>
        </w:tc>
        <w:tc>
          <w:tcPr>
            <w:tcW w:w="2693" w:type="dxa"/>
          </w:tcPr>
          <w:p>
            <w:pPr>
              <w:pStyle w:val="nTable"/>
              <w:spacing w:after="40"/>
            </w:pPr>
            <w:r>
              <w:t>4 Nov 2003</w:t>
            </w:r>
          </w:p>
        </w:tc>
      </w:tr>
      <w:tr>
        <w:tc>
          <w:tcPr>
            <w:tcW w:w="3119" w:type="dxa"/>
          </w:tcPr>
          <w:p>
            <w:pPr>
              <w:pStyle w:val="nTable"/>
              <w:spacing w:after="40"/>
              <w:rPr>
                <w:i/>
              </w:rPr>
            </w:pPr>
            <w:r>
              <w:rPr>
                <w:i/>
              </w:rPr>
              <w:t>Health (Meat Hygiene) Amendment Regulations 2004</w:t>
            </w:r>
          </w:p>
        </w:tc>
        <w:tc>
          <w:tcPr>
            <w:tcW w:w="1276" w:type="dxa"/>
          </w:tcPr>
          <w:p>
            <w:pPr>
              <w:pStyle w:val="nTable"/>
              <w:spacing w:after="40"/>
            </w:pPr>
            <w:r>
              <w:t>27 Jan 2004 p. 345</w:t>
            </w:r>
          </w:p>
        </w:tc>
        <w:tc>
          <w:tcPr>
            <w:tcW w:w="2693" w:type="dxa"/>
          </w:tcPr>
          <w:p>
            <w:pPr>
              <w:pStyle w:val="nTable"/>
              <w:spacing w:after="40"/>
            </w:pPr>
            <w:r>
              <w:t>27 Jan 2004</w:t>
            </w:r>
          </w:p>
        </w:tc>
      </w:tr>
      <w:tr>
        <w:tc>
          <w:tcPr>
            <w:tcW w:w="3119" w:type="dxa"/>
          </w:tcPr>
          <w:p>
            <w:pPr>
              <w:pStyle w:val="nTable"/>
              <w:spacing w:after="40"/>
              <w:rPr>
                <w:i/>
              </w:rPr>
            </w:pPr>
            <w:r>
              <w:rPr>
                <w:i/>
              </w:rPr>
              <w:t>Health (Meat Hygiene) Amendment Regulations (No. 2) 2004</w:t>
            </w:r>
          </w:p>
        </w:tc>
        <w:tc>
          <w:tcPr>
            <w:tcW w:w="1276" w:type="dxa"/>
          </w:tcPr>
          <w:p>
            <w:pPr>
              <w:pStyle w:val="nTable"/>
              <w:spacing w:after="40"/>
            </w:pPr>
            <w:r>
              <w:t>18 May 2004 p. 1570</w:t>
            </w:r>
          </w:p>
        </w:tc>
        <w:tc>
          <w:tcPr>
            <w:tcW w:w="2693" w:type="dxa"/>
          </w:tcPr>
          <w:p>
            <w:pPr>
              <w:pStyle w:val="nTable"/>
              <w:spacing w:after="40"/>
            </w:pPr>
            <w:r>
              <w:t>18 May 2004</w:t>
            </w:r>
          </w:p>
        </w:tc>
      </w:tr>
      <w:tr>
        <w:tc>
          <w:tcPr>
            <w:tcW w:w="3119" w:type="dxa"/>
          </w:tcPr>
          <w:p>
            <w:pPr>
              <w:pStyle w:val="nTable"/>
              <w:spacing w:after="40"/>
              <w:rPr>
                <w:i/>
              </w:rPr>
            </w:pPr>
            <w:r>
              <w:rPr>
                <w:i/>
              </w:rPr>
              <w:t>Health (Meat Hygiene) Amendment Regulations (No. 4) 2004</w:t>
            </w:r>
          </w:p>
        </w:tc>
        <w:tc>
          <w:tcPr>
            <w:tcW w:w="1276" w:type="dxa"/>
          </w:tcPr>
          <w:p>
            <w:pPr>
              <w:pStyle w:val="nTable"/>
              <w:spacing w:after="40"/>
            </w:pPr>
            <w:r>
              <w:t>18 May 2004 p. 1571</w:t>
            </w:r>
          </w:p>
        </w:tc>
        <w:tc>
          <w:tcPr>
            <w:tcW w:w="2693" w:type="dxa"/>
          </w:tcPr>
          <w:p>
            <w:pPr>
              <w:pStyle w:val="nTable"/>
              <w:spacing w:after="40"/>
            </w:pPr>
            <w:r>
              <w:t>18 May 2004</w:t>
            </w:r>
          </w:p>
        </w:tc>
      </w:tr>
      <w:tr>
        <w:tc>
          <w:tcPr>
            <w:tcW w:w="3119" w:type="dxa"/>
          </w:tcPr>
          <w:p>
            <w:pPr>
              <w:pStyle w:val="nTable"/>
              <w:spacing w:after="40"/>
              <w:rPr>
                <w:i/>
              </w:rPr>
            </w:pPr>
            <w:r>
              <w:rPr>
                <w:i/>
              </w:rPr>
              <w:t>Health (Meat Hygiene) Amendment Regulations (No. 5) 2004</w:t>
            </w:r>
          </w:p>
        </w:tc>
        <w:tc>
          <w:tcPr>
            <w:tcW w:w="1276" w:type="dxa"/>
          </w:tcPr>
          <w:p>
            <w:pPr>
              <w:pStyle w:val="nTable"/>
              <w:spacing w:after="40"/>
            </w:pPr>
            <w:r>
              <w:t>25 Jun 2004 p. 2234</w:t>
            </w:r>
            <w:r>
              <w:noBreakHyphen/>
              <w:t>5</w:t>
            </w:r>
          </w:p>
        </w:tc>
        <w:tc>
          <w:tcPr>
            <w:tcW w:w="2693" w:type="dxa"/>
          </w:tcPr>
          <w:p>
            <w:pPr>
              <w:pStyle w:val="nTable"/>
              <w:spacing w:after="40"/>
            </w:pPr>
            <w:r>
              <w:t>25 Jun 2004</w:t>
            </w:r>
          </w:p>
        </w:tc>
      </w:tr>
      <w:tr>
        <w:tc>
          <w:tcPr>
            <w:tcW w:w="3119" w:type="dxa"/>
          </w:tcPr>
          <w:p>
            <w:pPr>
              <w:pStyle w:val="nTable"/>
              <w:spacing w:after="40"/>
              <w:rPr>
                <w:i/>
              </w:rPr>
            </w:pPr>
            <w:r>
              <w:rPr>
                <w:i/>
              </w:rPr>
              <w:t>Health (Meat Hygiene) Amendment Regulations 2005</w:t>
            </w:r>
          </w:p>
        </w:tc>
        <w:tc>
          <w:tcPr>
            <w:tcW w:w="1276" w:type="dxa"/>
          </w:tcPr>
          <w:p>
            <w:pPr>
              <w:pStyle w:val="nTable"/>
              <w:spacing w:after="40"/>
            </w:pPr>
            <w:r>
              <w:t>4 Feb 2005 p. 619</w:t>
            </w:r>
            <w:r>
              <w:noBreakHyphen/>
              <w:t>23</w:t>
            </w:r>
          </w:p>
        </w:tc>
        <w:tc>
          <w:tcPr>
            <w:tcW w:w="2693" w:type="dxa"/>
          </w:tcPr>
          <w:p>
            <w:pPr>
              <w:pStyle w:val="nTable"/>
              <w:spacing w:after="40"/>
            </w:pPr>
            <w:r>
              <w:t>4 Feb 2005</w:t>
            </w:r>
          </w:p>
        </w:tc>
      </w:tr>
      <w:tr>
        <w:tc>
          <w:tcPr>
            <w:tcW w:w="3119" w:type="dxa"/>
          </w:tcPr>
          <w:p>
            <w:pPr>
              <w:pStyle w:val="nTable"/>
              <w:spacing w:after="40"/>
              <w:rPr>
                <w:i/>
              </w:rPr>
            </w:pPr>
            <w:r>
              <w:rPr>
                <w:i/>
              </w:rPr>
              <w:t>Health (Meat Hygiene) Amendment Regulations (No. 2) 2005</w:t>
            </w:r>
          </w:p>
        </w:tc>
        <w:tc>
          <w:tcPr>
            <w:tcW w:w="1276" w:type="dxa"/>
          </w:tcPr>
          <w:p>
            <w:pPr>
              <w:pStyle w:val="nTable"/>
              <w:spacing w:after="40"/>
            </w:pPr>
            <w:r>
              <w:t>22 Feb 2005 p. 811</w:t>
            </w:r>
            <w:r>
              <w:noBreakHyphen/>
              <w:t>12</w:t>
            </w:r>
          </w:p>
        </w:tc>
        <w:tc>
          <w:tcPr>
            <w:tcW w:w="2693" w:type="dxa"/>
          </w:tcPr>
          <w:p>
            <w:pPr>
              <w:pStyle w:val="nTable"/>
              <w:spacing w:after="40"/>
            </w:pPr>
            <w:r>
              <w:t>22 Feb 2005</w:t>
            </w:r>
          </w:p>
        </w:tc>
      </w:tr>
      <w:tr>
        <w:trPr>
          <w:cantSplit/>
        </w:trPr>
        <w:tc>
          <w:tcPr>
            <w:tcW w:w="7088" w:type="dxa"/>
            <w:gridSpan w:val="3"/>
          </w:tcPr>
          <w:p>
            <w:pPr>
              <w:pStyle w:val="nTable"/>
              <w:spacing w:after="40"/>
            </w:pPr>
            <w:r>
              <w:rPr>
                <w:b/>
              </w:rPr>
              <w:t xml:space="preserve">Reprint 2:  The </w:t>
            </w:r>
            <w:r>
              <w:rPr>
                <w:b/>
                <w:i/>
              </w:rPr>
              <w:t xml:space="preserve">Health (Meat Hygiene) Regulations 2001 </w:t>
            </w:r>
            <w:r>
              <w:rPr>
                <w:b/>
              </w:rPr>
              <w:t xml:space="preserve">as at 1 Apr 2005 </w:t>
            </w:r>
            <w:r>
              <w:t>(includes amendments listed above)</w:t>
            </w:r>
          </w:p>
        </w:tc>
      </w:tr>
      <w:tr>
        <w:trPr>
          <w:cantSplit/>
        </w:trPr>
        <w:tc>
          <w:tcPr>
            <w:tcW w:w="3119" w:type="dxa"/>
          </w:tcPr>
          <w:p>
            <w:pPr>
              <w:pStyle w:val="nTable"/>
              <w:spacing w:after="40"/>
              <w:rPr>
                <w:i/>
              </w:rPr>
            </w:pPr>
            <w:r>
              <w:rPr>
                <w:i/>
              </w:rPr>
              <w:t>Health (Meat Hygiene) Amendment Regulations (No. 3) 2005</w:t>
            </w:r>
          </w:p>
        </w:tc>
        <w:tc>
          <w:tcPr>
            <w:tcW w:w="1276" w:type="dxa"/>
          </w:tcPr>
          <w:p>
            <w:pPr>
              <w:pStyle w:val="nTable"/>
              <w:spacing w:after="40"/>
            </w:pPr>
            <w:r>
              <w:t>31 May 2005 p. 2408</w:t>
            </w:r>
          </w:p>
        </w:tc>
        <w:tc>
          <w:tcPr>
            <w:tcW w:w="2693" w:type="dxa"/>
          </w:tcPr>
          <w:p>
            <w:pPr>
              <w:pStyle w:val="nTable"/>
              <w:spacing w:after="40"/>
            </w:pPr>
            <w:r>
              <w:t>31 May 2005</w:t>
            </w:r>
          </w:p>
        </w:tc>
      </w:tr>
      <w:tr>
        <w:trPr>
          <w:cantSplit/>
        </w:trPr>
        <w:tc>
          <w:tcPr>
            <w:tcW w:w="3119" w:type="dxa"/>
          </w:tcPr>
          <w:p>
            <w:pPr>
              <w:pStyle w:val="nTable"/>
              <w:spacing w:after="40"/>
              <w:rPr>
                <w:i/>
              </w:rPr>
            </w:pPr>
            <w:r>
              <w:rPr>
                <w:i/>
              </w:rPr>
              <w:t>Health (Meat Hygiene) Amendment Regulations (No. 4) 2005</w:t>
            </w:r>
          </w:p>
        </w:tc>
        <w:tc>
          <w:tcPr>
            <w:tcW w:w="1276" w:type="dxa"/>
          </w:tcPr>
          <w:p>
            <w:pPr>
              <w:pStyle w:val="nTable"/>
              <w:spacing w:after="40"/>
            </w:pPr>
            <w:r>
              <w:t>15 Nov 2005 p. 5601</w:t>
            </w:r>
            <w:r>
              <w:noBreakHyphen/>
              <w:t>2</w:t>
            </w:r>
          </w:p>
        </w:tc>
        <w:tc>
          <w:tcPr>
            <w:tcW w:w="2693" w:type="dxa"/>
          </w:tcPr>
          <w:p>
            <w:pPr>
              <w:pStyle w:val="nTable"/>
              <w:spacing w:after="40"/>
            </w:pPr>
            <w:r>
              <w:t>15 Nov 2005</w:t>
            </w:r>
          </w:p>
        </w:tc>
      </w:tr>
      <w:tr>
        <w:trPr>
          <w:cantSplit/>
        </w:trPr>
        <w:tc>
          <w:tcPr>
            <w:tcW w:w="3119" w:type="dxa"/>
          </w:tcPr>
          <w:p>
            <w:pPr>
              <w:pStyle w:val="nTable"/>
              <w:spacing w:after="40"/>
              <w:rPr>
                <w:i/>
              </w:rPr>
            </w:pPr>
            <w:r>
              <w:rPr>
                <w:i/>
              </w:rPr>
              <w:t>Health (Meat Hygiene) Amendment Regulations (No. 2) 2006</w:t>
            </w:r>
          </w:p>
        </w:tc>
        <w:tc>
          <w:tcPr>
            <w:tcW w:w="1276" w:type="dxa"/>
          </w:tcPr>
          <w:p>
            <w:pPr>
              <w:pStyle w:val="nTable"/>
              <w:spacing w:after="40"/>
            </w:pPr>
            <w:r>
              <w:t>12 Dec 2006 p. 5492-3</w:t>
            </w:r>
          </w:p>
        </w:tc>
        <w:tc>
          <w:tcPr>
            <w:tcW w:w="2693" w:type="dxa"/>
          </w:tcPr>
          <w:p>
            <w:pPr>
              <w:pStyle w:val="nTable"/>
              <w:spacing w:after="40"/>
            </w:pPr>
            <w:r>
              <w:t>12 Dec 2006</w:t>
            </w:r>
          </w:p>
        </w:tc>
      </w:tr>
      <w:tr>
        <w:trPr>
          <w:cantSplit/>
        </w:trPr>
        <w:tc>
          <w:tcPr>
            <w:tcW w:w="3119" w:type="dxa"/>
          </w:tcPr>
          <w:p>
            <w:pPr>
              <w:pStyle w:val="nTable"/>
              <w:spacing w:after="40"/>
              <w:rPr>
                <w:i/>
              </w:rPr>
            </w:pPr>
            <w:r>
              <w:rPr>
                <w:i/>
              </w:rPr>
              <w:t>Health (Meat Hygiene) Amendment Regulations 2007</w:t>
            </w:r>
          </w:p>
        </w:tc>
        <w:tc>
          <w:tcPr>
            <w:tcW w:w="1276" w:type="dxa"/>
          </w:tcPr>
          <w:p>
            <w:pPr>
              <w:pStyle w:val="nTable"/>
              <w:spacing w:after="40"/>
            </w:pPr>
            <w:r>
              <w:t>30 Jan 2007 p. 213</w:t>
            </w:r>
          </w:p>
        </w:tc>
        <w:tc>
          <w:tcPr>
            <w:tcW w:w="2693" w:type="dxa"/>
          </w:tcPr>
          <w:p>
            <w:pPr>
              <w:pStyle w:val="nTable"/>
              <w:spacing w:after="40"/>
            </w:pPr>
            <w:r>
              <w:t>30 Jan 2007</w:t>
            </w:r>
          </w:p>
        </w:tc>
      </w:tr>
      <w:tr>
        <w:trPr>
          <w:cantSplit/>
        </w:trPr>
        <w:tc>
          <w:tcPr>
            <w:tcW w:w="3119" w:type="dxa"/>
          </w:tcPr>
          <w:p>
            <w:pPr>
              <w:pStyle w:val="nTable"/>
              <w:spacing w:after="40"/>
              <w:rPr>
                <w:i/>
              </w:rPr>
            </w:pPr>
            <w:r>
              <w:rPr>
                <w:i/>
              </w:rPr>
              <w:t>Health (Meat Hygiene) Amendment Regulations (No. 2) 2007</w:t>
            </w:r>
          </w:p>
        </w:tc>
        <w:tc>
          <w:tcPr>
            <w:tcW w:w="1276" w:type="dxa"/>
          </w:tcPr>
          <w:p>
            <w:pPr>
              <w:pStyle w:val="nTable"/>
              <w:spacing w:after="40"/>
            </w:pPr>
            <w:r>
              <w:t>26 Jun 2007 p. 3029</w:t>
            </w:r>
          </w:p>
        </w:tc>
        <w:tc>
          <w:tcPr>
            <w:tcW w:w="2693" w:type="dxa"/>
          </w:tcPr>
          <w:p>
            <w:pPr>
              <w:pStyle w:val="nTable"/>
              <w:spacing w:after="40"/>
            </w:pPr>
            <w:r>
              <w:rPr>
                <w:snapToGrid w:val="0"/>
              </w:rPr>
              <w:t>r. 1 and 2: 26 Jun 2007 (see r. 2(a));</w:t>
            </w:r>
            <w:r>
              <w:rPr>
                <w:snapToGrid w:val="0"/>
              </w:rPr>
              <w:br/>
              <w:t>Regulations other than r. 1 and 2: 27 Jun 2007 (see r. 2(b))</w:t>
            </w:r>
          </w:p>
        </w:tc>
      </w:tr>
      <w:tr>
        <w:trPr>
          <w:cantSplit/>
        </w:trPr>
        <w:tc>
          <w:tcPr>
            <w:tcW w:w="7088" w:type="dxa"/>
            <w:gridSpan w:val="3"/>
          </w:tcPr>
          <w:p>
            <w:pPr>
              <w:pStyle w:val="nTable"/>
              <w:spacing w:after="40"/>
              <w:rPr>
                <w:snapToGrid w:val="0"/>
              </w:rPr>
            </w:pPr>
            <w:r>
              <w:rPr>
                <w:b/>
              </w:rPr>
              <w:t xml:space="preserve">Reprint 3:  The </w:t>
            </w:r>
            <w:r>
              <w:rPr>
                <w:b/>
                <w:i/>
              </w:rPr>
              <w:t xml:space="preserve">Health (Meat Hygiene) Regulations 2001 </w:t>
            </w:r>
            <w:r>
              <w:rPr>
                <w:b/>
              </w:rPr>
              <w:t xml:space="preserve">as at 3 Aug 2007 </w:t>
            </w:r>
            <w:r>
              <w:t>(includes amendments listed above)</w:t>
            </w:r>
          </w:p>
        </w:tc>
      </w:tr>
      <w:tr>
        <w:trPr>
          <w:cantSplit/>
        </w:trPr>
        <w:tc>
          <w:tcPr>
            <w:tcW w:w="3119" w:type="dxa"/>
          </w:tcPr>
          <w:p>
            <w:pPr>
              <w:pStyle w:val="nTable"/>
              <w:spacing w:after="40"/>
              <w:rPr>
                <w:i/>
              </w:rPr>
            </w:pPr>
            <w:r>
              <w:rPr>
                <w:i/>
              </w:rPr>
              <w:t>Health (Meat Hygiene) Amendment Regulations (No. 3) 2007</w:t>
            </w:r>
          </w:p>
        </w:tc>
        <w:tc>
          <w:tcPr>
            <w:tcW w:w="1276" w:type="dxa"/>
          </w:tcPr>
          <w:p>
            <w:pPr>
              <w:pStyle w:val="nTable"/>
              <w:spacing w:after="40"/>
            </w:pPr>
            <w:r>
              <w:t>30 Oct 2007 p. 5880</w:t>
            </w:r>
            <w:r>
              <w:noBreakHyphen/>
              <w:t>1</w:t>
            </w:r>
          </w:p>
        </w:tc>
        <w:tc>
          <w:tcPr>
            <w:tcW w:w="2693" w:type="dxa"/>
          </w:tcPr>
          <w:p>
            <w:pPr>
              <w:pStyle w:val="nTable"/>
              <w:spacing w:after="40"/>
            </w:pPr>
            <w:r>
              <w:rPr>
                <w:snapToGrid w:val="0"/>
              </w:rPr>
              <w:t>r. 1 and 2: 30 Oct 2007 (see r. 2(a));</w:t>
            </w:r>
            <w:r>
              <w:rPr>
                <w:snapToGrid w:val="0"/>
              </w:rPr>
              <w:br/>
              <w:t>Regulations other than r. 1 and 2: 31 Oct 2007 (see r. 2(b))</w:t>
            </w:r>
          </w:p>
        </w:tc>
      </w:tr>
      <w:tr>
        <w:trPr>
          <w:cantSplit/>
        </w:trPr>
        <w:tc>
          <w:tcPr>
            <w:tcW w:w="3119" w:type="dxa"/>
          </w:tcPr>
          <w:p>
            <w:pPr>
              <w:pStyle w:val="nTable"/>
              <w:spacing w:after="40"/>
              <w:rPr>
                <w:i/>
              </w:rPr>
            </w:pPr>
            <w:r>
              <w:rPr>
                <w:i/>
              </w:rPr>
              <w:t>Health (Meat Hygiene) Amendment Regulations (No. 4) 2007</w:t>
            </w:r>
          </w:p>
        </w:tc>
        <w:tc>
          <w:tcPr>
            <w:tcW w:w="1276" w:type="dxa"/>
          </w:tcPr>
          <w:p>
            <w:pPr>
              <w:pStyle w:val="nTable"/>
              <w:spacing w:after="40"/>
            </w:pPr>
            <w:r>
              <w:t>13 Nov 2007 p. 5695</w:t>
            </w:r>
          </w:p>
        </w:tc>
        <w:tc>
          <w:tcPr>
            <w:tcW w:w="2693" w:type="dxa"/>
          </w:tcPr>
          <w:p>
            <w:pPr>
              <w:pStyle w:val="nTable"/>
              <w:spacing w:after="40"/>
              <w:rPr>
                <w:snapToGrid w:val="0"/>
              </w:rPr>
            </w:pPr>
            <w:r>
              <w:rPr>
                <w:snapToGrid w:val="0"/>
              </w:rPr>
              <w:t>r. 1 and 2: 13 Nov 2007 (see r. 2(a));</w:t>
            </w:r>
            <w:r>
              <w:rPr>
                <w:snapToGrid w:val="0"/>
              </w:rPr>
              <w:br/>
              <w:t>Regulations other than r. 1 and 2: 14 Nov 2007 (see r. 2(b))</w:t>
            </w:r>
          </w:p>
        </w:tc>
      </w:tr>
      <w:tr>
        <w:trPr>
          <w:cantSplit/>
        </w:trPr>
        <w:tc>
          <w:tcPr>
            <w:tcW w:w="3119" w:type="dxa"/>
          </w:tcPr>
          <w:p>
            <w:pPr>
              <w:pStyle w:val="nTable"/>
              <w:spacing w:after="40"/>
              <w:rPr>
                <w:i/>
              </w:rPr>
            </w:pPr>
            <w:r>
              <w:rPr>
                <w:i/>
              </w:rPr>
              <w:t>Health (Meat Hygiene) Amendment Regulations 2008</w:t>
            </w:r>
          </w:p>
        </w:tc>
        <w:tc>
          <w:tcPr>
            <w:tcW w:w="1276" w:type="dxa"/>
          </w:tcPr>
          <w:p>
            <w:pPr>
              <w:pStyle w:val="nTable"/>
              <w:spacing w:after="40"/>
            </w:pPr>
            <w:r>
              <w:t>2 May 2008 p. 1700</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3119" w:type="dxa"/>
          </w:tcPr>
          <w:p>
            <w:pPr>
              <w:pStyle w:val="nTable"/>
              <w:spacing w:after="40"/>
              <w:rPr>
                <w:i/>
              </w:rPr>
            </w:pPr>
            <w:r>
              <w:rPr>
                <w:i/>
              </w:rPr>
              <w:t>Health (Meat Hygiene) Amendment Regulations 2009</w:t>
            </w:r>
          </w:p>
        </w:tc>
        <w:tc>
          <w:tcPr>
            <w:tcW w:w="1276" w:type="dxa"/>
          </w:tcPr>
          <w:p>
            <w:pPr>
              <w:pStyle w:val="nTable"/>
              <w:spacing w:after="40"/>
            </w:pPr>
            <w:r>
              <w:t>13 Feb 2009 p. 300-01</w:t>
            </w:r>
          </w:p>
        </w:tc>
        <w:tc>
          <w:tcPr>
            <w:tcW w:w="2693" w:type="dxa"/>
          </w:tcPr>
          <w:p>
            <w:pPr>
              <w:pStyle w:val="nTable"/>
              <w:spacing w:after="40"/>
              <w:rPr>
                <w:snapToGrid w:val="0"/>
              </w:rPr>
            </w:pPr>
            <w:r>
              <w:rPr>
                <w:snapToGrid w:val="0"/>
              </w:rPr>
              <w:t>r. 1 and 2: 13 Feb 2009 (see r. 2(a));</w:t>
            </w:r>
            <w:r>
              <w:rPr>
                <w:snapToGrid w:val="0"/>
              </w:rPr>
              <w:br/>
              <w:t>Regulations other than r. 1 and 2: 14 Feb 2009 (see r. 2(b))</w:t>
            </w:r>
          </w:p>
        </w:tc>
      </w:tr>
      <w:tr>
        <w:trPr>
          <w:cantSplit/>
        </w:trPr>
        <w:tc>
          <w:tcPr>
            <w:tcW w:w="3119" w:type="dxa"/>
          </w:tcPr>
          <w:p>
            <w:pPr>
              <w:pStyle w:val="nTable"/>
              <w:spacing w:after="40"/>
              <w:rPr>
                <w:i/>
              </w:rPr>
            </w:pPr>
            <w:r>
              <w:rPr>
                <w:i/>
              </w:rPr>
              <w:t>Health (Meat Hygiene) Amendment Regulations (No. 2) 2009</w:t>
            </w:r>
          </w:p>
        </w:tc>
        <w:tc>
          <w:tcPr>
            <w:tcW w:w="1276" w:type="dxa"/>
          </w:tcPr>
          <w:p>
            <w:pPr>
              <w:pStyle w:val="nTable"/>
              <w:spacing w:after="40"/>
            </w:pPr>
            <w:r>
              <w:t>13 Feb 2009 p. 301</w:t>
            </w:r>
          </w:p>
        </w:tc>
        <w:tc>
          <w:tcPr>
            <w:tcW w:w="2693" w:type="dxa"/>
          </w:tcPr>
          <w:p>
            <w:pPr>
              <w:pStyle w:val="nTable"/>
              <w:spacing w:after="40"/>
              <w:rPr>
                <w:snapToGrid w:val="0"/>
              </w:rPr>
            </w:pPr>
            <w:r>
              <w:rPr>
                <w:snapToGrid w:val="0"/>
              </w:rPr>
              <w:t>r. 1 and 2: 13 Feb 2009 (see r. 2(a));</w:t>
            </w:r>
            <w:r>
              <w:rPr>
                <w:snapToGrid w:val="0"/>
              </w:rPr>
              <w:br/>
              <w:t>Regulations other than r. 1 and 2: 14 Feb 2009 (see r. 2(b))</w:t>
            </w:r>
          </w:p>
        </w:tc>
      </w:tr>
      <w:tr>
        <w:trPr>
          <w:cantSplit/>
        </w:trPr>
        <w:tc>
          <w:tcPr>
            <w:tcW w:w="7088" w:type="dxa"/>
            <w:gridSpan w:val="3"/>
            <w:tcBorders>
              <w:bottom w:val="single" w:sz="4" w:space="0" w:color="auto"/>
            </w:tcBorders>
          </w:tcPr>
          <w:p>
            <w:pPr>
              <w:pStyle w:val="nTable"/>
              <w:spacing w:after="40"/>
              <w:rPr>
                <w:snapToGrid w:val="0"/>
              </w:rPr>
            </w:pPr>
            <w:r>
              <w:rPr>
                <w:b/>
                <w:bCs/>
                <w:color w:val="FF0000"/>
              </w:rPr>
              <w:t xml:space="preserve">These regulations were repealed by the </w:t>
            </w:r>
            <w:r>
              <w:rPr>
                <w:b/>
                <w:bCs/>
                <w:i/>
                <w:iCs/>
                <w:color w:val="FF0000"/>
              </w:rPr>
              <w:t>Health (Food and Pet Meat) Repeal Regulations 2009</w:t>
            </w:r>
            <w:r>
              <w:rPr>
                <w:b/>
                <w:bCs/>
                <w:color w:val="FF0000"/>
              </w:rPr>
              <w:t xml:space="preserve"> r. 3(d) as at 24 Oct 2009 (see r. 2(b) and </w:t>
            </w:r>
            <w:r>
              <w:rPr>
                <w:b/>
                <w:bCs/>
                <w:i/>
                <w:iCs/>
                <w:color w:val="FF0000"/>
              </w:rPr>
              <w:t>Gazette</w:t>
            </w:r>
            <w:r>
              <w:rPr>
                <w:b/>
                <w:bCs/>
                <w:color w:val="FF0000"/>
              </w:rPr>
              <w:t xml:space="preserve"> 23 Oct 2009 p. 4157)</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2</w:t>
      </w:r>
    </w:p>
    <w:p>
      <w:pPr>
        <w:pStyle w:val="DefinedTerms"/>
      </w:pPr>
      <w:r>
        <w:t>animal</w:t>
      </w:r>
      <w:r>
        <w:tab/>
        <w:t>2</w:t>
      </w:r>
    </w:p>
    <w:p>
      <w:pPr>
        <w:pStyle w:val="DefinedTerms"/>
      </w:pPr>
      <w:r>
        <w:t>brand</w:t>
      </w:r>
      <w:r>
        <w:tab/>
        <w:t>2</w:t>
      </w:r>
    </w:p>
    <w:p>
      <w:pPr>
        <w:pStyle w:val="DefinedTerms"/>
      </w:pPr>
      <w:r>
        <w:t>carcase</w:t>
      </w:r>
      <w:r>
        <w:tab/>
        <w:t>2</w:t>
      </w:r>
    </w:p>
    <w:p>
      <w:pPr>
        <w:pStyle w:val="DefinedTerms"/>
      </w:pPr>
      <w:r>
        <w:t>Casings Standard</w:t>
      </w:r>
      <w:r>
        <w:tab/>
        <w:t>4(1)</w:t>
      </w:r>
    </w:p>
    <w:p>
      <w:pPr>
        <w:pStyle w:val="DefinedTerms"/>
      </w:pPr>
      <w:r>
        <w:t>Crocodile Standard</w:t>
      </w:r>
      <w:r>
        <w:tab/>
        <w:t>4(1)</w:t>
      </w:r>
    </w:p>
    <w:p>
      <w:pPr>
        <w:pStyle w:val="DefinedTerms"/>
      </w:pPr>
      <w:r>
        <w:t>EDPH</w:t>
      </w:r>
      <w:r>
        <w:tab/>
        <w:t>2</w:t>
      </w:r>
    </w:p>
    <w:p>
      <w:pPr>
        <w:pStyle w:val="DefinedTerms"/>
      </w:pPr>
      <w:r>
        <w:t>field depot</w:t>
      </w:r>
      <w:r>
        <w:tab/>
        <w:t>15(1)</w:t>
      </w:r>
    </w:p>
    <w:p>
      <w:pPr>
        <w:pStyle w:val="DefinedTerms"/>
      </w:pPr>
      <w:r>
        <w:t>game</w:t>
      </w:r>
      <w:r>
        <w:tab/>
        <w:t>2</w:t>
      </w:r>
    </w:p>
    <w:p>
      <w:pPr>
        <w:pStyle w:val="DefinedTerms"/>
      </w:pPr>
      <w:r>
        <w:t>game processing establishment</w:t>
      </w:r>
      <w:r>
        <w:tab/>
        <w:t>15(1)</w:t>
      </w:r>
    </w:p>
    <w:p>
      <w:pPr>
        <w:pStyle w:val="DefinedTerms"/>
      </w:pPr>
      <w:r>
        <w:t>Game Standard</w:t>
      </w:r>
      <w:r>
        <w:tab/>
        <w:t>4(1)</w:t>
      </w:r>
    </w:p>
    <w:p>
      <w:pPr>
        <w:pStyle w:val="DefinedTerms"/>
      </w:pPr>
      <w:r>
        <w:t>inspector</w:t>
      </w:r>
      <w:r>
        <w:tab/>
        <w:t>2</w:t>
      </w:r>
    </w:p>
    <w:p>
      <w:pPr>
        <w:pStyle w:val="DefinedTerms"/>
      </w:pPr>
      <w:r>
        <w:t>Meat Standard</w:t>
      </w:r>
      <w:r>
        <w:tab/>
        <w:t>4(1)</w:t>
      </w:r>
    </w:p>
    <w:p>
      <w:pPr>
        <w:pStyle w:val="DefinedTerms"/>
      </w:pPr>
      <w:r>
        <w:t>poultry</w:t>
      </w:r>
      <w:r>
        <w:tab/>
        <w:t>2</w:t>
      </w:r>
    </w:p>
    <w:p>
      <w:pPr>
        <w:pStyle w:val="DefinedTerms"/>
      </w:pPr>
      <w:r>
        <w:t>Poultry Standard</w:t>
      </w:r>
      <w:r>
        <w:tab/>
        <w:t>4(1)</w:t>
      </w:r>
    </w:p>
    <w:p>
      <w:pPr>
        <w:pStyle w:val="DefinedTerms"/>
      </w:pPr>
      <w:r>
        <w:t>primary producer</w:t>
      </w:r>
      <w:r>
        <w:tab/>
        <w:t>5(2)</w:t>
      </w:r>
    </w:p>
    <w:p>
      <w:pPr>
        <w:pStyle w:val="DefinedTerms"/>
      </w:pPr>
      <w:r>
        <w:t>processing premises</w:t>
      </w:r>
      <w:r>
        <w:tab/>
        <w:t>2</w:t>
      </w:r>
    </w:p>
    <w:p>
      <w:pPr>
        <w:pStyle w:val="DefinedTerms"/>
      </w:pPr>
      <w:r>
        <w:t>quarter</w:t>
      </w:r>
      <w:r>
        <w:tab/>
        <w:t>12(2)</w:t>
      </w:r>
    </w:p>
    <w:p>
      <w:pPr>
        <w:pStyle w:val="DefinedTerms"/>
      </w:pPr>
      <w:r>
        <w:t>Rabbit Standard</w:t>
      </w:r>
      <w:r>
        <w:tab/>
        <w:t>4(1)</w:t>
      </w:r>
    </w:p>
    <w:p>
      <w:pPr>
        <w:pStyle w:val="DefinedTerms"/>
      </w:pPr>
      <w:r>
        <w:t>Ratite Standard</w:t>
      </w:r>
      <w:r>
        <w:tab/>
        <w:t>4(1)</w:t>
      </w:r>
    </w:p>
    <w:p>
      <w:pPr>
        <w:pStyle w:val="DefinedTerms"/>
      </w:pPr>
      <w:r>
        <w:t>Rendering Standard</w:t>
      </w:r>
      <w:r>
        <w:tab/>
        <w:t>4(1)</w:t>
      </w:r>
    </w:p>
    <w:p>
      <w:pPr>
        <w:pStyle w:val="DefinedTerms"/>
      </w:pPr>
      <w:r>
        <w:t>slaughter</w:t>
      </w:r>
      <w:r>
        <w:tab/>
        <w:t>2</w:t>
      </w:r>
    </w:p>
    <w:p>
      <w:pPr>
        <w:pStyle w:val="DefinedTerms"/>
      </w:pPr>
      <w:r>
        <w:t>standard</w:t>
      </w:r>
      <w:r>
        <w:tab/>
        <w:t>2</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Brands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Brands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Hygiene)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6CCF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D0DF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0827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B0C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C8F1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9A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F49D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926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DAA44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72D7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A855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127"/>
    <w:docVar w:name="WAFER_20140128105647" w:val="RemoveTocBookmarks,RemoveUnusedBookmarks,RemoveLanguageTags,UsedStyles,ResetPageSize,UpdateArrangement"/>
    <w:docVar w:name="WAFER_20140128105647_GUID" w:val="6cdf4ec7-5599-46c9-a80a-ea2b79904ab7"/>
    <w:docVar w:name="WAFER_20140128105653" w:val="RemoveTocBookmarks,RunningHeaders"/>
    <w:docVar w:name="WAFER_20140128105653_GUID" w:val="2d42886f-f4bf-437d-a068-b5f26181a1b7"/>
    <w:docVar w:name="WAFER_20150810151517" w:val="ResetPageSize,UpdateArrangement,UpdateNTable"/>
    <w:docVar w:name="WAFER_20150810151517_GUID" w:val="7aaa6b21-92cb-41d2-afc8-6833541b278a"/>
    <w:docVar w:name="WAFER_20151117114127" w:val="UpdateStyles,UsedStyles"/>
    <w:docVar w:name="WAFER_20151117114127_GUID" w:val="42e201f3-fcff-4a8a-bc02-d28b9c680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2.png"/><Relationship Id="rId34" Type="http://schemas.openxmlformats.org/officeDocument/2006/relationships/image" Target="media/image12.png"/><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header" Target="header10.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eader" Target="header14.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png"/><Relationship Id="rId44" Type="http://schemas.openxmlformats.org/officeDocument/2006/relationships/header" Target="header13.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2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5332</Words>
  <Characters>26612</Characters>
  <Application>Microsoft Office Word</Application>
  <DocSecurity>0</DocSecurity>
  <Lines>1064</Lines>
  <Paragraphs>709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31235</CharactersWithSpaces>
  <SharedDoc>false</SharedDoc>
  <HLinks>
    <vt:vector size="108" baseType="variant">
      <vt:variant>
        <vt:i4>3735672</vt:i4>
      </vt:variant>
      <vt:variant>
        <vt:i4>24456</vt:i4>
      </vt:variant>
      <vt:variant>
        <vt:i4>1025</vt:i4>
      </vt:variant>
      <vt:variant>
        <vt:i4>1</vt:i4>
      </vt:variant>
      <vt:variant>
        <vt:lpwstr>Brand HDWA</vt:lpwstr>
      </vt:variant>
      <vt:variant>
        <vt:lpwstr/>
      </vt:variant>
      <vt:variant>
        <vt:i4>1245277</vt:i4>
      </vt:variant>
      <vt:variant>
        <vt:i4>24617</vt:i4>
      </vt:variant>
      <vt:variant>
        <vt:i4>1026</vt:i4>
      </vt:variant>
      <vt:variant>
        <vt:i4>1</vt:i4>
      </vt:variant>
      <vt:variant>
        <vt:lpwstr>Brand WA lamb No</vt:lpwstr>
      </vt:variant>
      <vt:variant>
        <vt:lpwstr/>
      </vt:variant>
      <vt:variant>
        <vt:i4>917523</vt:i4>
      </vt:variant>
      <vt:variant>
        <vt:i4>24619</vt:i4>
      </vt:variant>
      <vt:variant>
        <vt:i4>1027</vt:i4>
      </vt:variant>
      <vt:variant>
        <vt:i4>1</vt:i4>
      </vt:variant>
      <vt:variant>
        <vt:lpwstr>Brandstar</vt:lpwstr>
      </vt:variant>
      <vt:variant>
        <vt:lpwstr/>
      </vt:variant>
      <vt:variant>
        <vt:i4>917523</vt:i4>
      </vt:variant>
      <vt:variant>
        <vt:i4>24725</vt:i4>
      </vt:variant>
      <vt:variant>
        <vt:i4>1028</vt:i4>
      </vt:variant>
      <vt:variant>
        <vt:i4>1</vt:i4>
      </vt:variant>
      <vt:variant>
        <vt:lpwstr>Brandstar</vt:lpwstr>
      </vt:variant>
      <vt:variant>
        <vt:lpwstr/>
      </vt:variant>
      <vt:variant>
        <vt:i4>917523</vt:i4>
      </vt:variant>
      <vt:variant>
        <vt:i4>24726</vt:i4>
      </vt:variant>
      <vt:variant>
        <vt:i4>1029</vt:i4>
      </vt:variant>
      <vt:variant>
        <vt:i4>1</vt:i4>
      </vt:variant>
      <vt:variant>
        <vt:lpwstr>Brandstar</vt:lpwstr>
      </vt:variant>
      <vt:variant>
        <vt:lpwstr/>
      </vt:variant>
      <vt:variant>
        <vt:i4>6029393</vt:i4>
      </vt:variant>
      <vt:variant>
        <vt:i4>24768</vt:i4>
      </vt:variant>
      <vt:variant>
        <vt:i4>1030</vt:i4>
      </vt:variant>
      <vt:variant>
        <vt:i4>1</vt:i4>
      </vt:variant>
      <vt:variant>
        <vt:lpwstr>Brand WA lamb</vt:lpwstr>
      </vt:variant>
      <vt:variant>
        <vt:lpwstr/>
      </vt:variant>
      <vt:variant>
        <vt:i4>3604536</vt:i4>
      </vt:variant>
      <vt:variant>
        <vt:i4>24770</vt:i4>
      </vt:variant>
      <vt:variant>
        <vt:i4>1031</vt:i4>
      </vt:variant>
      <vt:variant>
        <vt:i4>1</vt:i4>
      </vt:variant>
      <vt:variant>
        <vt:lpwstr>Brand WA hogget</vt:lpwstr>
      </vt:variant>
      <vt:variant>
        <vt:lpwstr/>
      </vt:variant>
      <vt:variant>
        <vt:i4>3014781</vt:i4>
      </vt:variant>
      <vt:variant>
        <vt:i4>24773</vt:i4>
      </vt:variant>
      <vt:variant>
        <vt:i4>1032</vt:i4>
      </vt:variant>
      <vt:variant>
        <vt:i4>1</vt:i4>
      </vt:variant>
      <vt:variant>
        <vt:lpwstr>Brand Nstar</vt:lpwstr>
      </vt:variant>
      <vt:variant>
        <vt:lpwstr/>
      </vt:variant>
      <vt:variant>
        <vt:i4>2490422</vt:i4>
      </vt:variant>
      <vt:variant>
        <vt:i4>24924</vt:i4>
      </vt:variant>
      <vt:variant>
        <vt:i4>1033</vt:i4>
      </vt:variant>
      <vt:variant>
        <vt:i4>1</vt:i4>
      </vt:variant>
      <vt:variant>
        <vt:lpwstr>Brand WA Large</vt:lpwstr>
      </vt:variant>
      <vt:variant>
        <vt:lpwstr/>
      </vt:variant>
      <vt:variant>
        <vt:i4>5701703</vt:i4>
      </vt:variant>
      <vt:variant>
        <vt:i4>24938</vt:i4>
      </vt:variant>
      <vt:variant>
        <vt:i4>1034</vt:i4>
      </vt:variant>
      <vt:variant>
        <vt:i4>1</vt:i4>
      </vt:variant>
      <vt:variant>
        <vt:lpwstr>Brand WA Rabbits</vt:lpwstr>
      </vt:variant>
      <vt:variant>
        <vt:lpwstr/>
      </vt:variant>
      <vt:variant>
        <vt:i4>2621473</vt:i4>
      </vt:variant>
      <vt:variant>
        <vt:i4>24956</vt:i4>
      </vt:variant>
      <vt:variant>
        <vt:i4>1035</vt:i4>
      </vt:variant>
      <vt:variant>
        <vt:i4>1</vt:i4>
      </vt:variant>
      <vt:variant>
        <vt:lpwstr>Brand WA Other</vt:lpwstr>
      </vt:variant>
      <vt:variant>
        <vt:lpwstr/>
      </vt:variant>
      <vt:variant>
        <vt:i4>2949223</vt:i4>
      </vt:variant>
      <vt:variant>
        <vt:i4>25068</vt:i4>
      </vt:variant>
      <vt:variant>
        <vt:i4>1036</vt:i4>
      </vt:variant>
      <vt:variant>
        <vt:i4>1</vt:i4>
      </vt:variant>
      <vt:variant>
        <vt:lpwstr>Brand10</vt:lpwstr>
      </vt:variant>
      <vt:variant>
        <vt:lpwstr/>
      </vt:variant>
      <vt:variant>
        <vt:i4>7864439</vt:i4>
      </vt:variant>
      <vt:variant>
        <vt:i4>25209</vt:i4>
      </vt:variant>
      <vt:variant>
        <vt:i4>1037</vt:i4>
      </vt:variant>
      <vt:variant>
        <vt:i4>1</vt:i4>
      </vt:variant>
      <vt:variant>
        <vt:lpwstr>Brand Cth approved</vt:lpwstr>
      </vt:variant>
      <vt:variant>
        <vt:lpwstr/>
      </vt:variant>
      <vt:variant>
        <vt:i4>7340135</vt:i4>
      </vt:variant>
      <vt:variant>
        <vt:i4>25211</vt:i4>
      </vt:variant>
      <vt:variant>
        <vt:i4>1038</vt:i4>
      </vt:variant>
      <vt:variant>
        <vt:i4>1</vt:i4>
      </vt:variant>
      <vt:variant>
        <vt:lpwstr>Brand Cth inspected</vt:lpwstr>
      </vt:variant>
      <vt:variant>
        <vt:lpwstr/>
      </vt:variant>
      <vt:variant>
        <vt:i4>7012461</vt:i4>
      </vt:variant>
      <vt:variant>
        <vt:i4>25217</vt:i4>
      </vt:variant>
      <vt:variant>
        <vt:i4>1039</vt:i4>
      </vt:variant>
      <vt:variant>
        <vt:i4>1</vt:i4>
      </vt:variant>
      <vt:variant>
        <vt:lpwstr>Brand Cth lamb</vt:lpwstr>
      </vt:variant>
      <vt:variant>
        <vt:lpwstr/>
      </vt:variant>
      <vt:variant>
        <vt:i4>65544</vt:i4>
      </vt:variant>
      <vt:variant>
        <vt:i4>25219</vt:i4>
      </vt:variant>
      <vt:variant>
        <vt:i4>1040</vt:i4>
      </vt:variant>
      <vt:variant>
        <vt:i4>1</vt:i4>
      </vt:variant>
      <vt:variant>
        <vt:lpwstr>Brand Cth restrictted</vt:lpwstr>
      </vt:variant>
      <vt:variant>
        <vt:lpwstr/>
      </vt:variant>
      <vt:variant>
        <vt:i4>7077990</vt:i4>
      </vt:variant>
      <vt:variant>
        <vt:i4>25225</vt:i4>
      </vt:variant>
      <vt:variant>
        <vt:i4>1041</vt:i4>
      </vt:variant>
      <vt:variant>
        <vt:i4>1</vt:i4>
      </vt:variant>
      <vt:variant>
        <vt:lpwstr>Brand Cth game</vt:lpwstr>
      </vt:variant>
      <vt:variant>
        <vt:lpwstr/>
      </vt:variant>
      <vt:variant>
        <vt:i4>1638478</vt:i4>
      </vt:variant>
      <vt:variant>
        <vt:i4>25240</vt:i4>
      </vt:variant>
      <vt:variant>
        <vt:i4>1042</vt:i4>
      </vt:variant>
      <vt:variant>
        <vt:i4>1</vt:i4>
      </vt:variant>
      <vt:variant>
        <vt:lpwstr>lamb diagram2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2001 - 03-f0-05</dc:title>
  <dc:subject/>
  <dc:creator/>
  <cp:keywords/>
  <dc:description/>
  <cp:lastModifiedBy>svcMRProcess</cp:lastModifiedBy>
  <cp:revision>4</cp:revision>
  <cp:lastPrinted>2007-07-25T00:20:00Z</cp:lastPrinted>
  <dcterms:created xsi:type="dcterms:W3CDTF">2018-09-12T06:20:00Z</dcterms:created>
  <dcterms:modified xsi:type="dcterms:W3CDTF">2018-09-12T06:20:00Z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AsAtDate">
    <vt:lpwstr>24 Oct 2009</vt:lpwstr>
  </property>
  <property fmtid="{D5CDD505-2E9C-101B-9397-08002B2CF9AE}" pid="8" name="Suffix">
    <vt:lpwstr>03-f0-05</vt:lpwstr>
  </property>
  <property fmtid="{D5CDD505-2E9C-101B-9397-08002B2CF9AE}" pid="9" name="Status">
    <vt:lpwstr>NIF</vt:lpwstr>
  </property>
</Properties>
</file>