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Railway (Northern and Southern Urban Extensions) Act 1999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Railway (Northern and Southern Urban Extensions) Act 1999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r>
        <w:tab/>
      </w:r>
      <w:r>
        <w:fldChar w:fldCharType="begin"/>
      </w:r>
      <w:r>
        <w:instrText xml:space="preserve"> PAGEREF _Toc435024035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r>
        <w:tab/>
      </w:r>
      <w:r>
        <w:fldChar w:fldCharType="begin"/>
      </w:r>
      <w:r>
        <w:instrText xml:space="preserve"> PAGEREF _Toc435024036 \h </w:instrText>
      </w:r>
      <w:r>
        <w:fldChar w:fldCharType="separate"/>
      </w:r>
      <w:r>
        <w:t>2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3.</w:t>
      </w:r>
      <w:r>
        <w:tab/>
        <w:t>Authority to construct railway (Currambine</w:t>
      </w:r>
      <w:r>
        <w:noBreakHyphen/>
        <w:t>Butler) and for railway to deviate</w:t>
      </w:r>
      <w:r>
        <w:tab/>
      </w:r>
      <w:r>
        <w:fldChar w:fldCharType="begin"/>
      </w:r>
      <w:r>
        <w:instrText xml:space="preserve"> PAGEREF _Toc435024037 \h </w:instrText>
      </w:r>
      <w:r>
        <w:fldChar w:fldCharType="separate"/>
      </w:r>
      <w:r>
        <w:t>2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4.</w:t>
      </w:r>
      <w:r>
        <w:tab/>
        <w:t>Authority to construct railway (Jandakot</w:t>
      </w:r>
      <w:r>
        <w:noBreakHyphen/>
        <w:t>Rockingham</w:t>
      </w:r>
      <w:r>
        <w:noBreakHyphen/>
        <w:t>Mandurah) and for railway to deviate</w:t>
      </w:r>
      <w:r>
        <w:tab/>
      </w:r>
      <w:r>
        <w:fldChar w:fldCharType="begin"/>
      </w:r>
      <w:r>
        <w:instrText xml:space="preserve"> PAGEREF _Toc435024038 \h </w:instrText>
      </w:r>
      <w:r>
        <w:fldChar w:fldCharType="separate"/>
      </w:r>
      <w:r>
        <w:t>2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Schedule 1 — Line of Currambine</w:t>
      </w:r>
      <w:r>
        <w:noBreakHyphen/>
        <w:t>Butler Railway</w:t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Schedule 2 — Line of Jandakot</w:t>
      </w:r>
      <w:r>
        <w:noBreakHyphen/>
        <w:t>Rockingham</w:t>
      </w:r>
      <w:r>
        <w:noBreakHyphen/>
        <w:t>Mandurah Railway</w:t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rPr>
          <w:snapToGrid w:val="0"/>
        </w:rPr>
        <w:tab/>
        <w:t>Compilation table</w:t>
      </w:r>
      <w:r>
        <w:tab/>
      </w:r>
      <w:r>
        <w:fldChar w:fldCharType="begin"/>
      </w:r>
      <w:r>
        <w:instrText xml:space="preserve"> PAGEREF _Toc435024042 \h </w:instrText>
      </w:r>
      <w:r>
        <w:fldChar w:fldCharType="separate"/>
      </w:r>
      <w:r>
        <w:t>5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NameofActReg"/>
        <w:suppressLineNumbers/>
      </w:pPr>
      <w:r>
        <w:t>Railway (Northern and Southern Urban Extensions) Act 1999</w:t>
      </w:r>
    </w:p>
    <w:p>
      <w:pPr>
        <w:pStyle w:val="LongTitle"/>
        <w:suppressLineNumbers/>
      </w:pPr>
      <w:bookmarkStart w:id="3" w:name="BillCited"/>
      <w:bookmarkEnd w:id="3"/>
      <w:r>
        <w:rPr>
          <w:snapToGrid w:val="0"/>
        </w:rPr>
        <w:t>An Act to authorize the construction of a railway from Currambine to Butler to extend the Perth</w:t>
      </w:r>
      <w:r>
        <w:rPr>
          <w:snapToGrid w:val="0"/>
        </w:rPr>
        <w:noBreakHyphen/>
        <w:t>Joondalup Railway and a railway from Jandakot to Rockingham and from Rockingham to Mandurah</w:t>
      </w:r>
      <w:r>
        <w:t>.</w:t>
      </w:r>
    </w:p>
    <w:p>
      <w:pPr>
        <w:pStyle w:val="Enactment"/>
        <w:suppressLineNumbers/>
        <w:rPr>
          <w:snapToGrid w:val="0"/>
        </w:rPr>
      </w:pPr>
      <w:r>
        <w:rPr>
          <w:snapToGrid w:val="0"/>
        </w:rPr>
        <w:t>The Parliament of Western Australia enacts as follows:</w:t>
      </w:r>
    </w:p>
    <w:p>
      <w:pPr>
        <w:pStyle w:val="Heading5"/>
        <w:suppressLineNumbers/>
        <w:rPr>
          <w:snapToGrid w:val="0"/>
        </w:rPr>
      </w:pPr>
      <w:bookmarkStart w:id="4" w:name="_Toc378668014"/>
      <w:bookmarkStart w:id="5" w:name="_Toc435024035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bookmarkEnd w:id="4"/>
      <w:bookmarkEnd w:id="5"/>
    </w:p>
    <w:p>
      <w:pPr>
        <w:pStyle w:val="Subsection"/>
        <w:suppressLineNumber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This Act may be cited as the</w:t>
      </w:r>
      <w:r>
        <w:rPr>
          <w:i/>
          <w:snapToGrid w:val="0"/>
        </w:rPr>
        <w:t xml:space="preserve"> Railway (Northern and Southern Urban Extensions) Act 1999.</w:t>
      </w:r>
      <w:r>
        <w:rPr>
          <w:snapToGrid w:val="0"/>
        </w:rPr>
        <w:t xml:space="preserve"> </w:t>
      </w:r>
    </w:p>
    <w:p>
      <w:pPr>
        <w:pStyle w:val="Heading5"/>
        <w:pageBreakBefore/>
        <w:rPr>
          <w:snapToGrid w:val="0"/>
        </w:rPr>
      </w:pPr>
      <w:bookmarkStart w:id="6" w:name="Start_Cursor"/>
      <w:bookmarkStart w:id="7" w:name="_Toc378668015"/>
      <w:bookmarkStart w:id="8" w:name="_Toc435024036"/>
      <w:bookmarkEnd w:id="6"/>
      <w:r>
        <w:rPr>
          <w:rStyle w:val="CharSectno"/>
        </w:rP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bookmarkEnd w:id="7"/>
      <w:bookmarkEnd w:id="8"/>
    </w:p>
    <w:p>
      <w:pPr>
        <w:pStyle w:val="Subsection"/>
      </w:pPr>
      <w:r>
        <w:tab/>
      </w:r>
      <w:r>
        <w:tab/>
        <w:t>This Act comes into operation on the day on which it receives the Royal Assent.</w:t>
      </w:r>
    </w:p>
    <w:p>
      <w:pPr>
        <w:pStyle w:val="Heading5"/>
      </w:pPr>
      <w:bookmarkStart w:id="9" w:name="_Toc378668016"/>
      <w:bookmarkStart w:id="10" w:name="_Toc435024037"/>
      <w:r>
        <w:rPr>
          <w:rStyle w:val="CharSectno"/>
        </w:rPr>
        <w:t>3</w:t>
      </w:r>
      <w:r>
        <w:t>.</w:t>
      </w:r>
      <w:r>
        <w:tab/>
        <w:t>Authority to construct railway (Currambine</w:t>
      </w:r>
      <w:r>
        <w:noBreakHyphen/>
        <w:t>Butler) and for railway to deviate</w:t>
      </w:r>
      <w:bookmarkEnd w:id="9"/>
      <w:bookmarkEnd w:id="10"/>
    </w:p>
    <w:p>
      <w:pPr>
        <w:pStyle w:val="Subsection"/>
      </w:pPr>
      <w:r>
        <w:tab/>
        <w:t>(1)</w:t>
      </w:r>
      <w:r>
        <w:tab/>
        <w:t>A railway, and all necessary, proper and usual works and facilities in connection with the railway, may be constructed and maintained along the line described in Schedule 1.</w:t>
      </w:r>
    </w:p>
    <w:p>
      <w:pPr>
        <w:pStyle w:val="Subsection"/>
      </w:pPr>
      <w:r>
        <w:tab/>
        <w:t>(2)</w:t>
      </w:r>
      <w:r>
        <w:tab/>
        <w:t xml:space="preserve">Despite the deviation specified in section 96(1) of the </w:t>
      </w:r>
      <w:r>
        <w:rPr>
          <w:i/>
        </w:rPr>
        <w:t>Public Works Act 1902</w:t>
      </w:r>
      <w:r>
        <w:t>, the railway may deviate to a distance of 2 kilometres on either side of the line described in Schedule 1.</w:t>
      </w:r>
    </w:p>
    <w:p>
      <w:pPr>
        <w:pStyle w:val="Heading5"/>
      </w:pPr>
      <w:bookmarkStart w:id="11" w:name="_Toc378668017"/>
      <w:bookmarkStart w:id="12" w:name="_Toc435024038"/>
      <w:r>
        <w:rPr>
          <w:rStyle w:val="CharSectno"/>
        </w:rPr>
        <w:t>4</w:t>
      </w:r>
      <w:r>
        <w:t>.</w:t>
      </w:r>
      <w:r>
        <w:tab/>
        <w:t>Authority to construct railway (Jandakot</w:t>
      </w:r>
      <w:r>
        <w:noBreakHyphen/>
        <w:t>Rockingham</w:t>
      </w:r>
      <w:r>
        <w:noBreakHyphen/>
        <w:t>Mandurah) and for railway to deviate</w:t>
      </w:r>
      <w:bookmarkEnd w:id="11"/>
      <w:bookmarkEnd w:id="12"/>
    </w:p>
    <w:p>
      <w:pPr>
        <w:pStyle w:val="Subsection"/>
      </w:pPr>
      <w:r>
        <w:tab/>
        <w:t>(1)</w:t>
      </w:r>
      <w:r>
        <w:tab/>
        <w:t>A railway, and all necessary, proper and usual works and facilities in connection with the railway, may be constructed and maintained along the line described in Schedule 2.</w:t>
      </w:r>
    </w:p>
    <w:p>
      <w:pPr>
        <w:pStyle w:val="Subsection"/>
      </w:pPr>
      <w:r>
        <w:tab/>
        <w:t>(2)</w:t>
      </w:r>
      <w:r>
        <w:tab/>
        <w:t xml:space="preserve">Despite the deviation specified in section 96(1) of the </w:t>
      </w:r>
      <w:r>
        <w:rPr>
          <w:i/>
        </w:rPr>
        <w:t>Public Works Act 1902</w:t>
      </w:r>
      <w:r>
        <w:t>, the railway may deviate to a distance of 4 kilometres on either side of the line described in Schedule 2.</w:t>
      </w:r>
    </w:p>
    <w:p>
      <w:pPr>
        <w:rPr>
          <w:rStyle w:val="CharDivText"/>
        </w:r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</w:pPr>
      <w:bookmarkStart w:id="13" w:name="_Toc378668018"/>
      <w:bookmarkStart w:id="14" w:name="_Toc424292804"/>
      <w:bookmarkStart w:id="15" w:name="_Toc435024039"/>
      <w:r>
        <w:rPr>
          <w:rStyle w:val="CharSchNo"/>
        </w:rPr>
        <w:t>Schedule 1</w:t>
      </w:r>
      <w:r>
        <w:t xml:space="preserve"> — </w:t>
      </w:r>
      <w:r>
        <w:rPr>
          <w:rStyle w:val="CharSchText"/>
        </w:rPr>
        <w:t>Line of Currambine</w:t>
      </w:r>
      <w:r>
        <w:rPr>
          <w:rStyle w:val="CharSchText"/>
        </w:rPr>
        <w:noBreakHyphen/>
        <w:t>Butler Railway</w:t>
      </w:r>
      <w:bookmarkEnd w:id="13"/>
      <w:bookmarkEnd w:id="14"/>
      <w:bookmarkEnd w:id="15"/>
    </w:p>
    <w:p>
      <w:pPr>
        <w:pStyle w:val="yShoulderClause"/>
      </w:pPr>
      <w:r>
        <w:t>[s.3]</w:t>
      </w:r>
    </w:p>
    <w:p>
      <w:pPr>
        <w:pStyle w:val="ySubsection"/>
      </w:pPr>
      <w:r>
        <w:tab/>
      </w:r>
      <w:r>
        <w:tab/>
        <w:t xml:space="preserve">The line of the railway commences at a point about 27.3 kilometres along the Perth to Joondalup railway line, as described in the Schedule to the </w:t>
      </w:r>
      <w:r>
        <w:rPr>
          <w:i/>
        </w:rPr>
        <w:t>Perth</w:t>
      </w:r>
      <w:r>
        <w:rPr>
          <w:i/>
        </w:rPr>
        <w:noBreakHyphen/>
        <w:t>Joondalup Railway Act 1989</w:t>
      </w:r>
      <w:r>
        <w:t>, that is just south of Burns Beach Road, Currambine, and proceeds in a generally north</w:t>
      </w:r>
      <w:r>
        <w:noBreakHyphen/>
        <w:t>westerly direction through a combined railway</w:t>
      </w:r>
      <w:r>
        <w:noBreakHyphen/>
        <w:t>controlled access highway reserve for a distance of about 9 kilometres to a point, near Australian Map Grid coordinates 378350 East and 6498000 North, that is just north of Lukin Drive, Butler.</w:t>
      </w:r>
    </w:p>
    <w:p>
      <w:pPr>
        <w:pStyle w:val="ySubsection"/>
      </w:pPr>
      <w:r>
        <w:tab/>
      </w:r>
      <w:r>
        <w:tab/>
        <w:t>The course to be taken by the railway is shown as a red line on Department of Transport map number 1040</w:t>
      </w:r>
      <w:r>
        <w:noBreakHyphen/>
        <w:t>00</w:t>
      </w:r>
      <w:r>
        <w:noBreakHyphen/>
        <w:t>10 Rev D.</w:t>
      </w:r>
    </w:p>
    <w:p>
      <w:pPr>
        <w:pStyle w:val="yScheduleHeading"/>
      </w:pPr>
      <w:bookmarkStart w:id="16" w:name="_Toc378668019"/>
      <w:bookmarkStart w:id="17" w:name="_Toc424292805"/>
      <w:bookmarkStart w:id="18" w:name="_Toc435024040"/>
      <w:r>
        <w:rPr>
          <w:rStyle w:val="CharSchNo"/>
        </w:rPr>
        <w:t>Schedule 2</w:t>
      </w:r>
      <w:r>
        <w:t xml:space="preserve"> — </w:t>
      </w:r>
      <w:r>
        <w:rPr>
          <w:rStyle w:val="CharSchText"/>
        </w:rPr>
        <w:t>Line of Jandakot</w:t>
      </w:r>
      <w:r>
        <w:rPr>
          <w:rStyle w:val="CharSchText"/>
        </w:rPr>
        <w:noBreakHyphen/>
        <w:t>Rockingham</w:t>
      </w:r>
      <w:r>
        <w:rPr>
          <w:rStyle w:val="CharSchText"/>
        </w:rPr>
        <w:noBreakHyphen/>
        <w:t>Mandurah Railway</w:t>
      </w:r>
      <w:bookmarkEnd w:id="16"/>
      <w:bookmarkEnd w:id="17"/>
      <w:bookmarkEnd w:id="18"/>
    </w:p>
    <w:p>
      <w:pPr>
        <w:pStyle w:val="yShoulderClause"/>
      </w:pPr>
      <w:r>
        <w:t>[s. 4]</w:t>
      </w:r>
    </w:p>
    <w:p>
      <w:pPr>
        <w:pStyle w:val="ySubsection"/>
      </w:pPr>
      <w:r>
        <w:tab/>
      </w:r>
      <w:r>
        <w:tab/>
        <w:t xml:space="preserve">The line of the railway commences at a point about 29.7 kilometres along the Kewdale to Kwinana railway line, as described in the Fourth Schedule to the </w:t>
      </w:r>
      <w:r>
        <w:rPr>
          <w:i/>
        </w:rPr>
        <w:t>Railways (Standard Gauge) Construction Act 1961</w:t>
      </w:r>
      <w:r>
        <w:t>, and proceeds in a generally southerly direction along the median strip of the Kwinana Freeway for a distance of about 15 kilometres to a point near Australian Map Grid coordinates 391352 East and 6433947 North then, leaving the median strip, proceeds in a generally south</w:t>
      </w:r>
      <w:r>
        <w:noBreakHyphen/>
        <w:t>westerly direction for a distance of about 10 kilometres to a point near Australian Map Grid coordinates 384870 East and 6428090 North near Dixon Road, Hillman, then proceeds in a generally southerly direction for a distance of about 29 kilometres and terminates at a point near Australian Map Grid coordinates 382068 East and 6400291 North so that the overall distance from the commencement point to the termination point is about 54 kilometres.</w:t>
      </w:r>
    </w:p>
    <w:p>
      <w:pPr>
        <w:pStyle w:val="ySubsection"/>
      </w:pPr>
      <w:r>
        <w:tab/>
      </w:r>
      <w:r>
        <w:tab/>
        <w:t>The course to be taken by the railway is shown as a red line on Department of Transport map number 936</w:t>
      </w:r>
      <w:r>
        <w:noBreakHyphen/>
        <w:t>00</w:t>
      </w:r>
      <w:r>
        <w:noBreakHyphen/>
        <w:t>13.</w:t>
      </w:r>
    </w:p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>
      <w:pPr>
        <w:pStyle w:val="nHeading2"/>
      </w:pPr>
      <w:bookmarkStart w:id="20" w:name="_Toc378668020"/>
      <w:bookmarkStart w:id="21" w:name="_Toc424292806"/>
      <w:bookmarkStart w:id="22" w:name="_Toc435024041"/>
      <w:r>
        <w:t>Notes</w:t>
      </w:r>
      <w:bookmarkEnd w:id="20"/>
      <w:bookmarkEnd w:id="21"/>
      <w:bookmarkEnd w:id="22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  <w:vertAlign w:val="superscript"/>
        </w:rPr>
        <w:tab/>
      </w:r>
      <w:r>
        <w:rPr>
          <w:snapToGrid w:val="0"/>
        </w:rPr>
        <w:t xml:space="preserve">This is a compilation of the </w:t>
      </w:r>
      <w:r>
        <w:rPr>
          <w:i/>
          <w:snapToGrid w:val="0"/>
        </w:rPr>
        <w:t>Railway (Northern and Southern Urban Extensions) Act 1999</w:t>
      </w:r>
      <w:r>
        <w:rPr>
          <w:snapToGrid w:val="0"/>
        </w:rPr>
        <w:t xml:space="preserve"> and includes all amendments effected by the other Acts referred to in the following Table.</w:t>
      </w:r>
    </w:p>
    <w:p>
      <w:pPr>
        <w:pStyle w:val="nHeading3"/>
        <w:rPr>
          <w:snapToGrid w:val="0"/>
        </w:rPr>
      </w:pPr>
      <w:bookmarkStart w:id="23" w:name="_Toc378668021"/>
      <w:bookmarkStart w:id="24" w:name="_Toc435024042"/>
      <w:r>
        <w:rPr>
          <w:snapToGrid w:val="0"/>
        </w:rPr>
        <w:t>Compilation table</w:t>
      </w:r>
      <w:bookmarkEnd w:id="23"/>
      <w:bookmarkEnd w:id="24"/>
    </w:p>
    <w:tbl>
      <w:tblPr>
        <w:tblW w:w="0" w:type="auto"/>
        <w:tblInd w:w="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2551"/>
      </w:tblGrid>
      <w:tr>
        <w:trPr>
          <w:cantSplit/>
          <w:tblHeader/>
        </w:trPr>
        <w:tc>
          <w:tcPr>
            <w:tcW w:w="2268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ind w:right="113"/>
              <w:rPr>
                <w:b/>
              </w:rPr>
            </w:pPr>
            <w:r>
              <w:rPr>
                <w:b/>
              </w:rPr>
              <w:t>Short title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Number and year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Assent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rPr>
          <w:cantSplit/>
        </w:trPr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  <w:ind w:right="113"/>
              <w:rPr>
                <w:i/>
              </w:rPr>
            </w:pPr>
            <w:r>
              <w:rPr>
                <w:i/>
                <w:snapToGrid w:val="0"/>
              </w:rPr>
              <w:t>Railway (Northern and Southern Urban Extensions) Act 1999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</w:pPr>
            <w:r>
              <w:t>49 of 1999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8 Dec 1999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8 Dec 1999 (see s. 2)</w:t>
            </w:r>
          </w:p>
        </w:tc>
      </w:tr>
    </w:tbl>
    <w:p/>
    <w:p>
      <w:pPr>
        <w:sectPr>
          <w:headerReference w:type="even" r:id="rId27"/>
          <w:headerReference w:type="default" r:id="rId28"/>
          <w:headerReference w:type="first" r:id="rId29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/>
    <w:sectPr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40" w:code="9"/>
      <w:pgMar w:top="2376" w:right="2404" w:bottom="3544" w:left="2404" w:header="720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488C65-D815-4F95-AAE1-3D35547239A6}"/>
    <w:embedBold r:id="rId2" w:fontKey="{A466A0AA-9FDA-4A4F-961A-C740A910F4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FFFEF2-A54B-418B-9D58-127EAA197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9C7B6E-4C75-47B0-9200-63CCA1E1F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08 Dec 1999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08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08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08 Dec 1999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08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5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08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490"/>
      <w:gridCol w:w="5773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490" w:type="dxa"/>
        </w:tcPr>
        <w:p>
          <w:pPr>
            <w:pStyle w:val="Header"/>
            <w:spacing w:before="40"/>
          </w:pPr>
        </w:p>
      </w:tc>
      <w:tc>
        <w:tcPr>
          <w:tcW w:w="5773" w:type="dxa"/>
        </w:tcPr>
        <w:p>
          <w:pPr>
            <w:pStyle w:val="Header"/>
            <w:spacing w:before="40"/>
          </w:pPr>
        </w:p>
      </w:tc>
    </w:tr>
    <w:tr>
      <w:tc>
        <w:tcPr>
          <w:tcW w:w="1490" w:type="dxa"/>
        </w:tcPr>
        <w:p>
          <w:pPr>
            <w:pStyle w:val="Header"/>
            <w:spacing w:before="40"/>
          </w:pPr>
        </w:p>
      </w:tc>
      <w:tc>
        <w:tcPr>
          <w:tcW w:w="5773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1490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  <w:tc>
        <w:tcPr>
          <w:tcW w:w="5768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42"/>
      <w:gridCol w:w="1521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42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42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21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5742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  <w:tc>
        <w:tcPr>
          <w:tcW w:w="1516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  <w:bookmarkStart w:id="19" w:name="Schedule"/>
    <w:bookmarkEnd w:id="19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552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25" w:name="Compilation"/>
    <w:bookmarkEnd w:id="25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26" w:name="Coversheet"/>
    <w:bookmarkEnd w:id="26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Railway (Northern and Southern Urban Extensions)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6A531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66782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F42F7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2497C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7E64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4055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DA3E3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896B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470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EC5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0232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>
    <w:nsid w:val="3C2808C0"/>
    <w:multiLevelType w:val="singleLevel"/>
    <w:tmpl w:val="E370D9F2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55CD6C5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1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activeWritingStyle w:appName="MSWord" w:lang="en-AU" w:vendorID="8" w:dllVersion="513" w:checkStyle="1"/>
  <w:revisionView w:formatting="0"/>
  <w:defaultTabStop w:val="114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11162557"/>
    <w:docVar w:name="WAFER_20140124161316" w:val="RemoveTocBookmarks,RemoveUnusedBookmarks,RemoveLanguageTags,UsedStyles,ResetPageSize,UpdateArrangement"/>
    <w:docVar w:name="WAFER_20140124161316_GUID" w:val="c7e1f7cc-badf-45bb-80ba-b55c774b7a34"/>
    <w:docVar w:name="WAFER_20140124172047" w:val="RemoveTocBookmarks,RunningHeaders"/>
    <w:docVar w:name="WAFER_20140124172047_GUID" w:val="5c3b99d0-11b6-479e-b3ca-3c8ad30890ae"/>
    <w:docVar w:name="WAFER_20150710114057" w:val="ResetPageSize,UpdateArrangement,UpdateNTable"/>
    <w:docVar w:name="WAFER_20150710114057_GUID" w:val="a51c685a-d6e4-4f44-8059-38e548646790"/>
    <w:docVar w:name="WAFER_20151111162557" w:val="UpdateStyles,UsedStyles"/>
    <w:docVar w:name="WAFER_20151111162557_GUID" w:val="9d0c2f85-a64a-41ef-9900-65349cbb9330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8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9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0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8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9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0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header" Target="header1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7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footer" Target="footer9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739</Words>
  <Characters>3883</Characters>
  <Application>Microsoft Office Word</Application>
  <DocSecurity>0</DocSecurity>
  <Lines>121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Drafting Template</vt:lpstr>
      <vt:lpstr>    Schedule 1 — Line of Currambine-Butler Railway</vt:lpstr>
      <vt:lpstr>    Schedule 2 — Line of Jandakot-Rockingham-Mandurah Railway</vt:lpstr>
      <vt:lpstr>    Notes</vt:lpstr>
    </vt:vector>
  </TitlesOfParts>
  <Manager/>
  <Company/>
  <LinksUpToDate>false</LinksUpToDate>
  <CharactersWithSpaces>4561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Railway (Northern and Southern Urban Extensions) Act 1999 - 00-a0-11</dc:title>
  <dc:subject/>
  <dc:creator/>
  <cp:keywords/>
  <dc:description/>
  <cp:lastModifiedBy>svcMRProcess</cp:lastModifiedBy>
  <cp:revision>4</cp:revision>
  <cp:lastPrinted>2000-01-25T03:37:00Z</cp:lastPrinted>
  <dcterms:created xsi:type="dcterms:W3CDTF">2019-01-29T06:08:00Z</dcterms:created>
  <dcterms:modified xsi:type="dcterms:W3CDTF">2019-01-29T06:08:00Z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49 of 1999</vt:lpwstr>
  </property>
  <property fmtid="{D5CDD505-2E9C-101B-9397-08002B2CF9AE}" pid="3" name="CommencementDate">
    <vt:lpwstr>19991208</vt:lpwstr>
  </property>
  <property fmtid="{D5CDD505-2E9C-101B-9397-08002B2CF9AE}" pid="4" name="DocumentType">
    <vt:lpwstr>Act</vt:lpwstr>
  </property>
  <property fmtid="{D5CDD505-2E9C-101B-9397-08002B2CF9AE}" pid="5" name="AsAtDate">
    <vt:lpwstr>08 Dec 1999</vt:lpwstr>
  </property>
  <property fmtid="{D5CDD505-2E9C-101B-9397-08002B2CF9AE}" pid="6" name="Suffix">
    <vt:lpwstr>00-a0-11</vt:lpwstr>
  </property>
</Properties>
</file>