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_GoBack"/>
      <w:bookmarkEnd w:id="0"/>
      <w:r>
        <w:rPr>
          <w:b/>
          <w:bCs/>
          <w:color w:val="FF0000"/>
        </w:rPr>
        <w:t xml:space="preserve">This document has a retrospective amendment effective from 1 Jul 2009, see the </w:t>
      </w:r>
      <w:r>
        <w:rPr>
          <w:b/>
          <w:bCs/>
          <w:i/>
          <w:iCs/>
          <w:color w:val="FF0000"/>
        </w:rPr>
        <w:t xml:space="preserve">Revenue Laws Amendment Act 2012 </w:t>
      </w:r>
      <w:r>
        <w:rPr>
          <w:b/>
          <w:bCs/>
          <w:color w:val="FF0000"/>
        </w:rPr>
        <w:t>Pt. 2.  The effect of this retrospective amendment has not been included in this document.  To see the provision as amended by the retrospective amendment see the document as at 3 Sep 2012.</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Taxation Administration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_Toc390071521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_Toc390071522 \h </w:instrText>
      </w:r>
      <w:r>
        <w:fldChar w:fldCharType="separate"/>
      </w:r>
      <w:r>
        <w:t>2</w:t>
      </w:r>
      <w:r>
        <w:fldChar w:fldCharType="end"/>
      </w:r>
    </w:p>
    <w:p>
      <w:pPr>
        <w:pStyle w:val="TOC8"/>
        <w:rPr>
          <w:rFonts w:asciiTheme="minorHAnsi" w:eastAsiaTheme="minorEastAsia" w:hAnsiTheme="minorHAnsi" w:cstheme="minorBidi"/>
          <w:szCs w:val="22"/>
        </w:rPr>
      </w:pPr>
      <w:r>
        <w:t>3.</w:t>
      </w:r>
      <w:r>
        <w:tab/>
        <w:t>The taxation Acts</w:t>
      </w:r>
      <w:r>
        <w:tab/>
      </w:r>
      <w:r>
        <w:fldChar w:fldCharType="begin"/>
      </w:r>
      <w:r>
        <w:instrText xml:space="preserve"> PAGEREF _Toc390071523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Meaning of terms used in this Act</w:t>
      </w:r>
      <w:r>
        <w:tab/>
      </w:r>
      <w:r>
        <w:fldChar w:fldCharType="begin"/>
      </w:r>
      <w:r>
        <w:instrText xml:space="preserve"> PAGEREF _Toc390071524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_Toc390071525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_Toc390071527 \h </w:instrText>
      </w:r>
      <w:r>
        <w:fldChar w:fldCharType="separate"/>
      </w:r>
      <w:r>
        <w:t>4</w:t>
      </w:r>
      <w:r>
        <w:fldChar w:fldCharType="end"/>
      </w:r>
    </w:p>
    <w:p>
      <w:pPr>
        <w:pStyle w:val="TOC8"/>
        <w:rPr>
          <w:rFonts w:asciiTheme="minorHAnsi" w:eastAsiaTheme="minorEastAsia" w:hAnsiTheme="minorHAnsi" w:cstheme="minorBidi"/>
          <w:szCs w:val="22"/>
        </w:rPr>
      </w:pPr>
      <w:r>
        <w:t>7.</w:t>
      </w:r>
      <w:r>
        <w:tab/>
        <w:t>Administration of taxation Acts</w:t>
      </w:r>
      <w:r>
        <w:tab/>
      </w:r>
      <w:r>
        <w:fldChar w:fldCharType="begin"/>
      </w:r>
      <w:r>
        <w:instrText xml:space="preserve"> PAGEREF _Toc390071528 \h </w:instrText>
      </w:r>
      <w:r>
        <w:fldChar w:fldCharType="separate"/>
      </w:r>
      <w:r>
        <w:t>4</w:t>
      </w:r>
      <w:r>
        <w:fldChar w:fldCharType="end"/>
      </w:r>
    </w:p>
    <w:p>
      <w:pPr>
        <w:pStyle w:val="TOC8"/>
        <w:rPr>
          <w:rFonts w:asciiTheme="minorHAnsi" w:eastAsiaTheme="minorEastAsia" w:hAnsiTheme="minorHAnsi" w:cstheme="minorBidi"/>
          <w:szCs w:val="22"/>
        </w:rPr>
      </w:pPr>
      <w:r>
        <w:t>8.</w:t>
      </w:r>
      <w:r>
        <w:tab/>
        <w:t>Commissioner’s functions</w:t>
      </w:r>
      <w:r>
        <w:tab/>
      </w:r>
      <w:r>
        <w:fldChar w:fldCharType="begin"/>
      </w:r>
      <w:r>
        <w:instrText xml:space="preserve"> PAGEREF _Toc390071529 \h </w:instrText>
      </w:r>
      <w:r>
        <w:fldChar w:fldCharType="separate"/>
      </w:r>
      <w:r>
        <w:t>4</w:t>
      </w:r>
      <w:r>
        <w:fldChar w:fldCharType="end"/>
      </w:r>
    </w:p>
    <w:p>
      <w:pPr>
        <w:pStyle w:val="TOC8"/>
        <w:rPr>
          <w:rFonts w:asciiTheme="minorHAnsi" w:eastAsiaTheme="minorEastAsia" w:hAnsiTheme="minorHAnsi" w:cstheme="minorBidi"/>
          <w:szCs w:val="22"/>
        </w:rPr>
      </w:pPr>
      <w:r>
        <w:t>9.</w:t>
      </w:r>
      <w:r>
        <w:tab/>
        <w:t>Judicial notice of appointment and signature</w:t>
      </w:r>
      <w:r>
        <w:tab/>
      </w:r>
      <w:r>
        <w:fldChar w:fldCharType="begin"/>
      </w:r>
      <w:r>
        <w:instrText xml:space="preserve"> PAGEREF _Toc390071530 \h </w:instrText>
      </w:r>
      <w:r>
        <w:fldChar w:fldCharType="separate"/>
      </w:r>
      <w:r>
        <w:t>4</w:t>
      </w:r>
      <w:r>
        <w:fldChar w:fldCharType="end"/>
      </w:r>
    </w:p>
    <w:p>
      <w:pPr>
        <w:pStyle w:val="TOC8"/>
        <w:rPr>
          <w:rFonts w:asciiTheme="minorHAnsi" w:eastAsiaTheme="minorEastAsia" w:hAnsiTheme="minorHAnsi" w:cstheme="minorBidi"/>
          <w:szCs w:val="22"/>
        </w:rPr>
      </w:pPr>
      <w:r>
        <w:t>10.</w:t>
      </w:r>
      <w:r>
        <w:tab/>
        <w:t>Delegation</w:t>
      </w:r>
      <w:r>
        <w:tab/>
      </w:r>
      <w:r>
        <w:fldChar w:fldCharType="begin"/>
      </w:r>
      <w:r>
        <w:instrText xml:space="preserve"> PAGEREF _Toc390071531 \h </w:instrText>
      </w:r>
      <w:r>
        <w:fldChar w:fldCharType="separate"/>
      </w:r>
      <w:r>
        <w:t>5</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_Toc390071532 \h </w:instrText>
      </w:r>
      <w:r>
        <w:fldChar w:fldCharType="separate"/>
      </w:r>
      <w:r>
        <w:t>5</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_Toc390071533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Assessments of tax</w:t>
      </w:r>
    </w:p>
    <w:p>
      <w:pPr>
        <w:pStyle w:val="TOC4"/>
        <w:tabs>
          <w:tab w:val="right" w:leader="dot" w:pos="7086"/>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_Toc390071536 \h </w:instrText>
      </w:r>
      <w:r>
        <w:fldChar w:fldCharType="separate"/>
      </w:r>
      <w:r>
        <w:t>7</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_Toc390071537 \h </w:instrText>
      </w:r>
      <w:r>
        <w:fldChar w:fldCharType="separate"/>
      </w:r>
      <w:r>
        <w:t>7</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_Toc390071538 \h </w:instrText>
      </w:r>
      <w:r>
        <w:fldChar w:fldCharType="separate"/>
      </w:r>
      <w:r>
        <w:t>7</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_Toc390071539 \h </w:instrText>
      </w:r>
      <w:r>
        <w:fldChar w:fldCharType="separate"/>
      </w:r>
      <w:r>
        <w:t>8</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_Toc390071540 \h </w:instrText>
      </w:r>
      <w:r>
        <w:fldChar w:fldCharType="separate"/>
      </w:r>
      <w:r>
        <w:t>9</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_Toc390071541 \h </w:instrText>
      </w:r>
      <w:r>
        <w:fldChar w:fldCharType="separate"/>
      </w:r>
      <w:r>
        <w:t>9</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w:t>
      </w:r>
      <w:r>
        <w:tab/>
      </w:r>
      <w:r>
        <w:fldChar w:fldCharType="begin"/>
      </w:r>
      <w:r>
        <w:instrText xml:space="preserve"> PAGEREF _Toc390071542 \h </w:instrText>
      </w:r>
      <w:r>
        <w:fldChar w:fldCharType="separate"/>
      </w:r>
      <w:r>
        <w:t>10</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_Toc390071543 \h </w:instrText>
      </w:r>
      <w:r>
        <w:fldChar w:fldCharType="separate"/>
      </w:r>
      <w:r>
        <w:t>11</w:t>
      </w:r>
      <w:r>
        <w:fldChar w:fldCharType="end"/>
      </w:r>
    </w:p>
    <w:p>
      <w:pPr>
        <w:pStyle w:val="TOC8"/>
        <w:rPr>
          <w:rFonts w:asciiTheme="minorHAnsi" w:eastAsiaTheme="minorEastAsia" w:hAnsiTheme="minorHAnsi" w:cstheme="minorBidi"/>
          <w:szCs w:val="22"/>
        </w:rPr>
      </w:pPr>
      <w:r>
        <w:t>20A.</w:t>
      </w:r>
      <w:r>
        <w:tab/>
        <w:t>Compromise assessments</w:t>
      </w:r>
      <w:r>
        <w:tab/>
      </w:r>
      <w:r>
        <w:fldChar w:fldCharType="begin"/>
      </w:r>
      <w:r>
        <w:instrText xml:space="preserve"> PAGEREF _Toc390071544 \h </w:instrText>
      </w:r>
      <w:r>
        <w:fldChar w:fldCharType="separate"/>
      </w:r>
      <w:r>
        <w:t>11</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_Toc390071545 \h </w:instrText>
      </w:r>
      <w:r>
        <w:fldChar w:fldCharType="separate"/>
      </w:r>
      <w:r>
        <w:t>12</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_Toc390071546 \h </w:instrText>
      </w:r>
      <w:r>
        <w:fldChar w:fldCharType="separate"/>
      </w:r>
      <w:r>
        <w:t>13</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_Toc390071547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_Toc390071549 \h </w:instrText>
      </w:r>
      <w:r>
        <w:fldChar w:fldCharType="separate"/>
      </w:r>
      <w:r>
        <w:t>14</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_Toc390071550 \h </w:instrText>
      </w:r>
      <w:r>
        <w:fldChar w:fldCharType="separate"/>
      </w:r>
      <w:r>
        <w:t>15</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_Toc390071551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_Toc390071553 \h </w:instrText>
      </w:r>
      <w:r>
        <w:fldChar w:fldCharType="separate"/>
      </w:r>
      <w:r>
        <w:t>17</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_Toc390071554 \h </w:instrText>
      </w:r>
      <w:r>
        <w:fldChar w:fldCharType="separate"/>
      </w:r>
      <w:r>
        <w:t>18</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_Toc390071555 \h </w:instrText>
      </w:r>
      <w:r>
        <w:fldChar w:fldCharType="separate"/>
      </w:r>
      <w:r>
        <w:t>18</w:t>
      </w:r>
      <w:r>
        <w:fldChar w:fldCharType="end"/>
      </w:r>
    </w:p>
    <w:p>
      <w:pPr>
        <w:pStyle w:val="TOC8"/>
        <w:rPr>
          <w:rFonts w:asciiTheme="minorHAnsi" w:eastAsiaTheme="minorEastAsia" w:hAnsiTheme="minorHAnsi" w:cstheme="minorBidi"/>
          <w:szCs w:val="22"/>
        </w:rPr>
      </w:pPr>
      <w:r>
        <w:t>29.</w:t>
      </w:r>
      <w:r>
        <w:tab/>
        <w:t>Remission of penalty tax</w:t>
      </w:r>
      <w:r>
        <w:tab/>
      </w:r>
      <w:r>
        <w:fldChar w:fldCharType="begin"/>
      </w:r>
      <w:r>
        <w:instrText xml:space="preserve"> PAGEREF _Toc390071556 \h </w:instrText>
      </w:r>
      <w:r>
        <w:fldChar w:fldCharType="separate"/>
      </w:r>
      <w:r>
        <w:t>18</w:t>
      </w:r>
      <w:r>
        <w:fldChar w:fldCharType="end"/>
      </w:r>
    </w:p>
    <w:p>
      <w:pPr>
        <w:pStyle w:val="TOC8"/>
        <w:rPr>
          <w:rFonts w:asciiTheme="minorHAnsi" w:eastAsiaTheme="minorEastAsia" w:hAnsiTheme="minorHAnsi" w:cstheme="minorBidi"/>
          <w:szCs w:val="22"/>
        </w:rPr>
      </w:pPr>
      <w:r>
        <w:t>30.</w:t>
      </w:r>
      <w:r>
        <w:tab/>
        <w:t>Guidelines for imposing penalty tax</w:t>
      </w:r>
      <w:r>
        <w:tab/>
      </w:r>
      <w:r>
        <w:fldChar w:fldCharType="begin"/>
      </w:r>
      <w:r>
        <w:instrText xml:space="preserve"> PAGEREF _Toc390071557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4 — Objections and review proceedings</w:t>
      </w:r>
    </w:p>
    <w:p>
      <w:pPr>
        <w:pStyle w:val="TOC4"/>
        <w:tabs>
          <w:tab w:val="right" w:leader="dot" w:pos="7086"/>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_Toc390071560 \h </w:instrText>
      </w:r>
      <w:r>
        <w:fldChar w:fldCharType="separate"/>
      </w:r>
      <w:r>
        <w:t>20</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_Toc390071561 \h </w:instrText>
      </w:r>
      <w:r>
        <w:fldChar w:fldCharType="separate"/>
      </w:r>
      <w:r>
        <w:t>20</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_Toc390071562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_Toc390071564 \h </w:instrText>
      </w:r>
      <w:r>
        <w:fldChar w:fldCharType="separate"/>
      </w:r>
      <w:r>
        <w:t>21</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_Toc390071565 \h </w:instrText>
      </w:r>
      <w:r>
        <w:fldChar w:fldCharType="separate"/>
      </w:r>
      <w:r>
        <w:t>22</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_Toc390071566 \h </w:instrText>
      </w:r>
      <w:r>
        <w:fldChar w:fldCharType="separate"/>
      </w:r>
      <w:r>
        <w:t>22</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_Toc390071567 \h </w:instrText>
      </w:r>
      <w:r>
        <w:fldChar w:fldCharType="separate"/>
      </w:r>
      <w:r>
        <w:t>23</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_Toc390071568 \h </w:instrText>
      </w:r>
      <w:r>
        <w:fldChar w:fldCharType="separate"/>
      </w:r>
      <w:r>
        <w:t>24</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_Toc390071569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Right of review</w:t>
      </w:r>
      <w:r>
        <w:tab/>
      </w:r>
      <w:r>
        <w:fldChar w:fldCharType="begin"/>
      </w:r>
      <w:r>
        <w:instrText xml:space="preserve"> PAGEREF _Toc390071571 \h </w:instrText>
      </w:r>
      <w:r>
        <w:fldChar w:fldCharType="separate"/>
      </w:r>
      <w:r>
        <w:t>26</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_Toc390071572 \h </w:instrText>
      </w:r>
      <w:r>
        <w:fldChar w:fldCharType="separate"/>
      </w:r>
      <w:r>
        <w:t>26</w:t>
      </w:r>
      <w:r>
        <w:fldChar w:fldCharType="end"/>
      </w:r>
    </w:p>
    <w:p>
      <w:pPr>
        <w:pStyle w:val="TOC8"/>
        <w:rPr>
          <w:rFonts w:asciiTheme="minorHAnsi" w:eastAsiaTheme="minorEastAsia" w:hAnsiTheme="minorHAnsi" w:cstheme="minorBidi"/>
          <w:szCs w:val="22"/>
        </w:rPr>
      </w:pPr>
      <w:r>
        <w:t>43.</w:t>
      </w:r>
      <w:r>
        <w:tab/>
        <w:t>Proceedings before State Administrative Tribunal</w:t>
      </w:r>
      <w:r>
        <w:tab/>
      </w:r>
      <w:r>
        <w:fldChar w:fldCharType="begin"/>
      </w:r>
      <w:r>
        <w:instrText xml:space="preserve"> PAGEREF _Toc390071573 \h </w:instrText>
      </w:r>
      <w:r>
        <w:fldChar w:fldCharType="separate"/>
      </w:r>
      <w:r>
        <w:t>27</w:t>
      </w:r>
      <w:r>
        <w:fldChar w:fldCharType="end"/>
      </w:r>
    </w:p>
    <w:p>
      <w:pPr>
        <w:pStyle w:val="TOC8"/>
        <w:rPr>
          <w:rFonts w:asciiTheme="minorHAnsi" w:eastAsiaTheme="minorEastAsia" w:hAnsiTheme="minorHAnsi" w:cstheme="minorBidi"/>
          <w:szCs w:val="22"/>
        </w:rPr>
      </w:pPr>
      <w:r>
        <w:t>43A.</w:t>
      </w:r>
      <w:r>
        <w:tab/>
        <w:t>Appeal from decision of State Administrative Tribunal</w:t>
      </w:r>
      <w:r>
        <w:tab/>
      </w:r>
      <w:r>
        <w:fldChar w:fldCharType="begin"/>
      </w:r>
      <w:r>
        <w:instrText xml:space="preserve"> PAGEREF _Toc390071574 \h </w:instrText>
      </w:r>
      <w:r>
        <w:fldChar w:fldCharType="separate"/>
      </w:r>
      <w:r>
        <w:t>30</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_Toc390071575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5 — Payment and refund of tax</w:t>
      </w:r>
    </w:p>
    <w:p>
      <w:pPr>
        <w:pStyle w:val="TOC4"/>
        <w:tabs>
          <w:tab w:val="right" w:leader="dot" w:pos="7086"/>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_Toc390071578 \h </w:instrText>
      </w:r>
      <w:r>
        <w:fldChar w:fldCharType="separate"/>
      </w:r>
      <w:r>
        <w:t>31</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_Toc390071579 \h </w:instrText>
      </w:r>
      <w:r>
        <w:fldChar w:fldCharType="separate"/>
      </w:r>
      <w:r>
        <w:t>31</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_Toc390071580 \h </w:instrText>
      </w:r>
      <w:r>
        <w:fldChar w:fldCharType="separate"/>
      </w:r>
      <w:r>
        <w:t>31</w:t>
      </w:r>
      <w:r>
        <w:fldChar w:fldCharType="end"/>
      </w:r>
    </w:p>
    <w:p>
      <w:pPr>
        <w:pStyle w:val="TOC8"/>
        <w:rPr>
          <w:rFonts w:asciiTheme="minorHAnsi" w:eastAsiaTheme="minorEastAsia" w:hAnsiTheme="minorHAnsi" w:cstheme="minorBidi"/>
          <w:szCs w:val="22"/>
        </w:rPr>
      </w:pPr>
      <w:r>
        <w:t>48.</w:t>
      </w:r>
      <w:r>
        <w:tab/>
        <w:t>No action to compel approval of tax payment arrangement</w:t>
      </w:r>
      <w:r>
        <w:tab/>
      </w:r>
      <w:r>
        <w:fldChar w:fldCharType="begin"/>
      </w:r>
      <w:r>
        <w:instrText xml:space="preserve"> PAGEREF _Toc390071581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_Toc390071583 \h </w:instrText>
      </w:r>
      <w:r>
        <w:fldChar w:fldCharType="separate"/>
      </w:r>
      <w:r>
        <w:t>33</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_Toc390071584 \h </w:instrText>
      </w:r>
      <w:r>
        <w:fldChar w:fldCharType="separate"/>
      </w:r>
      <w:r>
        <w:t>33</w:t>
      </w:r>
      <w:r>
        <w:fldChar w:fldCharType="end"/>
      </w:r>
    </w:p>
    <w:p>
      <w:pPr>
        <w:pStyle w:val="TOC8"/>
        <w:rPr>
          <w:rFonts w:asciiTheme="minorHAnsi" w:eastAsiaTheme="minorEastAsia" w:hAnsiTheme="minorHAnsi" w:cstheme="minorBidi"/>
          <w:szCs w:val="22"/>
        </w:rPr>
      </w:pPr>
      <w:r>
        <w:t>51.</w:t>
      </w:r>
      <w:r>
        <w:tab/>
        <w:t>Improper endorsement or certification of an instrument</w:t>
      </w:r>
      <w:r>
        <w:tab/>
      </w:r>
      <w:r>
        <w:fldChar w:fldCharType="begin"/>
      </w:r>
      <w:r>
        <w:instrText xml:space="preserve"> PAGEREF _Toc390071585 \h </w:instrText>
      </w:r>
      <w:r>
        <w:fldChar w:fldCharType="separate"/>
      </w:r>
      <w:r>
        <w:t>34</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_Toc390071586 \h </w:instrText>
      </w:r>
      <w:r>
        <w:fldChar w:fldCharType="separate"/>
      </w:r>
      <w:r>
        <w:t>35</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_Toc390071587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Power to make refund</w:t>
      </w:r>
      <w:r>
        <w:tab/>
      </w:r>
      <w:r>
        <w:fldChar w:fldCharType="begin"/>
      </w:r>
      <w:r>
        <w:instrText xml:space="preserve"> PAGEREF _Toc390071589 \h </w:instrText>
      </w:r>
      <w:r>
        <w:fldChar w:fldCharType="separate"/>
      </w:r>
      <w:r>
        <w:t>36</w:t>
      </w:r>
      <w:r>
        <w:fldChar w:fldCharType="end"/>
      </w:r>
    </w:p>
    <w:p>
      <w:pPr>
        <w:pStyle w:val="TOC8"/>
        <w:rPr>
          <w:rFonts w:asciiTheme="minorHAnsi" w:eastAsiaTheme="minorEastAsia" w:hAnsiTheme="minorHAnsi" w:cstheme="minorBidi"/>
          <w:szCs w:val="22"/>
        </w:rPr>
      </w:pPr>
      <w:r>
        <w:t>55A.</w:t>
      </w:r>
      <w:r>
        <w:tab/>
        <w:t>Unused credit</w:t>
      </w:r>
      <w:r>
        <w:tab/>
      </w:r>
      <w:r>
        <w:fldChar w:fldCharType="begin"/>
      </w:r>
      <w:r>
        <w:instrText xml:space="preserve"> PAGEREF _Toc390071590 \h </w:instrText>
      </w:r>
      <w:r>
        <w:fldChar w:fldCharType="separate"/>
      </w:r>
      <w:r>
        <w:t>37</w:t>
      </w:r>
      <w:r>
        <w:fldChar w:fldCharType="end"/>
      </w:r>
    </w:p>
    <w:p>
      <w:pPr>
        <w:pStyle w:val="TOC8"/>
        <w:rPr>
          <w:rFonts w:asciiTheme="minorHAnsi" w:eastAsiaTheme="minorEastAsia" w:hAnsiTheme="minorHAnsi" w:cstheme="minorBidi"/>
          <w:szCs w:val="22"/>
        </w:rPr>
      </w:pPr>
      <w:r>
        <w:t>55.</w:t>
      </w:r>
      <w:r>
        <w:tab/>
        <w:t>Refund to be passed on in certain cases</w:t>
      </w:r>
      <w:r>
        <w:tab/>
      </w:r>
      <w:r>
        <w:fldChar w:fldCharType="begin"/>
      </w:r>
      <w:r>
        <w:instrText xml:space="preserve"> PAGEREF _Toc390071591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Waiver of tax</w:t>
      </w:r>
      <w:r>
        <w:tab/>
      </w:r>
      <w:r>
        <w:fldChar w:fldCharType="begin"/>
      </w:r>
      <w:r>
        <w:instrText xml:space="preserve"> PAGEREF _Toc390071593 \h </w:instrText>
      </w:r>
      <w:r>
        <w:fldChar w:fldCharType="separate"/>
      </w:r>
      <w:r>
        <w:t>39</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_Toc390071594 \h </w:instrText>
      </w:r>
      <w:r>
        <w:fldChar w:fldCharType="separate"/>
      </w:r>
      <w:r>
        <w:t>39</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_Toc390071595 \h </w:instrText>
      </w:r>
      <w:r>
        <w:fldChar w:fldCharType="separate"/>
      </w:r>
      <w:r>
        <w:t>40</w:t>
      </w:r>
      <w:r>
        <w:fldChar w:fldCharType="end"/>
      </w:r>
    </w:p>
    <w:p>
      <w:pPr>
        <w:pStyle w:val="TOC8"/>
        <w:rPr>
          <w:rFonts w:asciiTheme="minorHAnsi" w:eastAsiaTheme="minorEastAsia" w:hAnsiTheme="minorHAnsi" w:cstheme="minorBidi"/>
          <w:szCs w:val="22"/>
        </w:rPr>
      </w:pPr>
      <w:r>
        <w:t>59.</w:t>
      </w:r>
      <w:r>
        <w:tab/>
        <w:t>No action to compel waiver or writing off</w:t>
      </w:r>
      <w:r>
        <w:tab/>
      </w:r>
      <w:r>
        <w:fldChar w:fldCharType="begin"/>
      </w:r>
      <w:r>
        <w:instrText xml:space="preserve"> PAGEREF _Toc390071596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6 — Recovery of tax</w:t>
      </w:r>
    </w:p>
    <w:p>
      <w:pPr>
        <w:pStyle w:val="TOC4"/>
        <w:tabs>
          <w:tab w:val="right" w:leader="dot" w:pos="7086"/>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_Toc390071599 \h </w:instrText>
      </w:r>
      <w:r>
        <w:fldChar w:fldCharType="separate"/>
      </w:r>
      <w:r>
        <w:t>41</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_Toc390071600 \h </w:instrText>
      </w:r>
      <w:r>
        <w:fldChar w:fldCharType="separate"/>
      </w:r>
      <w:r>
        <w:t>41</w:t>
      </w:r>
      <w:r>
        <w:fldChar w:fldCharType="end"/>
      </w:r>
    </w:p>
    <w:p>
      <w:pPr>
        <w:pStyle w:val="TOC8"/>
        <w:rPr>
          <w:rFonts w:asciiTheme="minorHAnsi" w:eastAsiaTheme="minorEastAsia" w:hAnsiTheme="minorHAnsi" w:cstheme="minorBidi"/>
          <w:szCs w:val="22"/>
        </w:rPr>
      </w:pPr>
      <w:r>
        <w:t>62.</w:t>
      </w:r>
      <w:r>
        <w:tab/>
        <w:t>Recovery of costs and interest</w:t>
      </w:r>
      <w:r>
        <w:tab/>
      </w:r>
      <w:r>
        <w:fldChar w:fldCharType="begin"/>
      </w:r>
      <w:r>
        <w:instrText xml:space="preserve"> PAGEREF _Toc390071601 \h </w:instrText>
      </w:r>
      <w:r>
        <w:fldChar w:fldCharType="separate"/>
      </w:r>
      <w:r>
        <w:t>41</w:t>
      </w:r>
      <w:r>
        <w:fldChar w:fldCharType="end"/>
      </w:r>
    </w:p>
    <w:p>
      <w:pPr>
        <w:pStyle w:val="TOC8"/>
        <w:rPr>
          <w:rFonts w:asciiTheme="minorHAnsi" w:eastAsiaTheme="minorEastAsia" w:hAnsiTheme="minorHAnsi" w:cstheme="minorBidi"/>
          <w:szCs w:val="22"/>
        </w:rPr>
      </w:pPr>
      <w:r>
        <w:t>63.</w:t>
      </w:r>
      <w:r>
        <w:tab/>
        <w:t>Recovery of tax in cases of joint liability</w:t>
      </w:r>
      <w:r>
        <w:tab/>
      </w:r>
      <w:r>
        <w:fldChar w:fldCharType="begin"/>
      </w:r>
      <w:r>
        <w:instrText xml:space="preserve"> PAGEREF _Toc390071602 \h </w:instrText>
      </w:r>
      <w:r>
        <w:fldChar w:fldCharType="separate"/>
      </w:r>
      <w:r>
        <w:t>41</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_Toc390071603 \h </w:instrText>
      </w:r>
      <w:r>
        <w:fldChar w:fldCharType="separate"/>
      </w:r>
      <w:r>
        <w:t>42</w:t>
      </w:r>
      <w:r>
        <w:fldChar w:fldCharType="end"/>
      </w:r>
    </w:p>
    <w:p>
      <w:pPr>
        <w:pStyle w:val="TOC8"/>
        <w:rPr>
          <w:rFonts w:asciiTheme="minorHAnsi" w:eastAsiaTheme="minorEastAsia" w:hAnsiTheme="minorHAnsi" w:cstheme="minorBidi"/>
          <w:szCs w:val="22"/>
        </w:rPr>
      </w:pPr>
      <w:r>
        <w:t>65.</w:t>
      </w:r>
      <w:r>
        <w:tab/>
        <w:t>Power to garnishee</w:t>
      </w:r>
      <w:r>
        <w:tab/>
      </w:r>
      <w:r>
        <w:fldChar w:fldCharType="begin"/>
      </w:r>
      <w:r>
        <w:instrText xml:space="preserve"> PAGEREF _Toc390071604 \h </w:instrText>
      </w:r>
      <w:r>
        <w:fldChar w:fldCharType="separate"/>
      </w:r>
      <w:r>
        <w:t>42</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_Toc390071605 \h </w:instrText>
      </w:r>
      <w:r>
        <w:fldChar w:fldCharType="separate"/>
      </w:r>
      <w:r>
        <w:t>44</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_Toc390071606 \h </w:instrText>
      </w:r>
      <w:r>
        <w:fldChar w:fldCharType="separate"/>
      </w:r>
      <w:r>
        <w:t>44</w:t>
      </w:r>
      <w:r>
        <w:fldChar w:fldCharType="end"/>
      </w:r>
    </w:p>
    <w:p>
      <w:pPr>
        <w:pStyle w:val="TOC8"/>
        <w:rPr>
          <w:rFonts w:asciiTheme="minorHAnsi" w:eastAsiaTheme="minorEastAsia" w:hAnsiTheme="minorHAnsi" w:cstheme="minorBidi"/>
          <w:szCs w:val="22"/>
        </w:rPr>
      </w:pPr>
      <w:r>
        <w:t>68.</w:t>
      </w:r>
      <w:r>
        <w:tab/>
        <w:t>Director of body corporate may apply</w:t>
      </w:r>
      <w:r>
        <w:tab/>
      </w:r>
      <w:r>
        <w:fldChar w:fldCharType="begin"/>
      </w:r>
      <w:r>
        <w:instrText xml:space="preserve"> PAGEREF _Toc390071607 \h </w:instrText>
      </w:r>
      <w:r>
        <w:fldChar w:fldCharType="separate"/>
      </w:r>
      <w:r>
        <w:t>46</w:t>
      </w:r>
      <w:r>
        <w:fldChar w:fldCharType="end"/>
      </w:r>
    </w:p>
    <w:p>
      <w:pPr>
        <w:pStyle w:val="TOC8"/>
        <w:rPr>
          <w:rFonts w:asciiTheme="minorHAnsi" w:eastAsiaTheme="minorEastAsia" w:hAnsiTheme="minorHAnsi" w:cstheme="minorBidi"/>
          <w:szCs w:val="22"/>
        </w:rPr>
      </w:pPr>
      <w:r>
        <w:t>69.</w:t>
      </w:r>
      <w:r>
        <w:tab/>
        <w:t>Determination of application where there is a dispute</w:t>
      </w:r>
      <w:r>
        <w:tab/>
      </w:r>
      <w:r>
        <w:fldChar w:fldCharType="begin"/>
      </w:r>
      <w:r>
        <w:instrText xml:space="preserve"> PAGEREF _Toc390071608 \h </w:instrText>
      </w:r>
      <w:r>
        <w:fldChar w:fldCharType="separate"/>
      </w:r>
      <w:r>
        <w:t>46</w:t>
      </w:r>
      <w:r>
        <w:fldChar w:fldCharType="end"/>
      </w:r>
    </w:p>
    <w:p>
      <w:pPr>
        <w:pStyle w:val="TOC8"/>
        <w:rPr>
          <w:rFonts w:asciiTheme="minorHAnsi" w:eastAsiaTheme="minorEastAsia" w:hAnsiTheme="minorHAnsi" w:cstheme="minorBidi"/>
          <w:szCs w:val="22"/>
        </w:rPr>
      </w:pPr>
      <w:r>
        <w:t>70.</w:t>
      </w:r>
      <w:r>
        <w:tab/>
        <w:t>Setting aside demand on other grounds</w:t>
      </w:r>
      <w:r>
        <w:tab/>
      </w:r>
      <w:r>
        <w:fldChar w:fldCharType="begin"/>
      </w:r>
      <w:r>
        <w:instrText xml:space="preserve"> PAGEREF _Toc390071609 \h </w:instrText>
      </w:r>
      <w:r>
        <w:fldChar w:fldCharType="separate"/>
      </w:r>
      <w:r>
        <w:t>47</w:t>
      </w:r>
      <w:r>
        <w:fldChar w:fldCharType="end"/>
      </w:r>
    </w:p>
    <w:p>
      <w:pPr>
        <w:pStyle w:val="TOC8"/>
        <w:rPr>
          <w:rFonts w:asciiTheme="minorHAnsi" w:eastAsiaTheme="minorEastAsia" w:hAnsiTheme="minorHAnsi" w:cstheme="minorBidi"/>
          <w:szCs w:val="22"/>
        </w:rPr>
      </w:pPr>
      <w:r>
        <w:t>71.</w:t>
      </w:r>
      <w:r>
        <w:tab/>
        <w:t>Effect of order setting aside notice</w:t>
      </w:r>
      <w:r>
        <w:tab/>
      </w:r>
      <w:r>
        <w:fldChar w:fldCharType="begin"/>
      </w:r>
      <w:r>
        <w:instrText xml:space="preserve"> PAGEREF _Toc390071610 \h </w:instrText>
      </w:r>
      <w:r>
        <w:fldChar w:fldCharType="separate"/>
      </w:r>
      <w:r>
        <w:t>47</w:t>
      </w:r>
      <w:r>
        <w:fldChar w:fldCharType="end"/>
      </w:r>
    </w:p>
    <w:p>
      <w:pPr>
        <w:pStyle w:val="TOC8"/>
        <w:rPr>
          <w:rFonts w:asciiTheme="minorHAnsi" w:eastAsiaTheme="minorEastAsia" w:hAnsiTheme="minorHAnsi" w:cstheme="minorBidi"/>
          <w:szCs w:val="22"/>
        </w:rPr>
      </w:pPr>
      <w:r>
        <w:t>72.</w:t>
      </w:r>
      <w:r>
        <w:tab/>
        <w:t>Dismissal of application</w:t>
      </w:r>
      <w:r>
        <w:tab/>
      </w:r>
      <w:r>
        <w:fldChar w:fldCharType="begin"/>
      </w:r>
      <w:r>
        <w:instrText xml:space="preserve"> PAGEREF _Toc390071611 \h </w:instrText>
      </w:r>
      <w:r>
        <w:fldChar w:fldCharType="separate"/>
      </w:r>
      <w:r>
        <w:t>47</w:t>
      </w:r>
      <w:r>
        <w:fldChar w:fldCharType="end"/>
      </w:r>
    </w:p>
    <w:p>
      <w:pPr>
        <w:pStyle w:val="TOC8"/>
        <w:rPr>
          <w:rFonts w:asciiTheme="minorHAnsi" w:eastAsiaTheme="minorEastAsia" w:hAnsiTheme="minorHAnsi" w:cstheme="minorBidi"/>
          <w:szCs w:val="22"/>
        </w:rPr>
      </w:pPr>
      <w:r>
        <w:t>73.</w:t>
      </w:r>
      <w:r>
        <w:tab/>
        <w:t>Order subject to conditions</w:t>
      </w:r>
      <w:r>
        <w:tab/>
      </w:r>
      <w:r>
        <w:fldChar w:fldCharType="begin"/>
      </w:r>
      <w:r>
        <w:instrText xml:space="preserve"> PAGEREF _Toc390071612 \h </w:instrText>
      </w:r>
      <w:r>
        <w:fldChar w:fldCharType="separate"/>
      </w:r>
      <w:r>
        <w:t>47</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_Toc390071613 \h </w:instrText>
      </w:r>
      <w:r>
        <w:fldChar w:fldCharType="separate"/>
      </w:r>
      <w:r>
        <w:t>48</w:t>
      </w:r>
      <w:r>
        <w:fldChar w:fldCharType="end"/>
      </w:r>
    </w:p>
    <w:p>
      <w:pPr>
        <w:pStyle w:val="TOC8"/>
        <w:rPr>
          <w:rFonts w:asciiTheme="minorHAnsi" w:eastAsiaTheme="minorEastAsia" w:hAnsiTheme="minorHAnsi" w:cstheme="minorBidi"/>
          <w:szCs w:val="22"/>
        </w:rPr>
      </w:pPr>
      <w:r>
        <w:t>75.</w:t>
      </w:r>
      <w:r>
        <w:tab/>
        <w:t>Period of remedying default</w:t>
      </w:r>
      <w:r>
        <w:tab/>
      </w:r>
      <w:r>
        <w:fldChar w:fldCharType="begin"/>
      </w:r>
      <w:r>
        <w:instrText xml:space="preserve"> PAGEREF _Toc390071614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76A.</w:t>
      </w:r>
      <w:r>
        <w:tab/>
        <w:t>Meaning of terms used in this Division</w:t>
      </w:r>
      <w:r>
        <w:tab/>
      </w:r>
      <w:r>
        <w:fldChar w:fldCharType="begin"/>
      </w:r>
      <w:r>
        <w:instrText xml:space="preserve"> PAGEREF _Toc390071616 \h </w:instrText>
      </w:r>
      <w:r>
        <w:fldChar w:fldCharType="separate"/>
      </w:r>
      <w:r>
        <w:t>48</w:t>
      </w:r>
      <w:r>
        <w:fldChar w:fldCharType="end"/>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_Toc390071617 \h </w:instrText>
      </w:r>
      <w:r>
        <w:fldChar w:fldCharType="separate"/>
      </w:r>
      <w:r>
        <w:t>49</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_Toc390071618 \h </w:instrText>
      </w:r>
      <w:r>
        <w:fldChar w:fldCharType="separate"/>
      </w:r>
      <w:r>
        <w:t>50</w:t>
      </w:r>
      <w:r>
        <w:fldChar w:fldCharType="end"/>
      </w:r>
    </w:p>
    <w:p>
      <w:pPr>
        <w:pStyle w:val="TOC8"/>
        <w:rPr>
          <w:rFonts w:asciiTheme="minorHAnsi" w:eastAsiaTheme="minorEastAsia" w:hAnsiTheme="minorHAnsi" w:cstheme="minorBidi"/>
          <w:szCs w:val="22"/>
        </w:rPr>
      </w:pPr>
      <w:r>
        <w:t>77A.</w:t>
      </w:r>
      <w:r>
        <w:tab/>
        <w:t>Charge on land to secure transfer duty or landholder duty</w:t>
      </w:r>
      <w:r>
        <w:tab/>
      </w:r>
      <w:r>
        <w:fldChar w:fldCharType="begin"/>
      </w:r>
      <w:r>
        <w:instrText xml:space="preserve"> PAGEREF _Toc390071619 \h </w:instrText>
      </w:r>
      <w:r>
        <w:fldChar w:fldCharType="separate"/>
      </w:r>
      <w:r>
        <w:t>52</w:t>
      </w:r>
      <w:r>
        <w:fldChar w:fldCharType="end"/>
      </w:r>
    </w:p>
    <w:p>
      <w:pPr>
        <w:pStyle w:val="TOC8"/>
        <w:rPr>
          <w:rFonts w:asciiTheme="minorHAnsi" w:eastAsiaTheme="minorEastAsia" w:hAnsiTheme="minorHAnsi" w:cstheme="minorBidi"/>
          <w:szCs w:val="22"/>
        </w:rPr>
      </w:pPr>
      <w:r>
        <w:t>78.</w:t>
      </w:r>
      <w:r>
        <w:tab/>
        <w:t>Charge on subsequent mining tenement</w:t>
      </w:r>
      <w:r>
        <w:tab/>
      </w:r>
      <w:r>
        <w:fldChar w:fldCharType="begin"/>
      </w:r>
      <w:r>
        <w:instrText xml:space="preserve"> PAGEREF _Toc390071620 \h </w:instrText>
      </w:r>
      <w:r>
        <w:fldChar w:fldCharType="separate"/>
      </w:r>
      <w:r>
        <w:t>53</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_Toc390071621 \h </w:instrText>
      </w:r>
      <w:r>
        <w:fldChar w:fldCharType="separate"/>
      </w:r>
      <w:r>
        <w:t>54</w:t>
      </w:r>
      <w:r>
        <w:fldChar w:fldCharType="end"/>
      </w:r>
    </w:p>
    <w:p>
      <w:pPr>
        <w:pStyle w:val="TOC8"/>
        <w:rPr>
          <w:rFonts w:asciiTheme="minorHAnsi" w:eastAsiaTheme="minorEastAsia" w:hAnsiTheme="minorHAnsi" w:cstheme="minorBidi"/>
          <w:szCs w:val="22"/>
        </w:rPr>
      </w:pPr>
      <w:r>
        <w:t>80.</w:t>
      </w:r>
      <w:r>
        <w:tab/>
        <w:t>Certificate of land tax secured by charge</w:t>
      </w:r>
      <w:r>
        <w:tab/>
      </w:r>
      <w:r>
        <w:fldChar w:fldCharType="begin"/>
      </w:r>
      <w:r>
        <w:instrText xml:space="preserve"> PAGEREF _Toc390071622 \h </w:instrText>
      </w:r>
      <w:r>
        <w:fldChar w:fldCharType="separate"/>
      </w:r>
      <w:r>
        <w:t>54</w:t>
      </w:r>
      <w:r>
        <w:fldChar w:fldCharType="end"/>
      </w:r>
    </w:p>
    <w:p>
      <w:pPr>
        <w:pStyle w:val="TOC8"/>
        <w:rPr>
          <w:rFonts w:asciiTheme="minorHAnsi" w:eastAsiaTheme="minorEastAsia" w:hAnsiTheme="minorHAnsi" w:cstheme="minorBidi"/>
          <w:szCs w:val="22"/>
        </w:rPr>
      </w:pPr>
      <w:r>
        <w:t>81.</w:t>
      </w:r>
      <w:r>
        <w:tab/>
        <w:t>Withdrawal of memorial to be given when tax paid</w:t>
      </w:r>
      <w:r>
        <w:tab/>
      </w:r>
      <w:r>
        <w:fldChar w:fldCharType="begin"/>
      </w:r>
      <w:r>
        <w:instrText xml:space="preserve"> PAGEREF _Toc390071623 \h </w:instrText>
      </w:r>
      <w:r>
        <w:fldChar w:fldCharType="separate"/>
      </w:r>
      <w:r>
        <w:t>55</w:t>
      </w:r>
      <w:r>
        <w:fldChar w:fldCharType="end"/>
      </w:r>
    </w:p>
    <w:p>
      <w:pPr>
        <w:pStyle w:val="TOC8"/>
        <w:rPr>
          <w:rFonts w:asciiTheme="minorHAnsi" w:eastAsiaTheme="minorEastAsia" w:hAnsiTheme="minorHAnsi" w:cstheme="minorBidi"/>
          <w:szCs w:val="22"/>
        </w:rPr>
      </w:pPr>
      <w:r>
        <w:t>82.</w:t>
      </w:r>
      <w:r>
        <w:tab/>
        <w:t>Memorials affecting TLA land or real property</w:t>
      </w:r>
      <w:r>
        <w:tab/>
      </w:r>
      <w:r>
        <w:fldChar w:fldCharType="begin"/>
      </w:r>
      <w:r>
        <w:instrText xml:space="preserve"> PAGEREF _Toc390071624 \h </w:instrText>
      </w:r>
      <w:r>
        <w:fldChar w:fldCharType="separate"/>
      </w:r>
      <w:r>
        <w:t>56</w:t>
      </w:r>
      <w:r>
        <w:fldChar w:fldCharType="end"/>
      </w:r>
    </w:p>
    <w:p>
      <w:pPr>
        <w:pStyle w:val="TOC8"/>
        <w:rPr>
          <w:rFonts w:asciiTheme="minorHAnsi" w:eastAsiaTheme="minorEastAsia" w:hAnsiTheme="minorHAnsi" w:cstheme="minorBidi"/>
          <w:szCs w:val="22"/>
        </w:rPr>
      </w:pPr>
      <w:r>
        <w:t>83.</w:t>
      </w:r>
      <w:r>
        <w:tab/>
        <w:t>Memorials affecting mining tenements</w:t>
      </w:r>
      <w:r>
        <w:tab/>
      </w:r>
      <w:r>
        <w:fldChar w:fldCharType="begin"/>
      </w:r>
      <w:r>
        <w:instrText xml:space="preserve"> PAGEREF _Toc390071625 \h </w:instrText>
      </w:r>
      <w:r>
        <w:fldChar w:fldCharType="separate"/>
      </w:r>
      <w:r>
        <w:t>57</w:t>
      </w:r>
      <w:r>
        <w:fldChar w:fldCharType="end"/>
      </w:r>
    </w:p>
    <w:p>
      <w:pPr>
        <w:pStyle w:val="TOC8"/>
        <w:rPr>
          <w:rFonts w:asciiTheme="minorHAnsi" w:eastAsiaTheme="minorEastAsia" w:hAnsiTheme="minorHAnsi" w:cstheme="minorBidi"/>
          <w:szCs w:val="22"/>
        </w:rPr>
      </w:pPr>
      <w:r>
        <w:t>84.</w:t>
      </w:r>
      <w:r>
        <w:tab/>
        <w:t>Notification of mortgagees</w:t>
      </w:r>
      <w:r>
        <w:tab/>
      </w:r>
      <w:r>
        <w:fldChar w:fldCharType="begin"/>
      </w:r>
      <w:r>
        <w:instrText xml:space="preserve"> PAGEREF _Toc390071626 \h </w:instrText>
      </w:r>
      <w:r>
        <w:fldChar w:fldCharType="separate"/>
      </w:r>
      <w:r>
        <w:t>57</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_Toc390071627 \h </w:instrText>
      </w:r>
      <w:r>
        <w:fldChar w:fldCharType="separate"/>
      </w:r>
      <w:r>
        <w:t>57</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_Toc390071628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are to be kept</w:t>
      </w:r>
      <w:r>
        <w:tab/>
      </w:r>
      <w:r>
        <w:fldChar w:fldCharType="begin"/>
      </w:r>
      <w:r>
        <w:instrText xml:space="preserve"> PAGEREF _Toc390071630 \h </w:instrText>
      </w:r>
      <w:r>
        <w:fldChar w:fldCharType="separate"/>
      </w:r>
      <w:r>
        <w:t>60</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_Toc390071631 \h </w:instrText>
      </w:r>
      <w:r>
        <w:fldChar w:fldCharType="separate"/>
      </w:r>
      <w:r>
        <w:t>60</w:t>
      </w:r>
      <w:r>
        <w:fldChar w:fldCharType="end"/>
      </w:r>
    </w:p>
    <w:p>
      <w:pPr>
        <w:pStyle w:val="TOC8"/>
        <w:rPr>
          <w:rFonts w:asciiTheme="minorHAnsi" w:eastAsiaTheme="minorEastAsia" w:hAnsiTheme="minorHAnsi" w:cstheme="minorBidi"/>
          <w:szCs w:val="22"/>
        </w:rPr>
      </w:pPr>
      <w:r>
        <w:t>89.</w:t>
      </w:r>
      <w:r>
        <w:tab/>
        <w:t>Where tax records are to be kept</w:t>
      </w:r>
      <w:r>
        <w:tab/>
      </w:r>
      <w:r>
        <w:fldChar w:fldCharType="begin"/>
      </w:r>
      <w:r>
        <w:instrText xml:space="preserve"> PAGEREF _Toc390071632 \h </w:instrText>
      </w:r>
      <w:r>
        <w:fldChar w:fldCharType="separate"/>
      </w:r>
      <w:r>
        <w:t>61</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_Toc390071633 \h </w:instrText>
      </w:r>
      <w:r>
        <w:fldChar w:fldCharType="separate"/>
      </w:r>
      <w:r>
        <w:t>61</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_Toc390071634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8 — Investigations</w:t>
      </w:r>
    </w:p>
    <w:p>
      <w:pPr>
        <w:pStyle w:val="TOC4"/>
        <w:tabs>
          <w:tab w:val="right" w:leader="dot" w:pos="7086"/>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w:t>
      </w:r>
      <w:r>
        <w:tab/>
      </w:r>
      <w:r>
        <w:fldChar w:fldCharType="begin"/>
      </w:r>
      <w:r>
        <w:instrText xml:space="preserve"> PAGEREF _Toc390071637 \h </w:instrText>
      </w:r>
      <w:r>
        <w:fldChar w:fldCharType="separate"/>
      </w:r>
      <w:r>
        <w:t>63</w:t>
      </w:r>
      <w:r>
        <w:fldChar w:fldCharType="end"/>
      </w:r>
    </w:p>
    <w:p>
      <w:pPr>
        <w:pStyle w:val="TOC8"/>
        <w:rPr>
          <w:rFonts w:asciiTheme="minorHAnsi" w:eastAsiaTheme="minorEastAsia" w:hAnsiTheme="minorHAnsi" w:cstheme="minorBidi"/>
          <w:szCs w:val="22"/>
        </w:rPr>
      </w:pPr>
      <w:r>
        <w:t>93.</w:t>
      </w:r>
      <w:r>
        <w:tab/>
        <w:t>Investigations for the purposes of recognised revenue laws</w:t>
      </w:r>
      <w:r>
        <w:tab/>
      </w:r>
      <w:r>
        <w:fldChar w:fldCharType="begin"/>
      </w:r>
      <w:r>
        <w:instrText xml:space="preserve"> PAGEREF _Toc390071638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Requirements to provide information and tax records</w:t>
      </w:r>
      <w:r>
        <w:tab/>
      </w:r>
      <w:r>
        <w:fldChar w:fldCharType="begin"/>
      </w:r>
      <w:r>
        <w:instrText xml:space="preserve"> PAGEREF _Toc390071640 \h </w:instrText>
      </w:r>
      <w:r>
        <w:fldChar w:fldCharType="separate"/>
      </w:r>
      <w:r>
        <w:t>64</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_Toc390071641 \h </w:instrText>
      </w:r>
      <w:r>
        <w:fldChar w:fldCharType="separate"/>
      </w:r>
      <w:r>
        <w:t>65</w:t>
      </w:r>
      <w:r>
        <w:fldChar w:fldCharType="end"/>
      </w:r>
    </w:p>
    <w:p>
      <w:pPr>
        <w:pStyle w:val="TOC8"/>
        <w:rPr>
          <w:rFonts w:asciiTheme="minorHAnsi" w:eastAsiaTheme="minorEastAsia" w:hAnsiTheme="minorHAnsi" w:cstheme="minorBidi"/>
          <w:szCs w:val="22"/>
        </w:rPr>
      </w:pPr>
      <w:r>
        <w:t>96.</w:t>
      </w:r>
      <w:r>
        <w:tab/>
        <w:t>Power to retain documents</w:t>
      </w:r>
      <w:r>
        <w:tab/>
      </w:r>
      <w:r>
        <w:fldChar w:fldCharType="begin"/>
      </w:r>
      <w:r>
        <w:instrText xml:space="preserve"> PAGEREF _Toc390071642 \h </w:instrText>
      </w:r>
      <w:r>
        <w:fldChar w:fldCharType="separate"/>
      </w:r>
      <w:r>
        <w:t>66</w:t>
      </w:r>
      <w:r>
        <w:fldChar w:fldCharType="end"/>
      </w:r>
    </w:p>
    <w:p>
      <w:pPr>
        <w:pStyle w:val="TOC8"/>
        <w:rPr>
          <w:rFonts w:asciiTheme="minorHAnsi" w:eastAsiaTheme="minorEastAsia" w:hAnsiTheme="minorHAnsi" w:cstheme="minorBidi"/>
          <w:szCs w:val="22"/>
        </w:rPr>
      </w:pPr>
      <w:r>
        <w:t>97.</w:t>
      </w:r>
      <w:r>
        <w:tab/>
        <w:t>Recording examination proceedings</w:t>
      </w:r>
      <w:r>
        <w:tab/>
      </w:r>
      <w:r>
        <w:fldChar w:fldCharType="begin"/>
      </w:r>
      <w:r>
        <w:instrText xml:space="preserve"> PAGEREF _Toc390071643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Entry of premises</w:t>
      </w:r>
      <w:r>
        <w:tab/>
      </w:r>
      <w:r>
        <w:fldChar w:fldCharType="begin"/>
      </w:r>
      <w:r>
        <w:instrText xml:space="preserve"> PAGEREF _Toc390071645 \h </w:instrText>
      </w:r>
      <w:r>
        <w:fldChar w:fldCharType="separate"/>
      </w:r>
      <w:r>
        <w:t>67</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_Toc390071646 \h </w:instrText>
      </w:r>
      <w:r>
        <w:fldChar w:fldCharType="separate"/>
      </w:r>
      <w:r>
        <w:t>68</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_Toc390071647 \h </w:instrText>
      </w:r>
      <w:r>
        <w:fldChar w:fldCharType="separate"/>
      </w:r>
      <w:r>
        <w:t>71</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_Toc390071648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information requirements</w:t>
      </w:r>
      <w:r>
        <w:tab/>
      </w:r>
      <w:r>
        <w:fldChar w:fldCharType="begin"/>
      </w:r>
      <w:r>
        <w:instrText xml:space="preserve"> PAGEREF _Toc390071650 \h </w:instrText>
      </w:r>
      <w:r>
        <w:fldChar w:fldCharType="separate"/>
      </w:r>
      <w:r>
        <w:t>72</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_Toc390071651 \h </w:instrText>
      </w:r>
      <w:r>
        <w:fldChar w:fldCharType="separate"/>
      </w:r>
      <w:r>
        <w:t>72</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_Toc390071652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_Toc390071654 \h </w:instrText>
      </w:r>
      <w:r>
        <w:fldChar w:fldCharType="separate"/>
      </w:r>
      <w:r>
        <w:t>76</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_Toc390071655 \h </w:instrText>
      </w:r>
      <w:r>
        <w:fldChar w:fldCharType="separate"/>
      </w:r>
      <w:r>
        <w:t>76</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_Toc390071656 \h </w:instrText>
      </w:r>
      <w:r>
        <w:fldChar w:fldCharType="separate"/>
      </w:r>
      <w:r>
        <w:t>76</w:t>
      </w:r>
      <w:r>
        <w:fldChar w:fldCharType="end"/>
      </w:r>
    </w:p>
    <w:p>
      <w:pPr>
        <w:pStyle w:val="TOC8"/>
        <w:rPr>
          <w:rFonts w:asciiTheme="minorHAnsi" w:eastAsiaTheme="minorEastAsia" w:hAnsiTheme="minorHAnsi" w:cstheme="minorBidi"/>
          <w:szCs w:val="22"/>
        </w:rPr>
      </w:pPr>
      <w:r>
        <w:t>108.</w:t>
      </w:r>
      <w:r>
        <w:tab/>
        <w:t>Obstructing or misleading an investigator</w:t>
      </w:r>
      <w:r>
        <w:tab/>
      </w:r>
      <w:r>
        <w:fldChar w:fldCharType="begin"/>
      </w:r>
      <w:r>
        <w:instrText xml:space="preserve"> PAGEREF _Toc390071657 \h </w:instrText>
      </w:r>
      <w:r>
        <w:fldChar w:fldCharType="separate"/>
      </w:r>
      <w:r>
        <w:t>77</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_Toc390071658 \h </w:instrText>
      </w:r>
      <w:r>
        <w:fldChar w:fldCharType="separate"/>
      </w:r>
      <w:r>
        <w:t>77</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_Toc390071659 \h </w:instrText>
      </w:r>
      <w:r>
        <w:fldChar w:fldCharType="separate"/>
      </w:r>
      <w:r>
        <w:t>78</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_Toc390071660 \h </w:instrText>
      </w:r>
      <w:r>
        <w:fldChar w:fldCharType="separate"/>
      </w:r>
      <w:r>
        <w:t>78</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_Toc390071661 \h </w:instrText>
      </w:r>
      <w:r>
        <w:fldChar w:fldCharType="separate"/>
      </w:r>
      <w:r>
        <w:t>78</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_Toc390071662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4"/>
        <w:tabs>
          <w:tab w:val="right" w:leader="dot" w:pos="7086"/>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Confidentiality</w:t>
      </w:r>
      <w:r>
        <w:tab/>
      </w:r>
      <w:r>
        <w:fldChar w:fldCharType="begin"/>
      </w:r>
      <w:r>
        <w:instrText xml:space="preserve"> PAGEREF _Toc390071665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the Commissioner</w:t>
      </w:r>
      <w:r>
        <w:tab/>
      </w:r>
      <w:r>
        <w:fldChar w:fldCharType="begin"/>
      </w:r>
      <w:r>
        <w:instrText xml:space="preserve"> PAGEREF _Toc390071667 \h </w:instrText>
      </w:r>
      <w:r>
        <w:fldChar w:fldCharType="separate"/>
      </w:r>
      <w:r>
        <w:t>82</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_Toc390071668 \h </w:instrText>
      </w:r>
      <w:r>
        <w:fldChar w:fldCharType="separate"/>
      </w:r>
      <w:r>
        <w:t>83</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_Toc390071669 \h </w:instrText>
      </w:r>
      <w:r>
        <w:fldChar w:fldCharType="separate"/>
      </w:r>
      <w:r>
        <w:t>83</w:t>
      </w:r>
      <w:r>
        <w:fldChar w:fldCharType="end"/>
      </w:r>
    </w:p>
    <w:p>
      <w:pPr>
        <w:pStyle w:val="TOC8"/>
        <w:rPr>
          <w:rFonts w:asciiTheme="minorHAnsi" w:eastAsiaTheme="minorEastAsia" w:hAnsiTheme="minorHAnsi" w:cstheme="minorBidi"/>
          <w:szCs w:val="22"/>
        </w:rPr>
      </w:pPr>
      <w:r>
        <w:t>118.</w:t>
      </w:r>
      <w:r>
        <w:tab/>
        <w:t>Non</w:t>
      </w:r>
      <w:r>
        <w:noBreakHyphen/>
        <w:t>exclusivity of this Division</w:t>
      </w:r>
      <w:r>
        <w:tab/>
      </w:r>
      <w:r>
        <w:fldChar w:fldCharType="begin"/>
      </w:r>
      <w:r>
        <w:instrText xml:space="preserve"> PAGEREF _Toc390071670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_Toc390071672 \h </w:instrText>
      </w:r>
      <w:r>
        <w:fldChar w:fldCharType="separate"/>
      </w:r>
      <w:r>
        <w:t>84</w:t>
      </w:r>
      <w:r>
        <w:fldChar w:fldCharType="end"/>
      </w:r>
    </w:p>
    <w:p>
      <w:pPr>
        <w:pStyle w:val="TOC8"/>
        <w:rPr>
          <w:rFonts w:asciiTheme="minorHAnsi" w:eastAsiaTheme="minorEastAsia" w:hAnsiTheme="minorHAnsi" w:cstheme="minorBidi"/>
          <w:szCs w:val="22"/>
        </w:rPr>
      </w:pPr>
      <w:r>
        <w:t>120.</w:t>
      </w:r>
      <w:r>
        <w:tab/>
        <w:t>Evidentiary status of copies and reproductions of documents</w:t>
      </w:r>
      <w:r>
        <w:tab/>
      </w:r>
      <w:r>
        <w:fldChar w:fldCharType="begin"/>
      </w:r>
      <w:r>
        <w:instrText xml:space="preserve"> PAGEREF _Toc390071673 \h </w:instrText>
      </w:r>
      <w:r>
        <w:fldChar w:fldCharType="separate"/>
      </w:r>
      <w:r>
        <w:t>85</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_Toc390071674 \h </w:instrText>
      </w:r>
      <w:r>
        <w:fldChar w:fldCharType="separate"/>
      </w:r>
      <w:r>
        <w:t>85</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_Toc390071675 \h </w:instrText>
      </w:r>
      <w:r>
        <w:fldChar w:fldCharType="separate"/>
      </w:r>
      <w:r>
        <w:t>86</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_Toc390071676 \h </w:instrText>
      </w:r>
      <w:r>
        <w:fldChar w:fldCharType="separate"/>
      </w:r>
      <w:r>
        <w:t>86</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_Toc390071677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_Toc390071679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rPr>
      </w:pPr>
      <w:r>
        <w:t>Division 5 — Regulations, practices and forms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_Toc390071681 \h </w:instrText>
      </w:r>
      <w:r>
        <w:fldChar w:fldCharType="separate"/>
      </w:r>
      <w:r>
        <w:t>87</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_Toc390071682 \h </w:instrText>
      </w:r>
      <w:r>
        <w:fldChar w:fldCharType="separate"/>
      </w:r>
      <w:r>
        <w:t>88</w:t>
      </w:r>
      <w:r>
        <w:fldChar w:fldCharType="end"/>
      </w:r>
    </w:p>
    <w:p>
      <w:pPr>
        <w:pStyle w:val="TOC8"/>
        <w:rPr>
          <w:rFonts w:asciiTheme="minorHAnsi" w:eastAsiaTheme="minorEastAsia" w:hAnsiTheme="minorHAnsi" w:cstheme="minorBidi"/>
          <w:szCs w:val="22"/>
        </w:rPr>
      </w:pPr>
      <w:r>
        <w:t>128.</w:t>
      </w:r>
      <w:r>
        <w:tab/>
        <w:t>Forms</w:t>
      </w:r>
      <w:r>
        <w:tab/>
      </w:r>
      <w:r>
        <w:fldChar w:fldCharType="begin"/>
      </w:r>
      <w:r>
        <w:instrText xml:space="preserve"> PAGEREF _Toc390071683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rPr>
      </w:pPr>
      <w:r>
        <w:t>Division 6 — Early operation of certain amendments to taxation Acts</w:t>
      </w:r>
    </w:p>
    <w:p>
      <w:pPr>
        <w:pStyle w:val="TOC8"/>
        <w:rPr>
          <w:rFonts w:asciiTheme="minorHAnsi" w:eastAsiaTheme="minorEastAsia" w:hAnsiTheme="minorHAnsi" w:cstheme="minorBidi"/>
          <w:szCs w:val="22"/>
        </w:rPr>
      </w:pPr>
      <w:r>
        <w:t>129.</w:t>
      </w:r>
      <w:r>
        <w:tab/>
        <w:t>Meaning of terms in this Division</w:t>
      </w:r>
      <w:r>
        <w:tab/>
      </w:r>
      <w:r>
        <w:fldChar w:fldCharType="begin"/>
      </w:r>
      <w:r>
        <w:instrText xml:space="preserve"> PAGEREF _Toc390071685 \h </w:instrText>
      </w:r>
      <w:r>
        <w:fldChar w:fldCharType="separate"/>
      </w:r>
      <w:r>
        <w:t>88</w:t>
      </w:r>
      <w:r>
        <w:fldChar w:fldCharType="end"/>
      </w:r>
    </w:p>
    <w:p>
      <w:pPr>
        <w:pStyle w:val="TOC8"/>
        <w:rPr>
          <w:rFonts w:asciiTheme="minorHAnsi" w:eastAsiaTheme="minorEastAsia" w:hAnsiTheme="minorHAnsi" w:cstheme="minorBidi"/>
          <w:szCs w:val="22"/>
        </w:rPr>
      </w:pPr>
      <w:r>
        <w:t>130.</w:t>
      </w:r>
      <w:r>
        <w:tab/>
        <w:t>Determination of pre</w:t>
      </w:r>
      <w:r>
        <w:noBreakHyphen/>
        <w:t>enactment provisions</w:t>
      </w:r>
      <w:r>
        <w:tab/>
      </w:r>
      <w:r>
        <w:fldChar w:fldCharType="begin"/>
      </w:r>
      <w:r>
        <w:instrText xml:space="preserve"> PAGEREF _Toc390071686 \h </w:instrText>
      </w:r>
      <w:r>
        <w:fldChar w:fldCharType="separate"/>
      </w:r>
      <w:r>
        <w:t>89</w:t>
      </w:r>
      <w:r>
        <w:fldChar w:fldCharType="end"/>
      </w:r>
    </w:p>
    <w:p>
      <w:pPr>
        <w:pStyle w:val="TOC8"/>
        <w:rPr>
          <w:rFonts w:asciiTheme="minorHAnsi" w:eastAsiaTheme="minorEastAsia" w:hAnsiTheme="minorHAnsi" w:cstheme="minorBidi"/>
          <w:szCs w:val="22"/>
        </w:rPr>
      </w:pPr>
      <w:r>
        <w:t>131.</w:t>
      </w:r>
      <w:r>
        <w:tab/>
        <w:t>Duration of determination notice</w:t>
      </w:r>
      <w:r>
        <w:tab/>
      </w:r>
      <w:r>
        <w:fldChar w:fldCharType="begin"/>
      </w:r>
      <w:r>
        <w:instrText xml:space="preserve"> PAGEREF _Toc390071687 \h </w:instrText>
      </w:r>
      <w:r>
        <w:fldChar w:fldCharType="separate"/>
      </w:r>
      <w:r>
        <w:t>90</w:t>
      </w:r>
      <w:r>
        <w:fldChar w:fldCharType="end"/>
      </w:r>
    </w:p>
    <w:p>
      <w:pPr>
        <w:pStyle w:val="TOC8"/>
        <w:rPr>
          <w:rFonts w:asciiTheme="minorHAnsi" w:eastAsiaTheme="minorEastAsia" w:hAnsiTheme="minorHAnsi" w:cstheme="minorBidi"/>
          <w:szCs w:val="22"/>
        </w:rPr>
      </w:pPr>
      <w:r>
        <w:t>132.</w:t>
      </w:r>
      <w:r>
        <w:tab/>
        <w:t>Amendment and replacement of determination notice</w:t>
      </w:r>
      <w:r>
        <w:tab/>
      </w:r>
      <w:r>
        <w:fldChar w:fldCharType="begin"/>
      </w:r>
      <w:r>
        <w:instrText xml:space="preserve"> PAGEREF _Toc390071688 \h </w:instrText>
      </w:r>
      <w:r>
        <w:fldChar w:fldCharType="separate"/>
      </w:r>
      <w:r>
        <w:t>90</w:t>
      </w:r>
      <w:r>
        <w:fldChar w:fldCharType="end"/>
      </w:r>
    </w:p>
    <w:p>
      <w:pPr>
        <w:pStyle w:val="TOC8"/>
        <w:rPr>
          <w:rFonts w:asciiTheme="minorHAnsi" w:eastAsiaTheme="minorEastAsia" w:hAnsiTheme="minorHAnsi" w:cstheme="minorBidi"/>
          <w:szCs w:val="22"/>
        </w:rPr>
      </w:pPr>
      <w:r>
        <w:t>133.</w:t>
      </w:r>
      <w:r>
        <w:tab/>
        <w:t>Effect of pre</w:t>
      </w:r>
      <w:r>
        <w:noBreakHyphen/>
        <w:t>enactment provisions</w:t>
      </w:r>
      <w:r>
        <w:tab/>
      </w:r>
      <w:r>
        <w:fldChar w:fldCharType="begin"/>
      </w:r>
      <w:r>
        <w:instrText xml:space="preserve"> PAGEREF _Toc390071689 \h </w:instrText>
      </w:r>
      <w:r>
        <w:fldChar w:fldCharType="separate"/>
      </w:r>
      <w:r>
        <w:t>91</w:t>
      </w:r>
      <w:r>
        <w:fldChar w:fldCharType="end"/>
      </w:r>
    </w:p>
    <w:p>
      <w:pPr>
        <w:pStyle w:val="TOC8"/>
        <w:rPr>
          <w:rFonts w:asciiTheme="minorHAnsi" w:eastAsiaTheme="minorEastAsia" w:hAnsiTheme="minorHAnsi" w:cstheme="minorBidi"/>
          <w:szCs w:val="22"/>
        </w:rPr>
      </w:pPr>
      <w:r>
        <w:t>134.</w:t>
      </w:r>
      <w:r>
        <w:tab/>
        <w:t>Review of Division</w:t>
      </w:r>
      <w:r>
        <w:tab/>
      </w:r>
      <w:r>
        <w:fldChar w:fldCharType="begin"/>
      </w:r>
      <w:r>
        <w:instrText xml:space="preserve"> PAGEREF _Toc390071690 \h </w:instrText>
      </w:r>
      <w:r>
        <w:fldChar w:fldCharType="separate"/>
      </w:r>
      <w:r>
        <w:t>92</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_Toc390071693 \h </w:instrText>
      </w:r>
      <w:r>
        <w:fldChar w:fldCharType="separate"/>
      </w:r>
      <w:r>
        <w:t>98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_Toc390071694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1" w:name="_Toc390071520"/>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90071521"/>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3" w:name="_Toc390071522"/>
      <w:r>
        <w:rPr>
          <w:rStyle w:val="CharSectno"/>
        </w:rPr>
        <w:t>2</w:t>
      </w:r>
      <w:r>
        <w:rPr>
          <w:snapToGrid w:val="0"/>
        </w:rPr>
        <w:t>.</w:t>
      </w:r>
      <w:r>
        <w:rPr>
          <w:snapToGrid w:val="0"/>
        </w:rPr>
        <w:tab/>
        <w:t>Commencement</w:t>
      </w:r>
      <w:bookmarkEnd w:id="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90071523"/>
      <w:r>
        <w:rPr>
          <w:rStyle w:val="CharSectno"/>
        </w:rPr>
        <w:t>3</w:t>
      </w:r>
      <w:r>
        <w:t>.</w:t>
      </w:r>
      <w:r>
        <w:tab/>
        <w:t>The taxation Acts</w:t>
      </w:r>
      <w:bookmarkEnd w:id="4"/>
    </w:p>
    <w:p>
      <w:pPr>
        <w:pStyle w:val="Subsection"/>
      </w:pPr>
      <w:r>
        <w:tab/>
        <w:t>(1)</w:t>
      </w:r>
      <w:r>
        <w:tab/>
        <w:t>The following enactments are taxation Acts for the purposes of this Act — </w:t>
      </w:r>
    </w:p>
    <w:p>
      <w:pPr>
        <w:pStyle w:val="Indenta"/>
      </w:pPr>
      <w:r>
        <w:tab/>
        <w:t>(a)</w:t>
      </w:r>
      <w:r>
        <w:tab/>
        <w:t>this Act;</w:t>
      </w:r>
    </w:p>
    <w:p>
      <w:pPr>
        <w:pStyle w:val="Ednotepara"/>
      </w:pPr>
      <w:r>
        <w:tab/>
        <w:t>[(b), (c)</w:t>
      </w:r>
      <w:r>
        <w:tab/>
        <w:t>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12 of 2008 s. 34; No. 17 of 2010 s. 30(2).]</w:t>
      </w:r>
    </w:p>
    <w:p>
      <w:pPr>
        <w:pStyle w:val="Heading5"/>
      </w:pPr>
      <w:bookmarkStart w:id="5" w:name="_Toc390071524"/>
      <w:r>
        <w:rPr>
          <w:rStyle w:val="CharSectno"/>
        </w:rPr>
        <w:t>4</w:t>
      </w:r>
      <w:r>
        <w:rPr>
          <w:b w:val="0"/>
        </w:rPr>
        <w:t>.</w:t>
      </w:r>
      <w:r>
        <w:rPr>
          <w:snapToGrid w:val="0"/>
        </w:rPr>
        <w:tab/>
      </w:r>
      <w:r>
        <w:t>Meaning of terms used in this Act</w:t>
      </w:r>
      <w:bookmarkEnd w:id="5"/>
    </w:p>
    <w:p>
      <w:pPr>
        <w:pStyle w:val="Subsection"/>
      </w:pPr>
      <w:r>
        <w:tab/>
      </w:r>
      <w:r>
        <w:tab/>
        <w:t>The Glossary at the end of this Act defines or affects the meaning of some of the words and expressions used in this Act.</w:t>
      </w:r>
    </w:p>
    <w:p>
      <w:pPr>
        <w:pStyle w:val="Heading5"/>
      </w:pPr>
      <w:bookmarkStart w:id="6" w:name="_Toc390071525"/>
      <w:r>
        <w:rPr>
          <w:rStyle w:val="CharSectno"/>
        </w:rPr>
        <w:t>5</w:t>
      </w:r>
      <w:r>
        <w:t>.</w:t>
      </w:r>
      <w:r>
        <w:tab/>
        <w:t>Crown bound</w:t>
      </w:r>
      <w:bookmarkEnd w:id="6"/>
    </w:p>
    <w:p>
      <w:pPr>
        <w:pStyle w:val="Subsection"/>
      </w:pPr>
      <w:r>
        <w:tab/>
      </w:r>
      <w:r>
        <w:tab/>
        <w:t xml:space="preserve">Subject to any express provision to the contrary, each taxation Act binds the Crown in right of </w:t>
      </w:r>
      <w:smartTag w:uri="urn:schemas-microsoft-com:office:smarttags" w:element="State">
        <w:smartTag w:uri="urn:schemas-microsoft-com:office:smarttags" w:element="place">
          <w:r>
            <w:t>Western Australia</w:t>
          </w:r>
        </w:smartTag>
      </w:smartTag>
      <w:r>
        <w:t xml:space="preserve"> and, as far as the legislative power of Parliament permits, in all its other capacities.</w:t>
      </w:r>
    </w:p>
    <w:p>
      <w:pPr>
        <w:pStyle w:val="Heading2"/>
      </w:pPr>
      <w:bookmarkStart w:id="7" w:name="_Toc390071526"/>
      <w:r>
        <w:rPr>
          <w:rStyle w:val="CharPartNo"/>
        </w:rPr>
        <w:t>Part 2</w:t>
      </w:r>
      <w:r>
        <w:rPr>
          <w:rStyle w:val="CharDivNo"/>
        </w:rPr>
        <w:t xml:space="preserve"> </w:t>
      </w:r>
      <w:r>
        <w:t>—</w:t>
      </w:r>
      <w:r>
        <w:rPr>
          <w:rStyle w:val="CharDivText"/>
        </w:rPr>
        <w:t xml:space="preserve"> </w:t>
      </w:r>
      <w:r>
        <w:rPr>
          <w:rStyle w:val="CharPartText"/>
        </w:rPr>
        <w:t>Tax administration generally</w:t>
      </w:r>
      <w:bookmarkEnd w:id="7"/>
    </w:p>
    <w:p>
      <w:pPr>
        <w:pStyle w:val="Heading5"/>
      </w:pPr>
      <w:bookmarkStart w:id="8" w:name="_Toc390071527"/>
      <w:r>
        <w:rPr>
          <w:rStyle w:val="CharSectno"/>
        </w:rPr>
        <w:t>6</w:t>
      </w:r>
      <w:r>
        <w:t>.</w:t>
      </w:r>
      <w:r>
        <w:tab/>
        <w:t>Commissioner of State Revenue</w:t>
      </w:r>
      <w:bookmarkEnd w:id="8"/>
    </w:p>
    <w:p>
      <w:pPr>
        <w:pStyle w:val="Subsection"/>
      </w:pPr>
      <w:r>
        <w:tab/>
      </w:r>
      <w:r>
        <w:tab/>
        <w:t xml:space="preserve">A Commissioner of State Revenue is to be appointed under Part 3 of the </w:t>
      </w:r>
      <w:r>
        <w:rPr>
          <w:i/>
        </w:rPr>
        <w:t>Public Sector Management Act 1994</w:t>
      </w:r>
      <w:r>
        <w:t>.</w:t>
      </w:r>
    </w:p>
    <w:p>
      <w:pPr>
        <w:pStyle w:val="Heading5"/>
      </w:pPr>
      <w:bookmarkStart w:id="9" w:name="_Toc390071528"/>
      <w:r>
        <w:rPr>
          <w:rStyle w:val="CharSectno"/>
        </w:rPr>
        <w:t>7</w:t>
      </w:r>
      <w:r>
        <w:t>.</w:t>
      </w:r>
      <w:r>
        <w:tab/>
        <w:t>Administration of taxation Acts</w:t>
      </w:r>
      <w:bookmarkEnd w:id="9"/>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10" w:name="_Toc390071529"/>
      <w:r>
        <w:rPr>
          <w:rStyle w:val="CharSectno"/>
        </w:rPr>
        <w:t>8</w:t>
      </w:r>
      <w:r>
        <w:t>.</w:t>
      </w:r>
      <w:r>
        <w:tab/>
        <w:t>Commissioner’s functions</w:t>
      </w:r>
      <w:bookmarkEnd w:id="1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1" w:name="_Toc390071530"/>
      <w:r>
        <w:rPr>
          <w:rStyle w:val="CharSectno"/>
        </w:rPr>
        <w:t>9</w:t>
      </w:r>
      <w:r>
        <w:t>.</w:t>
      </w:r>
      <w:r>
        <w:tab/>
        <w:t>Judicial notice of appointment and signature</w:t>
      </w:r>
      <w:bookmarkEnd w:id="11"/>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2" w:name="_Toc390071531"/>
      <w:r>
        <w:rPr>
          <w:rStyle w:val="CharSectno"/>
        </w:rPr>
        <w:t>10</w:t>
      </w:r>
      <w:r>
        <w:t>.</w:t>
      </w:r>
      <w:r>
        <w:tab/>
        <w:t>Delegation</w:t>
      </w:r>
      <w:bookmarkEnd w:id="12"/>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3" w:name="_Toc390071532"/>
      <w:r>
        <w:rPr>
          <w:rStyle w:val="CharSectno"/>
        </w:rPr>
        <w:t>11</w:t>
      </w:r>
      <w:r>
        <w:t>.</w:t>
      </w:r>
      <w:r>
        <w:tab/>
        <w:t>Tax investigators</w:t>
      </w:r>
      <w:bookmarkEnd w:id="13"/>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4" w:name="_Toc390071533"/>
      <w:r>
        <w:rPr>
          <w:rStyle w:val="CharSectno"/>
        </w:rPr>
        <w:t>12</w:t>
      </w:r>
      <w:r>
        <w:t>.</w:t>
      </w:r>
      <w:r>
        <w:tab/>
        <w:t>Appointed representatives for court proceedings</w:t>
      </w:r>
      <w:bookmarkEnd w:id="14"/>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5" w:name="_Toc390071534"/>
      <w:r>
        <w:rPr>
          <w:rStyle w:val="CharPartNo"/>
        </w:rPr>
        <w:t>Part 3</w:t>
      </w:r>
      <w:r>
        <w:t xml:space="preserve"> — </w:t>
      </w:r>
      <w:r>
        <w:rPr>
          <w:rStyle w:val="CharPartText"/>
        </w:rPr>
        <w:t>Assessments of tax</w:t>
      </w:r>
      <w:bookmarkEnd w:id="15"/>
    </w:p>
    <w:p>
      <w:pPr>
        <w:pStyle w:val="Heading3"/>
      </w:pPr>
      <w:bookmarkStart w:id="16" w:name="_Toc390071535"/>
      <w:r>
        <w:rPr>
          <w:rStyle w:val="CharDivNo"/>
        </w:rPr>
        <w:t>Division 1</w:t>
      </w:r>
      <w:r>
        <w:t xml:space="preserve"> — </w:t>
      </w:r>
      <w:r>
        <w:rPr>
          <w:rStyle w:val="CharDivText"/>
        </w:rPr>
        <w:t>Assessments</w:t>
      </w:r>
      <w:bookmarkEnd w:id="16"/>
    </w:p>
    <w:p>
      <w:pPr>
        <w:pStyle w:val="Heading5"/>
      </w:pPr>
      <w:bookmarkStart w:id="17" w:name="_Toc390071536"/>
      <w:r>
        <w:rPr>
          <w:rStyle w:val="CharSectno"/>
        </w:rPr>
        <w:t>13</w:t>
      </w:r>
      <w:r>
        <w:t>.</w:t>
      </w:r>
      <w:r>
        <w:tab/>
        <w:t>Assessments</w:t>
      </w:r>
      <w:bookmarkEnd w:id="17"/>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18" w:name="_Toc390071537"/>
      <w:r>
        <w:rPr>
          <w:rStyle w:val="CharSectno"/>
        </w:rPr>
        <w:t>14</w:t>
      </w:r>
      <w:r>
        <w:t>.</w:t>
      </w:r>
      <w:r>
        <w:tab/>
        <w:t>Self</w:t>
      </w:r>
      <w:r>
        <w:noBreakHyphen/>
        <w:t>assessments</w:t>
      </w:r>
      <w:bookmarkEnd w:id="18"/>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19" w:name="_Toc390071538"/>
      <w:r>
        <w:rPr>
          <w:rStyle w:val="CharSectno"/>
        </w:rPr>
        <w:t>15</w:t>
      </w:r>
      <w:r>
        <w:t>.</w:t>
      </w:r>
      <w:r>
        <w:tab/>
        <w:t>Official assessments</w:t>
      </w:r>
      <w:bookmarkEnd w:id="19"/>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20" w:name="_Toc390071539"/>
      <w:r>
        <w:rPr>
          <w:rStyle w:val="CharSectno"/>
        </w:rPr>
        <w:t>16</w:t>
      </w:r>
      <w:r>
        <w:t>.</w:t>
      </w:r>
      <w:r>
        <w:tab/>
        <w:t>Reassessments</w:t>
      </w:r>
      <w:bookmarkEnd w:id="20"/>
    </w:p>
    <w:p>
      <w:pPr>
        <w:pStyle w:val="Subsection"/>
        <w:spacing w:before="18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60"/>
        <w:ind w:left="890" w:hanging="890"/>
      </w:pPr>
      <w:r>
        <w:tab/>
        <w:t>[Section 16 amended by No. 55 of 2004 s. 1165.]</w:t>
      </w:r>
    </w:p>
    <w:p>
      <w:pPr>
        <w:pStyle w:val="Heading5"/>
      </w:pPr>
      <w:bookmarkStart w:id="21" w:name="_Toc390071540"/>
      <w:r>
        <w:rPr>
          <w:rStyle w:val="CharSectno"/>
        </w:rPr>
        <w:t>17</w:t>
      </w:r>
      <w:r>
        <w:t>.</w:t>
      </w:r>
      <w:r>
        <w:tab/>
        <w:t>Time limits on reassessments</w:t>
      </w:r>
      <w:bookmarkEnd w:id="21"/>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2" w:name="_Toc390071541"/>
      <w:r>
        <w:rPr>
          <w:rStyle w:val="CharSectno"/>
        </w:rPr>
        <w:t>18</w:t>
      </w:r>
      <w:r>
        <w:t>.</w:t>
      </w:r>
      <w:r>
        <w:tab/>
        <w:t>Effect of reassessment</w:t>
      </w:r>
      <w:bookmarkEnd w:id="22"/>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w:t>
      </w:r>
    </w:p>
    <w:p>
      <w:pPr>
        <w:pStyle w:val="Heading5"/>
      </w:pPr>
      <w:bookmarkStart w:id="23" w:name="_Toc390071542"/>
      <w:r>
        <w:rPr>
          <w:rStyle w:val="CharSectno"/>
        </w:rPr>
        <w:t>18A</w:t>
      </w:r>
      <w:r>
        <w:rPr>
          <w:color w:val="000000"/>
        </w:rPr>
        <w:t>.</w:t>
      </w:r>
      <w:r>
        <w:rPr>
          <w:color w:val="000000"/>
        </w:rPr>
        <w:tab/>
        <w:t>Withdrawal of assessment</w:t>
      </w:r>
      <w:bookmarkEnd w:id="23"/>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4" w:name="_Toc390071543"/>
      <w:r>
        <w:rPr>
          <w:rStyle w:val="CharSectno"/>
        </w:rPr>
        <w:t>19</w:t>
      </w:r>
      <w:r>
        <w:t>.</w:t>
      </w:r>
      <w:r>
        <w:tab/>
        <w:t>Assessments based on estimated or suspected liability</w:t>
      </w:r>
      <w:bookmarkEnd w:id="24"/>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5" w:name="_Toc390071544"/>
      <w:r>
        <w:rPr>
          <w:rStyle w:val="CharSectno"/>
        </w:rPr>
        <w:t>20A</w:t>
      </w:r>
      <w:r>
        <w:t>.</w:t>
      </w:r>
      <w:r>
        <w:tab/>
        <w:t>Compromise assessments</w:t>
      </w:r>
      <w:bookmarkEnd w:id="25"/>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 amended by No. 17 of 2010 s. 23.]</w:t>
      </w:r>
    </w:p>
    <w:p>
      <w:pPr>
        <w:pStyle w:val="Heading5"/>
      </w:pPr>
      <w:bookmarkStart w:id="26" w:name="_Toc390071545"/>
      <w:r>
        <w:rPr>
          <w:rStyle w:val="CharSectno"/>
        </w:rPr>
        <w:t>20</w:t>
      </w:r>
      <w:r>
        <w:t>.</w:t>
      </w:r>
      <w:r>
        <w:tab/>
        <w:t>Assessments when instrument misleading or unavailable</w:t>
      </w:r>
      <w:bookmarkEnd w:id="26"/>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27" w:name="_Toc390071546"/>
      <w:r>
        <w:rPr>
          <w:rStyle w:val="CharSectno"/>
        </w:rPr>
        <w:t>21</w:t>
      </w:r>
      <w:r>
        <w:t>.</w:t>
      </w:r>
      <w:r>
        <w:tab/>
        <w:t>Ascertaining value of property, consideration or benefit</w:t>
      </w:r>
      <w:bookmarkEnd w:id="27"/>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28" w:name="_Toc390071547"/>
      <w:r>
        <w:rPr>
          <w:rStyle w:val="CharSectno"/>
        </w:rPr>
        <w:t>22</w:t>
      </w:r>
      <w:r>
        <w:t>.</w:t>
      </w:r>
      <w:r>
        <w:tab/>
        <w:t>Commissioner’s power to have valuation made</w:t>
      </w:r>
      <w:bookmarkEnd w:id="28"/>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29" w:name="_Toc390071548"/>
      <w:r>
        <w:rPr>
          <w:rStyle w:val="CharDivNo"/>
        </w:rPr>
        <w:t>Division 2</w:t>
      </w:r>
      <w:r>
        <w:t xml:space="preserve"> — </w:t>
      </w:r>
      <w:r>
        <w:rPr>
          <w:rStyle w:val="CharDivText"/>
        </w:rPr>
        <w:t>Assessment notices and returns</w:t>
      </w:r>
      <w:bookmarkEnd w:id="29"/>
    </w:p>
    <w:p>
      <w:pPr>
        <w:pStyle w:val="Heading5"/>
        <w:spacing w:before="180"/>
      </w:pPr>
      <w:bookmarkStart w:id="30" w:name="_Toc390071549"/>
      <w:r>
        <w:rPr>
          <w:rStyle w:val="CharSectno"/>
        </w:rPr>
        <w:t>23</w:t>
      </w:r>
      <w:r>
        <w:t>.</w:t>
      </w:r>
      <w:r>
        <w:tab/>
        <w:t>Assessment notices</w:t>
      </w:r>
      <w:bookmarkEnd w:id="30"/>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spacing w:before="80"/>
        <w:ind w:left="890" w:hanging="890"/>
      </w:pPr>
      <w:r>
        <w:tab/>
        <w:t>[Section 23 amended by No. 66 of 2003 s. 108(2); No. 82 of 2004 s. 19; No. 13 of 2007 s. 14; No. 12 of 2008 s. 37.]</w:t>
      </w:r>
    </w:p>
    <w:p>
      <w:pPr>
        <w:pStyle w:val="Heading5"/>
      </w:pPr>
      <w:bookmarkStart w:id="31" w:name="_Toc390071550"/>
      <w:r>
        <w:rPr>
          <w:rStyle w:val="CharSectno"/>
        </w:rPr>
        <w:t>24</w:t>
      </w:r>
      <w:r>
        <w:t>.</w:t>
      </w:r>
      <w:r>
        <w:tab/>
        <w:t>Form of assessment notice</w:t>
      </w:r>
      <w:bookmarkEnd w:id="31"/>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 No. 12 of 2008 s. 38.]</w:t>
      </w:r>
    </w:p>
    <w:p>
      <w:pPr>
        <w:pStyle w:val="Heading5"/>
      </w:pPr>
      <w:bookmarkStart w:id="32" w:name="_Toc390071551"/>
      <w:r>
        <w:rPr>
          <w:rStyle w:val="CharSectno"/>
        </w:rPr>
        <w:t>25</w:t>
      </w:r>
      <w:r>
        <w:t>.</w:t>
      </w:r>
      <w:r>
        <w:tab/>
        <w:t>Statement of grounds of assessment</w:t>
      </w:r>
      <w:bookmarkEnd w:id="32"/>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3" w:name="_Toc390071552"/>
      <w:r>
        <w:rPr>
          <w:rStyle w:val="CharDivNo"/>
        </w:rPr>
        <w:t>Division 3</w:t>
      </w:r>
      <w:r>
        <w:t xml:space="preserve"> — </w:t>
      </w:r>
      <w:r>
        <w:rPr>
          <w:rStyle w:val="CharDivText"/>
        </w:rPr>
        <w:t>Penalty tax</w:t>
      </w:r>
      <w:bookmarkEnd w:id="33"/>
    </w:p>
    <w:p>
      <w:pPr>
        <w:pStyle w:val="Heading5"/>
      </w:pPr>
      <w:bookmarkStart w:id="34" w:name="_Toc390071553"/>
      <w:r>
        <w:rPr>
          <w:rStyle w:val="CharSectno"/>
        </w:rPr>
        <w:t>26</w:t>
      </w:r>
      <w:r>
        <w:t>.</w:t>
      </w:r>
      <w:r>
        <w:tab/>
        <w:t>Penalty tax for contravention of taxation Act</w:t>
      </w:r>
      <w:bookmarkEnd w:id="34"/>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35" w:name="_Toc390071554"/>
      <w:r>
        <w:rPr>
          <w:rStyle w:val="CharSectno"/>
        </w:rPr>
        <w:t>27</w:t>
      </w:r>
      <w:r>
        <w:t>.</w:t>
      </w:r>
      <w:r>
        <w:tab/>
        <w:t>Penalty tax for late payment</w:t>
      </w:r>
      <w:bookmarkEnd w:id="35"/>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36" w:name="_Toc390071555"/>
      <w:r>
        <w:rPr>
          <w:rStyle w:val="CharSectno"/>
        </w:rPr>
        <w:t>28</w:t>
      </w:r>
      <w:r>
        <w:t>.</w:t>
      </w:r>
      <w:r>
        <w:tab/>
        <w:t>Limitation on amount of penalty tax</w:t>
      </w:r>
      <w:bookmarkEnd w:id="36"/>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37" w:name="_Toc390071556"/>
      <w:r>
        <w:rPr>
          <w:rStyle w:val="CharSectno"/>
        </w:rPr>
        <w:t>29</w:t>
      </w:r>
      <w:r>
        <w:t>.</w:t>
      </w:r>
      <w:r>
        <w:tab/>
        <w:t>Remission of penalty tax</w:t>
      </w:r>
      <w:bookmarkEnd w:id="37"/>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38" w:name="_Toc390071557"/>
      <w:r>
        <w:rPr>
          <w:rStyle w:val="CharSectno"/>
        </w:rPr>
        <w:t>30</w:t>
      </w:r>
      <w:r>
        <w:t>.</w:t>
      </w:r>
      <w:r>
        <w:tab/>
        <w:t>Guidelines for imposing penalty tax</w:t>
      </w:r>
      <w:bookmarkEnd w:id="38"/>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39" w:name="_Toc390071558"/>
      <w:r>
        <w:rPr>
          <w:rStyle w:val="CharPartNo"/>
        </w:rPr>
        <w:t>Part 4</w:t>
      </w:r>
      <w:r>
        <w:t xml:space="preserve"> — </w:t>
      </w:r>
      <w:r>
        <w:rPr>
          <w:rStyle w:val="CharPartText"/>
        </w:rPr>
        <w:t>Objections and review proceedings</w:t>
      </w:r>
      <w:bookmarkEnd w:id="39"/>
    </w:p>
    <w:p>
      <w:pPr>
        <w:pStyle w:val="Footnoteheading"/>
        <w:tabs>
          <w:tab w:val="left" w:pos="851"/>
        </w:tabs>
      </w:pPr>
      <w:r>
        <w:tab/>
        <w:t>[Heading amended by No. 55 of 2004 s. 1167.]</w:t>
      </w:r>
    </w:p>
    <w:p>
      <w:pPr>
        <w:pStyle w:val="Heading3"/>
      </w:pPr>
      <w:bookmarkStart w:id="40" w:name="_Toc390071559"/>
      <w:r>
        <w:rPr>
          <w:rStyle w:val="CharDivNo"/>
        </w:rPr>
        <w:t>Division 1</w:t>
      </w:r>
      <w:r>
        <w:t xml:space="preserve"> — </w:t>
      </w:r>
      <w:r>
        <w:rPr>
          <w:rStyle w:val="CharDivText"/>
        </w:rPr>
        <w:t>Procedures and restrictions</w:t>
      </w:r>
      <w:bookmarkEnd w:id="40"/>
    </w:p>
    <w:p>
      <w:pPr>
        <w:pStyle w:val="Heading5"/>
      </w:pPr>
      <w:bookmarkStart w:id="41" w:name="_Toc390071560"/>
      <w:r>
        <w:rPr>
          <w:rStyle w:val="CharSectno"/>
        </w:rPr>
        <w:t>31</w:t>
      </w:r>
      <w:r>
        <w:t>.</w:t>
      </w:r>
      <w:r>
        <w:tab/>
        <w:t>Procedure for challenging assessments</w:t>
      </w:r>
      <w:bookmarkEnd w:id="41"/>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42" w:name="_Toc390071561"/>
      <w:r>
        <w:rPr>
          <w:rStyle w:val="CharSectno"/>
        </w:rPr>
        <w:t>32</w:t>
      </w:r>
      <w:r>
        <w:t>.</w:t>
      </w:r>
      <w:r>
        <w:tab/>
        <w:t>Objections to land valuations</w:t>
      </w:r>
      <w:bookmarkEnd w:id="42"/>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43" w:name="_Toc390071562"/>
      <w:r>
        <w:t>33.</w:t>
      </w:r>
      <w:r>
        <w:tab/>
        <w:t>Continuing obligation to pay assessed tax</w:t>
      </w:r>
      <w:bookmarkEnd w:id="43"/>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44" w:name="_Toc390071563"/>
      <w:r>
        <w:rPr>
          <w:rStyle w:val="CharDivNo"/>
        </w:rPr>
        <w:t>Division 2</w:t>
      </w:r>
      <w:r>
        <w:t xml:space="preserve"> — </w:t>
      </w:r>
      <w:r>
        <w:rPr>
          <w:rStyle w:val="CharDivText"/>
        </w:rPr>
        <w:t>Objections</w:t>
      </w:r>
      <w:bookmarkEnd w:id="44"/>
    </w:p>
    <w:p>
      <w:pPr>
        <w:pStyle w:val="Heading5"/>
        <w:spacing w:before="200"/>
      </w:pPr>
      <w:bookmarkStart w:id="45" w:name="_Toc390071564"/>
      <w:r>
        <w:rPr>
          <w:rStyle w:val="CharSectno"/>
        </w:rPr>
        <w:t>34</w:t>
      </w:r>
      <w:r>
        <w:t>.</w:t>
      </w:r>
      <w:r>
        <w:tab/>
        <w:t>Right to object</w:t>
      </w:r>
      <w:bookmarkEnd w:id="45"/>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Indenta"/>
        <w:spacing w:before="60"/>
      </w:pPr>
      <w:r>
        <w:tab/>
        <w:t>(c)</w:t>
      </w:r>
      <w:r>
        <w:tab/>
        <w:t>a directly reviewable decision;</w:t>
      </w:r>
    </w:p>
    <w:p>
      <w:pPr>
        <w:pStyle w:val="Indenta"/>
        <w:spacing w:before="60"/>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Subsection"/>
        <w:spacing w:before="140"/>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Ednotesubsection"/>
      </w:pPr>
      <w:r>
        <w:tab/>
        <w:t>[(5) </w:t>
      </w:r>
      <w:r>
        <w:rPr>
          <w:vertAlign w:val="superscript"/>
        </w:rPr>
        <w:t>7</w:t>
      </w:r>
      <w:r>
        <w:tab/>
        <w:t>deleted]</w:t>
      </w:r>
    </w:p>
    <w:p>
      <w:pPr>
        <w:pStyle w:val="Footnotesection"/>
      </w:pPr>
      <w:r>
        <w:tab/>
        <w:t>[Section 34 amended by No. 55 of 2004 s. 1171; No. 12 of 2008 s. 39; No. 31 of 2008 s. 24 and 30.]</w:t>
      </w:r>
    </w:p>
    <w:p>
      <w:pPr>
        <w:pStyle w:val="Heading5"/>
      </w:pPr>
      <w:bookmarkStart w:id="46" w:name="_Toc390071565"/>
      <w:r>
        <w:rPr>
          <w:rStyle w:val="CharSectno"/>
        </w:rPr>
        <w:t>35</w:t>
      </w:r>
      <w:r>
        <w:t>.</w:t>
      </w:r>
      <w:r>
        <w:tab/>
        <w:t>Form of objection</w:t>
      </w:r>
      <w:bookmarkEnd w:id="46"/>
    </w:p>
    <w:p>
      <w:pPr>
        <w:pStyle w:val="Subsection"/>
        <w:keepNext/>
        <w:keepLines/>
        <w:spacing w:before="140"/>
      </w:pPr>
      <w:r>
        <w:tab/>
      </w:r>
      <w:r>
        <w:tab/>
        <w:t>An objection must — </w:t>
      </w:r>
    </w:p>
    <w:p>
      <w:pPr>
        <w:pStyle w:val="Indenta"/>
        <w:keepNext/>
        <w:keepLines/>
        <w:spacing w:before="60"/>
      </w:pPr>
      <w:r>
        <w:tab/>
        <w:t>(a)</w:t>
      </w:r>
      <w:r>
        <w:tab/>
        <w:t>be in writing;</w:t>
      </w:r>
    </w:p>
    <w:p>
      <w:pPr>
        <w:pStyle w:val="Indenta"/>
        <w:keepNext/>
        <w:keepLines/>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47" w:name="_Toc390071566"/>
      <w:r>
        <w:rPr>
          <w:rStyle w:val="CharSectno"/>
        </w:rPr>
        <w:t>36</w:t>
      </w:r>
      <w:r>
        <w:t>.</w:t>
      </w:r>
      <w:r>
        <w:tab/>
        <w:t>Time for lodging objection</w:t>
      </w:r>
      <w:bookmarkEnd w:id="47"/>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w:t>
      </w:r>
    </w:p>
    <w:p>
      <w:pPr>
        <w:pStyle w:val="Heading5"/>
      </w:pPr>
      <w:bookmarkStart w:id="48" w:name="_Toc390071567"/>
      <w:r>
        <w:rPr>
          <w:rStyle w:val="CharSectno"/>
        </w:rPr>
        <w:t>37</w:t>
      </w:r>
      <w:r>
        <w:t>.</w:t>
      </w:r>
      <w:r>
        <w:tab/>
        <w:t>Consideration of objections</w:t>
      </w:r>
      <w:bookmarkEnd w:id="48"/>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49" w:name="_Toc390071568"/>
      <w:r>
        <w:rPr>
          <w:rStyle w:val="CharSectno"/>
        </w:rPr>
        <w:t>38</w:t>
      </w:r>
      <w:r>
        <w:t>.</w:t>
      </w:r>
      <w:r>
        <w:tab/>
        <w:t>Time limit for determining objections</w:t>
      </w:r>
      <w:bookmarkEnd w:id="49"/>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50" w:name="_Toc390071569"/>
      <w:r>
        <w:rPr>
          <w:rStyle w:val="CharSectno"/>
        </w:rPr>
        <w:t>39</w:t>
      </w:r>
      <w:r>
        <w:t>.</w:t>
      </w:r>
      <w:r>
        <w:tab/>
        <w:t>Reassessment on determination of objection</w:t>
      </w:r>
      <w:bookmarkEnd w:id="50"/>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amount to be refunded or credited to the taxpayer, as a result of the reassessment, was paid by the taxpayer; or</w:t>
      </w:r>
    </w:p>
    <w:p>
      <w:pPr>
        <w:pStyle w:val="Defsubpara"/>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51" w:name="_Toc390071570"/>
      <w:r>
        <w:rPr>
          <w:rStyle w:val="CharDivNo"/>
        </w:rPr>
        <w:t>Division 3</w:t>
      </w:r>
      <w:r>
        <w:t> — </w:t>
      </w:r>
      <w:r>
        <w:rPr>
          <w:rStyle w:val="CharDivText"/>
        </w:rPr>
        <w:t>Reviews and stated cases</w:t>
      </w:r>
      <w:bookmarkEnd w:id="51"/>
    </w:p>
    <w:p>
      <w:pPr>
        <w:pStyle w:val="Footnoteheading"/>
        <w:tabs>
          <w:tab w:val="left" w:pos="851"/>
        </w:tabs>
      </w:pPr>
      <w:r>
        <w:rPr>
          <w:i w:val="0"/>
        </w:rPr>
        <w:tab/>
      </w:r>
      <w:r>
        <w:t>[Heading amended by No. 55 of 2004 s. 1173.]</w:t>
      </w:r>
    </w:p>
    <w:p>
      <w:pPr>
        <w:pStyle w:val="Heading5"/>
      </w:pPr>
      <w:bookmarkStart w:id="52" w:name="_Toc390071571"/>
      <w:r>
        <w:rPr>
          <w:rStyle w:val="CharSectno"/>
        </w:rPr>
        <w:t>40</w:t>
      </w:r>
      <w:r>
        <w:t>.</w:t>
      </w:r>
      <w:r>
        <w:tab/>
        <w:t>Right of review</w:t>
      </w:r>
      <w:bookmarkEnd w:id="52"/>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deleted]</w:t>
      </w:r>
    </w:p>
    <w:p>
      <w:pPr>
        <w:pStyle w:val="Footnotesection"/>
        <w:rPr>
          <w:i w:val="0"/>
        </w:rPr>
      </w:pPr>
      <w:r>
        <w:tab/>
        <w:t>[Section 40 amended by No. 55 of 2004 s. 1174.]</w:t>
      </w:r>
    </w:p>
    <w:p>
      <w:pPr>
        <w:pStyle w:val="Ednotesection"/>
        <w:rPr>
          <w:i w:val="0"/>
        </w:rPr>
      </w:pPr>
      <w:r>
        <w:t>[</w:t>
      </w:r>
      <w:r>
        <w:rPr>
          <w:b/>
        </w:rPr>
        <w:t>41.</w:t>
      </w:r>
      <w:r>
        <w:tab/>
        <w:t>Deleted by No. 55 of 2004 s. 1175.]</w:t>
      </w:r>
    </w:p>
    <w:p>
      <w:pPr>
        <w:pStyle w:val="Heading5"/>
      </w:pPr>
      <w:bookmarkStart w:id="53" w:name="_Toc390071572"/>
      <w:r>
        <w:rPr>
          <w:rStyle w:val="CharSectno"/>
        </w:rPr>
        <w:t>42</w:t>
      </w:r>
      <w:r>
        <w:t>.</w:t>
      </w:r>
      <w:r>
        <w:tab/>
        <w:t>Time for review</w:t>
      </w:r>
      <w:bookmarkEnd w:id="53"/>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54" w:name="_Toc390071573"/>
      <w:r>
        <w:rPr>
          <w:rStyle w:val="CharSectno"/>
        </w:rPr>
        <w:t>43</w:t>
      </w:r>
      <w:r>
        <w:t>.</w:t>
      </w:r>
      <w:r>
        <w:tab/>
        <w:t>Proceedings before State Administrative Tribunal</w:t>
      </w:r>
      <w:bookmarkEnd w:id="54"/>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 No. 12 of 2008 s. 41; No. 17 of 2010 s. 25 and 30(3).]</w:t>
      </w:r>
    </w:p>
    <w:p>
      <w:pPr>
        <w:pStyle w:val="Heading5"/>
      </w:pPr>
      <w:bookmarkStart w:id="55" w:name="_Toc390071574"/>
      <w:r>
        <w:rPr>
          <w:rStyle w:val="CharSectno"/>
        </w:rPr>
        <w:t>43A</w:t>
      </w:r>
      <w:r>
        <w:t>.</w:t>
      </w:r>
      <w:r>
        <w:tab/>
        <w:t>Appeal from decision of State Administrative Tribunal</w:t>
      </w:r>
      <w:bookmarkEnd w:id="55"/>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56" w:name="_Toc390071575"/>
      <w:r>
        <w:rPr>
          <w:rStyle w:val="CharSectno"/>
        </w:rPr>
        <w:t>44</w:t>
      </w:r>
      <w:r>
        <w:t>.</w:t>
      </w:r>
      <w:r>
        <w:tab/>
        <w:t>Cases stated by Commissioner</w:t>
      </w:r>
      <w:bookmarkEnd w:id="56"/>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57" w:name="_Toc390071576"/>
      <w:r>
        <w:rPr>
          <w:rStyle w:val="CharPartNo"/>
        </w:rPr>
        <w:t>Part 5</w:t>
      </w:r>
      <w:r>
        <w:t xml:space="preserve"> — </w:t>
      </w:r>
      <w:r>
        <w:rPr>
          <w:rStyle w:val="CharPartText"/>
        </w:rPr>
        <w:t>Payment and refund of tax</w:t>
      </w:r>
      <w:bookmarkEnd w:id="57"/>
    </w:p>
    <w:p>
      <w:pPr>
        <w:pStyle w:val="Heading3"/>
      </w:pPr>
      <w:bookmarkStart w:id="58" w:name="_Toc390071577"/>
      <w:r>
        <w:rPr>
          <w:rStyle w:val="CharDivNo"/>
        </w:rPr>
        <w:t>Division 1</w:t>
      </w:r>
      <w:r>
        <w:t xml:space="preserve"> — </w:t>
      </w:r>
      <w:r>
        <w:rPr>
          <w:rStyle w:val="CharDivText"/>
        </w:rPr>
        <w:t>Payment</w:t>
      </w:r>
      <w:bookmarkEnd w:id="58"/>
    </w:p>
    <w:p>
      <w:pPr>
        <w:pStyle w:val="Heading5"/>
      </w:pPr>
      <w:bookmarkStart w:id="59" w:name="_Toc390071578"/>
      <w:r>
        <w:rPr>
          <w:rStyle w:val="CharSectno"/>
        </w:rPr>
        <w:t>45</w:t>
      </w:r>
      <w:r>
        <w:t>.</w:t>
      </w:r>
      <w:r>
        <w:tab/>
        <w:t>When tax is due for payment</w:t>
      </w:r>
      <w:bookmarkEnd w:id="59"/>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60" w:name="_Toc390071579"/>
      <w:r>
        <w:rPr>
          <w:rStyle w:val="CharSectno"/>
        </w:rPr>
        <w:t>46</w:t>
      </w:r>
      <w:r>
        <w:t>.</w:t>
      </w:r>
      <w:r>
        <w:tab/>
        <w:t>Allocation of payment</w:t>
      </w:r>
      <w:bookmarkEnd w:id="60"/>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61" w:name="_Toc390071580"/>
      <w:r>
        <w:rPr>
          <w:rStyle w:val="CharSectno"/>
        </w:rPr>
        <w:t>47</w:t>
      </w:r>
      <w:r>
        <w:t>.</w:t>
      </w:r>
      <w:r>
        <w:tab/>
        <w:t>Arrangements for instalments and extensions of time</w:t>
      </w:r>
      <w:bookmarkEnd w:id="61"/>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62" w:name="_Toc390071581"/>
      <w:r>
        <w:rPr>
          <w:rStyle w:val="CharSectno"/>
        </w:rPr>
        <w:t>48</w:t>
      </w:r>
      <w:r>
        <w:t>.</w:t>
      </w:r>
      <w:r>
        <w:tab/>
        <w:t>No action to compel approval of tax payment arrangement</w:t>
      </w:r>
      <w:bookmarkEnd w:id="62"/>
    </w:p>
    <w:p>
      <w:pPr>
        <w:pStyle w:val="Subsection"/>
      </w:pPr>
      <w:r>
        <w:tab/>
      </w:r>
      <w:r>
        <w:tab/>
        <w:t>No action can be brought in a court to compel the Commissioner to approve a tax payment arrangement.</w:t>
      </w:r>
    </w:p>
    <w:p>
      <w:pPr>
        <w:pStyle w:val="Heading3"/>
      </w:pPr>
      <w:bookmarkStart w:id="63" w:name="_Toc390071582"/>
      <w:r>
        <w:rPr>
          <w:rStyle w:val="CharDivNo"/>
        </w:rPr>
        <w:t>Division 2</w:t>
      </w:r>
      <w:r>
        <w:t xml:space="preserve"> — </w:t>
      </w:r>
      <w:r>
        <w:rPr>
          <w:rStyle w:val="CharDivText"/>
        </w:rPr>
        <w:t>Special tax return arrangements</w:t>
      </w:r>
      <w:bookmarkEnd w:id="63"/>
    </w:p>
    <w:p>
      <w:pPr>
        <w:pStyle w:val="Heading5"/>
      </w:pPr>
      <w:bookmarkStart w:id="64" w:name="_Toc390071583"/>
      <w:r>
        <w:rPr>
          <w:rStyle w:val="CharSectno"/>
        </w:rPr>
        <w:t>49</w:t>
      </w:r>
      <w:r>
        <w:t>.</w:t>
      </w:r>
      <w:r>
        <w:tab/>
        <w:t>Approval of special tax return arrangements</w:t>
      </w:r>
      <w:bookmarkEnd w:id="64"/>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65" w:name="_Toc390071584"/>
      <w:r>
        <w:rPr>
          <w:rStyle w:val="CharSectno"/>
        </w:rPr>
        <w:t>50</w:t>
      </w:r>
      <w:r>
        <w:t>.</w:t>
      </w:r>
      <w:r>
        <w:tab/>
        <w:t>Content of special tax return arrangement</w:t>
      </w:r>
      <w:bookmarkEnd w:id="65"/>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66" w:name="_Toc390071585"/>
      <w:r>
        <w:rPr>
          <w:rStyle w:val="CharSectno"/>
        </w:rPr>
        <w:t>51</w:t>
      </w:r>
      <w:r>
        <w:t>.</w:t>
      </w:r>
      <w:r>
        <w:tab/>
        <w:t>Improper endorsement or certification of an instrument</w:t>
      </w:r>
      <w:bookmarkEnd w:id="66"/>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67" w:name="_Toc390071586"/>
      <w:r>
        <w:rPr>
          <w:rStyle w:val="CharSectno"/>
        </w:rPr>
        <w:t>52</w:t>
      </w:r>
      <w:r>
        <w:t>.</w:t>
      </w:r>
      <w:r>
        <w:tab/>
        <w:t>Lodging returns under special tax return arrangement</w:t>
      </w:r>
      <w:bookmarkEnd w:id="67"/>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68" w:name="_Toc390071587"/>
      <w:r>
        <w:rPr>
          <w:rStyle w:val="CharSectno"/>
        </w:rPr>
        <w:t>53</w:t>
      </w:r>
      <w:r>
        <w:t>.</w:t>
      </w:r>
      <w:r>
        <w:tab/>
        <w:t>Amendment or cancellation of arrangement</w:t>
      </w:r>
      <w:bookmarkEnd w:id="68"/>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69" w:name="_Toc390071588"/>
      <w:r>
        <w:rPr>
          <w:rStyle w:val="CharDivNo"/>
        </w:rPr>
        <w:t>Division 3</w:t>
      </w:r>
      <w:r>
        <w:t xml:space="preserve"> — </w:t>
      </w:r>
      <w:r>
        <w:rPr>
          <w:rStyle w:val="CharDivText"/>
        </w:rPr>
        <w:t>Refunds of tax</w:t>
      </w:r>
      <w:bookmarkEnd w:id="69"/>
    </w:p>
    <w:p>
      <w:pPr>
        <w:pStyle w:val="Heading5"/>
      </w:pPr>
      <w:bookmarkStart w:id="70" w:name="_Toc390071589"/>
      <w:r>
        <w:rPr>
          <w:rStyle w:val="CharSectno"/>
        </w:rPr>
        <w:t>54</w:t>
      </w:r>
      <w:r>
        <w:t>.</w:t>
      </w:r>
      <w:r>
        <w:tab/>
        <w:t>Power to make refund</w:t>
      </w:r>
      <w:bookmarkEnd w:id="70"/>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71" w:name="_Toc390071590"/>
      <w:r>
        <w:rPr>
          <w:rStyle w:val="CharSectno"/>
        </w:rPr>
        <w:t>55A</w:t>
      </w:r>
      <w:r>
        <w:t>.</w:t>
      </w:r>
      <w:r>
        <w:tab/>
        <w:t>Unused credit</w:t>
      </w:r>
      <w:bookmarkEnd w:id="71"/>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72" w:name="_Toc390071591"/>
      <w:r>
        <w:rPr>
          <w:rStyle w:val="CharSectno"/>
        </w:rPr>
        <w:t>55</w:t>
      </w:r>
      <w:r>
        <w:t>.</w:t>
      </w:r>
      <w:r>
        <w:tab/>
        <w:t>Refund to be passed on in certain cases</w:t>
      </w:r>
      <w:bookmarkEnd w:id="72"/>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Ednotepara"/>
      </w:pPr>
      <w:r>
        <w:tab/>
        <w:t>[(c)</w:t>
      </w:r>
      <w:r>
        <w:tab/>
        <w:t>deleted]</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pPr>
      <w:r>
        <w:tab/>
        <w:t>[Section 55 amended by No. 12 of 2008 s. 44; No. 17 of 2010 s. 30(4).]</w:t>
      </w:r>
    </w:p>
    <w:p>
      <w:pPr>
        <w:pStyle w:val="Heading3"/>
        <w:spacing w:before="280"/>
      </w:pPr>
      <w:bookmarkStart w:id="73" w:name="_Toc390071592"/>
      <w:r>
        <w:rPr>
          <w:rStyle w:val="CharDivNo"/>
        </w:rPr>
        <w:t>Division 4</w:t>
      </w:r>
      <w:r>
        <w:t xml:space="preserve"> — </w:t>
      </w:r>
      <w:r>
        <w:rPr>
          <w:rStyle w:val="CharDivText"/>
        </w:rPr>
        <w:t>Power to waive or write off liability</w:t>
      </w:r>
      <w:bookmarkEnd w:id="73"/>
    </w:p>
    <w:p>
      <w:pPr>
        <w:pStyle w:val="Heading5"/>
        <w:spacing w:before="240"/>
      </w:pPr>
      <w:bookmarkStart w:id="74" w:name="_Toc390071593"/>
      <w:r>
        <w:rPr>
          <w:rStyle w:val="CharSectno"/>
        </w:rPr>
        <w:t>56</w:t>
      </w:r>
      <w:r>
        <w:t>.</w:t>
      </w:r>
      <w:r>
        <w:tab/>
        <w:t>Waiver of tax</w:t>
      </w:r>
      <w:bookmarkEnd w:id="74"/>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75" w:name="_Toc390071594"/>
      <w:r>
        <w:rPr>
          <w:rStyle w:val="CharSectno"/>
        </w:rPr>
        <w:t>57</w:t>
      </w:r>
      <w:r>
        <w:t>.</w:t>
      </w:r>
      <w:r>
        <w:tab/>
        <w:t>Writing off tax liability</w:t>
      </w:r>
      <w:bookmarkEnd w:id="75"/>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76" w:name="_Toc390071595"/>
      <w:r>
        <w:rPr>
          <w:rStyle w:val="CharSectno"/>
        </w:rPr>
        <w:t>58</w:t>
      </w:r>
      <w:r>
        <w:t>.</w:t>
      </w:r>
      <w:r>
        <w:tab/>
        <w:t>Powers subject to</w:t>
      </w:r>
      <w:r>
        <w:rPr>
          <w:i/>
        </w:rPr>
        <w:t xml:space="preserve"> Financial Management Act 2006</w:t>
      </w:r>
      <w:bookmarkEnd w:id="76"/>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 17.]</w:t>
      </w:r>
    </w:p>
    <w:p>
      <w:pPr>
        <w:pStyle w:val="Heading5"/>
        <w:rPr>
          <w:rStyle w:val="CharSectno"/>
        </w:rPr>
      </w:pPr>
      <w:bookmarkStart w:id="77" w:name="_Toc390071596"/>
      <w:r>
        <w:rPr>
          <w:rStyle w:val="CharSectno"/>
        </w:rPr>
        <w:t>59.</w:t>
      </w:r>
      <w:r>
        <w:rPr>
          <w:rStyle w:val="CharSectno"/>
        </w:rPr>
        <w:tab/>
        <w:t>No action to compel waiver or writing off</w:t>
      </w:r>
      <w:bookmarkEnd w:id="77"/>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78" w:name="_Toc390071597"/>
      <w:r>
        <w:rPr>
          <w:rStyle w:val="CharPartNo"/>
        </w:rPr>
        <w:t>Part 6</w:t>
      </w:r>
      <w:r>
        <w:t xml:space="preserve"> — </w:t>
      </w:r>
      <w:r>
        <w:rPr>
          <w:rStyle w:val="CharPartText"/>
        </w:rPr>
        <w:t>Recovery of tax</w:t>
      </w:r>
      <w:bookmarkEnd w:id="78"/>
    </w:p>
    <w:p>
      <w:pPr>
        <w:pStyle w:val="Heading3"/>
      </w:pPr>
      <w:bookmarkStart w:id="79" w:name="_Toc390071598"/>
      <w:r>
        <w:rPr>
          <w:rStyle w:val="CharDivNo"/>
        </w:rPr>
        <w:t>Division 1</w:t>
      </w:r>
      <w:r>
        <w:t xml:space="preserve"> — </w:t>
      </w:r>
      <w:r>
        <w:rPr>
          <w:rStyle w:val="CharDivText"/>
        </w:rPr>
        <w:t>Recovery generally</w:t>
      </w:r>
      <w:bookmarkEnd w:id="79"/>
    </w:p>
    <w:p>
      <w:pPr>
        <w:pStyle w:val="Heading5"/>
      </w:pPr>
      <w:bookmarkStart w:id="80" w:name="_Toc390071599"/>
      <w:r>
        <w:rPr>
          <w:rStyle w:val="CharSectno"/>
        </w:rPr>
        <w:t>60</w:t>
      </w:r>
      <w:r>
        <w:t>.</w:t>
      </w:r>
      <w:r>
        <w:tab/>
        <w:t>Recovery of unpaid tax</w:t>
      </w:r>
      <w:bookmarkEnd w:id="80"/>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81" w:name="_Toc390071600"/>
      <w:r>
        <w:rPr>
          <w:rStyle w:val="CharSectno"/>
        </w:rPr>
        <w:t>61</w:t>
      </w:r>
      <w:r>
        <w:t>.</w:t>
      </w:r>
      <w:r>
        <w:tab/>
        <w:t>Power of court to order payment of tax</w:t>
      </w:r>
      <w:bookmarkEnd w:id="81"/>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82" w:name="_Toc390071601"/>
      <w:r>
        <w:rPr>
          <w:rStyle w:val="CharSectno"/>
        </w:rPr>
        <w:t>62</w:t>
      </w:r>
      <w:r>
        <w:t>.</w:t>
      </w:r>
      <w:r>
        <w:tab/>
        <w:t>Recovery of costs and interest</w:t>
      </w:r>
      <w:bookmarkEnd w:id="82"/>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83" w:name="_Toc390071602"/>
      <w:r>
        <w:rPr>
          <w:rStyle w:val="CharSectno"/>
        </w:rPr>
        <w:t>63</w:t>
      </w:r>
      <w:r>
        <w:t>.</w:t>
      </w:r>
      <w:r>
        <w:tab/>
        <w:t>Recovery of tax in cases of joint liability</w:t>
      </w:r>
      <w:bookmarkEnd w:id="83"/>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84" w:name="_Toc390071603"/>
      <w:r>
        <w:rPr>
          <w:rStyle w:val="CharSectno"/>
        </w:rPr>
        <w:t>64</w:t>
      </w:r>
      <w:r>
        <w:t>.</w:t>
      </w:r>
      <w:r>
        <w:tab/>
        <w:t>Notice of administrator’s appointment</w:t>
      </w:r>
      <w:bookmarkEnd w:id="84"/>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85" w:name="_Toc390071604"/>
      <w:r>
        <w:rPr>
          <w:rStyle w:val="CharSectno"/>
        </w:rPr>
        <w:t>65</w:t>
      </w:r>
      <w:r>
        <w:t>.</w:t>
      </w:r>
      <w:r>
        <w:tab/>
        <w:t>Power to garnishee</w:t>
      </w:r>
      <w:bookmarkEnd w:id="85"/>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86" w:name="_Toc390071605"/>
      <w:r>
        <w:rPr>
          <w:rStyle w:val="CharSectno"/>
        </w:rPr>
        <w:t>66</w:t>
      </w:r>
      <w:r>
        <w:t>.</w:t>
      </w:r>
      <w:r>
        <w:tab/>
        <w:t>Recovery from partnerships</w:t>
      </w:r>
      <w:bookmarkEnd w:id="86"/>
    </w:p>
    <w:p>
      <w:pPr>
        <w:pStyle w:val="Subsection"/>
      </w:pPr>
      <w:r>
        <w:tab/>
      </w:r>
      <w:r>
        <w:tab/>
        <w:t>If a tax liability is incurred by or on behalf of a partnership, the tax is recoverable jointly and severally from any one or more of the partners.</w:t>
      </w:r>
    </w:p>
    <w:p>
      <w:pPr>
        <w:pStyle w:val="Heading5"/>
      </w:pPr>
      <w:bookmarkStart w:id="87" w:name="_Toc390071606"/>
      <w:r>
        <w:rPr>
          <w:rStyle w:val="CharSectno"/>
        </w:rPr>
        <w:t>67</w:t>
      </w:r>
      <w:r>
        <w:t>.</w:t>
      </w:r>
      <w:r>
        <w:tab/>
        <w:t>Recovery from directors of body corporate</w:t>
      </w:r>
      <w:bookmarkEnd w:id="87"/>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88" w:name="_Toc390071607"/>
      <w:r>
        <w:rPr>
          <w:rStyle w:val="CharSectno"/>
        </w:rPr>
        <w:t>68</w:t>
      </w:r>
      <w:r>
        <w:t>.</w:t>
      </w:r>
      <w:r>
        <w:tab/>
        <w:t>Director of body corporate may apply</w:t>
      </w:r>
      <w:bookmarkEnd w:id="88"/>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89" w:name="_Toc390071608"/>
      <w:r>
        <w:rPr>
          <w:rStyle w:val="CharSectno"/>
        </w:rPr>
        <w:t>69</w:t>
      </w:r>
      <w:r>
        <w:t>.</w:t>
      </w:r>
      <w:r>
        <w:tab/>
        <w:t>Determination of application where there is a dispute</w:t>
      </w:r>
      <w:bookmarkEnd w:id="89"/>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90" w:name="_Toc390071609"/>
      <w:r>
        <w:rPr>
          <w:rStyle w:val="CharSectno"/>
        </w:rPr>
        <w:t>70</w:t>
      </w:r>
      <w:r>
        <w:t>.</w:t>
      </w:r>
      <w:r>
        <w:tab/>
        <w:t>Setting aside demand on other grounds</w:t>
      </w:r>
      <w:bookmarkEnd w:id="90"/>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91" w:name="_Toc390071610"/>
      <w:r>
        <w:rPr>
          <w:rStyle w:val="CharSectno"/>
        </w:rPr>
        <w:t>71</w:t>
      </w:r>
      <w:r>
        <w:t>.</w:t>
      </w:r>
      <w:r>
        <w:tab/>
        <w:t>Effect of order setting aside notice</w:t>
      </w:r>
      <w:bookmarkEnd w:id="91"/>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92" w:name="_Toc390071611"/>
      <w:r>
        <w:rPr>
          <w:rStyle w:val="CharSectno"/>
        </w:rPr>
        <w:t>72</w:t>
      </w:r>
      <w:r>
        <w:t>.</w:t>
      </w:r>
      <w:r>
        <w:tab/>
        <w:t>Dismissal of application</w:t>
      </w:r>
      <w:bookmarkEnd w:id="92"/>
    </w:p>
    <w:p>
      <w:pPr>
        <w:pStyle w:val="Subsection"/>
      </w:pPr>
      <w:r>
        <w:tab/>
      </w:r>
      <w:r>
        <w:tab/>
        <w:t>Unless the court makes, on an application under section 68, an order under section 69 or 70, the court is to dismiss the application.</w:t>
      </w:r>
    </w:p>
    <w:p>
      <w:pPr>
        <w:pStyle w:val="Heading5"/>
      </w:pPr>
      <w:bookmarkStart w:id="93" w:name="_Toc390071612"/>
      <w:r>
        <w:rPr>
          <w:rStyle w:val="CharSectno"/>
        </w:rPr>
        <w:t>73</w:t>
      </w:r>
      <w:r>
        <w:t>.</w:t>
      </w:r>
      <w:r>
        <w:tab/>
        <w:t>Order subject to conditions</w:t>
      </w:r>
      <w:bookmarkEnd w:id="93"/>
    </w:p>
    <w:p>
      <w:pPr>
        <w:pStyle w:val="Subsection"/>
      </w:pPr>
      <w:r>
        <w:tab/>
      </w:r>
      <w:r>
        <w:tab/>
        <w:t>An order under section 69 or 70 may be made subject to conditions.</w:t>
      </w:r>
    </w:p>
    <w:p>
      <w:pPr>
        <w:pStyle w:val="Heading5"/>
      </w:pPr>
      <w:bookmarkStart w:id="94" w:name="_Toc390071613"/>
      <w:r>
        <w:rPr>
          <w:rStyle w:val="CharSectno"/>
        </w:rPr>
        <w:t>74</w:t>
      </w:r>
      <w:r>
        <w:t>.</w:t>
      </w:r>
      <w:r>
        <w:tab/>
        <w:t>Costs where applicant successful</w:t>
      </w:r>
      <w:bookmarkEnd w:id="94"/>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95" w:name="_Toc390071614"/>
      <w:r>
        <w:rPr>
          <w:rStyle w:val="CharSectno"/>
        </w:rPr>
        <w:t>75</w:t>
      </w:r>
      <w:r>
        <w:t>.</w:t>
      </w:r>
      <w:r>
        <w:tab/>
        <w:t>Period of remedying default</w:t>
      </w:r>
      <w:bookmarkEnd w:id="95"/>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96" w:name="_Toc390071615"/>
      <w:r>
        <w:rPr>
          <w:rStyle w:val="CharDivNo"/>
        </w:rPr>
        <w:t>Division 2</w:t>
      </w:r>
      <w:r>
        <w:t xml:space="preserve"> — </w:t>
      </w:r>
      <w:r>
        <w:rPr>
          <w:rStyle w:val="CharDivText"/>
        </w:rPr>
        <w:t>Charges on land</w:t>
      </w:r>
      <w:bookmarkEnd w:id="96"/>
    </w:p>
    <w:p>
      <w:pPr>
        <w:pStyle w:val="Heading5"/>
      </w:pPr>
      <w:bookmarkStart w:id="97" w:name="_Toc390071616"/>
      <w:r>
        <w:rPr>
          <w:rStyle w:val="CharSectno"/>
        </w:rPr>
        <w:t>76A</w:t>
      </w:r>
      <w:r>
        <w:t>.</w:t>
      </w:r>
      <w:r>
        <w:tab/>
        <w:t>Meaning of terms used in this Division</w:t>
      </w:r>
      <w:bookmarkEnd w:id="97"/>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 xml:space="preserve">costs of the kinds referred to in section 62(a), (b) and (d) that are payable in relation to tax of that kind. </w:t>
      </w:r>
    </w:p>
    <w:p>
      <w:pPr>
        <w:pStyle w:val="Footnotesection"/>
      </w:pPr>
      <w:r>
        <w:tab/>
        <w:t>[Section 76A inserted by No. 31 of 2008 s. 4; amended by No. 31 of 2008 s. 18.]</w:t>
      </w:r>
    </w:p>
    <w:p>
      <w:pPr>
        <w:pStyle w:val="Heading5"/>
      </w:pPr>
      <w:bookmarkStart w:id="98" w:name="_Toc390071617"/>
      <w:r>
        <w:rPr>
          <w:rStyle w:val="CharSectno"/>
        </w:rPr>
        <w:t>76</w:t>
      </w:r>
      <w:r>
        <w:t>.</w:t>
      </w:r>
      <w:r>
        <w:tab/>
        <w:t>Charge on land to secure land tax</w:t>
      </w:r>
      <w:bookmarkEnd w:id="98"/>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by No. 31 of 2008 s. 5 and 26.]</w:t>
      </w:r>
    </w:p>
    <w:p>
      <w:pPr>
        <w:pStyle w:val="Heading5"/>
        <w:spacing w:before="240"/>
      </w:pPr>
      <w:bookmarkStart w:id="99" w:name="_Toc390071618"/>
      <w:r>
        <w:rPr>
          <w:rStyle w:val="CharSectno"/>
        </w:rPr>
        <w:t>77</w:t>
      </w:r>
      <w:r>
        <w:t>.</w:t>
      </w:r>
      <w:r>
        <w:tab/>
        <w:t>Charge on land to secure stamp duty</w:t>
      </w:r>
      <w:bookmarkEnd w:id="99"/>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100" w:name="_Toc390071619"/>
      <w:r>
        <w:rPr>
          <w:rStyle w:val="CharSectno"/>
        </w:rPr>
        <w:t>77A</w:t>
      </w:r>
      <w:r>
        <w:t>.</w:t>
      </w:r>
      <w:r>
        <w:tab/>
        <w:t>Charge on land to secure transfer duty or landholder duty</w:t>
      </w:r>
      <w:bookmarkEnd w:id="100"/>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 No. 17 of 2010 s. 27.].]</w:t>
      </w:r>
    </w:p>
    <w:p>
      <w:pPr>
        <w:pStyle w:val="Heading5"/>
      </w:pPr>
      <w:bookmarkStart w:id="101" w:name="_Toc390071620"/>
      <w:r>
        <w:rPr>
          <w:rStyle w:val="CharSectno"/>
        </w:rPr>
        <w:t>78</w:t>
      </w:r>
      <w:r>
        <w:t>.</w:t>
      </w:r>
      <w:r>
        <w:tab/>
        <w:t>Charge on subsequent mining tenement</w:t>
      </w:r>
      <w:bookmarkEnd w:id="101"/>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102" w:name="_Toc390071621"/>
      <w:r>
        <w:rPr>
          <w:rStyle w:val="CharSectno"/>
        </w:rPr>
        <w:t>79</w:t>
      </w:r>
      <w:r>
        <w:t>.</w:t>
      </w:r>
      <w:r>
        <w:tab/>
        <w:t>Priority of charge</w:t>
      </w:r>
      <w:bookmarkEnd w:id="102"/>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spacing w:before="240"/>
      </w:pPr>
      <w:bookmarkStart w:id="103" w:name="_Toc390071622"/>
      <w:r>
        <w:rPr>
          <w:rStyle w:val="CharSectno"/>
        </w:rPr>
        <w:t>80</w:t>
      </w:r>
      <w:r>
        <w:t>.</w:t>
      </w:r>
      <w:r>
        <w:tab/>
        <w:t>Certificate of land tax secured by charge</w:t>
      </w:r>
      <w:bookmarkEnd w:id="103"/>
    </w:p>
    <w:p>
      <w:pPr>
        <w:pStyle w:val="Subsection"/>
      </w:pPr>
      <w:r>
        <w:tab/>
        <w:t>(1)</w:t>
      </w:r>
      <w:r>
        <w:tab/>
        <w:t>The Commissioner must, on application by the owner or a purchaser of land, issue a certificate — </w:t>
      </w:r>
    </w:p>
    <w:p>
      <w:pPr>
        <w:pStyle w:val="Indenta"/>
        <w:spacing w:before="60"/>
      </w:pPr>
      <w:r>
        <w:tab/>
        <w:t>(a)</w:t>
      </w:r>
      <w:r>
        <w:tab/>
        <w:t>stating whether there is a charge on the land under this Division; and</w:t>
      </w:r>
    </w:p>
    <w:p>
      <w:pPr>
        <w:pStyle w:val="Indenta"/>
      </w:pPr>
      <w:r>
        <w:tab/>
        <w:t>(b)</w:t>
      </w:r>
      <w:r>
        <w:tab/>
        <w:t>if there is — </w:t>
      </w:r>
    </w:p>
    <w:p>
      <w:pPr>
        <w:pStyle w:val="Indenti"/>
        <w:spacing w:before="60"/>
      </w:pPr>
      <w:r>
        <w:tab/>
        <w:t>(i)</w:t>
      </w:r>
      <w:r>
        <w:tab/>
        <w:t>stating the amount of unpaid tax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Footnotesection"/>
      </w:pPr>
      <w:r>
        <w:tab/>
        <w:t>[Section 80 amended by No. 12 of 2008 s. 47.]</w:t>
      </w:r>
    </w:p>
    <w:p>
      <w:pPr>
        <w:pStyle w:val="Heading5"/>
      </w:pPr>
      <w:bookmarkStart w:id="104" w:name="_Toc390071623"/>
      <w:r>
        <w:rPr>
          <w:rStyle w:val="CharSectno"/>
        </w:rPr>
        <w:t>81</w:t>
      </w:r>
      <w:r>
        <w:t>.</w:t>
      </w:r>
      <w:r>
        <w:tab/>
        <w:t>Withdrawal of memorial to be given when tax paid</w:t>
      </w:r>
      <w:bookmarkEnd w:id="104"/>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pPr>
      <w:bookmarkStart w:id="105" w:name="_Toc390071624"/>
      <w:r>
        <w:rPr>
          <w:rStyle w:val="CharSectno"/>
        </w:rPr>
        <w:t>82</w:t>
      </w:r>
      <w:r>
        <w:t>.</w:t>
      </w:r>
      <w:r>
        <w:tab/>
        <w:t>Memorials affecting TLA land or real property</w:t>
      </w:r>
      <w:bookmarkEnd w:id="105"/>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106" w:name="_Toc390071625"/>
      <w:r>
        <w:rPr>
          <w:rStyle w:val="CharSectno"/>
        </w:rPr>
        <w:t>83</w:t>
      </w:r>
      <w:r>
        <w:t>.</w:t>
      </w:r>
      <w:r>
        <w:tab/>
        <w:t>Memorials affecting mining tenements</w:t>
      </w:r>
      <w:bookmarkEnd w:id="106"/>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107" w:name="_Toc390071626"/>
      <w:r>
        <w:rPr>
          <w:rStyle w:val="CharSectno"/>
        </w:rPr>
        <w:t>84</w:t>
      </w:r>
      <w:r>
        <w:t>.</w:t>
      </w:r>
      <w:r>
        <w:tab/>
        <w:t>Notification of mortgagees</w:t>
      </w:r>
      <w:bookmarkEnd w:id="107"/>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108" w:name="_Toc390071627"/>
      <w:r>
        <w:rPr>
          <w:rStyle w:val="CharSectno"/>
        </w:rPr>
        <w:t>85</w:t>
      </w:r>
      <w:r>
        <w:t>.</w:t>
      </w:r>
      <w:r>
        <w:tab/>
        <w:t>Orders for sale of land</w:t>
      </w:r>
      <w:bookmarkEnd w:id="108"/>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109" w:name="_Toc390071628"/>
      <w:r>
        <w:rPr>
          <w:rStyle w:val="CharSectno"/>
        </w:rPr>
        <w:t>86</w:t>
      </w:r>
      <w:r>
        <w:t>.</w:t>
      </w:r>
      <w:r>
        <w:tab/>
        <w:t>Means of enforcement not limited to charge</w:t>
      </w:r>
      <w:bookmarkEnd w:id="109"/>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110" w:name="_Toc390071629"/>
      <w:r>
        <w:rPr>
          <w:rStyle w:val="CharPartNo"/>
        </w:rPr>
        <w:t>Part 7</w:t>
      </w:r>
      <w:r>
        <w:rPr>
          <w:rStyle w:val="CharDivNo"/>
        </w:rPr>
        <w:t xml:space="preserve"> </w:t>
      </w:r>
      <w:r>
        <w:t>—</w:t>
      </w:r>
      <w:r>
        <w:rPr>
          <w:rStyle w:val="CharDivText"/>
        </w:rPr>
        <w:t xml:space="preserve"> </w:t>
      </w:r>
      <w:r>
        <w:rPr>
          <w:rStyle w:val="CharPartText"/>
        </w:rPr>
        <w:t>Tax records</w:t>
      </w:r>
      <w:bookmarkEnd w:id="110"/>
    </w:p>
    <w:p>
      <w:pPr>
        <w:pStyle w:val="Heading5"/>
      </w:pPr>
      <w:bookmarkStart w:id="111" w:name="_Toc390071630"/>
      <w:r>
        <w:rPr>
          <w:rStyle w:val="CharSectno"/>
        </w:rPr>
        <w:t>87</w:t>
      </w:r>
      <w:r>
        <w:t>.</w:t>
      </w:r>
      <w:r>
        <w:tab/>
        <w:t>How long tax records are to be kept</w:t>
      </w:r>
      <w:bookmarkEnd w:id="111"/>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12" w:name="_Toc390071631"/>
      <w:r>
        <w:rPr>
          <w:rStyle w:val="CharSectno"/>
        </w:rPr>
        <w:t>88</w:t>
      </w:r>
      <w:r>
        <w:t>.</w:t>
      </w:r>
      <w:r>
        <w:tab/>
        <w:t>Form of tax records</w:t>
      </w:r>
      <w:bookmarkEnd w:id="112"/>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13" w:name="_Toc390071632"/>
      <w:r>
        <w:rPr>
          <w:rStyle w:val="CharSectno"/>
        </w:rPr>
        <w:t>89</w:t>
      </w:r>
      <w:r>
        <w:t>.</w:t>
      </w:r>
      <w:r>
        <w:tab/>
        <w:t>Where tax records are to be kept</w:t>
      </w:r>
      <w:bookmarkEnd w:id="113"/>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114" w:name="_Toc390071633"/>
      <w:r>
        <w:rPr>
          <w:rStyle w:val="CharSectno"/>
        </w:rPr>
        <w:t>90</w:t>
      </w:r>
      <w:r>
        <w:t>.</w:t>
      </w:r>
      <w:r>
        <w:tab/>
        <w:t>Failure to keep proper tax records</w:t>
      </w:r>
      <w:bookmarkEnd w:id="114"/>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15" w:name="_Toc390071634"/>
      <w:r>
        <w:rPr>
          <w:rStyle w:val="CharSectno"/>
        </w:rPr>
        <w:t>91</w:t>
      </w:r>
      <w:r>
        <w:t>.</w:t>
      </w:r>
      <w:r>
        <w:tab/>
        <w:t>General and specific exemptions</w:t>
      </w:r>
      <w:bookmarkEnd w:id="115"/>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16" w:name="_Toc390071635"/>
      <w:r>
        <w:rPr>
          <w:rStyle w:val="CharPartNo"/>
        </w:rPr>
        <w:t>Part 8</w:t>
      </w:r>
      <w:r>
        <w:t xml:space="preserve"> — </w:t>
      </w:r>
      <w:r>
        <w:rPr>
          <w:rStyle w:val="CharPartText"/>
        </w:rPr>
        <w:t>Investigations</w:t>
      </w:r>
      <w:bookmarkEnd w:id="116"/>
    </w:p>
    <w:p>
      <w:pPr>
        <w:pStyle w:val="Heading3"/>
      </w:pPr>
      <w:bookmarkStart w:id="117" w:name="_Toc390071636"/>
      <w:r>
        <w:rPr>
          <w:rStyle w:val="CharDivNo"/>
        </w:rPr>
        <w:t>Division 1</w:t>
      </w:r>
      <w:r>
        <w:t xml:space="preserve"> — </w:t>
      </w:r>
      <w:r>
        <w:rPr>
          <w:rStyle w:val="CharDivText"/>
        </w:rPr>
        <w:t>Investigations</w:t>
      </w:r>
      <w:bookmarkEnd w:id="117"/>
    </w:p>
    <w:p>
      <w:pPr>
        <w:pStyle w:val="Heading5"/>
      </w:pPr>
      <w:bookmarkStart w:id="118" w:name="_Toc390071637"/>
      <w:r>
        <w:rPr>
          <w:rStyle w:val="CharSectno"/>
        </w:rPr>
        <w:t>92</w:t>
      </w:r>
      <w:r>
        <w:t>.</w:t>
      </w:r>
      <w:r>
        <w:tab/>
        <w:t>Investigations</w:t>
      </w:r>
      <w:bookmarkEnd w:id="118"/>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19" w:name="_Toc390071638"/>
      <w:r>
        <w:rPr>
          <w:rStyle w:val="CharSectno"/>
        </w:rPr>
        <w:t>93</w:t>
      </w:r>
      <w:r>
        <w:t>.</w:t>
      </w:r>
      <w:r>
        <w:tab/>
        <w:t>Investigations for the purposes of recognised revenue laws</w:t>
      </w:r>
      <w:bookmarkEnd w:id="119"/>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20" w:name="_Toc390071639"/>
      <w:r>
        <w:rPr>
          <w:rStyle w:val="CharDivNo"/>
        </w:rPr>
        <w:t>Division 2</w:t>
      </w:r>
      <w:r>
        <w:t xml:space="preserve"> — </w:t>
      </w:r>
      <w:r>
        <w:rPr>
          <w:rStyle w:val="CharDivText"/>
        </w:rPr>
        <w:t>Obtaining tax records and other information</w:t>
      </w:r>
      <w:bookmarkEnd w:id="120"/>
    </w:p>
    <w:p>
      <w:pPr>
        <w:pStyle w:val="Heading5"/>
      </w:pPr>
      <w:bookmarkStart w:id="121" w:name="_Toc390071640"/>
      <w:r>
        <w:rPr>
          <w:rStyle w:val="CharSectno"/>
        </w:rPr>
        <w:t>94</w:t>
      </w:r>
      <w:r>
        <w:t>.</w:t>
      </w:r>
      <w:r>
        <w:tab/>
        <w:t>Requirements to provide information and tax records</w:t>
      </w:r>
      <w:bookmarkEnd w:id="121"/>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22" w:name="_Toc390071641"/>
      <w:r>
        <w:rPr>
          <w:rStyle w:val="CharSectno"/>
        </w:rPr>
        <w:t>95</w:t>
      </w:r>
      <w:r>
        <w:t>.</w:t>
      </w:r>
      <w:r>
        <w:tab/>
        <w:t>Power to require person to attend for examination</w:t>
      </w:r>
      <w:bookmarkEnd w:id="122"/>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23" w:name="_Toc390071642"/>
      <w:r>
        <w:rPr>
          <w:rStyle w:val="CharSectno"/>
        </w:rPr>
        <w:t>96</w:t>
      </w:r>
      <w:r>
        <w:t>.</w:t>
      </w:r>
      <w:r>
        <w:tab/>
        <w:t>Power to retain documents</w:t>
      </w:r>
      <w:bookmarkEnd w:id="123"/>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in the case of an instrument effecting or evidencing a transaction — a party to the transaction; or</w:t>
      </w:r>
    </w:p>
    <w:p>
      <w:pPr>
        <w:pStyle w:val="Indenta"/>
      </w:pPr>
      <w:r>
        <w:tab/>
        <w:t>(b)</w:t>
      </w:r>
      <w:r>
        <w:tab/>
        <w:t>in any other case — the person who lodged the instrument or document with the Commissioner.</w:t>
      </w:r>
    </w:p>
    <w:p>
      <w:pPr>
        <w:pStyle w:val="Footnotesection"/>
      </w:pPr>
      <w:r>
        <w:tab/>
        <w:t>[Section 96 amended by No. 12 of 2008 s. 48.]</w:t>
      </w:r>
    </w:p>
    <w:p>
      <w:pPr>
        <w:pStyle w:val="Heading5"/>
      </w:pPr>
      <w:bookmarkStart w:id="124" w:name="_Toc390071643"/>
      <w:r>
        <w:rPr>
          <w:rStyle w:val="CharSectno"/>
        </w:rPr>
        <w:t>97</w:t>
      </w:r>
      <w:r>
        <w:t>.</w:t>
      </w:r>
      <w:r>
        <w:tab/>
        <w:t>Recording examination proceedings</w:t>
      </w:r>
      <w:bookmarkEnd w:id="124"/>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25" w:name="_Toc390071644"/>
      <w:r>
        <w:rPr>
          <w:rStyle w:val="CharDivNo"/>
        </w:rPr>
        <w:t>Division 3</w:t>
      </w:r>
      <w:r>
        <w:t xml:space="preserve"> — </w:t>
      </w:r>
      <w:r>
        <w:rPr>
          <w:rStyle w:val="CharDivText"/>
        </w:rPr>
        <w:t>Access to premises</w:t>
      </w:r>
      <w:bookmarkEnd w:id="125"/>
    </w:p>
    <w:p>
      <w:pPr>
        <w:pStyle w:val="Heading5"/>
      </w:pPr>
      <w:bookmarkStart w:id="126" w:name="_Toc390071645"/>
      <w:r>
        <w:rPr>
          <w:rStyle w:val="CharSectno"/>
        </w:rPr>
        <w:t>98</w:t>
      </w:r>
      <w:r>
        <w:t>.</w:t>
      </w:r>
      <w:r>
        <w:tab/>
        <w:t>Entry of premises</w:t>
      </w:r>
      <w:bookmarkEnd w:id="126"/>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27" w:name="_Toc390071646"/>
      <w:r>
        <w:rPr>
          <w:rStyle w:val="CharSectno"/>
        </w:rPr>
        <w:t>99</w:t>
      </w:r>
      <w:r>
        <w:t>.</w:t>
      </w:r>
      <w:r>
        <w:tab/>
        <w:t>Powers of investigator while on premises</w:t>
      </w:r>
      <w:bookmarkEnd w:id="127"/>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28" w:name="_Toc390071647"/>
      <w:r>
        <w:rPr>
          <w:rStyle w:val="CharSectno"/>
        </w:rPr>
        <w:t>100</w:t>
      </w:r>
      <w:r>
        <w:t>.</w:t>
      </w:r>
      <w:r>
        <w:tab/>
        <w:t>Warrants to enter premises</w:t>
      </w:r>
      <w:bookmarkEnd w:id="128"/>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29" w:name="_Toc390071648"/>
      <w:r>
        <w:rPr>
          <w:rStyle w:val="CharSectno"/>
        </w:rPr>
        <w:t>101</w:t>
      </w:r>
      <w:r>
        <w:t>.</w:t>
      </w:r>
      <w:r>
        <w:tab/>
        <w:t>Use of force</w:t>
      </w:r>
      <w:bookmarkEnd w:id="129"/>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30" w:name="_Toc390071649"/>
      <w:r>
        <w:rPr>
          <w:rStyle w:val="CharDivNo"/>
        </w:rPr>
        <w:t>Division 4</w:t>
      </w:r>
      <w:r>
        <w:t xml:space="preserve"> — </w:t>
      </w:r>
      <w:r>
        <w:rPr>
          <w:rStyle w:val="CharDivText"/>
        </w:rPr>
        <w:t>General provisions</w:t>
      </w:r>
      <w:bookmarkEnd w:id="130"/>
    </w:p>
    <w:p>
      <w:pPr>
        <w:pStyle w:val="Heading5"/>
      </w:pPr>
      <w:bookmarkStart w:id="131" w:name="_Toc390071650"/>
      <w:r>
        <w:rPr>
          <w:rStyle w:val="CharSectno"/>
        </w:rPr>
        <w:t>102</w:t>
      </w:r>
      <w:r>
        <w:t>.</w:t>
      </w:r>
      <w:r>
        <w:tab/>
        <w:t>Complying with information requirements</w:t>
      </w:r>
      <w:bookmarkEnd w:id="131"/>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32" w:name="_Toc390071651"/>
      <w:r>
        <w:rPr>
          <w:rStyle w:val="CharSectno"/>
        </w:rPr>
        <w:t>103</w:t>
      </w:r>
      <w:r>
        <w:t>.</w:t>
      </w:r>
      <w:r>
        <w:tab/>
        <w:t>Legal professional privilege</w:t>
      </w:r>
      <w:bookmarkEnd w:id="132"/>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33" w:name="_Toc390071652"/>
      <w:r>
        <w:rPr>
          <w:rStyle w:val="CharSectno"/>
        </w:rPr>
        <w:t>104</w:t>
      </w:r>
      <w:r>
        <w:t>.</w:t>
      </w:r>
      <w:r>
        <w:tab/>
        <w:t>Interaction with other Acts</w:t>
      </w:r>
      <w:bookmarkEnd w:id="133"/>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34" w:name="_Toc390071653"/>
      <w:r>
        <w:rPr>
          <w:rStyle w:val="CharPartNo"/>
        </w:rPr>
        <w:t>Part 9</w:t>
      </w:r>
      <w:r>
        <w:rPr>
          <w:rStyle w:val="CharDivNo"/>
        </w:rPr>
        <w:t xml:space="preserve"> </w:t>
      </w:r>
      <w:r>
        <w:t>—</w:t>
      </w:r>
      <w:r>
        <w:rPr>
          <w:rStyle w:val="CharDivText"/>
        </w:rPr>
        <w:t xml:space="preserve"> </w:t>
      </w:r>
      <w:r>
        <w:rPr>
          <w:rStyle w:val="CharPartText"/>
        </w:rPr>
        <w:t>Offences</w:t>
      </w:r>
      <w:bookmarkEnd w:id="134"/>
    </w:p>
    <w:p>
      <w:pPr>
        <w:pStyle w:val="Heading5"/>
        <w:spacing w:before="240"/>
      </w:pPr>
      <w:bookmarkStart w:id="135" w:name="_Toc390071654"/>
      <w:r>
        <w:rPr>
          <w:rStyle w:val="CharSectno"/>
        </w:rPr>
        <w:t>105</w:t>
      </w:r>
      <w:r>
        <w:t>.</w:t>
      </w:r>
      <w:r>
        <w:tab/>
        <w:t>General penalty provision</w:t>
      </w:r>
      <w:bookmarkEnd w:id="135"/>
    </w:p>
    <w:p>
      <w:pPr>
        <w:pStyle w:val="Subsection"/>
        <w:spacing w:before="180"/>
      </w:pPr>
      <w:r>
        <w:tab/>
        <w:t>(1)</w:t>
      </w:r>
      <w:r>
        <w:tab/>
        <w:t xml:space="preserve">A person who commits an offence against a taxation Act for which no penalty is specifically provided is liable on conviction to a penalty not exceeding $20 000. </w:t>
      </w:r>
    </w:p>
    <w:p>
      <w:pPr>
        <w:pStyle w:val="Subsection"/>
        <w:spacing w:before="18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240"/>
      </w:pPr>
      <w:bookmarkStart w:id="136" w:name="_Toc390071655"/>
      <w:r>
        <w:rPr>
          <w:rStyle w:val="CharSectno"/>
        </w:rPr>
        <w:t>106</w:t>
      </w:r>
      <w:r>
        <w:t>.</w:t>
      </w:r>
      <w:r>
        <w:tab/>
        <w:t>Evasion of tax</w:t>
      </w:r>
      <w:bookmarkEnd w:id="136"/>
    </w:p>
    <w:p>
      <w:pPr>
        <w:pStyle w:val="Subsection"/>
        <w:spacing w:before="180"/>
      </w:pPr>
      <w:r>
        <w:tab/>
        <w:t>(1)</w:t>
      </w:r>
      <w:r>
        <w:tab/>
        <w:t>A person who, by an intentional act or omission, evades or attempts to evade paying tax that the person is liable to pay, commits an offence.</w:t>
      </w:r>
    </w:p>
    <w:p>
      <w:pPr>
        <w:pStyle w:val="Subsection"/>
        <w:spacing w:before="18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240"/>
      </w:pPr>
      <w:bookmarkStart w:id="137" w:name="_Toc390071656"/>
      <w:r>
        <w:rPr>
          <w:rStyle w:val="CharSectno"/>
        </w:rPr>
        <w:t>107</w:t>
      </w:r>
      <w:r>
        <w:t>.</w:t>
      </w:r>
      <w:r>
        <w:tab/>
        <w:t>False or misleading information</w:t>
      </w:r>
      <w:bookmarkEnd w:id="137"/>
    </w:p>
    <w:p>
      <w:pPr>
        <w:pStyle w:val="Subsection"/>
        <w:spacing w:before="18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keepNext/>
        <w:keepLines/>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38" w:name="_Toc390071657"/>
      <w:r>
        <w:rPr>
          <w:rStyle w:val="CharSectno"/>
        </w:rPr>
        <w:t>108</w:t>
      </w:r>
      <w:r>
        <w:t>.</w:t>
      </w:r>
      <w:r>
        <w:tab/>
        <w:t>Obstructing or misleading an investigator</w:t>
      </w:r>
      <w:bookmarkEnd w:id="138"/>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39" w:name="_Toc390071658"/>
      <w:r>
        <w:rPr>
          <w:rStyle w:val="CharSectno"/>
        </w:rPr>
        <w:t>109</w:t>
      </w:r>
      <w:r>
        <w:t>.</w:t>
      </w:r>
      <w:r>
        <w:tab/>
        <w:t>Offence by body corporate</w:t>
      </w:r>
      <w:bookmarkEnd w:id="139"/>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40" w:name="_Toc390071659"/>
      <w:r>
        <w:rPr>
          <w:rStyle w:val="CharSectno"/>
        </w:rPr>
        <w:t>110</w:t>
      </w:r>
      <w:r>
        <w:t>.</w:t>
      </w:r>
      <w:r>
        <w:tab/>
        <w:t>Criminal penalties not to affect civil liabilities</w:t>
      </w:r>
      <w:bookmarkEnd w:id="140"/>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41" w:name="_Toc390071660"/>
      <w:r>
        <w:rPr>
          <w:rStyle w:val="CharSectno"/>
        </w:rPr>
        <w:t>111</w:t>
      </w:r>
      <w:r>
        <w:t>.</w:t>
      </w:r>
      <w:r>
        <w:tab/>
        <w:t>Time for commencing prosecutions</w:t>
      </w:r>
      <w:bookmarkEnd w:id="141"/>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42" w:name="_Toc390071661"/>
      <w:r>
        <w:rPr>
          <w:rStyle w:val="CharSectno"/>
        </w:rPr>
        <w:t>112</w:t>
      </w:r>
      <w:r>
        <w:t>.</w:t>
      </w:r>
      <w:r>
        <w:tab/>
        <w:t>Authority required for prosecution</w:t>
      </w:r>
      <w:bookmarkEnd w:id="142"/>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43" w:name="_Toc390071662"/>
      <w:r>
        <w:rPr>
          <w:rStyle w:val="CharSectno"/>
        </w:rPr>
        <w:t>113</w:t>
      </w:r>
      <w:r>
        <w:t>.</w:t>
      </w:r>
      <w:r>
        <w:tab/>
        <w:t>General defence</w:t>
      </w:r>
      <w:bookmarkEnd w:id="143"/>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144" w:name="_Toc390071663"/>
      <w:r>
        <w:rPr>
          <w:rStyle w:val="CharPartNo"/>
        </w:rPr>
        <w:t>Part 10</w:t>
      </w:r>
      <w:r>
        <w:t xml:space="preserve"> — </w:t>
      </w:r>
      <w:r>
        <w:rPr>
          <w:rStyle w:val="CharPartText"/>
        </w:rPr>
        <w:t>Miscellaneous</w:t>
      </w:r>
      <w:bookmarkEnd w:id="144"/>
    </w:p>
    <w:p>
      <w:pPr>
        <w:pStyle w:val="Heading3"/>
      </w:pPr>
      <w:bookmarkStart w:id="145" w:name="_Toc390071664"/>
      <w:r>
        <w:rPr>
          <w:rStyle w:val="CharDivNo"/>
        </w:rPr>
        <w:t>Division 1</w:t>
      </w:r>
      <w:r>
        <w:t xml:space="preserve"> — </w:t>
      </w:r>
      <w:r>
        <w:rPr>
          <w:rStyle w:val="CharDivText"/>
        </w:rPr>
        <w:t>Confidentiality</w:t>
      </w:r>
      <w:bookmarkEnd w:id="145"/>
    </w:p>
    <w:p>
      <w:pPr>
        <w:pStyle w:val="Heading5"/>
      </w:pPr>
      <w:bookmarkStart w:id="146" w:name="_Toc390071665"/>
      <w:r>
        <w:rPr>
          <w:rStyle w:val="CharSectno"/>
        </w:rPr>
        <w:t>114</w:t>
      </w:r>
      <w:r>
        <w:t>.</w:t>
      </w:r>
      <w:r>
        <w:tab/>
        <w:t>Confidentiality</w:t>
      </w:r>
      <w:bookmarkEnd w:id="146"/>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27; No. 17 of 2010 s. 28.]</w:t>
      </w:r>
    </w:p>
    <w:p>
      <w:pPr>
        <w:pStyle w:val="Heading3"/>
      </w:pPr>
      <w:bookmarkStart w:id="147" w:name="_Toc390071666"/>
      <w:r>
        <w:rPr>
          <w:rStyle w:val="CharDivNo"/>
        </w:rPr>
        <w:t>Division 2</w:t>
      </w:r>
      <w:r>
        <w:t xml:space="preserve"> — </w:t>
      </w:r>
      <w:r>
        <w:rPr>
          <w:rStyle w:val="CharDivText"/>
        </w:rPr>
        <w:t>Service of documents</w:t>
      </w:r>
      <w:bookmarkEnd w:id="147"/>
    </w:p>
    <w:p>
      <w:pPr>
        <w:pStyle w:val="Heading5"/>
      </w:pPr>
      <w:bookmarkStart w:id="148" w:name="_Toc390071667"/>
      <w:r>
        <w:rPr>
          <w:rStyle w:val="CharSectno"/>
        </w:rPr>
        <w:t>115</w:t>
      </w:r>
      <w:r>
        <w:t>.</w:t>
      </w:r>
      <w:r>
        <w:tab/>
        <w:t>Service on the Commissioner</w:t>
      </w:r>
      <w:bookmarkEnd w:id="148"/>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49" w:name="_Toc390071668"/>
      <w:r>
        <w:rPr>
          <w:rStyle w:val="CharSectno"/>
        </w:rPr>
        <w:t>116</w:t>
      </w:r>
      <w:r>
        <w:t>.</w:t>
      </w:r>
      <w:r>
        <w:tab/>
        <w:t>Service on agent or representative of taxpayer</w:t>
      </w:r>
      <w:bookmarkEnd w:id="149"/>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150" w:name="_Toc390071669"/>
      <w:r>
        <w:rPr>
          <w:rStyle w:val="CharSectno"/>
        </w:rPr>
        <w:t>117</w:t>
      </w:r>
      <w:r>
        <w:t>.</w:t>
      </w:r>
      <w:r>
        <w:tab/>
        <w:t>Method of service by Commissioner</w:t>
      </w:r>
      <w:bookmarkEnd w:id="150"/>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spacing w:before="120"/>
      </w:pPr>
      <w:r>
        <w:tab/>
        <w:t>(2)</w:t>
      </w:r>
      <w:r>
        <w:tab/>
        <w:t>Where any of the methods of service in section 117(1) are impracticable, or have failed, the Commissioner can apply to the Supreme Court for substituted service.</w:t>
      </w:r>
    </w:p>
    <w:p>
      <w:pPr>
        <w:pStyle w:val="Subsection"/>
        <w:spacing w:before="120"/>
      </w:pPr>
      <w:r>
        <w:tab/>
        <w:t>(3)</w:t>
      </w:r>
      <w:r>
        <w:tab/>
        <w:t>The use of a particular method for service of a document on a particular person does not prevent the service of other documents on the same person in a different way.</w:t>
      </w:r>
    </w:p>
    <w:p>
      <w:pPr>
        <w:pStyle w:val="Subsection"/>
        <w:spacing w:before="120"/>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151" w:name="_Toc390071670"/>
      <w:r>
        <w:rPr>
          <w:rStyle w:val="CharSectno"/>
        </w:rPr>
        <w:t>118</w:t>
      </w:r>
      <w:r>
        <w:t>.</w:t>
      </w:r>
      <w:r>
        <w:tab/>
        <w:t>Non</w:t>
      </w:r>
      <w:r>
        <w:noBreakHyphen/>
        <w:t>exclusivity of this Division</w:t>
      </w:r>
      <w:bookmarkEnd w:id="151"/>
    </w:p>
    <w:p>
      <w:pPr>
        <w:pStyle w:val="Subsection"/>
        <w:spacing w:before="120"/>
      </w:pPr>
      <w:r>
        <w:tab/>
      </w:r>
      <w:r>
        <w:tab/>
        <w:t>The provisions of this Division are in addition to, and do not derogate from, other provisions of an enactment for facilitating service.</w:t>
      </w:r>
    </w:p>
    <w:p>
      <w:pPr>
        <w:pStyle w:val="Heading3"/>
      </w:pPr>
      <w:bookmarkStart w:id="152" w:name="_Toc390071671"/>
      <w:r>
        <w:rPr>
          <w:rStyle w:val="CharDivNo"/>
        </w:rPr>
        <w:t>Division 3</w:t>
      </w:r>
      <w:r>
        <w:t xml:space="preserve"> — </w:t>
      </w:r>
      <w:r>
        <w:rPr>
          <w:rStyle w:val="CharDivText"/>
        </w:rPr>
        <w:t>Evidentiary provisions</w:t>
      </w:r>
      <w:bookmarkEnd w:id="152"/>
    </w:p>
    <w:p>
      <w:pPr>
        <w:pStyle w:val="Heading5"/>
      </w:pPr>
      <w:bookmarkStart w:id="153" w:name="_Toc390071672"/>
      <w:r>
        <w:rPr>
          <w:rStyle w:val="CharSectno"/>
        </w:rPr>
        <w:t>119</w:t>
      </w:r>
      <w:r>
        <w:t>.</w:t>
      </w:r>
      <w:r>
        <w:tab/>
        <w:t>Evidentiary value of assessment notice</w:t>
      </w:r>
      <w:bookmarkEnd w:id="153"/>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154" w:name="_Toc390071673"/>
      <w:r>
        <w:rPr>
          <w:rStyle w:val="CharSectno"/>
        </w:rPr>
        <w:t>120</w:t>
      </w:r>
      <w:r>
        <w:t>.</w:t>
      </w:r>
      <w:r>
        <w:tab/>
        <w:t>Evidentiary status of copies and reproductions of documents</w:t>
      </w:r>
      <w:bookmarkEnd w:id="154"/>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155" w:name="_Toc390071674"/>
      <w:r>
        <w:rPr>
          <w:rStyle w:val="CharSectno"/>
        </w:rPr>
        <w:t>121</w:t>
      </w:r>
      <w:r>
        <w:t>.</w:t>
      </w:r>
      <w:r>
        <w:tab/>
        <w:t>Evidentiary certificates</w:t>
      </w:r>
      <w:bookmarkEnd w:id="155"/>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56" w:name="_Toc390071675"/>
      <w:r>
        <w:rPr>
          <w:rStyle w:val="CharSectno"/>
        </w:rPr>
        <w:t>122</w:t>
      </w:r>
      <w:r>
        <w:t>.</w:t>
      </w:r>
      <w:r>
        <w:tab/>
        <w:t>Extracts from register of delegates</w:t>
      </w:r>
      <w:bookmarkEnd w:id="156"/>
    </w:p>
    <w:p>
      <w:pPr>
        <w:pStyle w:val="Subsection"/>
        <w:spacing w:before="120"/>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57" w:name="_Toc390071676"/>
      <w:r>
        <w:rPr>
          <w:rStyle w:val="CharSectno"/>
        </w:rPr>
        <w:t>123</w:t>
      </w:r>
      <w:r>
        <w:t>.</w:t>
      </w:r>
      <w:r>
        <w:tab/>
        <w:t>Averments in charges</w:t>
      </w:r>
      <w:bookmarkEnd w:id="157"/>
    </w:p>
    <w:p>
      <w:pPr>
        <w:pStyle w:val="Subsection"/>
        <w:spacing w:before="120"/>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58" w:name="_Toc390071677"/>
      <w:r>
        <w:rPr>
          <w:rStyle w:val="CharSectno"/>
        </w:rPr>
        <w:t>124</w:t>
      </w:r>
      <w:r>
        <w:t>.</w:t>
      </w:r>
      <w:r>
        <w:tab/>
        <w:t>Presumption of regularity</w:t>
      </w:r>
      <w:bookmarkEnd w:id="158"/>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159" w:name="_Toc390071678"/>
      <w:r>
        <w:rPr>
          <w:rStyle w:val="CharDivNo"/>
        </w:rPr>
        <w:t>Division 4</w:t>
      </w:r>
      <w:r>
        <w:t xml:space="preserve"> — </w:t>
      </w:r>
      <w:r>
        <w:rPr>
          <w:rStyle w:val="CharDivText"/>
        </w:rPr>
        <w:t>Exemption from personal liability</w:t>
      </w:r>
      <w:bookmarkEnd w:id="159"/>
    </w:p>
    <w:p>
      <w:pPr>
        <w:pStyle w:val="Heading5"/>
      </w:pPr>
      <w:bookmarkStart w:id="160" w:name="_Toc390071679"/>
      <w:r>
        <w:rPr>
          <w:rStyle w:val="CharSectno"/>
        </w:rPr>
        <w:t>125</w:t>
      </w:r>
      <w:r>
        <w:t>.</w:t>
      </w:r>
      <w:r>
        <w:tab/>
        <w:t>Exemption from personal liability</w:t>
      </w:r>
      <w:bookmarkEnd w:id="160"/>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161" w:name="_Toc390071680"/>
      <w:r>
        <w:rPr>
          <w:rStyle w:val="CharDivNo"/>
        </w:rPr>
        <w:t>Division 5</w:t>
      </w:r>
      <w:r>
        <w:t xml:space="preserve"> — </w:t>
      </w:r>
      <w:r>
        <w:rPr>
          <w:rStyle w:val="CharDivText"/>
        </w:rPr>
        <w:t>Regulations, practices and forms</w:t>
      </w:r>
      <w:bookmarkEnd w:id="161"/>
    </w:p>
    <w:p>
      <w:pPr>
        <w:pStyle w:val="Footnoteheading"/>
      </w:pPr>
      <w:r>
        <w:tab/>
        <w:t>[Heading amended by No. 12 of 2008 s. 49.]</w:t>
      </w:r>
    </w:p>
    <w:p>
      <w:pPr>
        <w:pStyle w:val="Heading5"/>
      </w:pPr>
      <w:bookmarkStart w:id="162" w:name="_Toc390071681"/>
      <w:r>
        <w:rPr>
          <w:rStyle w:val="CharSectno"/>
        </w:rPr>
        <w:t>126</w:t>
      </w:r>
      <w:r>
        <w:t>.</w:t>
      </w:r>
      <w:r>
        <w:tab/>
        <w:t>Regulations</w:t>
      </w:r>
      <w:bookmarkEnd w:id="16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163" w:name="_Toc390071682"/>
      <w:r>
        <w:rPr>
          <w:rStyle w:val="CharSectno"/>
        </w:rPr>
        <w:t>127</w:t>
      </w:r>
      <w:r>
        <w:t>.</w:t>
      </w:r>
      <w:r>
        <w:tab/>
        <w:t>Practices</w:t>
      </w:r>
      <w:bookmarkEnd w:id="163"/>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164" w:name="_Toc390071683"/>
      <w:r>
        <w:rPr>
          <w:rStyle w:val="CharSectno"/>
        </w:rPr>
        <w:t>128</w:t>
      </w:r>
      <w:r>
        <w:t>.</w:t>
      </w:r>
      <w:r>
        <w:tab/>
        <w:t>Forms</w:t>
      </w:r>
      <w:bookmarkEnd w:id="164"/>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165" w:name="_Toc390071684"/>
      <w:r>
        <w:rPr>
          <w:rStyle w:val="CharDivNo"/>
        </w:rPr>
        <w:t>Division 6</w:t>
      </w:r>
      <w:r>
        <w:t> — </w:t>
      </w:r>
      <w:r>
        <w:rPr>
          <w:rStyle w:val="CharDivText"/>
        </w:rPr>
        <w:t>Early operation of certain amendments to taxation Acts</w:t>
      </w:r>
      <w:bookmarkEnd w:id="165"/>
    </w:p>
    <w:p>
      <w:pPr>
        <w:pStyle w:val="Footnoteheading"/>
      </w:pPr>
      <w:r>
        <w:tab/>
        <w:t>[Heading inserted by No. 31 of 2008 s. 28.]</w:t>
      </w:r>
    </w:p>
    <w:p>
      <w:pPr>
        <w:pStyle w:val="Heading5"/>
      </w:pPr>
      <w:bookmarkStart w:id="166" w:name="_Toc390071685"/>
      <w:r>
        <w:rPr>
          <w:rStyle w:val="CharSectno"/>
        </w:rPr>
        <w:t>129</w:t>
      </w:r>
      <w:r>
        <w:t>.</w:t>
      </w:r>
      <w:r>
        <w:tab/>
        <w:t>Meaning of terms in this Division</w:t>
      </w:r>
      <w:bookmarkEnd w:id="166"/>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pPr>
      <w:bookmarkStart w:id="167" w:name="_Toc390071686"/>
      <w:r>
        <w:rPr>
          <w:rStyle w:val="CharSectno"/>
        </w:rPr>
        <w:t>130</w:t>
      </w:r>
      <w:r>
        <w:t>.</w:t>
      </w:r>
      <w:r>
        <w:tab/>
        <w:t>Determination of pre</w:t>
      </w:r>
      <w:r>
        <w:noBreakHyphen/>
        <w:t>enactment provisions</w:t>
      </w:r>
      <w:bookmarkEnd w:id="167"/>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168" w:name="_Toc390071687"/>
      <w:r>
        <w:rPr>
          <w:rStyle w:val="CharSectno"/>
        </w:rPr>
        <w:t>131</w:t>
      </w:r>
      <w:r>
        <w:t>.</w:t>
      </w:r>
      <w:r>
        <w:tab/>
        <w:t>Duration of determination notice</w:t>
      </w:r>
      <w:bookmarkEnd w:id="168"/>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169" w:name="_Toc390071688"/>
      <w:r>
        <w:rPr>
          <w:rStyle w:val="CharSectno"/>
        </w:rPr>
        <w:t>132</w:t>
      </w:r>
      <w:r>
        <w:t>.</w:t>
      </w:r>
      <w:r>
        <w:tab/>
        <w:t>Amendment and replacement of determination notice</w:t>
      </w:r>
      <w:bookmarkEnd w:id="169"/>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170" w:name="_Toc390071689"/>
      <w:r>
        <w:rPr>
          <w:rStyle w:val="CharSectno"/>
        </w:rPr>
        <w:t>133</w:t>
      </w:r>
      <w:r>
        <w:t>.</w:t>
      </w:r>
      <w:r>
        <w:tab/>
        <w:t>Effect of pre</w:t>
      </w:r>
      <w:r>
        <w:noBreakHyphen/>
        <w:t>enactment provisions</w:t>
      </w:r>
      <w:bookmarkEnd w:id="170"/>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171" w:name="_Toc390071690"/>
      <w:r>
        <w:rPr>
          <w:rStyle w:val="CharSectno"/>
        </w:rPr>
        <w:t>134</w:t>
      </w:r>
      <w:r>
        <w:t>.</w:t>
      </w:r>
      <w:r>
        <w:tab/>
        <w:t>Review of Division</w:t>
      </w:r>
      <w:bookmarkEnd w:id="171"/>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72" w:name="_Toc390071691"/>
      <w:r>
        <w:rPr>
          <w:rStyle w:val="CharSchNo"/>
        </w:rPr>
        <w:t>Glossary</w:t>
      </w:r>
      <w:bookmarkEnd w:id="172"/>
    </w:p>
    <w:p>
      <w:pPr>
        <w:pStyle w:val="yShoulderClause"/>
      </w:pPr>
      <w:r>
        <w:t>[s. 4]</w:t>
      </w:r>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 a self</w:t>
      </w:r>
      <w:r>
        <w:noBreakHyphen/>
        <w:t>assessment, an official assessment, a reassessment or a compromise assessment;</w:t>
      </w:r>
    </w:p>
    <w:p>
      <w:pPr>
        <w:pStyle w:val="yDefstart"/>
      </w:pPr>
      <w:r>
        <w:tab/>
      </w:r>
      <w:r>
        <w:rPr>
          <w:rStyle w:val="CharDefText"/>
        </w:rPr>
        <w:t>assessment notice</w:t>
      </w:r>
      <w:r>
        <w:t xml:space="preserve"> means a notice under section 23;</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spacing w:before="80"/>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 whether the reviewed assessment was an original assessment or an earlier reassessment;</w:t>
      </w:r>
    </w:p>
    <w:p>
      <w:pPr>
        <w:pStyle w:val="yDefstart"/>
      </w:pPr>
      <w:r>
        <w:tab/>
      </w:r>
      <w:r>
        <w:rPr>
          <w:rStyle w:val="CharDefText"/>
        </w:rPr>
        <w:t>primary liability</w:t>
      </w:r>
      <w:r>
        <w:t xml:space="preserve"> for tax means a liability for tax exclusive of any liability for penalty tax;</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reassessment</w:t>
      </w:r>
      <w:r>
        <w:t xml:space="preserve"> does not include an original assessment;</w:t>
      </w:r>
    </w:p>
    <w:p>
      <w:pPr>
        <w:pStyle w:val="yDefstart"/>
      </w:pPr>
      <w:r>
        <w:tab/>
      </w:r>
      <w:r>
        <w:rPr>
          <w:rStyle w:val="CharDefText"/>
        </w:rPr>
        <w:t>recognised jurisdiction</w:t>
      </w:r>
      <w:r>
        <w:t xml:space="preserve"> means the Commonwealth or another State;</w:t>
      </w:r>
    </w:p>
    <w:p>
      <w:pPr>
        <w:pStyle w:val="yDefstar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Northern Territory and the Australian Capital Territory;</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73" w:name="_Toc390071692"/>
      <w:r>
        <w:t>Notes</w:t>
      </w:r>
      <w:bookmarkEnd w:id="173"/>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4, 5, 6, 7</w:t>
      </w:r>
      <w:r>
        <w:rPr>
          <w:snapToGrid w:val="0"/>
        </w:rPr>
        <w:t>.  The table also contains information about any reprint.</w:t>
      </w:r>
    </w:p>
    <w:p>
      <w:pPr>
        <w:pStyle w:val="nHeading3"/>
      </w:pPr>
      <w:bookmarkStart w:id="174" w:name="_Toc390071693"/>
      <w:r>
        <w:t>Compilation table</w:t>
      </w:r>
      <w:bookmarkEnd w:id="1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s. 1 and 2: 20 Mar 2003;</w:t>
            </w:r>
            <w:r>
              <w:rPr>
                <w:sz w:val="19"/>
              </w:rPr>
              <w:br/>
              <w:t>Act other than s. 1, 2, 34(2)(c), (4) and (5), 41(2) and (4), 47(8), 48, 56(3), 57(3), 59 and 127 and the definition of “non</w:t>
            </w:r>
            <w:r>
              <w:rPr>
                <w:sz w:val="19"/>
              </w:rPr>
              <w:noBreakHyphen/>
              <w:t xml:space="preserve">reviewable decision” in the Glossary </w:t>
            </w:r>
            <w:r>
              <w:rPr>
                <w:sz w:val="19"/>
                <w:vertAlign w:val="superscript"/>
              </w:rPr>
              <w:t>7</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r>
              <w:rPr>
                <w:spacing w:val="-2"/>
                <w:sz w:val="19"/>
              </w:rPr>
              <w:br/>
            </w:r>
            <w:r>
              <w:rPr>
                <w:sz w:val="19"/>
              </w:rPr>
              <w:t xml:space="preserve">s. 34(2)(c) and (4), 47(8), 48, 56(3), 57(3) and 59: 2 Mar 2009 (see s. 2 and </w:t>
            </w:r>
            <w:r>
              <w:rPr>
                <w:i/>
                <w:iCs/>
                <w:sz w:val="19"/>
              </w:rPr>
              <w:t xml:space="preserve">Gazette </w:t>
            </w:r>
            <w:r>
              <w:rPr>
                <w:sz w:val="19"/>
              </w:rPr>
              <w:t>24 Feb 2009 p. 385)</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8</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10</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rPr>
          <w:cantSplit/>
        </w:trP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Pr>
          <w:p>
            <w:pPr>
              <w:pStyle w:val="nTable"/>
              <w:spacing w:after="40"/>
              <w:rPr>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2268" w:type="dxa"/>
          </w:tcPr>
          <w:p>
            <w:pPr>
              <w:pStyle w:val="nTable"/>
              <w:spacing w:after="40"/>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4" w:type="dxa"/>
          </w:tcPr>
          <w:p>
            <w:pPr>
              <w:pStyle w:val="nTable"/>
              <w:spacing w:after="40"/>
              <w:rPr>
                <w:snapToGrid w:val="0"/>
                <w:sz w:val="19"/>
              </w:rPr>
            </w:pPr>
            <w:r>
              <w:rPr>
                <w:snapToGrid w:val="0"/>
                <w:sz w:val="19"/>
              </w:rPr>
              <w:t>60 of 2006</w:t>
            </w:r>
          </w:p>
        </w:tc>
        <w:tc>
          <w:tcPr>
            <w:tcW w:w="1134" w:type="dxa"/>
          </w:tcPr>
          <w:p>
            <w:pPr>
              <w:pStyle w:val="nTable"/>
              <w:spacing w:after="40"/>
              <w:rPr>
                <w:sz w:val="19"/>
              </w:rPr>
            </w:pPr>
            <w:r>
              <w:rPr>
                <w:snapToGrid w:val="0"/>
                <w:sz w:val="19"/>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after="40"/>
              <w:rPr>
                <w:i/>
                <w:snapToGrid w:val="0"/>
                <w:sz w:val="19"/>
              </w:rPr>
            </w:pPr>
            <w:r>
              <w:rPr>
                <w:i/>
                <w:snapToGrid w:val="0"/>
                <w:sz w:val="19"/>
              </w:rPr>
              <w:t>Financial Legislation Amendment and Repeal Act 2006</w:t>
            </w:r>
            <w:r>
              <w:rPr>
                <w:snapToGrid w:val="0"/>
                <w:sz w:val="19"/>
              </w:rPr>
              <w:t xml:space="preserve"> s. 17</w:t>
            </w:r>
          </w:p>
        </w:tc>
        <w:tc>
          <w:tcPr>
            <w:tcW w:w="1134" w:type="dxa"/>
          </w:tcPr>
          <w:p>
            <w:pPr>
              <w:pStyle w:val="nTable"/>
              <w:spacing w:after="40"/>
              <w:rPr>
                <w:snapToGrid w:val="0"/>
                <w:sz w:val="19"/>
              </w:rPr>
            </w:pPr>
            <w:r>
              <w:rPr>
                <w:snapToGrid w:val="0"/>
                <w:sz w:val="19"/>
              </w:rPr>
              <w:t>77 of 2006</w:t>
            </w:r>
          </w:p>
        </w:tc>
        <w:tc>
          <w:tcPr>
            <w:tcW w:w="1134" w:type="dxa"/>
          </w:tcPr>
          <w:p>
            <w:pPr>
              <w:pStyle w:val="nTable"/>
              <w:spacing w:after="40"/>
              <w:rPr>
                <w:snapToGrid w:val="0"/>
                <w:sz w:val="19"/>
              </w:rPr>
            </w:pPr>
            <w:r>
              <w:rPr>
                <w:snapToGrid w:val="0"/>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68" w:type="dxa"/>
          </w:tcPr>
          <w:p>
            <w:pPr>
              <w:pStyle w:val="nTable"/>
              <w:spacing w:after="40"/>
              <w:rPr>
                <w:iCs/>
                <w:snapToGrid w:val="0"/>
                <w:sz w:val="19"/>
              </w:rPr>
            </w:pPr>
            <w:r>
              <w:rPr>
                <w:i/>
                <w:snapToGrid w:val="0"/>
                <w:sz w:val="19"/>
              </w:rPr>
              <w:t>Revenue Laws Amendment (Assessment) Act 2007</w:t>
            </w:r>
            <w:r>
              <w:rPr>
                <w:iCs/>
                <w:snapToGrid w:val="0"/>
                <w:sz w:val="19"/>
              </w:rPr>
              <w:t xml:space="preserve"> Pt. 3</w:t>
            </w:r>
          </w:p>
        </w:tc>
        <w:tc>
          <w:tcPr>
            <w:tcW w:w="1134" w:type="dxa"/>
          </w:tcPr>
          <w:p>
            <w:pPr>
              <w:pStyle w:val="nTable"/>
              <w:spacing w:after="40"/>
              <w:rPr>
                <w:snapToGrid w:val="0"/>
                <w:sz w:val="19"/>
              </w:rPr>
            </w:pPr>
            <w:r>
              <w:rPr>
                <w:snapToGrid w:val="0"/>
                <w:sz w:val="19"/>
              </w:rPr>
              <w:t xml:space="preserve">13 of 2007 </w:t>
            </w:r>
          </w:p>
        </w:tc>
        <w:tc>
          <w:tcPr>
            <w:tcW w:w="1134" w:type="dxa"/>
          </w:tcPr>
          <w:p>
            <w:pPr>
              <w:pStyle w:val="nTable"/>
              <w:spacing w:after="40"/>
              <w:rPr>
                <w:snapToGrid w:val="0"/>
                <w:sz w:val="19"/>
              </w:rPr>
            </w:pPr>
            <w:r>
              <w:rPr>
                <w:snapToGrid w:val="0"/>
                <w:sz w:val="19"/>
              </w:rPr>
              <w:t>29 Jun 2007</w:t>
            </w:r>
          </w:p>
        </w:tc>
        <w:tc>
          <w:tcPr>
            <w:tcW w:w="2552" w:type="dxa"/>
          </w:tcPr>
          <w:p>
            <w:pPr>
              <w:pStyle w:val="nTable"/>
              <w:spacing w:after="40"/>
              <w:rPr>
                <w:sz w:val="19"/>
              </w:rPr>
            </w:pPr>
            <w:r>
              <w:rPr>
                <w:sz w:val="19"/>
              </w:rPr>
              <w:t>30 Jun 2007 (see s. 2(b))</w:t>
            </w:r>
          </w:p>
        </w:tc>
      </w:tr>
      <w:tr>
        <w:trPr>
          <w:cantSplit/>
        </w:trPr>
        <w:tc>
          <w:tcPr>
            <w:tcW w:w="7088" w:type="dxa"/>
            <w:gridSpan w:val="4"/>
          </w:tcPr>
          <w:p>
            <w:pPr>
              <w:pStyle w:val="nTable"/>
              <w:spacing w:after="40"/>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c>
          <w:tcPr>
            <w:tcW w:w="2268" w:type="dxa"/>
          </w:tcPr>
          <w:p>
            <w:pPr>
              <w:pStyle w:val="nTable"/>
              <w:keepNext/>
              <w:keepLines/>
              <w:spacing w:after="40"/>
              <w:rPr>
                <w:i/>
                <w:snapToGrid w:val="0"/>
                <w:sz w:val="19"/>
              </w:rPr>
            </w:pPr>
            <w:r>
              <w:rPr>
                <w:i/>
                <w:sz w:val="19"/>
              </w:rPr>
              <w:t>Duties Legislation Amendment Act 2008</w:t>
            </w:r>
            <w:r>
              <w:rPr>
                <w:iCs/>
                <w:sz w:val="19"/>
              </w:rPr>
              <w:t xml:space="preserve"> Pt. 2 Div. 3 </w:t>
            </w:r>
            <w:r>
              <w:rPr>
                <w:iCs/>
                <w:sz w:val="19"/>
                <w:vertAlign w:val="superscript"/>
              </w:rPr>
              <w:t>11</w:t>
            </w:r>
          </w:p>
        </w:tc>
        <w:tc>
          <w:tcPr>
            <w:tcW w:w="1134" w:type="dxa"/>
          </w:tcPr>
          <w:p>
            <w:pPr>
              <w:pStyle w:val="nTable"/>
              <w:spacing w:after="40"/>
              <w:rPr>
                <w:snapToGrid w:val="0"/>
                <w:sz w:val="19"/>
              </w:rPr>
            </w:pPr>
            <w:r>
              <w:rPr>
                <w:sz w:val="19"/>
              </w:rPr>
              <w:t>12 of 2008</w:t>
            </w:r>
          </w:p>
        </w:tc>
        <w:tc>
          <w:tcPr>
            <w:tcW w:w="1134" w:type="dxa"/>
          </w:tcPr>
          <w:p>
            <w:pPr>
              <w:pStyle w:val="nTable"/>
              <w:spacing w:after="40"/>
              <w:rPr>
                <w:snapToGrid w:val="0"/>
                <w:sz w:val="19"/>
              </w:rPr>
            </w:pPr>
            <w:r>
              <w:rPr>
                <w:sz w:val="19"/>
              </w:rPr>
              <w:t>14 Apr 2008</w:t>
            </w:r>
          </w:p>
        </w:tc>
        <w:tc>
          <w:tcPr>
            <w:tcW w:w="2552" w:type="dxa"/>
          </w:tcPr>
          <w:p>
            <w:pPr>
              <w:pStyle w:val="nTable"/>
              <w:spacing w:after="40"/>
              <w:rPr>
                <w:snapToGrid w:val="0"/>
                <w:sz w:val="19"/>
              </w:rPr>
            </w:pPr>
            <w:r>
              <w:rPr>
                <w:sz w:val="19"/>
              </w:rPr>
              <w:t>1 Jul 2008 (see s. 2(d))</w:t>
            </w:r>
          </w:p>
        </w:tc>
      </w:tr>
      <w:tr>
        <w:tc>
          <w:tcPr>
            <w:tcW w:w="2268" w:type="dxa"/>
          </w:tcPr>
          <w:p>
            <w:pPr>
              <w:pStyle w:val="nTable"/>
              <w:spacing w:after="40"/>
              <w:rPr>
                <w:iCs/>
                <w:snapToGrid w:val="0"/>
                <w:sz w:val="19"/>
              </w:rPr>
            </w:pPr>
            <w:r>
              <w:rPr>
                <w:i/>
                <w:snapToGrid w:val="0"/>
                <w:sz w:val="19"/>
              </w:rPr>
              <w:t>Revenue Laws Amendment Act (No. 2) 2008</w:t>
            </w:r>
            <w:r>
              <w:rPr>
                <w:iCs/>
                <w:snapToGrid w:val="0"/>
                <w:sz w:val="19"/>
              </w:rPr>
              <w:t xml:space="preserve"> Pt. 2 Div. 1 and 3 and Pt. 3</w:t>
            </w:r>
          </w:p>
        </w:tc>
        <w:tc>
          <w:tcPr>
            <w:tcW w:w="1134" w:type="dxa"/>
          </w:tcPr>
          <w:p>
            <w:pPr>
              <w:pStyle w:val="nTable"/>
              <w:spacing w:after="40"/>
              <w:rPr>
                <w:snapToGrid w:val="0"/>
                <w:sz w:val="19"/>
              </w:rPr>
            </w:pPr>
            <w:r>
              <w:rPr>
                <w:snapToGrid w:val="0"/>
                <w:sz w:val="19"/>
              </w:rPr>
              <w:t>31 of 2008</w:t>
            </w:r>
          </w:p>
        </w:tc>
        <w:tc>
          <w:tcPr>
            <w:tcW w:w="1134" w:type="dxa"/>
          </w:tcPr>
          <w:p>
            <w:pPr>
              <w:pStyle w:val="nTable"/>
              <w:spacing w:after="40"/>
              <w:rPr>
                <w:snapToGrid w:val="0"/>
                <w:sz w:val="19"/>
              </w:rPr>
            </w:pPr>
            <w:r>
              <w:rPr>
                <w:snapToGrid w:val="0"/>
                <w:sz w:val="19"/>
              </w:rPr>
              <w:t>27 Jun 2008</w:t>
            </w:r>
          </w:p>
        </w:tc>
        <w:tc>
          <w:tcPr>
            <w:tcW w:w="2552" w:type="dxa"/>
          </w:tcPr>
          <w:p>
            <w:pPr>
              <w:pStyle w:val="nTable"/>
              <w:spacing w:after="40"/>
              <w:ind w:right="-76"/>
              <w:rPr>
                <w:sz w:val="19"/>
              </w:rPr>
            </w:pPr>
            <w:r>
              <w:rPr>
                <w:sz w:val="19"/>
              </w:rPr>
              <w:t>Pt. 2 Div. 1 and Pt. 3 Div. 1 and 2: 28 Jun 2008 (see s. 2(b));</w:t>
            </w:r>
            <w:r>
              <w:rPr>
                <w:sz w:val="19"/>
              </w:rPr>
              <w:br/>
              <w:t>Pt. 2 Div. 3: 1 Jul 2008 (see s. 2(c)(ii))</w:t>
            </w:r>
            <w:r>
              <w:rPr>
                <w:sz w:val="19"/>
              </w:rPr>
              <w:br/>
              <w:t xml:space="preserve">Pt. 3 Div. 3: 11 Oct 2008 (see s. 2(d) and </w:t>
            </w:r>
            <w:r>
              <w:rPr>
                <w:i/>
                <w:iCs/>
                <w:sz w:val="19"/>
              </w:rPr>
              <w:t>Gazette</w:t>
            </w:r>
            <w:r>
              <w:rPr>
                <w:sz w:val="19"/>
              </w:rPr>
              <w:t xml:space="preserve"> 10 Oct 2008 p. 4539)</w:t>
            </w:r>
          </w:p>
        </w:tc>
      </w:tr>
      <w:tr>
        <w:trPr>
          <w:cantSplit/>
        </w:trPr>
        <w:tc>
          <w:tcPr>
            <w:tcW w:w="7088" w:type="dxa"/>
            <w:gridSpan w:val="4"/>
          </w:tcPr>
          <w:p>
            <w:pPr>
              <w:pStyle w:val="nTable"/>
              <w:spacing w:after="40"/>
              <w:rPr>
                <w:sz w:val="19"/>
              </w:rPr>
            </w:pPr>
            <w:r>
              <w:rPr>
                <w:b/>
                <w:bCs/>
                <w:sz w:val="19"/>
              </w:rPr>
              <w:t xml:space="preserve">Reprint 3:  The </w:t>
            </w:r>
            <w:r>
              <w:rPr>
                <w:b/>
                <w:bCs/>
                <w:i/>
                <w:snapToGrid w:val="0"/>
                <w:sz w:val="19"/>
              </w:rPr>
              <w:t xml:space="preserve">Taxation Administration Act 2003 </w:t>
            </w:r>
            <w:r>
              <w:rPr>
                <w:b/>
                <w:bCs/>
                <w:sz w:val="19"/>
              </w:rPr>
              <w:t>as at 22 Aug 2008</w:t>
            </w:r>
            <w:r>
              <w:rPr>
                <w:sz w:val="19"/>
              </w:rPr>
              <w:t xml:space="preserve"> (includes amendments listed above, except those the </w:t>
            </w:r>
            <w:r>
              <w:rPr>
                <w:i/>
                <w:iCs/>
                <w:sz w:val="19"/>
              </w:rPr>
              <w:t>Revenue Laws Amendment Act (No. 2) 2008</w:t>
            </w:r>
            <w:r>
              <w:rPr>
                <w:sz w:val="19"/>
              </w:rPr>
              <w:t xml:space="preserve"> Pt. 3 Div. 3)</w:t>
            </w:r>
          </w:p>
        </w:tc>
      </w:tr>
      <w:tr>
        <w:tc>
          <w:tcPr>
            <w:tcW w:w="2268" w:type="dxa"/>
            <w:tcBorders>
              <w:bottom w:val="single" w:sz="4" w:space="0" w:color="auto"/>
            </w:tcBorders>
          </w:tcPr>
          <w:p>
            <w:pPr>
              <w:pStyle w:val="nTable"/>
              <w:spacing w:after="40"/>
              <w:rPr>
                <w:iCs/>
                <w:snapToGrid w:val="0"/>
                <w:sz w:val="19"/>
              </w:rPr>
            </w:pPr>
            <w:r>
              <w:rPr>
                <w:i/>
                <w:snapToGrid w:val="0"/>
                <w:sz w:val="19"/>
              </w:rPr>
              <w:t>Revenue Laws Amendment and Repeal Act 2010</w:t>
            </w:r>
            <w:r>
              <w:rPr>
                <w:iCs/>
                <w:snapToGrid w:val="0"/>
                <w:sz w:val="19"/>
              </w:rPr>
              <w:t xml:space="preserve"> Pt. 5 and s. 30</w:t>
            </w:r>
          </w:p>
        </w:tc>
        <w:tc>
          <w:tcPr>
            <w:tcW w:w="1134" w:type="dxa"/>
            <w:tcBorders>
              <w:bottom w:val="single" w:sz="4" w:space="0" w:color="auto"/>
            </w:tcBorders>
          </w:tcPr>
          <w:p>
            <w:pPr>
              <w:pStyle w:val="nTable"/>
              <w:spacing w:after="40"/>
              <w:rPr>
                <w:snapToGrid w:val="0"/>
                <w:sz w:val="19"/>
              </w:rPr>
            </w:pPr>
            <w:r>
              <w:rPr>
                <w:snapToGrid w:val="0"/>
                <w:sz w:val="19"/>
              </w:rPr>
              <w:t>17 of 2010</w:t>
            </w:r>
          </w:p>
        </w:tc>
        <w:tc>
          <w:tcPr>
            <w:tcW w:w="1134" w:type="dxa"/>
            <w:tcBorders>
              <w:bottom w:val="single" w:sz="4" w:space="0" w:color="auto"/>
            </w:tcBorders>
          </w:tcPr>
          <w:p>
            <w:pPr>
              <w:pStyle w:val="nTable"/>
              <w:spacing w:after="40"/>
              <w:rPr>
                <w:snapToGrid w:val="0"/>
                <w:sz w:val="19"/>
              </w:rPr>
            </w:pPr>
            <w:r>
              <w:rPr>
                <w:snapToGrid w:val="0"/>
                <w:sz w:val="19"/>
              </w:rPr>
              <w:t>25 Jun 2010</w:t>
            </w:r>
          </w:p>
        </w:tc>
        <w:tc>
          <w:tcPr>
            <w:tcW w:w="2552" w:type="dxa"/>
            <w:tcBorders>
              <w:bottom w:val="single" w:sz="4" w:space="0" w:color="auto"/>
            </w:tcBorders>
          </w:tcPr>
          <w:p>
            <w:pPr>
              <w:pStyle w:val="nTable"/>
              <w:spacing w:after="40"/>
              <w:ind w:right="-76"/>
              <w:rPr>
                <w:sz w:val="19"/>
              </w:rPr>
            </w:pPr>
            <w:r>
              <w:rPr>
                <w:sz w:val="19"/>
              </w:rPr>
              <w:t>26 Jun 2010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5" w:name="_Toc390071694"/>
      <w:r>
        <w:t>Provisions that have not come into operation</w:t>
      </w:r>
      <w:bookmarkEnd w:id="1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bottom w:val="single" w:sz="8" w:space="0" w:color="auto"/>
            </w:tcBorders>
          </w:tcPr>
          <w:p>
            <w:pPr>
              <w:pStyle w:val="nTable"/>
              <w:spacing w:after="4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94 </w:t>
            </w:r>
            <w:r>
              <w:rPr>
                <w:iCs/>
                <w:snapToGrid w:val="0"/>
                <w:sz w:val="19"/>
                <w:vertAlign w:val="superscript"/>
              </w:rPr>
              <w:t>12</w:t>
            </w:r>
          </w:p>
        </w:tc>
        <w:tc>
          <w:tcPr>
            <w:tcW w:w="1134" w:type="dxa"/>
            <w:tcBorders>
              <w:bottom w:val="single" w:sz="8" w:space="0" w:color="auto"/>
            </w:tcBorders>
          </w:tcPr>
          <w:p>
            <w:pPr>
              <w:pStyle w:val="nTable"/>
              <w:spacing w:after="40"/>
              <w:rPr>
                <w:snapToGrid w:val="0"/>
                <w:sz w:val="19"/>
              </w:rPr>
            </w:pPr>
            <w:r>
              <w:rPr>
                <w:snapToGrid w:val="0"/>
                <w:sz w:val="19"/>
              </w:rPr>
              <w:t>24 of 2007</w:t>
            </w:r>
          </w:p>
        </w:tc>
        <w:tc>
          <w:tcPr>
            <w:tcW w:w="1134" w:type="dxa"/>
            <w:tcBorders>
              <w:bottom w:val="single" w:sz="8" w:space="0" w:color="auto"/>
            </w:tcBorders>
          </w:tcPr>
          <w:p>
            <w:pPr>
              <w:pStyle w:val="nTable"/>
              <w:spacing w:after="40"/>
              <w:rPr>
                <w:sz w:val="19"/>
              </w:rPr>
            </w:pPr>
            <w:r>
              <w:rPr>
                <w:snapToGrid w:val="0"/>
                <w:sz w:val="19"/>
              </w:rPr>
              <w:t>12 Oct 2007</w:t>
            </w:r>
          </w:p>
        </w:tc>
        <w:tc>
          <w:tcPr>
            <w:tcW w:w="2552" w:type="dxa"/>
            <w:tcBorders>
              <w:bottom w:val="single" w:sz="8" w:space="0" w:color="auto"/>
            </w:tcBorders>
          </w:tcPr>
          <w:p>
            <w:pPr>
              <w:pStyle w:val="nTable"/>
              <w:spacing w:after="40"/>
              <w:rPr>
                <w:snapToGrid w:val="0"/>
                <w:sz w:val="19"/>
              </w:rPr>
            </w:pPr>
            <w:r>
              <w:rPr>
                <w:snapToGrid w:val="0"/>
                <w:sz w:val="19"/>
              </w:rPr>
              <w:t>To be proclaimed (see s. 2(1))</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rPr>
          <w:snapToGrid w:val="0"/>
        </w:rPr>
      </w:pPr>
      <w:r>
        <w:rPr>
          <w:snapToGrid w:val="0"/>
          <w:vertAlign w:val="superscript"/>
        </w:rPr>
        <w:t>3</w:t>
      </w:r>
      <w:r>
        <w:rPr>
          <w:snapToGrid w:val="0"/>
        </w:rPr>
        <w:tab/>
        <w:t xml:space="preserve">Footnote no longer applicable. </w:t>
      </w:r>
    </w:p>
    <w:p>
      <w:pPr>
        <w:pStyle w:val="nSubsection"/>
        <w:rPr>
          <w:snapToGrid w:val="0"/>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5</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Western Australia.</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in its application as a law of Western Australia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Western Australia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r>
        <w:rPr>
          <w:i/>
          <w:iCs/>
        </w:rPr>
        <w:t>Metropolitan Region Town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t>“</w:t>
      </w:r>
      <w:r>
        <w:rPr>
          <w:b/>
          <w:bCs/>
        </w:rPr>
        <w:t>applied taxation Act</w:t>
      </w:r>
      <w:r>
        <w:rPr>
          <w:b/>
        </w:rPr>
        <w:t>”</w:t>
      </w:r>
      <w:r>
        <w:t xml:space="preserve"> means a taxation Act in its application as a law of the Commonwealth in or in relation to Commonwealth places in Western Australia in accordance with the Commonwealth Act;</w:t>
      </w:r>
    </w:p>
    <w:p>
      <w:pPr>
        <w:pStyle w:val="nzDefstart"/>
      </w:pPr>
      <w:r>
        <w:tab/>
      </w:r>
      <w:r>
        <w:rPr>
          <w:b/>
        </w:rPr>
        <w:t>“</w:t>
      </w:r>
      <w:r>
        <w:rPr>
          <w:b/>
          <w:bCs/>
        </w:rPr>
        <w:t>applied Taxation Administration Act</w:t>
      </w:r>
      <w:r>
        <w:rPr>
          <w:b/>
        </w:rPr>
        <w:t>”</w:t>
      </w:r>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nzDefstart"/>
        <w:keepNext/>
        <w:keepLines/>
      </w:pPr>
      <w:r>
        <w:tab/>
      </w:r>
      <w:r>
        <w:rPr>
          <w:b/>
        </w:rPr>
        <w:t>“</w:t>
      </w:r>
      <w:r>
        <w:rPr>
          <w:b/>
          <w:bCs/>
        </w:rPr>
        <w:t>Commonwealth place</w:t>
      </w:r>
      <w:r>
        <w:rPr>
          <w:b/>
        </w:rPr>
        <w:t>”</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MiscClose"/>
      </w:pPr>
      <w:r>
        <w:t>”.</w:t>
      </w:r>
    </w:p>
    <w:p>
      <w:pPr>
        <w:pStyle w:val="nSubsection"/>
      </w:pPr>
      <w:r>
        <w:rPr>
          <w:vertAlign w:val="superscript"/>
        </w:rPr>
        <w:t>6</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7</w:t>
      </w:r>
      <w:r>
        <w:t> — </w:t>
      </w:r>
      <w:r>
        <w:rPr>
          <w:rStyle w:val="CharPartText"/>
        </w:rPr>
        <w:t>Taxation administration</w:t>
      </w:r>
    </w:p>
    <w:p>
      <w:pPr>
        <w:pStyle w:val="nzHeading3"/>
      </w:pPr>
      <w:r>
        <w:rPr>
          <w:rStyle w:val="CharDivNo"/>
        </w:rPr>
        <w:t>Division 1</w:t>
      </w:r>
      <w:r>
        <w:t> — </w:t>
      </w:r>
      <w:r>
        <w:rPr>
          <w:rStyle w:val="CharDivText"/>
        </w:rPr>
        <w:t xml:space="preserve">The applied </w:t>
      </w:r>
      <w:r>
        <w:rPr>
          <w:rStyle w:val="CharDivText"/>
          <w:i/>
          <w:iCs/>
        </w:rPr>
        <w:t>Taxation Administration Act 2003</w:t>
      </w:r>
    </w:p>
    <w:p>
      <w:pPr>
        <w:pStyle w:val="nzHeading5"/>
      </w:pPr>
      <w:r>
        <w:rPr>
          <w:rStyle w:val="CharSectno"/>
        </w:rPr>
        <w:t>48</w:t>
      </w:r>
      <w:r>
        <w:t>.</w:t>
      </w:r>
      <w:r>
        <w:tab/>
        <w:t xml:space="preserve">Modification of the applied </w:t>
      </w:r>
      <w:r>
        <w:rPr>
          <w:i/>
          <w:iCs/>
        </w:rPr>
        <w:t>Taxation Administration Act 2003</w:t>
      </w:r>
    </w:p>
    <w:p>
      <w:pPr>
        <w:pStyle w:val="nzSubsection"/>
      </w:pPr>
      <w:r>
        <w:tab/>
      </w:r>
      <w:r>
        <w:tab/>
        <w:t xml:space="preserve">This Division sets out modifications of the </w:t>
      </w:r>
      <w:r>
        <w:rPr>
          <w:i/>
        </w:rPr>
        <w:t>Taxation Administration Act 2003</w:t>
      </w:r>
      <w:r>
        <w:t xml:space="preserve"> of Western Australia in its application as a law of the Commonwealth in or in relation to Commonwealth places in Western Australia.</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any other enactment that is prescribed by the regulations as a taxation Act and that is a State taxing law, in its application as a law of the Commonwealth in or in relation to Commonwealth places in Western Australia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 xml:space="preserve">Section 5 is modified by deleting “Western Australia”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r>
        <w:rPr>
          <w:i/>
        </w:rPr>
        <w:t>Metropolitan Region Town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Western Australia were not Commonwealth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an Act administered by the Commissioner as a law of Western Australia;</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t>“</w:t>
      </w:r>
      <w:r>
        <w:rPr>
          <w:b/>
          <w:bCs/>
        </w:rPr>
        <w:t>Commissioner</w:t>
      </w:r>
      <w:r>
        <w:rPr>
          <w:b/>
        </w:rPr>
        <w:t>”</w:t>
      </w:r>
      <w:r>
        <w:t xml:space="preserve"> means the Commissioner of State Revenue of Western Australia appointed in accordance with the corresponding Taxation Administration Act section 6;</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b/>
          <w:bCs/>
        </w:rPr>
        <w:t>Commonwealth place</w:t>
      </w:r>
      <w:r>
        <w:rPr>
          <w:b/>
        </w:rPr>
        <w:t>”</w:t>
      </w:r>
      <w:r>
        <w:t xml:space="preserve"> means a Commonwealth place in or in relation to which this Act applies or is taken to have applied under the Commonwealth Mirror Taxes Act section 6;</w:t>
      </w:r>
    </w:p>
    <w:p>
      <w:pPr>
        <w:pStyle w:val="nzDefstart"/>
      </w:pPr>
      <w:r>
        <w:rPr>
          <w:b/>
        </w:rPr>
        <w:tab/>
        <w:t>“</w:t>
      </w:r>
      <w:r>
        <w:rPr>
          <w:b/>
          <w:bCs/>
        </w:rPr>
        <w:t>corresponding taxation Act</w:t>
      </w:r>
      <w:r>
        <w:rPr>
          <w:b/>
        </w:rPr>
        <w:t>”</w:t>
      </w:r>
      <w:r>
        <w:t xml:space="preserve"> means a taxation Act within the meaning of the corresponding Taxation Administration Act;</w:t>
      </w:r>
    </w:p>
    <w:p>
      <w:pPr>
        <w:pStyle w:val="nzDefstart"/>
      </w:pPr>
      <w:r>
        <w:rPr>
          <w:b/>
        </w:rPr>
        <w:tab/>
        <w:t>“</w:t>
      </w:r>
      <w:r>
        <w:rPr>
          <w:b/>
          <w:bCs/>
        </w:rPr>
        <w:t>corresponding Taxation Administration Act</w:t>
      </w:r>
      <w:r>
        <w:rPr>
          <w:b/>
        </w:rPr>
        <w:t>”</w:t>
      </w:r>
      <w:r>
        <w:t xml:space="preserve"> means the </w:t>
      </w:r>
      <w:r>
        <w:rPr>
          <w:i/>
          <w:iCs/>
        </w:rPr>
        <w:t>Taxation Administration Act 2003</w:t>
      </w:r>
      <w:r>
        <w:t xml:space="preserve"> of Western Australia in its application as a law of Western Australia;</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“identity card”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“investigator”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“recognised jurisdiction” by deleting “another State” and inserting instead — </w:t>
      </w:r>
    </w:p>
    <w:p>
      <w:pPr>
        <w:pStyle w:val="nzIndenta"/>
        <w:rPr>
          <w:sz w:val="22"/>
        </w:rPr>
      </w:pPr>
      <w:r>
        <w:rPr>
          <w:sz w:val="22"/>
        </w:rPr>
        <w:tab/>
      </w:r>
      <w:r>
        <w:rPr>
          <w:sz w:val="22"/>
        </w:rPr>
        <w:tab/>
      </w:r>
      <w:r>
        <w:t>“    a State other than Western Australia</w:t>
      </w:r>
      <w:r>
        <w:rPr>
          <w:sz w:val="22"/>
        </w:rPr>
        <w:t xml:space="preserve">    ”;</w:t>
      </w:r>
    </w:p>
    <w:p>
      <w:pPr>
        <w:pStyle w:val="nzIndenta"/>
      </w:pPr>
      <w:r>
        <w:tab/>
        <w:t>(d)</w:t>
      </w:r>
      <w:r>
        <w:tab/>
        <w:t xml:space="preserve">in the definition of “recognised revenue law”, in paragraphs (a) and (b), by deleting “another State” and inserting instead — </w:t>
      </w:r>
    </w:p>
    <w:p>
      <w:pPr>
        <w:pStyle w:val="nzIndenta"/>
        <w:rPr>
          <w:sz w:val="22"/>
        </w:rPr>
      </w:pPr>
      <w:r>
        <w:rPr>
          <w:sz w:val="22"/>
        </w:rPr>
        <w:tab/>
      </w:r>
      <w:r>
        <w:rPr>
          <w:sz w:val="22"/>
        </w:rPr>
        <w:tab/>
        <w:t xml:space="preserve">“    </w:t>
      </w:r>
      <w:r>
        <w:t xml:space="preserve">a State other than Western Australia    </w:t>
      </w:r>
      <w:r>
        <w:rPr>
          <w:sz w:val="22"/>
        </w:rPr>
        <w:t>”;</w:t>
      </w:r>
    </w:p>
    <w:p>
      <w:pPr>
        <w:pStyle w:val="nzIndenta"/>
        <w:keepNext/>
        <w:keepLines/>
      </w:pPr>
      <w:r>
        <w:tab/>
        <w:t>(e)</w:t>
      </w:r>
      <w:r>
        <w:tab/>
        <w:t>in the definition of “taxation Act” by inserting after “enactment” —</w:t>
      </w:r>
    </w:p>
    <w:p>
      <w:pPr>
        <w:pStyle w:val="MiscOpen"/>
        <w:ind w:left="1418"/>
      </w:pPr>
      <w:r>
        <w:t xml:space="preserve">“    </w:t>
      </w:r>
    </w:p>
    <w:p>
      <w:pPr>
        <w:pStyle w:val="nzDefstart"/>
      </w:pPr>
      <w:r>
        <w:tab/>
        <w:t xml:space="preserve"> (in its application as a law of the Commonwealth in or in relation to Commonwealth places in Western Australia in accordance with the Commonwealth Mirror Taxes Act)</w:t>
      </w:r>
    </w:p>
    <w:p>
      <w:pPr>
        <w:pStyle w:val="MiscClose"/>
        <w:tabs>
          <w:tab w:val="left" w:pos="6120"/>
        </w:tabs>
        <w:jc w:val="center"/>
      </w:pPr>
      <w:r>
        <w:tab/>
      </w:r>
      <w:r>
        <w:tab/>
        <w:t>”.</w:t>
      </w:r>
    </w:p>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it</w:t>
      </w:r>
      <w:r>
        <w:rPr>
          <w:snapToGrid w:val="0"/>
        </w:rPr>
        <w:t xml:space="preserve"> was repealed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“non reviewable decision”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8</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10</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spacing w:before="120"/>
      </w:pPr>
      <w:r>
        <w:rPr>
          <w:vertAlign w:val="superscript"/>
        </w:rPr>
        <w:t>11</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keepLines/>
        <w:spacing w:before="120"/>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94 </w:t>
      </w:r>
      <w:r>
        <w:rPr>
          <w:snapToGrid w:val="0"/>
        </w:rPr>
        <w:t>had not come into operation.  It reads as follows:</w:t>
      </w:r>
    </w:p>
    <w:p>
      <w:pPr>
        <w:pStyle w:val="MiscOpen"/>
        <w:spacing w:before="60"/>
        <w:rPr>
          <w:sz w:val="20"/>
        </w:rPr>
      </w:pPr>
      <w:r>
        <w:rPr>
          <w:sz w:val="20"/>
        </w:rPr>
        <w:t>“</w:t>
      </w:r>
    </w:p>
    <w:p>
      <w:pPr>
        <w:pStyle w:val="nzHeading5"/>
      </w:pPr>
      <w:r>
        <w:rPr>
          <w:rStyle w:val="CharSectno"/>
        </w:rPr>
        <w:t>94</w:t>
      </w:r>
      <w:r>
        <w:t>.</w:t>
      </w:r>
      <w:r>
        <w:tab/>
      </w:r>
      <w:r>
        <w:rPr>
          <w:i/>
          <w:iCs/>
        </w:rPr>
        <w:t>Taxation Administration Act 2003</w:t>
      </w:r>
      <w:r>
        <w:t xml:space="preserve"> amended</w:t>
      </w:r>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MiscClose"/>
      </w:pPr>
      <w:r>
        <w:t>”.</w:t>
      </w:r>
    </w:p>
    <w:p>
      <w:pPr>
        <w:pStyle w:val="nSubsection"/>
        <w:keepNext/>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Revenue Laws Amendment Act (No. 2) 2008 </w:t>
      </w:r>
      <w:r>
        <w:rPr>
          <w:iCs/>
          <w:snapToGrid w:val="0"/>
        </w:rPr>
        <w:t>Pt. 3 Div. 3</w:t>
      </w:r>
      <w:r>
        <w:rPr>
          <w:snapToGrid w:val="0"/>
        </w:rPr>
        <w:t xml:space="preserve"> had not come into operation.  It reads as follows:</w:t>
      </w:r>
    </w:p>
    <w:p>
      <w:pPr>
        <w:pStyle w:val="MiscOpen"/>
      </w:pPr>
      <w:r>
        <w:t>“</w:t>
      </w:r>
    </w:p>
    <w:p>
      <w:pPr>
        <w:pStyle w:val="nzHeading3"/>
      </w:pPr>
      <w:r>
        <w:rPr>
          <w:rStyle w:val="CharDivNo"/>
        </w:rPr>
        <w:t>Division 3</w:t>
      </w:r>
      <w:r>
        <w:t> — </w:t>
      </w:r>
      <w:r>
        <w:rPr>
          <w:rStyle w:val="CharDivText"/>
        </w:rPr>
        <w:t>Amendments to commence on proclamation</w:t>
      </w:r>
    </w:p>
    <w:p>
      <w:pPr>
        <w:pStyle w:val="nzHeading5"/>
      </w:pPr>
      <w:r>
        <w:rPr>
          <w:rStyle w:val="CharSectno"/>
        </w:rPr>
        <w:t>29</w:t>
      </w:r>
      <w:r>
        <w:t>.</w:t>
      </w:r>
      <w:r>
        <w:tab/>
        <w:t>Section 20A inserted</w:t>
      </w:r>
    </w:p>
    <w:p>
      <w:pPr>
        <w:pStyle w:val="nzSubsection"/>
        <w:keepNext/>
      </w:pPr>
      <w:r>
        <w:tab/>
      </w:r>
      <w:r>
        <w:tab/>
        <w:t>After section 19 the following section is inserted —</w:t>
      </w:r>
    </w:p>
    <w:p>
      <w:pPr>
        <w:pStyle w:val="MiscOpen"/>
      </w:pPr>
      <w:r>
        <w:t xml:space="preserve">“    </w:t>
      </w:r>
    </w:p>
    <w:p>
      <w:pPr>
        <w:pStyle w:val="nzHeading5"/>
      </w:pPr>
      <w:r>
        <w:t>20A.</w:t>
      </w:r>
      <w:r>
        <w:tab/>
        <w:t>Compromise assessments</w:t>
      </w:r>
    </w:p>
    <w:p>
      <w:pPr>
        <w:pStyle w:val="nzSubsection"/>
      </w:pPr>
      <w:r>
        <w:tab/>
        <w:t>(1)</w:t>
      </w:r>
      <w:r>
        <w:tab/>
        <w:t>If the Commissioner considers it appropriate to do so to avoid undue delay or expense, to settle a dispute or for any other reason, the Commissioner may —</w:t>
      </w:r>
    </w:p>
    <w:p>
      <w:pPr>
        <w:pStyle w:val="nzIndenta"/>
      </w:pPr>
      <w:r>
        <w:tab/>
        <w:t>(a)</w:t>
      </w:r>
      <w:r>
        <w:tab/>
        <w:t xml:space="preserve">make a written agreement (a </w:t>
      </w:r>
      <w:r>
        <w:rPr>
          <w:rStyle w:val="CharDefText"/>
        </w:rPr>
        <w:t>compromise agreement</w:t>
      </w:r>
      <w:r>
        <w:t>) with a taxpayer in relation to the assessment of the taxpayer’s tax liability; and</w:t>
      </w:r>
    </w:p>
    <w:p>
      <w:pPr>
        <w:pStyle w:val="nzIndenta"/>
      </w:pPr>
      <w:r>
        <w:tab/>
        <w:t>(b)</w:t>
      </w:r>
      <w:r>
        <w:tab/>
        <w:t>make an assessment in accordance with the compromise agreement.</w:t>
      </w:r>
    </w:p>
    <w:p>
      <w:pPr>
        <w:pStyle w:val="nzSubsection"/>
      </w:pPr>
      <w:r>
        <w:tab/>
        <w:t>(2)</w:t>
      </w:r>
      <w:r>
        <w:tab/>
        <w:t>Despite section 16 the Commissioner must not make a reassessment of a compromise assessment unless —</w:t>
      </w:r>
    </w:p>
    <w:p>
      <w:pPr>
        <w:pStyle w:val="nzIndenta"/>
      </w:pPr>
      <w:r>
        <w:tab/>
        <w:t>(a)</w:t>
      </w:r>
      <w:r>
        <w:tab/>
        <w:t>the taxpayer has agreed; or</w:t>
      </w:r>
    </w:p>
    <w:p>
      <w:pPr>
        <w:pStyle w:val="nzIndenta"/>
      </w:pPr>
      <w:r>
        <w:tab/>
        <w:t>(b)</w:t>
      </w:r>
      <w:r>
        <w:tab/>
        <w:t>the Commissioner is satisfied that the compromise assessment —</w:t>
      </w:r>
    </w:p>
    <w:p>
      <w:pPr>
        <w:pStyle w:val="nzIndenti"/>
      </w:pPr>
      <w:r>
        <w:tab/>
        <w:t>(i)</w:t>
      </w:r>
      <w:r>
        <w:tab/>
        <w:t>was procured by fraud; or</w:t>
      </w:r>
    </w:p>
    <w:p>
      <w:pPr>
        <w:pStyle w:val="nzIndenti"/>
      </w:pPr>
      <w:r>
        <w:tab/>
        <w:t>(ii)</w:t>
      </w:r>
      <w:r>
        <w:tab/>
        <w:t>was made in consequence of the taxpayer knowingly failing to disclose material information or providing information knowing that it was incorrect, incomplete or misleading.</w:t>
      </w:r>
    </w:p>
    <w:p>
      <w:pPr>
        <w:pStyle w:val="nzSubsection"/>
      </w:pPr>
      <w:r>
        <w:tab/>
        <w:t>(3)</w:t>
      </w:r>
      <w:r>
        <w:tab/>
        <w:t>Each of the following are final and not subject to objection or review under Part 4 or to any other form of appeal or review —</w:t>
      </w:r>
    </w:p>
    <w:p>
      <w:pPr>
        <w:pStyle w:val="nzIndenta"/>
      </w:pPr>
      <w:r>
        <w:tab/>
        <w:t>(a)</w:t>
      </w:r>
      <w:r>
        <w:tab/>
        <w:t>a decision of the Commissioner under this section to make, or not make, a compromise agreement;</w:t>
      </w:r>
    </w:p>
    <w:p>
      <w:pPr>
        <w:pStyle w:val="nzIndenta"/>
      </w:pPr>
      <w:r>
        <w:tab/>
        <w:t>(b)</w:t>
      </w:r>
      <w:r>
        <w:tab/>
        <w:t>a decision of the Commissioner under this section as to the terms of a compromise agreement;</w:t>
      </w:r>
    </w:p>
    <w:p>
      <w:pPr>
        <w:pStyle w:val="nzIndenta"/>
      </w:pPr>
      <w:r>
        <w:tab/>
        <w:t>(c)</w:t>
      </w:r>
      <w:r>
        <w:tab/>
        <w:t>a compromise assessment.</w:t>
      </w:r>
    </w:p>
    <w:p>
      <w:pPr>
        <w:pStyle w:val="nzSubsection"/>
      </w:pPr>
      <w:r>
        <w:tab/>
        <w:t>(4)</w:t>
      </w:r>
      <w:r>
        <w:tab/>
        <w:t>No action can be brought in any court or tribunal to compel the Commissioner to make a compromise agreement.</w:t>
      </w:r>
    </w:p>
    <w:p>
      <w:pPr>
        <w:pStyle w:val="nzSubsection"/>
      </w:pPr>
      <w:r>
        <w:tab/>
        <w:t>(5)</w:t>
      </w:r>
      <w:r>
        <w:tab/>
        <w:t>This section does not limit the Commissioner’s powers under section 19.</w:t>
      </w:r>
    </w:p>
    <w:p>
      <w:pPr>
        <w:pStyle w:val="MiscClose"/>
      </w:pPr>
      <w:r>
        <w:t xml:space="preserve">    ”.</w:t>
      </w:r>
    </w:p>
    <w:p>
      <w:pPr>
        <w:pStyle w:val="nzHeading5"/>
      </w:pPr>
      <w:r>
        <w:rPr>
          <w:rStyle w:val="CharSectno"/>
        </w:rPr>
        <w:t>30</w:t>
      </w:r>
      <w:r>
        <w:t>.</w:t>
      </w:r>
      <w:r>
        <w:tab/>
        <w:t>Section 34 amended</w:t>
      </w:r>
    </w:p>
    <w:p>
      <w:pPr>
        <w:pStyle w:val="nzSubsection"/>
      </w:pPr>
      <w:r>
        <w:tab/>
        <w:t>(1)</w:t>
      </w:r>
      <w:r>
        <w:tab/>
        <w:t>Section 34(1)(a) is amended by inserting after “assessment” —</w:t>
      </w:r>
    </w:p>
    <w:p>
      <w:pPr>
        <w:pStyle w:val="nzSubsection"/>
      </w:pPr>
      <w:r>
        <w:tab/>
      </w:r>
      <w:r>
        <w:tab/>
        <w:t>“    , other than a compromise assessment    ”.</w:t>
      </w:r>
    </w:p>
    <w:p>
      <w:pPr>
        <w:pStyle w:val="nzSubsection"/>
        <w:keepNext/>
        <w:keepLines/>
      </w:pPr>
      <w:r>
        <w:tab/>
        <w:t>(2)</w:t>
      </w:r>
      <w:r>
        <w:tab/>
        <w:t>Section 34(2) is amended by deleting the full stop after paragraph (d) and inserting instead —</w:t>
      </w:r>
    </w:p>
    <w:p>
      <w:pPr>
        <w:pStyle w:val="MiscOpen"/>
        <w:ind w:left="1418"/>
      </w:pPr>
      <w:r>
        <w:t xml:space="preserve">“    </w:t>
      </w:r>
    </w:p>
    <w:p>
      <w:pPr>
        <w:pStyle w:val="nzIndenta"/>
      </w:pPr>
      <w:r>
        <w:tab/>
      </w:r>
      <w:r>
        <w:tab/>
        <w:t>;</w:t>
      </w:r>
    </w:p>
    <w:p>
      <w:pPr>
        <w:pStyle w:val="nzIndenta"/>
      </w:pPr>
      <w:r>
        <w:tab/>
        <w:t>(e)</w:t>
      </w:r>
      <w:r>
        <w:tab/>
        <w:t>a decision which, under section 20A(3), is not subject to objection under this Part.</w:t>
      </w:r>
    </w:p>
    <w:p>
      <w:pPr>
        <w:pStyle w:val="MiscClose"/>
      </w:pPr>
      <w:r>
        <w:t xml:space="preserve">    ”.</w:t>
      </w:r>
    </w:p>
    <w:p>
      <w:pPr>
        <w:pStyle w:val="nzHeading5"/>
      </w:pPr>
      <w:r>
        <w:rPr>
          <w:rStyle w:val="CharSectno"/>
        </w:rPr>
        <w:t>31</w:t>
      </w:r>
      <w:r>
        <w:t>.</w:t>
      </w:r>
      <w:r>
        <w:tab/>
        <w:t>Glossary amended</w:t>
      </w:r>
    </w:p>
    <w:p>
      <w:pPr>
        <w:pStyle w:val="nzSubsection"/>
      </w:pPr>
      <w:r>
        <w:tab/>
      </w:r>
      <w:r>
        <w:tab/>
        <w:t>The Glossary is amended as follows:</w:t>
      </w:r>
    </w:p>
    <w:p>
      <w:pPr>
        <w:pStyle w:val="nzIndenta"/>
      </w:pPr>
      <w:r>
        <w:tab/>
        <w:t>(a)</w:t>
      </w:r>
      <w:r>
        <w:tab/>
        <w:t>in the definition of “assessment” by deleting “or a reassessment;” and inserting instead —</w:t>
      </w:r>
    </w:p>
    <w:p>
      <w:pPr>
        <w:pStyle w:val="nzIndenta"/>
      </w:pPr>
      <w:r>
        <w:tab/>
      </w:r>
      <w:r>
        <w:tab/>
        <w:t>“    , a reassessment or a compromise assessment;    ”;</w:t>
      </w:r>
    </w:p>
    <w:p>
      <w:pPr>
        <w:pStyle w:val="nzIndenta"/>
      </w:pPr>
      <w:r>
        <w:tab/>
        <w:t>(b)</w:t>
      </w:r>
      <w:r>
        <w:tab/>
        <w:t>by inserting in the appropriate alphabetical position —</w:t>
      </w:r>
    </w:p>
    <w:p>
      <w:pPr>
        <w:pStyle w:val="MiscOpen"/>
        <w:ind w:left="880"/>
      </w:pPr>
      <w:r>
        <w:t xml:space="preserve">“    </w:t>
      </w:r>
    </w:p>
    <w:p>
      <w:pPr>
        <w:pStyle w:val="nzDefstart"/>
      </w:pPr>
      <w:r>
        <w:rPr>
          <w:b/>
        </w:rPr>
        <w:tab/>
      </w:r>
      <w:r>
        <w:rPr>
          <w:rStyle w:val="CharDefText"/>
        </w:rPr>
        <w:t>compromise assessment</w:t>
      </w:r>
      <w:r>
        <w:t xml:space="preserve"> means an assessment made in accordance with section 20A;</w:t>
      </w:r>
    </w:p>
    <w:p>
      <w:pPr>
        <w:pStyle w:val="MiscClose"/>
      </w:pPr>
      <w:r>
        <w:t xml:space="preserve">    ”.</w:t>
      </w:r>
    </w:p>
    <w:p>
      <w:pPr>
        <w:pStyle w:val="MiscClose"/>
      </w:pPr>
      <w:r>
        <w: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
      <w:pPr>
        <w:pStyle w:val="nHeading2"/>
        <w:rPr>
          <w:sz w:val="28"/>
        </w:rPr>
      </w:pPr>
      <w:bookmarkStart w:id="176" w:name="_Toc390071695"/>
      <w:r>
        <w:rPr>
          <w:sz w:val="28"/>
        </w:rPr>
        <w:t>Defined Terms</w:t>
      </w:r>
      <w:bookmarkEnd w:id="1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7" w:name="DefinedTerms"/>
      <w:bookmarkEnd w:id="177"/>
      <w:r>
        <w:t>address</w:t>
      </w:r>
      <w:r>
        <w:tab/>
        <w:t>Gl</w:t>
      </w:r>
    </w:p>
    <w:p>
      <w:pPr>
        <w:pStyle w:val="DefinedTerms"/>
      </w:pPr>
      <w:r>
        <w:t>amending Bill</w:t>
      </w:r>
      <w:r>
        <w:tab/>
        <w:t>129(1)</w:t>
      </w:r>
    </w:p>
    <w:p>
      <w:pPr>
        <w:pStyle w:val="DefinedTerms"/>
      </w:pPr>
      <w:r>
        <w:t>appointed representative</w:t>
      </w:r>
      <w:r>
        <w:tab/>
        <w:t>Gl</w:t>
      </w:r>
    </w:p>
    <w:p>
      <w:pPr>
        <w:pStyle w:val="DefinedTerms"/>
      </w:pPr>
      <w:r>
        <w:t>approved</w:t>
      </w:r>
      <w:r>
        <w:tab/>
        <w:t>Gl</w:t>
      </w:r>
    </w:p>
    <w:p>
      <w:pPr>
        <w:pStyle w:val="DefinedTerms"/>
      </w:pPr>
      <w:r>
        <w:t>assessment</w:t>
      </w:r>
      <w:r>
        <w:tab/>
        <w:t>Gl</w:t>
      </w:r>
    </w:p>
    <w:p>
      <w:pPr>
        <w:pStyle w:val="DefinedTerms"/>
      </w:pPr>
      <w:r>
        <w:t>assessment notice</w:t>
      </w:r>
      <w:r>
        <w:tab/>
        <w:t>Gl</w:t>
      </w:r>
    </w:p>
    <w:p>
      <w:pPr>
        <w:pStyle w:val="DefinedTerms"/>
      </w:pPr>
      <w:r>
        <w:t>before</w:t>
      </w:r>
      <w:r>
        <w:tab/>
        <w:t>129(2)</w:t>
      </w:r>
    </w:p>
    <w:p>
      <w:pPr>
        <w:pStyle w:val="DefinedTerms"/>
      </w:pPr>
      <w:r>
        <w:t>charge</w:t>
      </w:r>
      <w:r>
        <w:tab/>
        <w:t>Gl</w:t>
      </w:r>
    </w:p>
    <w:p>
      <w:pPr>
        <w:pStyle w:val="DefinedTerms"/>
      </w:pPr>
      <w:r>
        <w:t>Commissioner</w:t>
      </w:r>
      <w:r>
        <w:tab/>
        <w:t>Gl</w:t>
      </w:r>
    </w:p>
    <w:p>
      <w:pPr>
        <w:pStyle w:val="DefinedTerms"/>
      </w:pPr>
      <w:r>
        <w:t>corresponding Commissioner</w:t>
      </w:r>
      <w:r>
        <w:tab/>
        <w:t>Gl</w:t>
      </w:r>
    </w:p>
    <w:p>
      <w:pPr>
        <w:pStyle w:val="DefinedTerms"/>
      </w:pPr>
      <w:r>
        <w:t>date</w:t>
      </w:r>
      <w:r>
        <w:tab/>
        <w:t>Gl</w:t>
      </w:r>
    </w:p>
    <w:p>
      <w:pPr>
        <w:pStyle w:val="DefinedTerms"/>
      </w:pPr>
      <w:r>
        <w:t>decision</w:t>
      </w:r>
      <w:r>
        <w:tab/>
        <w:t>Gl</w:t>
      </w:r>
    </w:p>
    <w:p>
      <w:pPr>
        <w:pStyle w:val="DefinedTerms"/>
      </w:pPr>
      <w:r>
        <w:t>determination notice</w:t>
      </w:r>
      <w:r>
        <w:tab/>
        <w:t>129(1)</w:t>
      </w:r>
    </w:p>
    <w:p>
      <w:pPr>
        <w:pStyle w:val="DefinedTerms"/>
      </w:pPr>
      <w:r>
        <w:t>directly reviewable decision</w:t>
      </w:r>
      <w:r>
        <w:tab/>
        <w:t>Gl</w:t>
      </w:r>
    </w:p>
    <w:p>
      <w:pPr>
        <w:pStyle w:val="DefinedTerms"/>
      </w:pPr>
      <w:r>
        <w:t>document</w:t>
      </w:r>
      <w:r>
        <w:tab/>
        <w:t>Gl</w:t>
      </w:r>
    </w:p>
    <w:p>
      <w:pPr>
        <w:pStyle w:val="DefinedTerms"/>
      </w:pPr>
      <w:r>
        <w:t>due date</w:t>
      </w:r>
      <w:r>
        <w:tab/>
        <w:t>Gl</w:t>
      </w:r>
    </w:p>
    <w:p>
      <w:pPr>
        <w:pStyle w:val="DefinedTerms"/>
      </w:pPr>
      <w:r>
        <w:t>endorse</w:t>
      </w:r>
      <w:r>
        <w:tab/>
        <w:t>Gl</w:t>
      </w:r>
    </w:p>
    <w:p>
      <w:pPr>
        <w:pStyle w:val="DefinedTerms"/>
      </w:pPr>
      <w:r>
        <w:t>garnishee</w:t>
      </w:r>
      <w:r>
        <w:tab/>
        <w:t>65(1), Gl</w:t>
      </w:r>
    </w:p>
    <w:p>
      <w:pPr>
        <w:pStyle w:val="DefinedTerms"/>
      </w:pPr>
      <w:r>
        <w:t>group</w:t>
      </w:r>
      <w:r>
        <w:tab/>
        <w:t>Gl</w:t>
      </w:r>
    </w:p>
    <w:p>
      <w:pPr>
        <w:pStyle w:val="DefinedTerms"/>
      </w:pPr>
      <w:r>
        <w:t>identity card</w:t>
      </w:r>
      <w:r>
        <w:tab/>
        <w:t>Gl</w:t>
      </w:r>
    </w:p>
    <w:p>
      <w:pPr>
        <w:pStyle w:val="DefinedTerms"/>
      </w:pPr>
      <w:r>
        <w:t>instrument</w:t>
      </w:r>
      <w:r>
        <w:tab/>
        <w:t>82(1), Gl</w:t>
      </w:r>
    </w:p>
    <w:p>
      <w:pPr>
        <w:pStyle w:val="DefinedTerms"/>
      </w:pPr>
      <w:r>
        <w:t>investigation purposes</w:t>
      </w:r>
      <w:r>
        <w:tab/>
        <w:t>Gl</w:t>
      </w:r>
    </w:p>
    <w:p>
      <w:pPr>
        <w:pStyle w:val="DefinedTerms"/>
      </w:pPr>
      <w:r>
        <w:t>investigator</w:t>
      </w:r>
      <w:r>
        <w:tab/>
        <w:t>Gl</w:t>
      </w:r>
    </w:p>
    <w:p>
      <w:pPr>
        <w:pStyle w:val="DefinedTerms"/>
      </w:pPr>
      <w:r>
        <w:t>land</w:t>
      </w:r>
      <w:r>
        <w:tab/>
        <w:t>76A(1)</w:t>
      </w:r>
    </w:p>
    <w:p>
      <w:pPr>
        <w:pStyle w:val="DefinedTerms"/>
      </w:pPr>
      <w:r>
        <w:t>landholder</w:t>
      </w:r>
      <w:r>
        <w:tab/>
        <w:t>77A(1)</w:t>
      </w:r>
    </w:p>
    <w:p>
      <w:pPr>
        <w:pStyle w:val="DefinedTerms"/>
      </w:pPr>
      <w:r>
        <w:t>landholder duty</w:t>
      </w:r>
      <w:r>
        <w:tab/>
        <w:t>77A(1)</w:t>
      </w:r>
    </w:p>
    <w:p>
      <w:pPr>
        <w:pStyle w:val="DefinedTerms"/>
      </w:pPr>
      <w:r>
        <w:t>linked entity</w:t>
      </w:r>
      <w:r>
        <w:tab/>
        <w:t>77A(1)</w:t>
      </w:r>
    </w:p>
    <w:p>
      <w:pPr>
        <w:pStyle w:val="DefinedTerms"/>
      </w:pPr>
      <w:r>
        <w:t>lodge</w:t>
      </w:r>
      <w:r>
        <w:tab/>
        <w:t>76A(1)</w:t>
      </w:r>
    </w:p>
    <w:p>
      <w:pPr>
        <w:pStyle w:val="DefinedTerms"/>
      </w:pPr>
      <w:r>
        <w:t>mining tenement</w:t>
      </w:r>
      <w:r>
        <w:tab/>
        <w:t>76A(1)</w:t>
      </w:r>
    </w:p>
    <w:p>
      <w:pPr>
        <w:pStyle w:val="DefinedTerms"/>
      </w:pPr>
      <w:r>
        <w:t>official assessment</w:t>
      </w:r>
      <w:r>
        <w:tab/>
        <w:t>Gl</w:t>
      </w:r>
    </w:p>
    <w:p>
      <w:pPr>
        <w:pStyle w:val="DefinedTerms"/>
      </w:pPr>
      <w:r>
        <w:t>official document</w:t>
      </w:r>
      <w:r>
        <w:tab/>
        <w:t>Gl</w:t>
      </w:r>
    </w:p>
    <w:p>
      <w:pPr>
        <w:pStyle w:val="DefinedTerms"/>
      </w:pPr>
      <w:r>
        <w:t>original assessment</w:t>
      </w:r>
      <w:r>
        <w:tab/>
        <w:t>Gl</w:t>
      </w:r>
    </w:p>
    <w:p>
      <w:pPr>
        <w:pStyle w:val="DefinedTerms"/>
      </w:pPr>
      <w:r>
        <w:t>original notice</w:t>
      </w:r>
      <w:r>
        <w:tab/>
        <w:t>132(3)</w:t>
      </w:r>
    </w:p>
    <w:p>
      <w:pPr>
        <w:pStyle w:val="DefinedTerms"/>
      </w:pPr>
      <w:r>
        <w:t>penalty tax</w:t>
      </w:r>
      <w:r>
        <w:tab/>
        <w:t>Gl</w:t>
      </w:r>
    </w:p>
    <w:p>
      <w:pPr>
        <w:pStyle w:val="DefinedTerms"/>
      </w:pPr>
      <w:r>
        <w:t>person</w:t>
      </w:r>
      <w:r>
        <w:tab/>
        <w:t>Gl</w:t>
      </w:r>
    </w:p>
    <w:p>
      <w:pPr>
        <w:pStyle w:val="DefinedTerms"/>
      </w:pPr>
      <w:r>
        <w:t>premises</w:t>
      </w:r>
      <w:r>
        <w:tab/>
        <w:t>Gl</w:t>
      </w:r>
    </w:p>
    <w:p>
      <w:pPr>
        <w:pStyle w:val="DefinedTerms"/>
      </w:pPr>
      <w:r>
        <w:t>previous assessment</w:t>
      </w:r>
      <w:r>
        <w:tab/>
        <w:t>Gl</w:t>
      </w:r>
    </w:p>
    <w:p>
      <w:pPr>
        <w:pStyle w:val="DefinedTerms"/>
      </w:pPr>
      <w:r>
        <w:t>primary liability</w:t>
      </w:r>
      <w:r>
        <w:tab/>
        <w:t>Gl</w:t>
      </w:r>
    </w:p>
    <w:p>
      <w:pPr>
        <w:pStyle w:val="DefinedTerms"/>
      </w:pPr>
      <w:r>
        <w:t>publish</w:t>
      </w:r>
      <w:r>
        <w:tab/>
        <w:t>Gl</w:t>
      </w:r>
    </w:p>
    <w:p>
      <w:pPr>
        <w:pStyle w:val="DefinedTerms"/>
      </w:pPr>
      <w:r>
        <w:t>real property</w:t>
      </w:r>
      <w:r>
        <w:tab/>
        <w:t>76A(1)</w:t>
      </w:r>
    </w:p>
    <w:p>
      <w:pPr>
        <w:pStyle w:val="DefinedTerms"/>
      </w:pPr>
      <w:r>
        <w:t>reassessment</w:t>
      </w:r>
      <w:r>
        <w:tab/>
        <w:t>Gl</w:t>
      </w:r>
    </w:p>
    <w:p>
      <w:pPr>
        <w:pStyle w:val="DefinedTerms"/>
      </w:pPr>
      <w:r>
        <w:t>reassessment period</w:t>
      </w:r>
      <w:r>
        <w:tab/>
        <w:t>39(3), 43(4A)</w:t>
      </w:r>
    </w:p>
    <w:p>
      <w:pPr>
        <w:pStyle w:val="DefinedTerms"/>
      </w:pPr>
      <w:r>
        <w:t>recognised jurisdiction</w:t>
      </w:r>
      <w:r>
        <w:tab/>
        <w:t>Gl</w:t>
      </w:r>
    </w:p>
    <w:p>
      <w:pPr>
        <w:pStyle w:val="DefinedTerms"/>
      </w:pPr>
      <w:r>
        <w:t>recognised revenue law</w:t>
      </w:r>
      <w:r>
        <w:tab/>
        <w:t>Gl</w:t>
      </w:r>
    </w:p>
    <w:p>
      <w:pPr>
        <w:pStyle w:val="DefinedTerms"/>
      </w:pPr>
      <w:r>
        <w:t>record</w:t>
      </w:r>
      <w:r>
        <w:tab/>
        <w:t>Gl</w:t>
      </w:r>
    </w:p>
    <w:p>
      <w:pPr>
        <w:pStyle w:val="DefinedTerms"/>
      </w:pPr>
      <w:r>
        <w:t>register</w:t>
      </w:r>
      <w:r>
        <w:tab/>
        <w:t>76A(1)</w:t>
      </w:r>
    </w:p>
    <w:p>
      <w:pPr>
        <w:pStyle w:val="DefinedTerms"/>
      </w:pPr>
      <w:r>
        <w:t>Registrar</w:t>
      </w:r>
      <w:r>
        <w:tab/>
        <w:t>82(1)</w:t>
      </w:r>
    </w:p>
    <w:p>
      <w:pPr>
        <w:pStyle w:val="DefinedTerms"/>
      </w:pPr>
      <w:r>
        <w:t>Registrar of Titles</w:t>
      </w:r>
      <w:r>
        <w:tab/>
        <w:t>Gl</w:t>
      </w:r>
    </w:p>
    <w:p>
      <w:pPr>
        <w:pStyle w:val="DefinedTerms"/>
      </w:pPr>
      <w:r>
        <w:t>relevant land Act</w:t>
      </w:r>
      <w:r>
        <w:tab/>
        <w:t>76A(1)</w:t>
      </w:r>
    </w:p>
    <w:p>
      <w:pPr>
        <w:pStyle w:val="DefinedTerms"/>
      </w:pPr>
      <w:r>
        <w:t>relevant material</w:t>
      </w:r>
      <w:r>
        <w:tab/>
        <w:t>Gl</w:t>
      </w:r>
    </w:p>
    <w:p>
      <w:pPr>
        <w:pStyle w:val="DefinedTerms"/>
      </w:pPr>
      <w:r>
        <w:t>responsible party</w:t>
      </w:r>
      <w:r>
        <w:tab/>
        <w:t>Gl</w:t>
      </w:r>
    </w:p>
    <w:p>
      <w:pPr>
        <w:pStyle w:val="DefinedTerms"/>
      </w:pPr>
      <w:r>
        <w:t>review proceedings</w:t>
      </w:r>
      <w:r>
        <w:tab/>
        <w:t>Gl</w:t>
      </w:r>
    </w:p>
    <w:p>
      <w:pPr>
        <w:pStyle w:val="DefinedTerms"/>
      </w:pPr>
      <w:r>
        <w:t>self</w:t>
      </w:r>
      <w:r>
        <w:noBreakHyphen/>
        <w:t>assessment</w:t>
      </w:r>
      <w:r>
        <w:tab/>
        <w:t>Gl</w:t>
      </w:r>
    </w:p>
    <w:p>
      <w:pPr>
        <w:pStyle w:val="DefinedTerms"/>
      </w:pPr>
      <w:r>
        <w:t>special tax return arrangement</w:t>
      </w:r>
      <w:r>
        <w:tab/>
        <w:t>Gl</w:t>
      </w:r>
    </w:p>
    <w:p>
      <w:pPr>
        <w:pStyle w:val="DefinedTerms"/>
      </w:pPr>
      <w:r>
        <w:t>State</w:t>
      </w:r>
      <w:r>
        <w:tab/>
        <w:t>Gl</w:t>
      </w:r>
    </w:p>
    <w:p>
      <w:pPr>
        <w:pStyle w:val="DefinedTerms"/>
      </w:pPr>
      <w:r>
        <w:t>statutory administrator of a taxpayer’s assets</w:t>
      </w:r>
      <w:r>
        <w:tab/>
        <w:t>64(3)</w:t>
      </w:r>
    </w:p>
    <w:p>
      <w:pPr>
        <w:pStyle w:val="DefinedTerms"/>
      </w:pPr>
      <w:r>
        <w:t>tax</w:t>
      </w:r>
      <w:r>
        <w:tab/>
        <w:t>Gl</w:t>
      </w:r>
    </w:p>
    <w:p>
      <w:pPr>
        <w:pStyle w:val="DefinedTerms"/>
      </w:pPr>
      <w:r>
        <w:t>tax liability</w:t>
      </w:r>
      <w:r>
        <w:tab/>
        <w:t>Gl</w:t>
      </w:r>
    </w:p>
    <w:p>
      <w:pPr>
        <w:pStyle w:val="DefinedTerms"/>
      </w:pPr>
      <w:r>
        <w:t>tax payment arrangement</w:t>
      </w:r>
      <w:r>
        <w:tab/>
        <w:t>Gl</w:t>
      </w:r>
    </w:p>
    <w:p>
      <w:pPr>
        <w:pStyle w:val="DefinedTerms"/>
      </w:pPr>
      <w:r>
        <w:t>tax record</w:t>
      </w:r>
      <w:r>
        <w:tab/>
        <w:t>Gl</w:t>
      </w:r>
    </w:p>
    <w:p>
      <w:pPr>
        <w:pStyle w:val="DefinedTerms"/>
      </w:pPr>
      <w:r>
        <w:t>tax threshold</w:t>
      </w:r>
      <w:r>
        <w:tab/>
        <w:t>129(1)</w:t>
      </w:r>
    </w:p>
    <w:p>
      <w:pPr>
        <w:pStyle w:val="DefinedTerms"/>
      </w:pPr>
      <w:r>
        <w:t>taxation Act</w:t>
      </w:r>
      <w:r>
        <w:tab/>
        <w:t>129(1), Gl</w:t>
      </w:r>
    </w:p>
    <w:p>
      <w:pPr>
        <w:pStyle w:val="DefinedTerms"/>
      </w:pPr>
      <w:r>
        <w:t>taxation matter</w:t>
      </w:r>
      <w:r>
        <w:tab/>
        <w:t>7(3)</w:t>
      </w:r>
    </w:p>
    <w:p>
      <w:pPr>
        <w:pStyle w:val="DefinedTerms"/>
      </w:pPr>
      <w:r>
        <w:t>taxpayer</w:t>
      </w:r>
      <w:r>
        <w:tab/>
        <w:t>Gl</w:t>
      </w:r>
    </w:p>
    <w:p>
      <w:pPr>
        <w:pStyle w:val="DefinedTerms"/>
      </w:pPr>
      <w:r>
        <w:t>TLA land</w:t>
      </w:r>
      <w:r>
        <w:tab/>
        <w:t>76A(1)</w:t>
      </w:r>
    </w:p>
    <w:p>
      <w:pPr>
        <w:pStyle w:val="DefinedTerms"/>
      </w:pPr>
      <w:r>
        <w:t>transfer duty</w:t>
      </w:r>
      <w:r>
        <w:tab/>
        <w:t>77A(1)</w:t>
      </w:r>
    </w:p>
    <w:p>
      <w:pPr>
        <w:pStyle w:val="DefinedTerms"/>
      </w:pPr>
      <w:r>
        <w:t>unaffected amount</w:t>
      </w:r>
      <w:r>
        <w:tab/>
        <w:t>133(2)</w:t>
      </w:r>
    </w:p>
    <w:p>
      <w:pPr>
        <w:pStyle w:val="DefinedTerms"/>
      </w:pPr>
      <w:r>
        <w:t>vehicle</w:t>
      </w:r>
      <w:r>
        <w:tab/>
        <w:t>Gl</w:t>
      </w:r>
    </w:p>
    <w:p>
      <w:pPr>
        <w:pStyle w:val="DefinedTerms"/>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Jun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Jun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Jun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Jun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Jun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Jun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Jun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Jun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Jun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344"/>
    <w:docVar w:name="WAFER_20140609094842" w:val="RemoveTocBookmarks,RemoveUnusedBookmarks,RemoveLanguageTags,UsedStyles,ResetPageSize"/>
    <w:docVar w:name="WAFER_20140609094842_GUID" w:val="646db55b-1e95-4e80-840d-94a1fb7db4c8"/>
    <w:docVar w:name="WAFER_20151210154344" w:val="RemoveTrackChanges"/>
    <w:docVar w:name="WAFER_20151210154344_GUID" w:val="f642caf0-0e28-4a08-bf1c-f577e4b7f2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30025</Words>
  <Characters>144722</Characters>
  <Application>Microsoft Office Word</Application>
  <DocSecurity>0</DocSecurity>
  <Lines>3911</Lines>
  <Paragraphs>2361</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172386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2003 - 03-d0-04</dc:title>
  <dc:subject/>
  <dc:creator/>
  <cp:keywords/>
  <dc:description/>
  <cp:lastModifiedBy>svcMRProcess</cp:lastModifiedBy>
  <cp:revision>4</cp:revision>
  <cp:lastPrinted>2009-02-23T07:39:00Z</cp:lastPrinted>
  <dcterms:created xsi:type="dcterms:W3CDTF">2018-09-09T02:24:00Z</dcterms:created>
  <dcterms:modified xsi:type="dcterms:W3CDTF">2018-09-09T02:24:00Z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20100626</vt:lpwstr>
  </property>
  <property fmtid="{D5CDD505-2E9C-101B-9397-08002B2CF9AE}" pid="4" name="DocumentType">
    <vt:lpwstr>Act</vt:lpwstr>
  </property>
  <property fmtid="{D5CDD505-2E9C-101B-9397-08002B2CF9AE}" pid="5" name="OwlsUID">
    <vt:i4>6343</vt:i4>
  </property>
  <property fmtid="{D5CDD505-2E9C-101B-9397-08002B2CF9AE}" pid="6" name="ReprintNo">
    <vt:lpwstr>3</vt:lpwstr>
  </property>
  <property fmtid="{D5CDD505-2E9C-101B-9397-08002B2CF9AE}" pid="7" name="AsAtDate">
    <vt:lpwstr>26 Jun 2010</vt:lpwstr>
  </property>
  <property fmtid="{D5CDD505-2E9C-101B-9397-08002B2CF9AE}" pid="8" name="Suffix">
    <vt:lpwstr>03-d0-04</vt:lpwstr>
  </property>
</Properties>
</file>