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Medical Practitioners Act 2008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Medical Practitioners Regulations 2008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Health Practitioner Regulation National Law (WA) Act 2010</w:t>
      </w:r>
      <w:r>
        <w:rPr>
          <w:color w:val="000000"/>
          <w:sz w:val="22"/>
          <w:szCs w:val="22"/>
        </w:rPr>
        <w:t xml:space="preserve"> s. 15(2)(e) (No. 35 of 2010) as at 18 Oct 2010 (see s.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 Oct 2010 p. 5075-6)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Medical Practitioners Regulations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_Toc426969149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_Toc426969150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_Toc426969151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period of internship or supervised clinical practice</w:t>
      </w:r>
      <w:r>
        <w:tab/>
      </w:r>
      <w:r>
        <w:fldChar w:fldCharType="begin"/>
      </w:r>
      <w:r>
        <w:instrText xml:space="preserve"> PAGEREF _Toc426969152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Specialties and titles prescribed</w:t>
      </w:r>
      <w:r>
        <w:tab/>
      </w:r>
      <w:r>
        <w:fldChar w:fldCharType="begin"/>
      </w:r>
      <w:r>
        <w:instrText xml:space="preserve"> PAGEREF _Toc426969153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Requirements for specialty</w:t>
      </w:r>
      <w:r>
        <w:tab/>
      </w:r>
      <w:r>
        <w:fldChar w:fldCharType="begin"/>
      </w:r>
      <w:r>
        <w:instrText xml:space="preserve"> PAGEREF _Toc426969154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Prescribed period for registration and renewal of registration under section 45</w:t>
      </w:r>
      <w:r>
        <w:tab/>
      </w:r>
      <w:r>
        <w:fldChar w:fldCharType="begin"/>
      </w:r>
      <w:r>
        <w:instrText xml:space="preserve"> PAGEREF _Toc426969155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Day on which fee falls due under section 46(2)</w:t>
      </w:r>
      <w:r>
        <w:tab/>
      </w:r>
      <w:r>
        <w:fldChar w:fldCharType="begin"/>
      </w:r>
      <w:r>
        <w:instrText xml:space="preserve"> PAGEREF _Toc426969156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Prescribed information under section 48(2)(j)</w:t>
      </w:r>
      <w:r>
        <w:tab/>
      </w:r>
      <w:r>
        <w:fldChar w:fldCharType="begin"/>
      </w:r>
      <w:r>
        <w:instrText xml:space="preserve"> PAGEREF _Toc426969157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Amendment of particulars</w:t>
      </w:r>
      <w:r>
        <w:tab/>
      </w:r>
      <w:r>
        <w:fldChar w:fldCharType="begin"/>
      </w:r>
      <w:r>
        <w:instrText xml:space="preserve"> PAGEREF _Toc426969158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Certificate of good standing</w:t>
      </w:r>
      <w:r>
        <w:tab/>
      </w:r>
      <w:r>
        <w:fldChar w:fldCharType="begin"/>
      </w:r>
      <w:r>
        <w:instrText xml:space="preserve"> PAGEREF _Toc426969159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Appointment of a conciliator</w:t>
      </w:r>
      <w:r>
        <w:tab/>
      </w:r>
      <w:r>
        <w:fldChar w:fldCharType="begin"/>
      </w:r>
      <w:r>
        <w:instrText xml:space="preserve"> PAGEREF _Toc426969160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Information relating to certain business structures</w:t>
      </w:r>
      <w:r>
        <w:tab/>
      </w:r>
      <w:r>
        <w:fldChar w:fldCharType="begin"/>
      </w:r>
      <w:r>
        <w:instrText xml:space="preserve"> PAGEREF _Toc426969161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Fees</w:t>
      </w:r>
      <w:r>
        <w:tab/>
      </w:r>
      <w:r>
        <w:fldChar w:fldCharType="begin"/>
      </w:r>
      <w:r>
        <w:instrText xml:space="preserve"> PAGEREF _Toc426969162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r>
        <w:tab/>
      </w:r>
      <w:r>
        <w:fldChar w:fldCharType="begin"/>
      </w:r>
      <w:r>
        <w:instrText xml:space="preserve"> PAGEREF _Toc426969163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Reduction, waiver or refund of fees</w:t>
      </w:r>
      <w:r>
        <w:tab/>
      </w:r>
      <w:r>
        <w:fldChar w:fldCharType="begin"/>
      </w:r>
      <w:r>
        <w:instrText xml:space="preserve"> PAGEREF _Toc426969164 \h </w:instrText>
      </w:r>
      <w:r>
        <w:fldChar w:fldCharType="separate"/>
      </w:r>
      <w:r>
        <w:t>13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 2 — Fees relating to registration under the </w:t>
      </w:r>
      <w:r>
        <w:rPr>
          <w:i/>
          <w:iCs/>
        </w:rPr>
        <w:t>Mutual Recognition (Western Australia) Act 2001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_Toc426969168 \h </w:instrText>
      </w:r>
      <w:r>
        <w:fldChar w:fldCharType="separate"/>
      </w:r>
      <w:r>
        <w:t>18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Medical Practitioners Act 2008</w:t>
      </w:r>
    </w:p>
    <w:p>
      <w:pPr>
        <w:pStyle w:val="NameofActReg"/>
        <w:spacing w:before="120" w:after="120"/>
      </w:pPr>
      <w:r>
        <w:t>Medical Practitioners Regulations 2008</w:t>
      </w:r>
    </w:p>
    <w:p>
      <w:pPr>
        <w:pStyle w:val="Heading5"/>
      </w:pPr>
      <w:bookmarkStart w:id="3" w:name="_Toc377986166"/>
      <w:bookmarkStart w:id="4" w:name="_Toc42696914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Medical Practitioners Regulations 2008</w:t>
      </w:r>
      <w:r>
        <w:t>.</w:t>
      </w:r>
    </w:p>
    <w:p>
      <w:pPr>
        <w:pStyle w:val="Heading5"/>
        <w:rPr>
          <w:spacing w:val="-2"/>
        </w:rPr>
      </w:pPr>
      <w:bookmarkStart w:id="6" w:name="_Toc377986167"/>
      <w:bookmarkStart w:id="7" w:name="_Toc4269691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Medical Practitioners Act 2008</w:t>
      </w:r>
      <w:r>
        <w:t xml:space="preserve"> section 3 comes into operation.</w:t>
      </w:r>
    </w:p>
    <w:p>
      <w:pPr>
        <w:pStyle w:val="Footnotesection"/>
      </w:pPr>
      <w:r>
        <w:tab/>
        <w:t>[Regulation 2 correction in Gazette 5 Dec 2008 p. 5087.]</w:t>
      </w:r>
    </w:p>
    <w:p>
      <w:pPr>
        <w:pStyle w:val="Heading5"/>
      </w:pPr>
      <w:bookmarkStart w:id="8" w:name="_Toc377986168"/>
      <w:bookmarkStart w:id="9" w:name="_Toc426969151"/>
      <w:r>
        <w:rPr>
          <w:rStyle w:val="CharSectno"/>
        </w:rPr>
        <w:t>3</w:t>
      </w:r>
      <w:r>
        <w:t>.</w:t>
      </w:r>
      <w:r>
        <w:tab/>
        <w:t>Application</w:t>
      </w:r>
      <w:bookmarkEnd w:id="8"/>
      <w:bookmarkEnd w:id="9"/>
    </w:p>
    <w:p>
      <w:pPr>
        <w:pStyle w:val="Subsection"/>
      </w:pPr>
      <w:r>
        <w:tab/>
      </w:r>
      <w:r>
        <w:tab/>
        <w:t xml:space="preserve">An application for registration under section 30, 31, 32, 33, 34, 35 or 38 of the Act must be accompanied by the following evidence — </w:t>
      </w:r>
    </w:p>
    <w:p>
      <w:pPr>
        <w:pStyle w:val="Indenta"/>
      </w:pPr>
      <w:r>
        <w:tab/>
        <w:t>(a)</w:t>
      </w:r>
      <w:r>
        <w:tab/>
        <w:t>evidence of the identity of the applicant;</w:t>
      </w:r>
    </w:p>
    <w:p>
      <w:pPr>
        <w:pStyle w:val="Indenta"/>
      </w:pPr>
      <w:r>
        <w:tab/>
        <w:t>(b)</w:t>
      </w:r>
      <w:r>
        <w:tab/>
        <w:t>evidence that the applicant is not affected by the use of, or dependence on, a drug to such an extent that his or her ability to practise medicine is, or is likely to be, affected adversely;</w:t>
      </w:r>
    </w:p>
    <w:p>
      <w:pPr>
        <w:pStyle w:val="Indenta"/>
      </w:pPr>
      <w:r>
        <w:tab/>
        <w:t>(c)</w:t>
      </w:r>
      <w:r>
        <w:tab/>
        <w:t>evidence that the applicant has not been refused registration elsewhere.</w:t>
      </w:r>
    </w:p>
    <w:p>
      <w:pPr>
        <w:pStyle w:val="Heading5"/>
      </w:pPr>
      <w:bookmarkStart w:id="10" w:name="_Toc377986169"/>
      <w:bookmarkStart w:id="11" w:name="_Toc426969152"/>
      <w:r>
        <w:rPr>
          <w:rStyle w:val="CharSectno"/>
        </w:rPr>
        <w:t>4</w:t>
      </w:r>
      <w:r>
        <w:t>.</w:t>
      </w:r>
      <w:r>
        <w:tab/>
        <w:t>Prescribed period of internship or supervised clinical practice</w:t>
      </w:r>
      <w:bookmarkEnd w:id="10"/>
      <w:bookmarkEnd w:id="11"/>
    </w:p>
    <w:p>
      <w:pPr>
        <w:pStyle w:val="Subsection"/>
      </w:pPr>
      <w:r>
        <w:tab/>
      </w:r>
      <w:r>
        <w:tab/>
        <w:t>For the purposes of section 30(2)(f) of the Act, the period of internship or supervised clinical practice prescribed is 48 weeks.</w:t>
      </w:r>
    </w:p>
    <w:p>
      <w:pPr>
        <w:pStyle w:val="Heading5"/>
      </w:pPr>
      <w:bookmarkStart w:id="12" w:name="_Toc377986170"/>
      <w:bookmarkStart w:id="13" w:name="_Toc426969153"/>
      <w:r>
        <w:rPr>
          <w:rStyle w:val="CharSectno"/>
        </w:rPr>
        <w:t>5</w:t>
      </w:r>
      <w:r>
        <w:t>.</w:t>
      </w:r>
      <w:r>
        <w:tab/>
        <w:t>Specialties and titles prescribed</w:t>
      </w:r>
      <w:bookmarkEnd w:id="12"/>
      <w:bookmarkEnd w:id="13"/>
    </w:p>
    <w:p>
      <w:pPr>
        <w:pStyle w:val="Subsection"/>
      </w:pPr>
      <w:r>
        <w:tab/>
      </w:r>
      <w:r>
        <w:tab/>
        <w:t>For the purposes of sections 37(1) and 38(10) of the Act, the branches of medicine listed in column 1 of the Table are prescribed as a specialty and the title specified in column 2 of that Table opposite a specialty is prescribed as the title of that specialty (if any) and as the title under which that specialty may be practised.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 prescribed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Title of specialty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</w:r>
            <w:r>
              <w:br/>
              <w:t>Anatomical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Chemical 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Geneticist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Pharmacologist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Dermatologist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Diagnostic Radiologist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Emergency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Endocrinologist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Gastroenterologist and Hepatologist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General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Pathologist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Practitioner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General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Geriatrician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Gynaecological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Haematologist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Immunologist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Infectious Diseases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Intensive Care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Administrator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Medical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Microbiologist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Nephrologist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Neuro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Obstetrician and 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Occupational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Ophthalmologist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Orthopaedic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Paediatric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Anaesthetist </w:t>
            </w:r>
            <w:r>
              <w:noBreakHyphen/>
              <w:t> Pain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Palliative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br/>
              <w:t>Plastic and Reconstructive Surgeon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Psychiatrist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Radiation Oncologist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Physician </w:t>
            </w:r>
            <w:r>
              <w:noBreakHyphen/>
              <w:t> Respiratory and Sleep Medicine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Rheumatologist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Urogynaecologist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Urologist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Surgeon</w:t>
            </w:r>
          </w:p>
        </w:tc>
      </w:tr>
    </w:tbl>
    <w:p>
      <w:pPr>
        <w:pStyle w:val="Heading5"/>
      </w:pPr>
      <w:bookmarkStart w:id="14" w:name="_Toc377986171"/>
      <w:bookmarkStart w:id="15" w:name="_Toc426969154"/>
      <w:r>
        <w:rPr>
          <w:rStyle w:val="CharSectno"/>
        </w:rPr>
        <w:t>6</w:t>
      </w:r>
      <w:r>
        <w:t>.</w:t>
      </w:r>
      <w:r>
        <w:tab/>
        <w:t>Requirements for specialty</w:t>
      </w:r>
      <w:bookmarkEnd w:id="14"/>
      <w:bookmarkEnd w:id="15"/>
    </w:p>
    <w:p>
      <w:pPr>
        <w:pStyle w:val="Subsection"/>
      </w:pPr>
      <w:r>
        <w:tab/>
      </w:r>
      <w:r>
        <w:tab/>
        <w:t>For the purposes of section 38(2)(b)(i) and (3)(e)(i) of the Act, the qualification listed in column 2 of the Table is a prescribed qualification for the specialty specified in column 1 of that Table opposite that qualification.</w:t>
      </w:r>
    </w:p>
    <w:p>
      <w:pPr>
        <w:pStyle w:val="MiscellaneousHeading"/>
        <w:spacing w:after="120"/>
        <w:rPr>
          <w:b/>
          <w:sz w:val="22"/>
        </w:rPr>
      </w:pPr>
      <w:r>
        <w:rPr>
          <w:b/>
          <w:sz w:val="22"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spacing w:before="0" w:line="240" w:lineRule="auto"/>
              <w:ind w:left="567"/>
              <w:jc w:val="center"/>
              <w:rPr>
                <w:b/>
              </w:rPr>
            </w:pPr>
            <w:r>
              <w:rPr>
                <w:b/>
              </w:rPr>
              <w:t>Australian or New Zealand qualification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Anaesthesia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and New Zealand College of Anaesthetists (FANZCA)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Anatomical Pathology (including Cytopathology and Forensic Pathology)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br/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Cardio</w:t>
            </w:r>
            <w:r>
              <w:noBreakHyphen/>
              <w:t>thoracic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Chemical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Genetics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Clinical Pharmacology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Community Child Health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Dermatology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of Dermatologists (FACD)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Radiology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Diagnostic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Emergency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College for Emergency Medicine (FACEM)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Endocrinology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Gastroenterology and Hepatology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Paediatrics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Pathology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Practice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Australian College of General Practitioners (FACGP)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General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Geriatric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Gynaecological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Haematology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Immunology and Allergy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Infectious Diseases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Intensive Care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Joint Faculty of Intensive Care Medicine (FJFICM)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Maternal</w:t>
            </w:r>
            <w:r>
              <w:noBreakHyphen/>
              <w:t>Fetal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Administration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Medical Administrators (FRACMA)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Medical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Microbiology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College of Pathologists of Australia (FRCPA)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Nephrology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Neurosurgery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Nuclear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Obstetrics and Gynaecological Ultrasound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Occupational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Occupational Medicine (FAFOM)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Ophthalmology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Opthalmologists (FRANZCO)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  <w:keepNext/>
            </w:pPr>
            <w:r>
              <w:t>Oral and Maxillofacial Surgery</w:t>
            </w:r>
          </w:p>
        </w:tc>
        <w:tc>
          <w:tcPr>
            <w:tcW w:w="3119" w:type="dxa"/>
          </w:tcPr>
          <w:p>
            <w:pPr>
              <w:pStyle w:val="Table"/>
              <w:keepNext/>
            </w:pPr>
            <w:r>
              <w:t>Fellowship of the Royal Australasian College of Dental Surgeons (Oral and Maxillofacial Surgery) (FRACDS(OMS))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Orthopaedic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Otolaryngology – Head and Neck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Paediatric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Pain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Faculty of Pain Medicine, Australian and New Zealand College of Anaesthetists (FPMANZCA)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Palliative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  <w:p>
            <w:pPr>
              <w:pStyle w:val="Table"/>
            </w:pPr>
            <w:r>
              <w:t>or</w:t>
            </w:r>
          </w:p>
          <w:p>
            <w:pPr>
              <w:pStyle w:val="Table"/>
            </w:pPr>
            <w:r>
              <w:t>Fellowship of the Australasian Chapter of Palliative Medicine, Royal Australasian College of Physicians (FAChPM)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Plastic and Reconstructive Surgery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Psychiatry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Psychiatrists (FRANZCP)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Public Health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Public Health Medicine (FAFPHM)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Radiation Oncology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Radiologists (FRANZCR)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Rehabilitation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Australasian Faculty of Rehabilitation Medicine (FAFRM)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Reproductive Endocrinology and Infertility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Respiratory and Sleep Medicine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Rheumatology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Physicians (FRACP)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Urogynaecology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Australian and New Zealand College of Obstetricians and Gynaecologists (FRANZCOG)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Table"/>
            </w:pPr>
            <w:r>
              <w:t>Urology</w:t>
            </w:r>
          </w:p>
        </w:tc>
        <w:tc>
          <w:tcPr>
            <w:tcW w:w="3119" w:type="dxa"/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Vascular Surgery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</w:pPr>
            <w:r>
              <w:t>Fellowship of the Royal Australasian College of Surgeons (FRACS)</w:t>
            </w:r>
          </w:p>
        </w:tc>
      </w:tr>
    </w:tbl>
    <w:p>
      <w:pPr>
        <w:pStyle w:val="Heading5"/>
      </w:pPr>
      <w:bookmarkStart w:id="16" w:name="_Toc377986172"/>
      <w:bookmarkStart w:id="17" w:name="_Toc426969155"/>
      <w:r>
        <w:rPr>
          <w:rStyle w:val="CharSectno"/>
        </w:rPr>
        <w:t>7</w:t>
      </w:r>
      <w:r>
        <w:t>.</w:t>
      </w:r>
      <w:r>
        <w:tab/>
        <w:t>Prescribed period for registration and renewal of registration under section 45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For the purposes of section 45(1)(a) of the Act, the prescribed period for which registration has effect is a period equal to the period commencing on the day on which registration is granted and ending on the next succeeding 30 September.</w:t>
      </w:r>
    </w:p>
    <w:p>
      <w:pPr>
        <w:pStyle w:val="Subsection"/>
      </w:pPr>
      <w:r>
        <w:tab/>
        <w:t>(2)</w:t>
      </w:r>
      <w:r>
        <w:tab/>
        <w:t>For the purposes of section 45(1)(b) of the Act, the prescribed period for which registration may be renewed is a period equal to the period commencing on the day on which the registration is renewed and ending on the next succeeding 30 September.</w:t>
      </w:r>
    </w:p>
    <w:p>
      <w:pPr>
        <w:pStyle w:val="Heading5"/>
      </w:pPr>
      <w:bookmarkStart w:id="18" w:name="_Toc377986173"/>
      <w:bookmarkStart w:id="19" w:name="_Toc426969156"/>
      <w:r>
        <w:rPr>
          <w:rStyle w:val="CharSectno"/>
        </w:rPr>
        <w:t>8</w:t>
      </w:r>
      <w:r>
        <w:t>.</w:t>
      </w:r>
      <w:r>
        <w:tab/>
        <w:t>Day on which fee falls due under section 46(2)</w:t>
      </w:r>
      <w:bookmarkEnd w:id="18"/>
      <w:bookmarkEnd w:id="19"/>
    </w:p>
    <w:p>
      <w:pPr>
        <w:pStyle w:val="Subsection"/>
      </w:pPr>
      <w:r>
        <w:tab/>
      </w:r>
      <w:r>
        <w:tab/>
        <w:t>For the purposes of section 46(2) of the Act, the day in each year on which the prescribed fee for the renewal of registration falls due is 30 September.</w:t>
      </w:r>
    </w:p>
    <w:p>
      <w:pPr>
        <w:pStyle w:val="Heading5"/>
      </w:pPr>
      <w:bookmarkStart w:id="20" w:name="_Toc377986174"/>
      <w:bookmarkStart w:id="21" w:name="_Toc426969157"/>
      <w:r>
        <w:rPr>
          <w:rStyle w:val="CharSectno"/>
        </w:rPr>
        <w:t>9</w:t>
      </w:r>
      <w:r>
        <w:t>.</w:t>
      </w:r>
      <w:r>
        <w:tab/>
        <w:t>Prescribed information under section 48(2)(j)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For the purposes of section 48(2)(j) of the Act, the following information is prescribed — </w:t>
      </w:r>
    </w:p>
    <w:p>
      <w:pPr>
        <w:pStyle w:val="Indenta"/>
      </w:pPr>
      <w:r>
        <w:tab/>
        <w:t>(a)</w:t>
      </w:r>
      <w:r>
        <w:tab/>
        <w:t>any offence under the Act for which the medical practitioner has been convicted;</w:t>
      </w:r>
    </w:p>
    <w:p>
      <w:pPr>
        <w:pStyle w:val="Indenta"/>
      </w:pPr>
      <w:r>
        <w:tab/>
        <w:t>(b)</w:t>
      </w:r>
      <w:r>
        <w:tab/>
        <w:t>the date on which the medical practitioner was first registered under section 30, 31, 32, 33, 34, 35 or 38 of the Act;</w:t>
      </w:r>
    </w:p>
    <w:p>
      <w:pPr>
        <w:pStyle w:val="Indenta"/>
      </w:pPr>
      <w:r>
        <w:tab/>
        <w:t>(c)</w:t>
      </w:r>
      <w:r>
        <w:tab/>
        <w:t>that a condition applying to the registration has been imposed at the request of the medical practitioner;</w:t>
      </w:r>
    </w:p>
    <w:p>
      <w:pPr>
        <w:pStyle w:val="Indenta"/>
      </w:pPr>
      <w:r>
        <w:tab/>
        <w:t>(d)</w:t>
      </w:r>
      <w:r>
        <w:tab/>
        <w:t>any cancellation or suspension of a medical practitioner’s registration as a medical practitioner or specialist in another State or a Territory;</w:t>
      </w:r>
    </w:p>
    <w:p>
      <w:pPr>
        <w:pStyle w:val="Indenta"/>
      </w:pPr>
      <w:r>
        <w:tab/>
        <w:t>(e)</w:t>
      </w:r>
      <w:r>
        <w:tab/>
        <w:t>any condition imposed on a medical practitioner’s registration as a medical practitioner or specialist in another State or a Territory.</w:t>
      </w:r>
    </w:p>
    <w:p>
      <w:pPr>
        <w:pStyle w:val="Heading5"/>
      </w:pPr>
      <w:bookmarkStart w:id="22" w:name="_Toc377986175"/>
      <w:bookmarkStart w:id="23" w:name="_Toc426969158"/>
      <w:r>
        <w:rPr>
          <w:rStyle w:val="CharSectno"/>
        </w:rPr>
        <w:t>10</w:t>
      </w:r>
      <w:r>
        <w:t>.</w:t>
      </w:r>
      <w:r>
        <w:tab/>
        <w:t>Amendment of particulars</w:t>
      </w:r>
      <w:bookmarkEnd w:id="22"/>
      <w:bookmarkEnd w:id="23"/>
    </w:p>
    <w:p>
      <w:pPr>
        <w:pStyle w:val="Subsection"/>
      </w:pPr>
      <w:r>
        <w:tab/>
      </w:r>
      <w:r>
        <w:tab/>
        <w:t xml:space="preserve">An application under section 53 of the Act for the amendment of the particulars entered in the register must — </w:t>
      </w:r>
    </w:p>
    <w:p>
      <w:pPr>
        <w:pStyle w:val="Indenta"/>
      </w:pPr>
      <w:r>
        <w:tab/>
        <w:t>(a)</w:t>
      </w:r>
      <w:r>
        <w:tab/>
        <w:t>be made in an approved form; and</w:t>
      </w:r>
    </w:p>
    <w:p>
      <w:pPr>
        <w:pStyle w:val="Indenta"/>
      </w:pPr>
      <w:r>
        <w:tab/>
        <w:t>(b)</w:t>
      </w:r>
      <w:r>
        <w:tab/>
        <w:t xml:space="preserve">be accompanied by — </w:t>
      </w:r>
    </w:p>
    <w:p>
      <w:pPr>
        <w:pStyle w:val="Indenti"/>
      </w:pPr>
      <w:r>
        <w:tab/>
        <w:t>(i)</w:t>
      </w:r>
      <w:r>
        <w:tab/>
        <w:t>the fee prescribed in Schedule 1 item 14; and</w:t>
      </w:r>
    </w:p>
    <w:p>
      <w:pPr>
        <w:pStyle w:val="Indenti"/>
      </w:pPr>
      <w:r>
        <w:tab/>
        <w:t>(ii)</w:t>
      </w:r>
      <w:r>
        <w:tab/>
        <w:t>the original certificate or diploma referred to in the application or other evidence that satisfies the Board that the amendment may properly be made.</w:t>
      </w:r>
    </w:p>
    <w:p>
      <w:pPr>
        <w:pStyle w:val="Heading5"/>
      </w:pPr>
      <w:bookmarkStart w:id="24" w:name="_Toc377986176"/>
      <w:bookmarkStart w:id="25" w:name="_Toc426969159"/>
      <w:r>
        <w:rPr>
          <w:rStyle w:val="CharSectno"/>
        </w:rPr>
        <w:t>11</w:t>
      </w:r>
      <w:r>
        <w:t>.</w:t>
      </w:r>
      <w:r>
        <w:tab/>
        <w:t>Certificate of good standing</w:t>
      </w:r>
      <w:bookmarkEnd w:id="24"/>
      <w:bookmarkEnd w:id="25"/>
    </w:p>
    <w:p>
      <w:pPr>
        <w:pStyle w:val="Subsection"/>
      </w:pPr>
      <w:r>
        <w:tab/>
      </w:r>
      <w:r>
        <w:tab/>
        <w:t>The Board may on payment of the fee prescribed in Schedule 1 item 15 issue to a medical practitioner a certificate of good standing in respect of the medical practitioner.</w:t>
      </w:r>
    </w:p>
    <w:p>
      <w:pPr>
        <w:pStyle w:val="Ednotesection"/>
      </w:pPr>
      <w:r>
        <w:t>[</w:t>
      </w:r>
      <w:r>
        <w:rPr>
          <w:b/>
          <w:bCs/>
        </w:rPr>
        <w:t>12.</w:t>
      </w:r>
      <w:r>
        <w:tab/>
        <w:t>Deleted in Gazette 31 Jul 2009 p. 3025.]</w:t>
      </w:r>
    </w:p>
    <w:p>
      <w:pPr>
        <w:pStyle w:val="Heading5"/>
      </w:pPr>
      <w:bookmarkStart w:id="26" w:name="_Toc377986177"/>
      <w:bookmarkStart w:id="27" w:name="_Toc426969160"/>
      <w:r>
        <w:rPr>
          <w:rStyle w:val="CharSectno"/>
        </w:rPr>
        <w:t>13</w:t>
      </w:r>
      <w:r>
        <w:t>.</w:t>
      </w:r>
      <w:r>
        <w:tab/>
        <w:t>Appointment of a conciliator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After consulting a person with knowledge of and experience in the conciliation of complaints, the complaints assessment committee may appoint a person with knowledge of and experience in the conciliation of complaints to be a conciliator to preside over a conference under section 110(2) of the Act.</w:t>
      </w:r>
    </w:p>
    <w:p>
      <w:pPr>
        <w:pStyle w:val="Subsection"/>
      </w:pPr>
      <w:r>
        <w:tab/>
        <w:t>(2)</w:t>
      </w:r>
      <w:r>
        <w:tab/>
        <w:t>The Board may pay a conciliator appointed under this regulation a fee for, and such reasonable expenses as may be incurred by the conciliator in, presiding over conferences under section 110(2) of the Act.</w:t>
      </w:r>
    </w:p>
    <w:p>
      <w:pPr>
        <w:pStyle w:val="Heading5"/>
      </w:pPr>
      <w:bookmarkStart w:id="28" w:name="_Toc377986178"/>
      <w:bookmarkStart w:id="29" w:name="_Toc426969161"/>
      <w:r>
        <w:rPr>
          <w:rStyle w:val="CharSectno"/>
        </w:rPr>
        <w:t>14</w:t>
      </w:r>
      <w:r>
        <w:t>.</w:t>
      </w:r>
      <w:r>
        <w:tab/>
        <w:t>Information relating to certain business structures</w:t>
      </w:r>
      <w:bookmarkEnd w:id="28"/>
      <w:bookmarkEnd w:id="29"/>
    </w:p>
    <w:p>
      <w:pPr>
        <w:pStyle w:val="Subsection"/>
      </w:pPr>
      <w:r>
        <w:tab/>
      </w:r>
      <w:r>
        <w:tab/>
        <w:t>For the purposes of section 138(1) of the Act, the following particulars are prescribed —</w:t>
      </w:r>
    </w:p>
    <w:p>
      <w:pPr>
        <w:pStyle w:val="Indenta"/>
      </w:pPr>
      <w:r>
        <w:tab/>
        <w:t>(a)</w:t>
      </w:r>
      <w:r>
        <w:tab/>
        <w:t>the name of the business;</w:t>
      </w:r>
    </w:p>
    <w:p>
      <w:pPr>
        <w:pStyle w:val="Indenta"/>
      </w:pPr>
      <w:r>
        <w:tab/>
        <w:t>(b)</w:t>
      </w:r>
      <w:r>
        <w:tab/>
        <w:t>the type of structure of the business;</w:t>
      </w:r>
    </w:p>
    <w:p>
      <w:pPr>
        <w:pStyle w:val="Indenta"/>
      </w:pPr>
      <w:r>
        <w:tab/>
        <w:t>(c)</w:t>
      </w:r>
      <w:r>
        <w:tab/>
        <w:t>the business’s principal place of business;</w:t>
      </w:r>
    </w:p>
    <w:p>
      <w:pPr>
        <w:pStyle w:val="Indenta"/>
      </w:pPr>
      <w:r>
        <w:tab/>
        <w:t>(d)</w:t>
      </w:r>
      <w:r>
        <w:tab/>
        <w:t>the name of any director, shareholder or partner of the business.</w:t>
      </w:r>
    </w:p>
    <w:p>
      <w:pPr>
        <w:pStyle w:val="Heading5"/>
      </w:pPr>
      <w:bookmarkStart w:id="30" w:name="_Toc377986179"/>
      <w:bookmarkStart w:id="31" w:name="_Toc426969162"/>
      <w:r>
        <w:rPr>
          <w:rStyle w:val="CharSectno"/>
        </w:rPr>
        <w:t>15</w:t>
      </w:r>
      <w:r>
        <w:t>.</w:t>
      </w:r>
      <w:r>
        <w:tab/>
        <w:t>Fees</w:t>
      </w:r>
      <w:bookmarkEnd w:id="30"/>
      <w:bookmarkEnd w:id="31"/>
    </w:p>
    <w:p>
      <w:pPr>
        <w:pStyle w:val="Subsection"/>
      </w:pPr>
      <w:r>
        <w:tab/>
      </w:r>
      <w:r>
        <w:tab/>
        <w:t>The fees in Schedule 1 are the prescribed fees payable in respect of the matters specified in that Schedule and the persons liable for payment of the fees are the persons specified in that Schedule.</w:t>
      </w:r>
    </w:p>
    <w:p>
      <w:pPr>
        <w:pStyle w:val="Heading5"/>
      </w:pPr>
      <w:bookmarkStart w:id="32" w:name="_Toc377986180"/>
      <w:bookmarkStart w:id="33" w:name="_Toc426969163"/>
      <w:r>
        <w:rPr>
          <w:rStyle w:val="CharSectno"/>
        </w:rPr>
        <w:t>16</w:t>
      </w:r>
      <w:r>
        <w:t>.</w:t>
      </w:r>
      <w:r>
        <w:tab/>
        <w:t xml:space="preserve">Fees for registration under the </w:t>
      </w:r>
      <w:r>
        <w:rPr>
          <w:i/>
          <w:iCs/>
        </w:rPr>
        <w:t>Mutual Recognition (Western Australia) Act 2001</w:t>
      </w:r>
      <w:bookmarkEnd w:id="32"/>
      <w:bookmarkEnd w:id="33"/>
    </w:p>
    <w:p>
      <w:pPr>
        <w:pStyle w:val="Subsection"/>
      </w:pPr>
      <w:r>
        <w:tab/>
      </w:r>
      <w:r>
        <w:tab/>
        <w:t xml:space="preserve">The fees in Schedule 2 are prescribed as the fees payable in respect of the registration of a person entitled under the </w:t>
      </w:r>
      <w:r>
        <w:rPr>
          <w:i/>
          <w:iCs/>
        </w:rPr>
        <w:t xml:space="preserve">Mutual Recognition Act 1992 </w:t>
      </w:r>
      <w:r>
        <w:t xml:space="preserve">(Commonwealth), as adopted by the </w:t>
      </w:r>
      <w:r>
        <w:rPr>
          <w:i/>
          <w:iCs/>
        </w:rPr>
        <w:t>Mutual Recognition (Western Australia) Act 2001</w:t>
      </w:r>
      <w:r>
        <w:t>, to be registered in this State as a medical practitioner.</w:t>
      </w:r>
    </w:p>
    <w:p>
      <w:pPr>
        <w:pStyle w:val="Heading5"/>
      </w:pPr>
      <w:bookmarkStart w:id="34" w:name="_Toc377986181"/>
      <w:bookmarkStart w:id="35" w:name="_Toc426969164"/>
      <w:r>
        <w:rPr>
          <w:rStyle w:val="CharSectno"/>
        </w:rPr>
        <w:t>17</w:t>
      </w:r>
      <w:r>
        <w:t>.</w:t>
      </w:r>
      <w:r>
        <w:tab/>
        <w:t>Reduction, waiver or refund of fees</w:t>
      </w:r>
      <w:bookmarkEnd w:id="34"/>
      <w:bookmarkEnd w:id="35"/>
    </w:p>
    <w:p>
      <w:pPr>
        <w:pStyle w:val="Subsection"/>
      </w:pPr>
      <w:r>
        <w:tab/>
      </w:r>
      <w:r>
        <w:tab/>
        <w:t>The Board may authorise the reduction, waiver or refund of any fee provided for in these regulations if the Board considers it appropriate to do so.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6" w:name="_Toc377986182"/>
      <w:bookmarkStart w:id="37" w:name="_Toc42696916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6"/>
      <w:bookmarkEnd w:id="37"/>
    </w:p>
    <w:p>
      <w:pPr>
        <w:pStyle w:val="yShoulderClause"/>
        <w:spacing w:after="12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1276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 xml:space="preserve">Provision </w:t>
            </w:r>
            <w:r>
              <w:rPr>
                <w:b/>
                <w:bCs/>
              </w:rPr>
              <w:br/>
              <w:t>of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Subject to item 2A, registration fee payable by a person if registration is effected under section 30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2A.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 xml:space="preserve">Registration fee payable by a person if — </w:t>
            </w:r>
          </w:p>
          <w:p>
            <w:pPr>
              <w:pStyle w:val="yTableNAm"/>
              <w:ind w:left="558" w:hanging="558"/>
            </w:pPr>
            <w:r>
              <w:t>(a)</w:t>
            </w:r>
            <w:r>
              <w:tab/>
              <w:t>registration is effected under section 30; and</w:t>
            </w:r>
          </w:p>
          <w:p>
            <w:pPr>
              <w:pStyle w:val="yTableNAm"/>
              <w:ind w:left="558" w:hanging="558"/>
            </w:pPr>
            <w:r>
              <w:t>(b)</w:t>
            </w:r>
            <w:r>
              <w:tab/>
              <w:t>the person is retired from regular practice and intends to practise only on an occasional basis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s. 30(1)(b)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if registration is effected under section 31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  <w:t>s. 31(1)(b) or (2)(b)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person who applies for registration under the Act section 30 or 31 for the conduct of criminal record screening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30, 31 and 148(2)(h)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provisional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32(1)(c)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conditional registration for general practice in remote and rural WA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33(2)(b)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special purpose conditional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34(2)(c)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non</w:t>
            </w:r>
            <w:r>
              <w:noBreakHyphen/>
              <w:t>practising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35(1)(b)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80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Registration fee payable by a person for registration as a specialist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38(1)(b)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 xml:space="preserve">Fee payable by the applicant to accompany an application for registration under the following sections — 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41(2)(c)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(a)</w:t>
            </w:r>
            <w:r>
              <w:tab/>
              <w:t>s. 30(1)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(b)</w:t>
            </w:r>
            <w:r>
              <w:tab/>
              <w:t>s. 31(1) for internship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(c)</w:t>
            </w:r>
            <w:r>
              <w:tab/>
              <w:t>s. 31(1) for supervised clinical practice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(d)</w:t>
            </w:r>
            <w:r>
              <w:tab/>
              <w:t>s. 31(2)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(e)</w:t>
            </w:r>
            <w:r>
              <w:tab/>
              <w:t>s. 32(1)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(f)</w:t>
            </w:r>
            <w:r>
              <w:tab/>
              <w:t>s. 33(2)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(g)</w:t>
            </w:r>
            <w:r>
              <w:tab/>
              <w:t>s. 34(2)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300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(h)</w:t>
            </w:r>
            <w:r>
              <w:tab/>
              <w:t>s. 35(1)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</w:p>
        </w:tc>
        <w:tc>
          <w:tcPr>
            <w:tcW w:w="3119" w:type="dxa"/>
          </w:tcPr>
          <w:p>
            <w:pPr>
              <w:pStyle w:val="yTableNAm"/>
              <w:ind w:left="558" w:hanging="558"/>
            </w:pPr>
            <w:r>
              <w:t>(i)</w:t>
            </w:r>
            <w:r>
              <w:tab/>
              <w:t>s. 38(1)</w:t>
            </w:r>
          </w:p>
        </w:tc>
        <w:tc>
          <w:tcPr>
            <w:tcW w:w="1559" w:type="dxa"/>
          </w:tcPr>
          <w:p>
            <w:pPr>
              <w:pStyle w:val="yTableNAm"/>
            </w:pP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t>165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medical practitioner for renewal of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46(2)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Additional amount to be paid to the Board by an applicant to have name restored to the register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46(3)(c)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85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person who applies for a certified copy of the register or an entry in the register for the copy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s. 49(4)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an applicant for a duplicate certificate of registration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51(2)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an applicant for amendment of particulars entered in the register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</w:r>
            <w:r>
              <w:br/>
              <w:t>s. 53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</w:tcPr>
          <w:p>
            <w:pPr>
              <w:pStyle w:val="yTableNAm"/>
            </w:pPr>
            <w:r>
              <w:t>Fee payable by a medical practitioner for a certificate of good standing</w:t>
            </w:r>
          </w:p>
        </w:tc>
        <w:tc>
          <w:tcPr>
            <w:tcW w:w="1559" w:type="dxa"/>
          </w:tcPr>
          <w:p>
            <w:pPr>
              <w:pStyle w:val="yTableNAm"/>
            </w:pPr>
            <w:r>
              <w:br/>
              <w:t>r. 11 and s. 148(2)(h)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50</w:t>
            </w:r>
          </w:p>
        </w:tc>
      </w:tr>
    </w:tbl>
    <w:p>
      <w:pPr>
        <w:pStyle w:val="yFootnotesection"/>
      </w:pPr>
      <w:r>
        <w:tab/>
        <w:t>[Schedule 1 correction in Gazette 5 Dec 2008 p. 5087; amended in Gazette 31 Jul 2009 p. 3025.]</w:t>
      </w:r>
    </w:p>
    <w:p>
      <w:pPr>
        <w:pStyle w:val="yScheduleHeading"/>
      </w:pPr>
      <w:bookmarkStart w:id="38" w:name="_Toc377986183"/>
      <w:bookmarkStart w:id="39" w:name="_Toc426969166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 xml:space="preserve">Fees relating to registration under the </w:t>
      </w:r>
      <w:r>
        <w:rPr>
          <w:rStyle w:val="CharSchText"/>
          <w:i/>
          <w:iCs/>
        </w:rPr>
        <w:t>Mutual Recognition (Western Australia) Act 2001</w:t>
      </w:r>
      <w:bookmarkEnd w:id="38"/>
      <w:bookmarkEnd w:id="39"/>
    </w:p>
    <w:p>
      <w:pPr>
        <w:pStyle w:val="yShoulderClause"/>
        <w:spacing w:after="120"/>
      </w:pPr>
      <w:r>
        <w:t>[r. 16]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418"/>
      </w:tblGrid>
      <w:tr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Type of fee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Fee payable on lodging a written notice seeking registration in accordance with mutual recognition principle</w:t>
            </w:r>
          </w:p>
        </w:tc>
        <w:tc>
          <w:tcPr>
            <w:tcW w:w="1418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165</w:t>
            </w:r>
          </w:p>
        </w:tc>
      </w:tr>
      <w:t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Registration fee for grant of registration in accordance with mutual recognition principle if registration is effected in the months of April, May, June, July, August or September</w:t>
            </w:r>
          </w:p>
        </w:tc>
        <w:tc>
          <w:tcPr>
            <w:tcW w:w="1418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195</w:t>
            </w:r>
          </w:p>
        </w:tc>
      </w:tr>
      <w:t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Registration fee for grant of registration in accordance with mutual recognition principle if registration is effected in the months of October, November, December, January, February or March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  <w:t>385</w:t>
            </w:r>
          </w:p>
        </w:tc>
      </w:tr>
    </w:tbl>
    <w:p>
      <w:pPr>
        <w:ind w:left="558" w:hanging="558"/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377986184"/>
      <w:bookmarkStart w:id="42" w:name="_Toc426969167"/>
      <w:r>
        <w:t>Notes</w:t>
      </w:r>
      <w:bookmarkEnd w:id="41"/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Medical Practitioners Regulations 2008</w:t>
      </w:r>
      <w:r>
        <w:rPr>
          <w:iCs/>
        </w:rPr>
        <w:t xml:space="preserve"> </w:t>
      </w:r>
      <w:r>
        <w:rPr>
          <w:snapToGrid w:val="0"/>
        </w:rPr>
        <w:t>and includes the amendments made by the other written laws referred to in the following table.</w:t>
      </w:r>
    </w:p>
    <w:p>
      <w:pPr>
        <w:pStyle w:val="nHeading3"/>
      </w:pPr>
      <w:bookmarkStart w:id="43" w:name="_Toc377986185"/>
      <w:bookmarkStart w:id="44" w:name="_Toc426969168"/>
      <w:r>
        <w:t>Compilation table</w:t>
      </w:r>
      <w:bookmarkEnd w:id="43"/>
      <w:bookmarkEnd w:id="4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Medical Practitioners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Nov 2008 p. 4999-5018 (Printers correction 5 Dec 2008 p. 5087)</w:t>
            </w:r>
          </w:p>
        </w:tc>
        <w:tc>
          <w:tcPr>
            <w:tcW w:w="269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 Nov 2008 (see r. 2(a));</w:t>
            </w:r>
            <w:r>
              <w:br/>
              <w:t xml:space="preserve">Regulations other than r. 1 and 2: 1 Dec 2008 (see r. 2(b) and </w:t>
            </w:r>
            <w:r>
              <w:rPr>
                <w:i/>
                <w:iCs/>
              </w:rPr>
              <w:t xml:space="preserve">Gazette </w:t>
            </w:r>
            <w:r>
              <w:t>25 Nov 2008 p. 4989)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Medical Practitioners Amendment Regulations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31 Jul 2009 p. 3025-6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Jul 2009 (see r. 2(a));</w:t>
            </w:r>
            <w:r>
              <w:br/>
              <w:t>Regulations other than r. 1 and 2: 1 Aug 2009 (see r. 2(b))</w:t>
            </w:r>
          </w:p>
        </w:tc>
      </w:tr>
      <w:tr>
        <w:tblPrEx>
          <w:tblBorders>
            <w:bottom w:val="single" w:sz="8" w:space="0" w:color="auto"/>
          </w:tblBorders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napToGrid w:val="0"/>
                <w:color w:val="FF0000"/>
              </w:rPr>
            </w:pPr>
            <w:r>
              <w:rPr>
                <w:b/>
                <w:bCs/>
                <w:snapToGrid w:val="0"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Health Practitioner Regulation National Law (WA) Act 2010</w:t>
            </w:r>
            <w:r>
              <w:rPr>
                <w:b/>
                <w:bCs/>
                <w:snapToGrid w:val="0"/>
                <w:color w:val="FF0000"/>
              </w:rPr>
              <w:t xml:space="preserve"> s. 15(2)(e) (No. 35 of 2010) as at 18 Oct 2010 (see s. 2(b) and </w:t>
            </w:r>
            <w:r>
              <w:rPr>
                <w:b/>
                <w:bCs/>
                <w:i/>
                <w:iCs/>
                <w:snapToGrid w:val="0"/>
                <w:color w:val="FF0000"/>
              </w:rPr>
              <w:t>Gazette</w:t>
            </w:r>
            <w:r>
              <w:rPr>
                <w:b/>
                <w:bCs/>
                <w:snapToGrid w:val="0"/>
                <w:color w:val="FF0000"/>
              </w:rPr>
              <w:t xml:space="preserve"> 1 Oct 2010 p. 5075-6)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Oct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00-f0-04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18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00-f0-04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Oct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Oct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00-f0-04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5" w:name="Compilation"/>
    <w:bookmarkEnd w:id="4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Medical Practitioners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67C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6233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6C7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484A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FE65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B608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B0585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A32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6BF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62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5D03BA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5625"/>
    <w:docVar w:name="WAFER_20140120122244" w:val="RemoveTocBookmarks,RemoveUnusedBookmarks,RemoveLanguageTags,UsedStyles,ResetPageSize,UpdateArrangement"/>
    <w:docVar w:name="WAFER_20140120122244_GUID" w:val="adb71446-0b8c-4c73-b9a4-16d2cc3e5624"/>
    <w:docVar w:name="WAFER_20150807153655" w:val="ResetPageSize,UpdateArrangement,UpdateNTable"/>
    <w:docVar w:name="WAFER_20150807153655_GUID" w:val="da564633-43be-4062-a96c-727769d604da"/>
    <w:docVar w:name="WAFER_20151117125625" w:val="UpdateStyles,UsedStyles"/>
    <w:docVar w:name="WAFER_20151117125625_GUID" w:val="26f5a7ea-5cb0-4bb5-81fd-b9b0bb62bc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2887</Words>
  <Characters>16573</Characters>
  <Application>Microsoft Office Word</Application>
  <DocSecurity>0</DocSecurity>
  <Lines>974</Lines>
  <Paragraphs>525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Fees</vt:lpstr>
      <vt:lpstr>    Schedule 2 — Fees relating to registration under the Mutual Recognition (Western</vt:lpstr>
      <vt:lpstr>    Notes</vt:lpstr>
    </vt:vector>
  </TitlesOfParts>
  <Manager/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Practitioners Regulations 2008 - 00-f0-04</dc:title>
  <dc:subject/>
  <dc:creator/>
  <cp:keywords/>
  <dc:description/>
  <cp:lastModifiedBy>svcMRProcess</cp:lastModifiedBy>
  <cp:revision>4</cp:revision>
  <cp:lastPrinted>2008-11-06T02:35:00Z</cp:lastPrinted>
  <dcterms:created xsi:type="dcterms:W3CDTF">2015-11-17T04:59:00Z</dcterms:created>
  <dcterms:modified xsi:type="dcterms:W3CDTF">2015-11-17T05:00:00Z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2008 p 4999-5018</vt:lpwstr>
  </property>
  <property fmtid="{D5CDD505-2E9C-101B-9397-08002B2CF9AE}" pid="3" name="CommencementDate">
    <vt:lpwstr>20101018</vt:lpwstr>
  </property>
  <property fmtid="{D5CDD505-2E9C-101B-9397-08002B2CF9AE}" pid="4" name="DocumentType">
    <vt:lpwstr>Reg</vt:lpwstr>
  </property>
  <property fmtid="{D5CDD505-2E9C-101B-9397-08002B2CF9AE}" pid="5" name="OwlsUID">
    <vt:i4>40861</vt:i4>
  </property>
  <property fmtid="{D5CDD505-2E9C-101B-9397-08002B2CF9AE}" pid="6" name="AsAtDate">
    <vt:lpwstr>18 Oct 2010</vt:lpwstr>
  </property>
  <property fmtid="{D5CDD505-2E9C-101B-9397-08002B2CF9AE}" pid="7" name="Suffix">
    <vt:lpwstr>00-f0-04</vt:lpwstr>
  </property>
  <property fmtid="{D5CDD505-2E9C-101B-9397-08002B2CF9AE}" pid="8" name="Status">
    <vt:lpwstr>NIF</vt:lpwstr>
  </property>
</Properties>
</file>