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Act 1998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Rail Safety Regulations 1999</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Rail Safety Act 2010</w:t>
      </w:r>
      <w:r>
        <w:rPr>
          <w:color w:val="000000"/>
          <w:sz w:val="22"/>
          <w:szCs w:val="22"/>
        </w:rPr>
        <w:t xml:space="preserve"> s. 230(2) (No. 18 of 2010) as at 1 Feb 2011 (see s. 2(b) and </w:t>
      </w:r>
      <w:r>
        <w:rPr>
          <w:i/>
          <w:iCs/>
          <w:color w:val="000000"/>
          <w:sz w:val="22"/>
          <w:szCs w:val="22"/>
        </w:rPr>
        <w:t>Gazette</w:t>
      </w:r>
      <w:r>
        <w:rPr>
          <w:color w:val="000000"/>
          <w:sz w:val="22"/>
          <w:szCs w:val="22"/>
        </w:rPr>
        <w:t xml:space="preserve"> 28 Jan 2011 p. 241).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_Toc426632574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_Toc426632575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Australian Rail Safety Standard</w:t>
      </w:r>
      <w:r>
        <w:tab/>
      </w:r>
      <w:r>
        <w:fldChar w:fldCharType="begin"/>
      </w:r>
      <w:r>
        <w:instrText xml:space="preserve"> PAGEREF _Toc426632577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Notifiable occurrences</w:t>
      </w:r>
      <w:r>
        <w:tab/>
      </w:r>
      <w:r>
        <w:fldChar w:fldCharType="begin"/>
      </w:r>
      <w:r>
        <w:instrText xml:space="preserve"> PAGEREF _Toc426632578 \h </w:instrText>
      </w:r>
      <w:r>
        <w:fldChar w:fldCharType="separate"/>
      </w:r>
      <w:r>
        <w:t>2</w:t>
      </w:r>
      <w:r>
        <w:fldChar w:fldCharType="end"/>
      </w:r>
    </w:p>
    <w:p>
      <w:pPr>
        <w:pStyle w:val="TOC8"/>
        <w:rPr>
          <w:rFonts w:asciiTheme="minorHAnsi" w:eastAsiaTheme="minorEastAsia" w:hAnsiTheme="minorHAnsi" w:cstheme="minorBidi"/>
          <w:szCs w:val="22"/>
        </w:rPr>
      </w:pPr>
      <w:r>
        <w:t>5.</w:t>
      </w:r>
      <w:r>
        <w:tab/>
        <w:t>Act not to apply in certain cases — section 4(2)(d)</w:t>
      </w:r>
      <w:r>
        <w:tab/>
      </w:r>
      <w:r>
        <w:fldChar w:fldCharType="begin"/>
      </w:r>
      <w:r>
        <w:instrText xml:space="preserve"> PAGEREF _Toc426632579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conditions — section 14(1)(b)</w:t>
      </w:r>
      <w:r>
        <w:tab/>
      </w:r>
      <w:r>
        <w:fldChar w:fldCharType="begin"/>
      </w:r>
      <w:r>
        <w:instrText xml:space="preserve"> PAGEREF _Toc426632580 \h </w:instrText>
      </w:r>
      <w:r>
        <w:fldChar w:fldCharType="separate"/>
      </w:r>
      <w:r>
        <w:t>3</w:t>
      </w:r>
      <w:r>
        <w:fldChar w:fldCharType="end"/>
      </w:r>
    </w:p>
    <w:p>
      <w:pPr>
        <w:pStyle w:val="TOC8"/>
        <w:rPr>
          <w:rFonts w:asciiTheme="minorHAnsi" w:eastAsiaTheme="minorEastAsia" w:hAnsiTheme="minorHAnsi" w:cstheme="minorBidi"/>
          <w:szCs w:val="22"/>
        </w:rPr>
      </w:pPr>
      <w:r>
        <w:t>7.</w:t>
      </w:r>
      <w:r>
        <w:tab/>
        <w:t>Dispute resolution</w:t>
      </w:r>
      <w:r>
        <w:tab/>
      </w:r>
      <w:r>
        <w:fldChar w:fldCharType="begin"/>
      </w:r>
      <w:r>
        <w:instrText xml:space="preserve"> PAGEREF _Toc426632581 \h </w:instrText>
      </w:r>
      <w:r>
        <w:fldChar w:fldCharType="separate"/>
      </w:r>
      <w:r>
        <w:t>4</w:t>
      </w:r>
      <w:r>
        <w:fldChar w:fldCharType="end"/>
      </w:r>
    </w:p>
    <w:p>
      <w:pPr>
        <w:pStyle w:val="TOC8"/>
        <w:rPr>
          <w:rFonts w:asciiTheme="minorHAnsi" w:eastAsiaTheme="minorEastAsia" w:hAnsiTheme="minorHAnsi" w:cstheme="minorBidi"/>
          <w:szCs w:val="22"/>
        </w:rPr>
      </w:pPr>
      <w:r>
        <w:t>8.</w:t>
      </w:r>
      <w:r>
        <w:tab/>
        <w:t>Periodical returns</w:t>
      </w:r>
      <w:r>
        <w:tab/>
      </w:r>
      <w:r>
        <w:fldChar w:fldCharType="begin"/>
      </w:r>
      <w:r>
        <w:instrText xml:space="preserve"> PAGEREF _Toc426632582 \h </w:instrText>
      </w:r>
      <w:r>
        <w:fldChar w:fldCharType="separate"/>
      </w:r>
      <w:r>
        <w:t>6</w:t>
      </w:r>
      <w:r>
        <w:fldChar w:fldCharType="end"/>
      </w:r>
    </w:p>
    <w:p>
      <w:pPr>
        <w:pStyle w:val="TOC8"/>
        <w:rPr>
          <w:rFonts w:asciiTheme="minorHAnsi" w:eastAsiaTheme="minorEastAsia" w:hAnsiTheme="minorHAnsi" w:cstheme="minorBidi"/>
          <w:szCs w:val="22"/>
        </w:rPr>
      </w:pPr>
      <w:r>
        <w:t>9.</w:t>
      </w:r>
      <w:r>
        <w:tab/>
        <w:t>Regulation of lights</w:t>
      </w:r>
      <w:r>
        <w:tab/>
      </w:r>
      <w:r>
        <w:fldChar w:fldCharType="begin"/>
      </w:r>
      <w:r>
        <w:instrText xml:space="preserve"> PAGEREF _Toc426632583 \h </w:instrText>
      </w:r>
      <w:r>
        <w:fldChar w:fldCharType="separate"/>
      </w:r>
      <w:r>
        <w:t>8</w:t>
      </w:r>
      <w:r>
        <w:fldChar w:fldCharType="end"/>
      </w:r>
    </w:p>
    <w:p>
      <w:pPr>
        <w:pStyle w:val="TOC8"/>
        <w:rPr>
          <w:rFonts w:asciiTheme="minorHAnsi" w:eastAsiaTheme="minorEastAsia" w:hAnsiTheme="minorHAnsi" w:cstheme="minorBidi"/>
          <w:szCs w:val="22"/>
        </w:rPr>
      </w:pPr>
      <w:r>
        <w:t>10.</w:t>
      </w:r>
      <w:r>
        <w:tab/>
        <w:t>Prescribed place for public inspection of investigator’s report and codes, standards etc.</w:t>
      </w:r>
      <w:r>
        <w:tab/>
      </w:r>
      <w:r>
        <w:fldChar w:fldCharType="begin"/>
      </w:r>
      <w:r>
        <w:instrText xml:space="preserve"> PAGEREF _Toc426632584 \h </w:instrText>
      </w:r>
      <w:r>
        <w:fldChar w:fldCharType="separate"/>
      </w:r>
      <w:r>
        <w:t>9</w:t>
      </w:r>
      <w:r>
        <w:fldChar w:fldCharType="end"/>
      </w:r>
    </w:p>
    <w:p>
      <w:pPr>
        <w:pStyle w:val="TOC8"/>
        <w:rPr>
          <w:rFonts w:asciiTheme="minorHAnsi" w:eastAsiaTheme="minorEastAsia" w:hAnsiTheme="minorHAnsi" w:cstheme="minorBidi"/>
          <w:szCs w:val="22"/>
        </w:rPr>
      </w:pPr>
      <w:r>
        <w:t>11.</w:t>
      </w:r>
      <w:r>
        <w:tab/>
        <w:t>Service of documents or notice</w:t>
      </w:r>
      <w:r>
        <w:tab/>
      </w:r>
      <w:r>
        <w:fldChar w:fldCharType="begin"/>
      </w:r>
      <w:r>
        <w:instrText xml:space="preserve"> PAGEREF _Toc426632585 \h </w:instrText>
      </w:r>
      <w:r>
        <w:fldChar w:fldCharType="separate"/>
      </w:r>
      <w:r>
        <w:t>9</w:t>
      </w:r>
      <w:r>
        <w:fldChar w:fldCharType="end"/>
      </w:r>
    </w:p>
    <w:p>
      <w:pPr>
        <w:pStyle w:val="TOC8"/>
        <w:rPr>
          <w:rFonts w:asciiTheme="minorHAnsi" w:eastAsiaTheme="minorEastAsia" w:hAnsiTheme="minorHAnsi" w:cstheme="minorBidi"/>
          <w:szCs w:val="22"/>
        </w:rPr>
      </w:pPr>
      <w:r>
        <w:t>12.</w:t>
      </w:r>
      <w:r>
        <w:tab/>
        <w:t>Form of warrant</w:t>
      </w:r>
      <w:r>
        <w:tab/>
      </w:r>
      <w:r>
        <w:fldChar w:fldCharType="begin"/>
      </w:r>
      <w:r>
        <w:instrText xml:space="preserve"> PAGEREF _Toc426632586 \h </w:instrText>
      </w:r>
      <w:r>
        <w:fldChar w:fldCharType="separate"/>
      </w:r>
      <w:r>
        <w:t>9</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_Toc426632587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use of alcohol or other drugs</w:t>
      </w:r>
    </w:p>
    <w:p>
      <w:pPr>
        <w:pStyle w:val="TOC8"/>
        <w:rPr>
          <w:rFonts w:asciiTheme="minorHAnsi" w:eastAsiaTheme="minorEastAsia" w:hAnsiTheme="minorHAnsi" w:cstheme="minorBidi"/>
          <w:szCs w:val="22"/>
        </w:rPr>
      </w:pPr>
      <w:r>
        <w:t>14.</w:t>
      </w:r>
      <w:r>
        <w:tab/>
        <w:t>Terms used in this Part</w:t>
      </w:r>
      <w:r>
        <w:tab/>
      </w:r>
      <w:r>
        <w:fldChar w:fldCharType="begin"/>
      </w:r>
      <w:r>
        <w:instrText xml:space="preserve"> PAGEREF _Toc426632589 \h </w:instrText>
      </w:r>
      <w:r>
        <w:fldChar w:fldCharType="separate"/>
      </w:r>
      <w:r>
        <w:t>11</w:t>
      </w:r>
      <w:r>
        <w:fldChar w:fldCharType="end"/>
      </w:r>
    </w:p>
    <w:p>
      <w:pPr>
        <w:pStyle w:val="TOC8"/>
        <w:rPr>
          <w:rFonts w:asciiTheme="minorHAnsi" w:eastAsiaTheme="minorEastAsia" w:hAnsiTheme="minorHAnsi" w:cstheme="minorBidi"/>
          <w:szCs w:val="22"/>
        </w:rPr>
      </w:pPr>
      <w:r>
        <w:t>15.</w:t>
      </w:r>
      <w:r>
        <w:tab/>
        <w:t>Approval of equipment for the purposes of breath analysis and preliminary tests</w:t>
      </w:r>
      <w:r>
        <w:tab/>
      </w:r>
      <w:r>
        <w:fldChar w:fldCharType="begin"/>
      </w:r>
      <w:r>
        <w:instrText xml:space="preserve"> PAGEREF _Toc426632590 \h </w:instrText>
      </w:r>
      <w:r>
        <w:fldChar w:fldCharType="separate"/>
      </w:r>
      <w:r>
        <w:t>12</w:t>
      </w:r>
      <w:r>
        <w:fldChar w:fldCharType="end"/>
      </w:r>
    </w:p>
    <w:p>
      <w:pPr>
        <w:pStyle w:val="TOC8"/>
        <w:rPr>
          <w:rFonts w:asciiTheme="minorHAnsi" w:eastAsiaTheme="minorEastAsia" w:hAnsiTheme="minorHAnsi" w:cstheme="minorBidi"/>
          <w:szCs w:val="22"/>
        </w:rPr>
      </w:pPr>
      <w:r>
        <w:t>16.</w:t>
      </w:r>
      <w:r>
        <w:tab/>
        <w:t>Prescribed concentration of alcohol in blood of railway employee</w:t>
      </w:r>
      <w:r>
        <w:tab/>
      </w:r>
      <w:r>
        <w:fldChar w:fldCharType="begin"/>
      </w:r>
      <w:r>
        <w:instrText xml:space="preserve"> PAGEREF _Toc426632591 \h </w:instrText>
      </w:r>
      <w:r>
        <w:fldChar w:fldCharType="separate"/>
      </w:r>
      <w:r>
        <w:t>12</w:t>
      </w:r>
      <w:r>
        <w:fldChar w:fldCharType="end"/>
      </w:r>
    </w:p>
    <w:p>
      <w:pPr>
        <w:pStyle w:val="TOC8"/>
        <w:rPr>
          <w:rFonts w:asciiTheme="minorHAnsi" w:eastAsiaTheme="minorEastAsia" w:hAnsiTheme="minorHAnsi" w:cstheme="minorBidi"/>
          <w:szCs w:val="22"/>
        </w:rPr>
      </w:pPr>
      <w:r>
        <w:t>17.</w:t>
      </w:r>
      <w:r>
        <w:tab/>
        <w:t>Appointment of person to test breath</w:t>
      </w:r>
      <w:r>
        <w:tab/>
      </w:r>
      <w:r>
        <w:fldChar w:fldCharType="begin"/>
      </w:r>
      <w:r>
        <w:instrText xml:space="preserve"> PAGEREF _Toc426632592 \h </w:instrText>
      </w:r>
      <w:r>
        <w:fldChar w:fldCharType="separate"/>
      </w:r>
      <w:r>
        <w:t>12</w:t>
      </w:r>
      <w:r>
        <w:fldChar w:fldCharType="end"/>
      </w:r>
    </w:p>
    <w:p>
      <w:pPr>
        <w:pStyle w:val="TOC8"/>
        <w:rPr>
          <w:rFonts w:asciiTheme="minorHAnsi" w:eastAsiaTheme="minorEastAsia" w:hAnsiTheme="minorHAnsi" w:cstheme="minorBidi"/>
          <w:szCs w:val="22"/>
        </w:rPr>
      </w:pPr>
      <w:r>
        <w:t>18.</w:t>
      </w:r>
      <w:r>
        <w:tab/>
        <w:t>Railway employee may be required to submit to preliminary test or breath analysis</w:t>
      </w:r>
      <w:r>
        <w:tab/>
      </w:r>
      <w:r>
        <w:fldChar w:fldCharType="begin"/>
      </w:r>
      <w:r>
        <w:instrText xml:space="preserve"> PAGEREF _Toc426632593 \h </w:instrText>
      </w:r>
      <w:r>
        <w:fldChar w:fldCharType="separate"/>
      </w:r>
      <w:r>
        <w:t>13</w:t>
      </w:r>
      <w:r>
        <w:fldChar w:fldCharType="end"/>
      </w:r>
    </w:p>
    <w:p>
      <w:pPr>
        <w:pStyle w:val="TOC8"/>
        <w:rPr>
          <w:rFonts w:asciiTheme="minorHAnsi" w:eastAsiaTheme="minorEastAsia" w:hAnsiTheme="minorHAnsi" w:cstheme="minorBidi"/>
          <w:szCs w:val="22"/>
        </w:rPr>
      </w:pPr>
      <w:r>
        <w:t>19.</w:t>
      </w:r>
      <w:r>
        <w:tab/>
        <w:t>Railway employee may be required to provide sample of blood or urine</w:t>
      </w:r>
      <w:r>
        <w:tab/>
      </w:r>
      <w:r>
        <w:fldChar w:fldCharType="begin"/>
      </w:r>
      <w:r>
        <w:instrText xml:space="preserve"> PAGEREF _Toc426632594 \h </w:instrText>
      </w:r>
      <w:r>
        <w:fldChar w:fldCharType="separate"/>
      </w:r>
      <w:r>
        <w:t>13</w:t>
      </w:r>
      <w:r>
        <w:fldChar w:fldCharType="end"/>
      </w:r>
    </w:p>
    <w:p>
      <w:pPr>
        <w:pStyle w:val="TOC8"/>
        <w:rPr>
          <w:rFonts w:asciiTheme="minorHAnsi" w:eastAsiaTheme="minorEastAsia" w:hAnsiTheme="minorHAnsi" w:cstheme="minorBidi"/>
          <w:szCs w:val="22"/>
        </w:rPr>
      </w:pPr>
      <w:r>
        <w:t>20.</w:t>
      </w:r>
      <w:r>
        <w:tab/>
        <w:t>Railway employee to be given results of breath analysis, and may request blood or urine sample to be taken</w:t>
      </w:r>
      <w:r>
        <w:tab/>
      </w:r>
      <w:r>
        <w:fldChar w:fldCharType="begin"/>
      </w:r>
      <w:r>
        <w:instrText xml:space="preserve"> PAGEREF _Toc426632595 \h </w:instrText>
      </w:r>
      <w:r>
        <w:fldChar w:fldCharType="separate"/>
      </w:r>
      <w:r>
        <w:t>14</w:t>
      </w:r>
      <w:r>
        <w:fldChar w:fldCharType="end"/>
      </w:r>
    </w:p>
    <w:p>
      <w:pPr>
        <w:pStyle w:val="TOC8"/>
        <w:rPr>
          <w:rFonts w:asciiTheme="minorHAnsi" w:eastAsiaTheme="minorEastAsia" w:hAnsiTheme="minorHAnsi" w:cstheme="minorBidi"/>
          <w:szCs w:val="22"/>
        </w:rPr>
      </w:pPr>
      <w:r>
        <w:t>21.</w:t>
      </w:r>
      <w:r>
        <w:tab/>
        <w:t>Medical practitioner to take blood or urine sample</w:t>
      </w:r>
      <w:r>
        <w:tab/>
      </w:r>
      <w:r>
        <w:fldChar w:fldCharType="begin"/>
      </w:r>
      <w:r>
        <w:instrText xml:space="preserve"> PAGEREF _Toc426632596 \h </w:instrText>
      </w:r>
      <w:r>
        <w:fldChar w:fldCharType="separate"/>
      </w:r>
      <w:r>
        <w:t>14</w:t>
      </w:r>
      <w:r>
        <w:fldChar w:fldCharType="end"/>
      </w:r>
    </w:p>
    <w:p>
      <w:pPr>
        <w:pStyle w:val="TOC8"/>
        <w:rPr>
          <w:rFonts w:asciiTheme="minorHAnsi" w:eastAsiaTheme="minorEastAsia" w:hAnsiTheme="minorHAnsi" w:cstheme="minorBidi"/>
          <w:szCs w:val="22"/>
        </w:rPr>
      </w:pPr>
      <w:r>
        <w:t>22.</w:t>
      </w:r>
      <w:r>
        <w:tab/>
        <w:t>Procedures relating to blood or urine tests</w:t>
      </w:r>
      <w:r>
        <w:tab/>
      </w:r>
      <w:r>
        <w:fldChar w:fldCharType="begin"/>
      </w:r>
      <w:r>
        <w:instrText xml:space="preserve"> PAGEREF _Toc426632597 \h </w:instrText>
      </w:r>
      <w:r>
        <w:fldChar w:fldCharType="separate"/>
      </w:r>
      <w:r>
        <w:t>15</w:t>
      </w:r>
      <w:r>
        <w:fldChar w:fldCharType="end"/>
      </w:r>
    </w:p>
    <w:p>
      <w:pPr>
        <w:pStyle w:val="TOC8"/>
        <w:rPr>
          <w:rFonts w:asciiTheme="minorHAnsi" w:eastAsiaTheme="minorEastAsia" w:hAnsiTheme="minorHAnsi" w:cstheme="minorBidi"/>
          <w:szCs w:val="22"/>
        </w:rPr>
      </w:pPr>
      <w:r>
        <w:t>23.</w:t>
      </w:r>
      <w:r>
        <w:tab/>
        <w:t>Offences</w:t>
      </w:r>
      <w:r>
        <w:tab/>
      </w:r>
      <w:r>
        <w:fldChar w:fldCharType="begin"/>
      </w:r>
      <w:r>
        <w:instrText xml:space="preserve"> PAGEREF _Toc426632598 \h </w:instrText>
      </w:r>
      <w:r>
        <w:fldChar w:fldCharType="separate"/>
      </w:r>
      <w:r>
        <w:t>17</w:t>
      </w:r>
      <w:r>
        <w:fldChar w:fldCharType="end"/>
      </w:r>
    </w:p>
    <w:p>
      <w:pPr>
        <w:pStyle w:val="TOC8"/>
        <w:rPr>
          <w:rFonts w:asciiTheme="minorHAnsi" w:eastAsiaTheme="minorEastAsia" w:hAnsiTheme="minorHAnsi" w:cstheme="minorBidi"/>
          <w:szCs w:val="22"/>
        </w:rPr>
      </w:pPr>
      <w:r>
        <w:t>24.</w:t>
      </w:r>
      <w:r>
        <w:tab/>
        <w:t>Defences</w:t>
      </w:r>
      <w:r>
        <w:tab/>
      </w:r>
      <w:r>
        <w:fldChar w:fldCharType="begin"/>
      </w:r>
      <w:r>
        <w:instrText xml:space="preserve"> PAGEREF _Toc426632599 \h </w:instrText>
      </w:r>
      <w:r>
        <w:fldChar w:fldCharType="separate"/>
      </w:r>
      <w:r>
        <w:t>18</w:t>
      </w:r>
      <w:r>
        <w:fldChar w:fldCharType="end"/>
      </w:r>
    </w:p>
    <w:p>
      <w:pPr>
        <w:pStyle w:val="TOC8"/>
        <w:rPr>
          <w:rFonts w:asciiTheme="minorHAnsi" w:eastAsiaTheme="minorEastAsia" w:hAnsiTheme="minorHAnsi" w:cstheme="minorBidi"/>
          <w:szCs w:val="22"/>
        </w:rPr>
      </w:pPr>
      <w:r>
        <w:t>25.</w:t>
      </w:r>
      <w:r>
        <w:tab/>
        <w:t>Evidence</w:t>
      </w:r>
      <w:r>
        <w:tab/>
      </w:r>
      <w:r>
        <w:fldChar w:fldCharType="begin"/>
      </w:r>
      <w:r>
        <w:instrText xml:space="preserve"> PAGEREF _Toc426632600 \h </w:instrText>
      </w:r>
      <w:r>
        <w:fldChar w:fldCharType="separate"/>
      </w:r>
      <w:r>
        <w:t>19</w:t>
      </w:r>
      <w:r>
        <w:fldChar w:fldCharType="end"/>
      </w:r>
    </w:p>
    <w:p>
      <w:pPr>
        <w:pStyle w:val="TOC8"/>
        <w:rPr>
          <w:rFonts w:asciiTheme="minorHAnsi" w:eastAsiaTheme="minorEastAsia" w:hAnsiTheme="minorHAnsi" w:cstheme="minorBidi"/>
          <w:szCs w:val="22"/>
        </w:rPr>
      </w:pPr>
      <w:r>
        <w:t>26.</w:t>
      </w:r>
      <w:r>
        <w:tab/>
        <w:t>Outside the metropolitan area tests may be taken by a nurse</w:t>
      </w:r>
      <w:r>
        <w:tab/>
      </w:r>
      <w:r>
        <w:fldChar w:fldCharType="begin"/>
      </w:r>
      <w:r>
        <w:instrText xml:space="preserve"> PAGEREF _Toc426632601 \h </w:instrText>
      </w:r>
      <w:r>
        <w:fldChar w:fldCharType="separate"/>
      </w:r>
      <w:r>
        <w:t>22</w:t>
      </w:r>
      <w:r>
        <w:fldChar w:fldCharType="end"/>
      </w:r>
    </w:p>
    <w:p>
      <w:pPr>
        <w:pStyle w:val="TOC8"/>
        <w:rPr>
          <w:rFonts w:asciiTheme="minorHAnsi" w:eastAsiaTheme="minorEastAsia" w:hAnsiTheme="minorHAnsi" w:cstheme="minorBidi"/>
          <w:szCs w:val="22"/>
        </w:rPr>
      </w:pPr>
      <w:r>
        <w:t>27.</w:t>
      </w:r>
      <w:r>
        <w:tab/>
        <w:t>Protection of medical practitioners from liability</w:t>
      </w:r>
      <w:r>
        <w:tab/>
      </w:r>
      <w:r>
        <w:fldChar w:fldCharType="begin"/>
      </w:r>
      <w:r>
        <w:instrText xml:space="preserve"> PAGEREF _Toc426632602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w:t>
      </w:r>
    </w:p>
    <w:p>
      <w:pPr>
        <w:pStyle w:val="TOC8"/>
        <w:rPr>
          <w:rFonts w:asciiTheme="minorHAnsi" w:eastAsiaTheme="minorEastAsia" w:hAnsiTheme="minorHAnsi" w:cstheme="minorBidi"/>
          <w:szCs w:val="22"/>
        </w:rPr>
      </w:pPr>
      <w:r>
        <w:t>28.</w:t>
      </w:r>
      <w:r>
        <w:tab/>
        <w:t>Transitional</w:t>
      </w:r>
      <w:r>
        <w:tab/>
      </w:r>
      <w:r>
        <w:fldChar w:fldCharType="begin"/>
      </w:r>
      <w:r>
        <w:instrText xml:space="preserve"> PAGEREF _Toc426632604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Notifiable occurrences</w:t>
      </w:r>
    </w:p>
    <w:p>
      <w:pPr>
        <w:pStyle w:val="TOC2"/>
        <w:tabs>
          <w:tab w:val="right" w:leader="dot" w:pos="7077"/>
        </w:tabs>
        <w:rPr>
          <w:rFonts w:asciiTheme="minorHAnsi" w:eastAsiaTheme="minorEastAsia" w:hAnsiTheme="minorHAnsi" w:cstheme="minorBidi"/>
          <w:b w:val="0"/>
          <w:sz w:val="22"/>
          <w:szCs w:val="22"/>
        </w:rPr>
      </w:pPr>
      <w:r>
        <w:t>Part 1 — Category A notifiable occurrences</w:t>
      </w:r>
    </w:p>
    <w:p>
      <w:pPr>
        <w:pStyle w:val="TOC2"/>
        <w:tabs>
          <w:tab w:val="right" w:leader="dot" w:pos="7077"/>
        </w:tabs>
        <w:rPr>
          <w:rFonts w:asciiTheme="minorHAnsi" w:eastAsiaTheme="minorEastAsia" w:hAnsiTheme="minorHAnsi" w:cstheme="minorBidi"/>
          <w:b w:val="0"/>
          <w:sz w:val="22"/>
          <w:szCs w:val="22"/>
        </w:rPr>
      </w:pPr>
      <w:r>
        <w:t>Part 2 — Category B notifiable occurrences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Form of warrant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_Toc426632611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Rail Safety Act 1998</w:t>
      </w:r>
    </w:p>
    <w:p>
      <w:pPr>
        <w:pStyle w:val="NameofActReg"/>
      </w:pPr>
      <w:r>
        <w:t>Rail Safety Regulations 1999</w:t>
      </w:r>
    </w:p>
    <w:p>
      <w:pPr>
        <w:pStyle w:val="Heading2"/>
        <w:pageBreakBefore w:val="0"/>
        <w:spacing w:before="360"/>
      </w:pPr>
      <w:bookmarkStart w:id="3" w:name="_Toc378667795"/>
      <w:bookmarkStart w:id="4" w:name="_Toc42663257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78667796"/>
      <w:bookmarkStart w:id="6" w:name="_Toc426632574"/>
      <w:r>
        <w:rPr>
          <w:rStyle w:val="CharSectno"/>
        </w:rPr>
        <w:t>1</w:t>
      </w:r>
      <w:r>
        <w:t>.</w:t>
      </w:r>
      <w:r>
        <w:tab/>
        <w:t>Citation</w:t>
      </w:r>
      <w:bookmarkEnd w:id="5"/>
      <w:bookmarkEnd w:id="6"/>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7" w:name="_Toc378667797"/>
      <w:bookmarkStart w:id="8" w:name="_Toc426632575"/>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9" w:name="_Toc378667798"/>
      <w:bookmarkStart w:id="10" w:name="_Toc426632576"/>
      <w:r>
        <w:rPr>
          <w:rStyle w:val="CharPartNo"/>
        </w:rPr>
        <w:t>Part 2</w:t>
      </w:r>
      <w:r>
        <w:rPr>
          <w:rStyle w:val="CharDivNo"/>
        </w:rPr>
        <w:t xml:space="preserve"> </w:t>
      </w:r>
      <w:r>
        <w:t>—</w:t>
      </w:r>
      <w:r>
        <w:rPr>
          <w:rStyle w:val="CharDivText"/>
        </w:rPr>
        <w:t xml:space="preserve"> </w:t>
      </w:r>
      <w:r>
        <w:rPr>
          <w:rStyle w:val="CharPartText"/>
        </w:rPr>
        <w:t>General</w:t>
      </w:r>
      <w:bookmarkEnd w:id="9"/>
      <w:bookmarkEnd w:id="10"/>
    </w:p>
    <w:p>
      <w:pPr>
        <w:pStyle w:val="Heading5"/>
      </w:pPr>
      <w:bookmarkStart w:id="11" w:name="_Toc378667799"/>
      <w:bookmarkStart w:id="12" w:name="_Toc426632577"/>
      <w:r>
        <w:rPr>
          <w:rStyle w:val="CharSectno"/>
        </w:rPr>
        <w:t>3</w:t>
      </w:r>
      <w:r>
        <w:t>.</w:t>
      </w:r>
      <w:r>
        <w:tab/>
        <w:t>Australian Rail Safety Standard</w:t>
      </w:r>
      <w:bookmarkEnd w:id="11"/>
      <w:bookmarkEnd w:id="12"/>
    </w:p>
    <w:p>
      <w:pPr>
        <w:pStyle w:val="Subsection"/>
      </w:pPr>
      <w:r>
        <w:tab/>
      </w:r>
      <w:r>
        <w:tab/>
        <w:t xml:space="preserve">For the purpose of the definition of </w:t>
      </w:r>
      <w:r>
        <w:rPr>
          <w:rStyle w:val="CharDefText"/>
        </w:rPr>
        <w:t>Australian Rail Safety Standard</w:t>
      </w:r>
      <w:r>
        <w:t xml:space="preserve">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13" w:name="_Toc378667800"/>
      <w:bookmarkStart w:id="14" w:name="_Toc426632578"/>
      <w:r>
        <w:rPr>
          <w:rStyle w:val="CharSectno"/>
        </w:rPr>
        <w:t>4</w:t>
      </w:r>
      <w:r>
        <w:rPr>
          <w:snapToGrid w:val="0"/>
        </w:rPr>
        <w:t>.</w:t>
      </w:r>
      <w:r>
        <w:rPr>
          <w:snapToGrid w:val="0"/>
        </w:rPr>
        <w:tab/>
        <w:t>Notifiable occurrences</w:t>
      </w:r>
      <w:bookmarkEnd w:id="13"/>
      <w:bookmarkEnd w:id="14"/>
    </w:p>
    <w:p>
      <w:pPr>
        <w:pStyle w:val="Subsection"/>
      </w:pPr>
      <w:r>
        <w:tab/>
        <w:t>(1)</w:t>
      </w:r>
      <w:r>
        <w:tab/>
        <w:t xml:space="preserve">For the purpose of the definition of </w:t>
      </w:r>
      <w:r>
        <w:rPr>
          <w:rStyle w:val="CharDefText"/>
        </w:rPr>
        <w:t>notifiable occurrence</w:t>
      </w:r>
      <w:r>
        <w:t xml:space="preserve"> in section 3(1) of the Act, an occurrence listed in Schedule 1 is prescribed as a notifiable occurrence.</w:t>
      </w:r>
    </w:p>
    <w:p>
      <w:pPr>
        <w:pStyle w:val="Subsection"/>
      </w:pPr>
      <w:r>
        <w:tab/>
        <w:t>(2)</w:t>
      </w:r>
      <w:r>
        <w:tab/>
        <w:t>Immediately after a notifiable occurrence set out in Part 1 of Schedule 1 (</w:t>
      </w:r>
      <w:r>
        <w:rPr>
          <w:rStyle w:val="CharDefText"/>
        </w:rPr>
        <w:t>Category A notifiable occurrences</w:t>
      </w:r>
      <w:r>
        <w:t>)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w:t>
      </w:r>
      <w:r>
        <w:rPr>
          <w:rStyle w:val="CharDefText"/>
        </w:rPr>
        <w:t>Category B notifiable occurrences</w:t>
      </w:r>
      <w:r>
        <w:t>)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15" w:name="_Toc378667801"/>
      <w:bookmarkStart w:id="16" w:name="_Toc426632579"/>
      <w:r>
        <w:rPr>
          <w:rStyle w:val="CharSectno"/>
        </w:rPr>
        <w:t>5</w:t>
      </w:r>
      <w:r>
        <w:t>.</w:t>
      </w:r>
      <w:r>
        <w:tab/>
        <w:t>Act not to apply in certain cases — section 4(2)(d)</w:t>
      </w:r>
      <w:bookmarkEnd w:id="15"/>
      <w:bookmarkEnd w:id="16"/>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Ednotepara"/>
      </w:pPr>
      <w:r>
        <w:tab/>
        <w:t>[(d), (e)</w:t>
      </w:r>
      <w:r>
        <w:tab/>
        <w:t>deleted</w:t>
      </w:r>
    </w:p>
    <w:p>
      <w:pPr>
        <w:pStyle w:val="Ednotesubsection"/>
      </w:pPr>
      <w:r>
        <w:tab/>
        <w:t>[(2)</w:t>
      </w:r>
      <w:r>
        <w:tab/>
        <w:t>deleted</w:t>
      </w:r>
    </w:p>
    <w:p>
      <w:pPr>
        <w:pStyle w:val="Footnotesection"/>
      </w:pPr>
      <w:r>
        <w:tab/>
        <w:t>[Regulation 5 amended in Gazette 1 Feb 2000 p. 383</w:t>
      </w:r>
      <w:r>
        <w:noBreakHyphen/>
        <w:t>4; 26 Oct 2010 p. 5298.]</w:t>
      </w:r>
    </w:p>
    <w:p>
      <w:pPr>
        <w:pStyle w:val="Heading5"/>
      </w:pPr>
      <w:bookmarkStart w:id="17" w:name="_Toc378667802"/>
      <w:bookmarkStart w:id="18" w:name="_Toc426632580"/>
      <w:r>
        <w:rPr>
          <w:rStyle w:val="CharSectno"/>
        </w:rPr>
        <w:t>6</w:t>
      </w:r>
      <w:r>
        <w:t>.</w:t>
      </w:r>
      <w:r>
        <w:tab/>
        <w:t>Prescribed conditions — section 14(1)(b)</w:t>
      </w:r>
      <w:bookmarkEnd w:id="17"/>
      <w:bookmarkEnd w:id="18"/>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19" w:name="_Toc378667803"/>
      <w:bookmarkStart w:id="20" w:name="_Toc426632581"/>
      <w:r>
        <w:rPr>
          <w:rStyle w:val="CharSectno"/>
        </w:rPr>
        <w:t>7</w:t>
      </w:r>
      <w:r>
        <w:t>.</w:t>
      </w:r>
      <w:r>
        <w:tab/>
        <w:t>Dispute resolution</w:t>
      </w:r>
      <w:bookmarkEnd w:id="19"/>
      <w:bookmarkEnd w:id="20"/>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21" w:name="_Toc378667804"/>
      <w:bookmarkStart w:id="22" w:name="_Toc426632582"/>
      <w:r>
        <w:rPr>
          <w:rStyle w:val="CharSectno"/>
        </w:rPr>
        <w:t>8</w:t>
      </w:r>
      <w:r>
        <w:t>.</w:t>
      </w:r>
      <w:r>
        <w:tab/>
        <w:t>Periodical returns</w:t>
      </w:r>
      <w:bookmarkEnd w:id="21"/>
      <w:bookmarkEnd w:id="22"/>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23" w:name="_Toc378667805"/>
      <w:bookmarkStart w:id="24" w:name="_Toc426632583"/>
      <w:r>
        <w:rPr>
          <w:rStyle w:val="CharSectno"/>
        </w:rPr>
        <w:t>9</w:t>
      </w:r>
      <w:r>
        <w:t>.</w:t>
      </w:r>
      <w:r>
        <w:tab/>
        <w:t>Regulation of lights</w:t>
      </w:r>
      <w:bookmarkEnd w:id="23"/>
      <w:bookmarkEnd w:id="24"/>
    </w:p>
    <w:p>
      <w:pPr>
        <w:pStyle w:val="Subsection"/>
      </w:pPr>
      <w:r>
        <w:tab/>
        <w:t>(1)</w:t>
      </w:r>
      <w:r>
        <w:tab/>
        <w:t>In this regulation —</w:t>
      </w:r>
    </w:p>
    <w:p>
      <w:pPr>
        <w:pStyle w:val="Defstart"/>
        <w:rPr>
          <w:spacing w:val="-2"/>
        </w:rPr>
      </w:pPr>
      <w:r>
        <w:tab/>
      </w:r>
      <w:r>
        <w:rPr>
          <w:rStyle w:val="CharDefText"/>
        </w:rPr>
        <w:t>light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25" w:name="_Toc378667806"/>
      <w:bookmarkStart w:id="26" w:name="_Toc426632584"/>
      <w:r>
        <w:rPr>
          <w:rStyle w:val="CharSectno"/>
        </w:rPr>
        <w:t>10</w:t>
      </w:r>
      <w:r>
        <w:t>.</w:t>
      </w:r>
      <w:r>
        <w:tab/>
        <w:t>Prescribed place for public inspection of investigator’s report and codes, standards etc.</w:t>
      </w:r>
      <w:bookmarkEnd w:id="25"/>
      <w:bookmarkEnd w:id="26"/>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27" w:name="_Toc378667807"/>
      <w:bookmarkStart w:id="28" w:name="_Toc426632585"/>
      <w:r>
        <w:rPr>
          <w:rStyle w:val="CharSectno"/>
        </w:rPr>
        <w:t>11</w:t>
      </w:r>
      <w:r>
        <w:t>.</w:t>
      </w:r>
      <w:r>
        <w:tab/>
        <w:t>Service of documents or notice</w:t>
      </w:r>
      <w:bookmarkEnd w:id="27"/>
      <w:bookmarkEnd w:id="28"/>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29" w:name="_Toc378667808"/>
      <w:bookmarkStart w:id="30" w:name="_Toc426632586"/>
      <w:r>
        <w:rPr>
          <w:rStyle w:val="CharSectno"/>
        </w:rPr>
        <w:t>12</w:t>
      </w:r>
      <w:r>
        <w:t>.</w:t>
      </w:r>
      <w:r>
        <w:tab/>
        <w:t>Form of warrant</w:t>
      </w:r>
      <w:bookmarkEnd w:id="29"/>
      <w:bookmarkEnd w:id="30"/>
    </w:p>
    <w:p>
      <w:pPr>
        <w:pStyle w:val="Subsection"/>
      </w:pPr>
      <w:r>
        <w:tab/>
      </w:r>
      <w:r>
        <w:tab/>
        <w:t>A warrant under section 47(1) of the Act is to be in the form set out in Schedule 3 to these regulations.</w:t>
      </w:r>
    </w:p>
    <w:p>
      <w:pPr>
        <w:pStyle w:val="Heading5"/>
      </w:pPr>
      <w:bookmarkStart w:id="31" w:name="_Toc378667809"/>
      <w:bookmarkStart w:id="32" w:name="_Toc426632587"/>
      <w:r>
        <w:rPr>
          <w:rStyle w:val="CharSectno"/>
        </w:rPr>
        <w:t>13</w:t>
      </w:r>
      <w:r>
        <w:t>.</w:t>
      </w:r>
      <w:r>
        <w:tab/>
        <w:t>Fees</w:t>
      </w:r>
      <w:bookmarkEnd w:id="31"/>
      <w:bookmarkEnd w:id="32"/>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33" w:name="_Toc378667810"/>
      <w:bookmarkStart w:id="34" w:name="_Toc426632588"/>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33"/>
      <w:bookmarkEnd w:id="34"/>
    </w:p>
    <w:p>
      <w:pPr>
        <w:pStyle w:val="Heading5"/>
      </w:pPr>
      <w:bookmarkStart w:id="35" w:name="_Toc378667811"/>
      <w:bookmarkStart w:id="36" w:name="_Toc426632589"/>
      <w:r>
        <w:rPr>
          <w:rStyle w:val="CharSectno"/>
        </w:rPr>
        <w:t>14</w:t>
      </w:r>
      <w:r>
        <w:t>.</w:t>
      </w:r>
      <w:r>
        <w:tab/>
        <w:t>Terms used in this Part</w:t>
      </w:r>
      <w:bookmarkEnd w:id="35"/>
      <w:bookmarkEnd w:id="36"/>
    </w:p>
    <w:p>
      <w:pPr>
        <w:pStyle w:val="Subsection"/>
        <w:spacing w:before="100"/>
      </w:pPr>
      <w:r>
        <w:tab/>
        <w:t>(1)</w:t>
      </w:r>
      <w:r>
        <w:tab/>
        <w:t>In this Part —</w:t>
      </w:r>
    </w:p>
    <w:p>
      <w:pPr>
        <w:pStyle w:val="Defstart"/>
      </w:pPr>
      <w:r>
        <w:tab/>
      </w:r>
      <w:r>
        <w:rPr>
          <w:rStyle w:val="CharDefText"/>
        </w:rPr>
        <w:t>analyst</w:t>
      </w:r>
      <w:r>
        <w:t xml:space="preserve"> has the same definition as it has in section 65 of the </w:t>
      </w:r>
      <w:r>
        <w:rPr>
          <w:i/>
        </w:rPr>
        <w:t>Road Traffic Act 1974</w:t>
      </w:r>
      <w:r>
        <w:t>;</w:t>
      </w:r>
    </w:p>
    <w:p>
      <w:pPr>
        <w:pStyle w:val="Defstart"/>
      </w:pPr>
      <w:r>
        <w:tab/>
      </w:r>
      <w:r>
        <w:rPr>
          <w:rStyle w:val="CharDefText"/>
        </w:rPr>
        <w:t>breath analysis</w:t>
      </w:r>
      <w:r>
        <w:rPr>
          <w:b/>
        </w:rPr>
        <w:t xml:space="preserve"> </w:t>
      </w:r>
      <w:r>
        <w:t>means an analysis of breath by breath analysing equipment;</w:t>
      </w:r>
    </w:p>
    <w:p>
      <w:pPr>
        <w:pStyle w:val="Defstart"/>
      </w:pPr>
      <w:r>
        <w:tab/>
      </w:r>
      <w:r>
        <w:rPr>
          <w:rStyle w:val="CharDefText"/>
        </w:rPr>
        <w:t>drugs analyst</w:t>
      </w:r>
      <w:r>
        <w:t xml:space="preserve"> has the same definition as it has in section 65 of the </w:t>
      </w:r>
      <w:r>
        <w:rPr>
          <w:i/>
        </w:rPr>
        <w:t>Road Traffic Act 1974</w:t>
      </w:r>
      <w:r>
        <w:t>;</w:t>
      </w:r>
    </w:p>
    <w:p>
      <w:pPr>
        <w:pStyle w:val="Defstart"/>
      </w:pPr>
      <w:r>
        <w:tab/>
      </w:r>
      <w:r>
        <w:rPr>
          <w:rStyle w:val="CharDefText"/>
        </w:rPr>
        <w:t>medical practitioner</w:t>
      </w:r>
      <w:r>
        <w:t xml:space="preserve"> has the same definition as it has in the </w:t>
      </w:r>
      <w:r>
        <w:rPr>
          <w:i/>
        </w:rPr>
        <w:t>Medical Act 1894</w:t>
      </w:r>
      <w:r>
        <w:t>;</w:t>
      </w:r>
    </w:p>
    <w:p>
      <w:pPr>
        <w:pStyle w:val="Defstart"/>
      </w:pPr>
      <w:r>
        <w:tab/>
      </w:r>
      <w:r>
        <w:rPr>
          <w:rStyle w:val="CharDefText"/>
        </w:rPr>
        <w:t>nurse</w:t>
      </w:r>
      <w:r>
        <w:t xml:space="preserve"> has the same definition as it has in the </w:t>
      </w:r>
      <w:r>
        <w:rPr>
          <w:i/>
        </w:rPr>
        <w:t>Nurses and Midwives Act 2006</w:t>
      </w:r>
      <w:r>
        <w:rPr>
          <w:vertAlign w:val="superscript"/>
        </w:rPr>
        <w:t> 3</w:t>
      </w:r>
      <w:r>
        <w:t>;</w:t>
      </w:r>
    </w:p>
    <w:p>
      <w:pPr>
        <w:pStyle w:val="Defstart"/>
      </w:pPr>
      <w:r>
        <w:tab/>
      </w:r>
      <w:r>
        <w:rPr>
          <w:rStyle w:val="CharDefText"/>
        </w:rPr>
        <w:t>preliminary test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37" w:name="_Toc378667812"/>
      <w:bookmarkStart w:id="38" w:name="_Toc426632590"/>
      <w:r>
        <w:rPr>
          <w:rStyle w:val="CharSectno"/>
        </w:rPr>
        <w:t>15</w:t>
      </w:r>
      <w:r>
        <w:t>.</w:t>
      </w:r>
      <w:r>
        <w:tab/>
        <w:t>Approval of equipment for the purposes of breath analysis and preliminary tests</w:t>
      </w:r>
      <w:bookmarkEnd w:id="37"/>
      <w:bookmarkEnd w:id="38"/>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39" w:name="_Toc378667813"/>
      <w:bookmarkStart w:id="40" w:name="_Toc426632591"/>
      <w:r>
        <w:rPr>
          <w:rStyle w:val="CharSectno"/>
        </w:rPr>
        <w:t>16</w:t>
      </w:r>
      <w:r>
        <w:t>.</w:t>
      </w:r>
      <w:r>
        <w:tab/>
        <w:t>Prescribed concentration of alcohol in blood of railway employee</w:t>
      </w:r>
      <w:bookmarkEnd w:id="39"/>
      <w:bookmarkEnd w:id="40"/>
    </w:p>
    <w:p>
      <w:pPr>
        <w:pStyle w:val="Subsection"/>
      </w:pPr>
      <w:r>
        <w:tab/>
      </w:r>
      <w:r>
        <w:tab/>
        <w:t>For the purposes of section 31 of the Act, the prescribed concentration is 0.02 g of alcohol contained in 100 mL of blood.</w:t>
      </w:r>
    </w:p>
    <w:p>
      <w:pPr>
        <w:pStyle w:val="Heading5"/>
      </w:pPr>
      <w:bookmarkStart w:id="41" w:name="_Toc378667814"/>
      <w:bookmarkStart w:id="42" w:name="_Toc426632592"/>
      <w:r>
        <w:rPr>
          <w:rStyle w:val="CharSectno"/>
        </w:rPr>
        <w:t>17</w:t>
      </w:r>
      <w:r>
        <w:t>.</w:t>
      </w:r>
      <w:r>
        <w:tab/>
        <w:t>Appointment of person to test breath</w:t>
      </w:r>
      <w:bookmarkEnd w:id="41"/>
      <w:bookmarkEnd w:id="42"/>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43" w:name="_Toc378667815"/>
      <w:bookmarkStart w:id="44" w:name="_Toc426632593"/>
      <w:r>
        <w:rPr>
          <w:rStyle w:val="CharSectno"/>
        </w:rPr>
        <w:t>18</w:t>
      </w:r>
      <w:r>
        <w:t>.</w:t>
      </w:r>
      <w:r>
        <w:tab/>
        <w:t>Railway employee may be required to submit to preliminary test or breath analysis</w:t>
      </w:r>
      <w:bookmarkEnd w:id="43"/>
      <w:bookmarkEnd w:id="44"/>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45" w:name="_Toc378667816"/>
      <w:bookmarkStart w:id="46" w:name="_Toc426632594"/>
      <w:r>
        <w:rPr>
          <w:rStyle w:val="CharSectno"/>
        </w:rPr>
        <w:t>19</w:t>
      </w:r>
      <w:r>
        <w:t>.</w:t>
      </w:r>
      <w:r>
        <w:tab/>
        <w:t>Railway employee may be required to provide sample of blood or urine</w:t>
      </w:r>
      <w:bookmarkEnd w:id="45"/>
      <w:bookmarkEnd w:id="46"/>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47" w:name="_Toc378667817"/>
      <w:bookmarkStart w:id="48" w:name="_Toc426632595"/>
      <w:r>
        <w:rPr>
          <w:rStyle w:val="CharSectno"/>
        </w:rPr>
        <w:t>20</w:t>
      </w:r>
      <w:r>
        <w:t>.</w:t>
      </w:r>
      <w:r>
        <w:tab/>
        <w:t>Railway employee to be given results of breath analysis, and may request blood or urine sample to be taken</w:t>
      </w:r>
      <w:bookmarkEnd w:id="47"/>
      <w:bookmarkEnd w:id="48"/>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49" w:name="_Toc378667818"/>
      <w:bookmarkStart w:id="50" w:name="_Toc426632596"/>
      <w:r>
        <w:rPr>
          <w:rStyle w:val="CharSectno"/>
        </w:rPr>
        <w:t>21</w:t>
      </w:r>
      <w:r>
        <w:t>.</w:t>
      </w:r>
      <w:r>
        <w:tab/>
        <w:t>Medical practitioner to take blood or urine sample</w:t>
      </w:r>
      <w:bookmarkEnd w:id="49"/>
      <w:bookmarkEnd w:id="5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51" w:name="_Toc378667819"/>
      <w:bookmarkStart w:id="52" w:name="_Toc426632597"/>
      <w:r>
        <w:rPr>
          <w:rStyle w:val="CharSectno"/>
        </w:rPr>
        <w:t>22</w:t>
      </w:r>
      <w:r>
        <w:t>.</w:t>
      </w:r>
      <w:r>
        <w:tab/>
        <w:t>Procedures relating to blood or urine tests</w:t>
      </w:r>
      <w:bookmarkEnd w:id="51"/>
      <w:bookmarkEnd w:id="52"/>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53" w:name="_Toc378667820"/>
      <w:bookmarkStart w:id="54" w:name="_Toc426632598"/>
      <w:r>
        <w:rPr>
          <w:rStyle w:val="CharSectno"/>
        </w:rPr>
        <w:t>23</w:t>
      </w:r>
      <w:r>
        <w:t>.</w:t>
      </w:r>
      <w:r>
        <w:tab/>
        <w:t>Offences</w:t>
      </w:r>
      <w:bookmarkEnd w:id="53"/>
      <w:bookmarkEnd w:id="54"/>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55" w:name="_Toc378667821"/>
      <w:bookmarkStart w:id="56" w:name="_Toc426632599"/>
      <w:r>
        <w:rPr>
          <w:rStyle w:val="CharSectno"/>
        </w:rPr>
        <w:t>24</w:t>
      </w:r>
      <w:r>
        <w:t>.</w:t>
      </w:r>
      <w:r>
        <w:tab/>
        <w:t>Defences</w:t>
      </w:r>
      <w:bookmarkEnd w:id="55"/>
      <w:bookmarkEnd w:id="56"/>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57" w:name="_Toc378667822"/>
      <w:bookmarkStart w:id="58" w:name="_Toc426632600"/>
      <w:r>
        <w:rPr>
          <w:rStyle w:val="CharSectno"/>
        </w:rPr>
        <w:t>25</w:t>
      </w:r>
      <w:r>
        <w:t>.</w:t>
      </w:r>
      <w:r>
        <w:tab/>
        <w:t>Evidence</w:t>
      </w:r>
      <w:bookmarkEnd w:id="57"/>
      <w:bookmarkEnd w:id="58"/>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59" w:name="_Toc378667823"/>
      <w:bookmarkStart w:id="60" w:name="_Toc426632601"/>
      <w:r>
        <w:rPr>
          <w:rStyle w:val="CharSectno"/>
        </w:rPr>
        <w:t>26</w:t>
      </w:r>
      <w:r>
        <w:t>.</w:t>
      </w:r>
      <w:r>
        <w:tab/>
        <w:t>Outside the metropolitan area tests may be taken by a nurse</w:t>
      </w:r>
      <w:bookmarkEnd w:id="59"/>
      <w:bookmarkEnd w:id="60"/>
    </w:p>
    <w:p>
      <w:pPr>
        <w:pStyle w:val="Subsection"/>
        <w:keepNext/>
      </w:pPr>
      <w:r>
        <w:tab/>
        <w:t>(1)</w:t>
      </w:r>
      <w:r>
        <w:tab/>
        <w:t>In this regulation —</w:t>
      </w:r>
    </w:p>
    <w:p>
      <w:pPr>
        <w:pStyle w:val="Defstart"/>
      </w:pPr>
      <w:r>
        <w:rPr>
          <w:b/>
        </w:rPr>
        <w:tab/>
      </w:r>
      <w:r>
        <w:rPr>
          <w:rStyle w:val="CharDefText"/>
        </w:rPr>
        <w:t>metropolitan area</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61" w:name="_Toc378667824"/>
      <w:bookmarkStart w:id="62" w:name="_Toc426632602"/>
      <w:r>
        <w:rPr>
          <w:rStyle w:val="CharSectno"/>
        </w:rPr>
        <w:t>27</w:t>
      </w:r>
      <w:r>
        <w:t>.</w:t>
      </w:r>
      <w:r>
        <w:tab/>
        <w:t>Protection of medical practitioners from liability</w:t>
      </w:r>
      <w:bookmarkEnd w:id="61"/>
      <w:bookmarkEnd w:id="62"/>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63" w:name="_Toc378667825"/>
      <w:bookmarkStart w:id="64" w:name="_Toc426632603"/>
      <w:r>
        <w:rPr>
          <w:rStyle w:val="CharPartNo"/>
        </w:rPr>
        <w:t>Part 4</w:t>
      </w:r>
      <w:r>
        <w:rPr>
          <w:rStyle w:val="CharDivNo"/>
        </w:rPr>
        <w:t xml:space="preserve"> </w:t>
      </w:r>
      <w:r>
        <w:t>—</w:t>
      </w:r>
      <w:r>
        <w:rPr>
          <w:rStyle w:val="CharDivText"/>
        </w:rPr>
        <w:t xml:space="preserve"> </w:t>
      </w:r>
      <w:r>
        <w:rPr>
          <w:rStyle w:val="CharPartText"/>
        </w:rPr>
        <w:t>Transitional</w:t>
      </w:r>
      <w:bookmarkEnd w:id="63"/>
      <w:bookmarkEnd w:id="64"/>
    </w:p>
    <w:p>
      <w:pPr>
        <w:pStyle w:val="Heading5"/>
      </w:pPr>
      <w:bookmarkStart w:id="65" w:name="_Toc378667826"/>
      <w:bookmarkStart w:id="66" w:name="_Toc426632604"/>
      <w:r>
        <w:rPr>
          <w:rStyle w:val="CharSectno"/>
        </w:rPr>
        <w:t>28</w:t>
      </w:r>
      <w:r>
        <w:t>.</w:t>
      </w:r>
      <w:r>
        <w:tab/>
        <w:t>Transitional</w:t>
      </w:r>
      <w:bookmarkEnd w:id="65"/>
      <w:bookmarkEnd w:id="66"/>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7" w:name="_Toc378667827"/>
      <w:bookmarkStart w:id="68" w:name="_Toc426632605"/>
      <w:r>
        <w:rPr>
          <w:rStyle w:val="CharSchNo"/>
        </w:rPr>
        <w:t>Schedule 1</w:t>
      </w:r>
      <w:r>
        <w:t> — </w:t>
      </w:r>
      <w:r>
        <w:rPr>
          <w:rStyle w:val="CharSchText"/>
        </w:rPr>
        <w:t>Notifiable occurrences</w:t>
      </w:r>
      <w:bookmarkEnd w:id="67"/>
      <w:bookmarkEnd w:id="68"/>
    </w:p>
    <w:p>
      <w:pPr>
        <w:pStyle w:val="yShoulderClause"/>
      </w:pPr>
      <w:r>
        <w:t>[r. 4]</w:t>
      </w:r>
    </w:p>
    <w:p>
      <w:pPr>
        <w:pStyle w:val="yHeading2"/>
        <w:outlineLvl w:val="9"/>
      </w:pPr>
      <w:bookmarkStart w:id="69" w:name="_Toc378667828"/>
      <w:bookmarkStart w:id="70" w:name="_Toc426632606"/>
      <w:r>
        <w:rPr>
          <w:rStyle w:val="CharSDivNo"/>
          <w:sz w:val="28"/>
        </w:rPr>
        <w:t>Part 1</w:t>
      </w:r>
      <w:r>
        <w:rPr>
          <w:rStyle w:val="CharDivNo"/>
        </w:rPr>
        <w:t> </w:t>
      </w:r>
      <w:r>
        <w:t>—</w:t>
      </w:r>
      <w:r>
        <w:rPr>
          <w:rStyle w:val="CharDivText"/>
        </w:rPr>
        <w:t> </w:t>
      </w:r>
      <w:r>
        <w:rPr>
          <w:rStyle w:val="CharSDivText"/>
          <w:sz w:val="28"/>
        </w:rPr>
        <w:t>Category A notifiable occurrences</w:t>
      </w:r>
      <w:bookmarkEnd w:id="69"/>
      <w:bookmarkEnd w:id="70"/>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pPr>
      <w:bookmarkStart w:id="71" w:name="_Toc378667829"/>
      <w:bookmarkStart w:id="72" w:name="_Toc426632607"/>
      <w:r>
        <w:rPr>
          <w:rStyle w:val="CharSDivNo"/>
          <w:sz w:val="28"/>
        </w:rPr>
        <w:t>Part 2</w:t>
      </w:r>
      <w:r>
        <w:rPr>
          <w:rStyle w:val="CharDivNo"/>
        </w:rPr>
        <w:t> </w:t>
      </w:r>
      <w:r>
        <w:t>—</w:t>
      </w:r>
      <w:r>
        <w:rPr>
          <w:rStyle w:val="CharDivText"/>
        </w:rPr>
        <w:t> </w:t>
      </w:r>
      <w:r>
        <w:rPr>
          <w:rStyle w:val="CharSDivText"/>
          <w:sz w:val="28"/>
        </w:rPr>
        <w:t>Category B notifiable occurrences</w:t>
      </w:r>
      <w:bookmarkEnd w:id="71"/>
      <w:bookmarkEnd w:id="72"/>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73" w:name="_Toc378667830"/>
      <w:bookmarkStart w:id="74" w:name="_Toc426632608"/>
      <w:r>
        <w:rPr>
          <w:rStyle w:val="CharSchNo"/>
        </w:rPr>
        <w:t>Schedule 2</w:t>
      </w:r>
      <w:r>
        <w:rPr>
          <w:rStyle w:val="CharSDivNo"/>
        </w:rPr>
        <w:t> </w:t>
      </w:r>
      <w:r>
        <w:t>—</w:t>
      </w:r>
      <w:r>
        <w:rPr>
          <w:rStyle w:val="CharSDivText"/>
        </w:rPr>
        <w:t> </w:t>
      </w:r>
      <w:r>
        <w:rPr>
          <w:rStyle w:val="CharSchText"/>
        </w:rPr>
        <w:t>Prescribed fees</w:t>
      </w:r>
      <w:bookmarkEnd w:id="73"/>
      <w:bookmarkEnd w:id="74"/>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NAm"/>
              <w:spacing w:before="0"/>
              <w:jc w:val="center"/>
              <w:rPr>
                <w:b/>
                <w:bCs/>
              </w:rPr>
            </w:pPr>
            <w:r>
              <w:rPr>
                <w:b/>
                <w:bCs/>
              </w:rPr>
              <w:t>Type of fee</w:t>
            </w:r>
          </w:p>
        </w:tc>
        <w:tc>
          <w:tcPr>
            <w:tcW w:w="1134" w:type="dxa"/>
            <w:tcBorders>
              <w:bottom w:val="nil"/>
            </w:tcBorders>
          </w:tcPr>
          <w:p>
            <w:pPr>
              <w:pStyle w:val="yTableNAm"/>
              <w:spacing w:before="0"/>
              <w:jc w:val="center"/>
              <w:rPr>
                <w:b/>
                <w:bCs/>
              </w:rPr>
            </w:pPr>
            <w:r>
              <w:rPr>
                <w:b/>
                <w:bCs/>
              </w:rPr>
              <w:t>Provision</w:t>
            </w:r>
          </w:p>
          <w:p>
            <w:pPr>
              <w:pStyle w:val="yTableNAm"/>
              <w:spacing w:before="0"/>
              <w:jc w:val="center"/>
              <w:rPr>
                <w:b/>
                <w:bCs/>
              </w:rPr>
            </w:pPr>
            <w:r>
              <w:rPr>
                <w:b/>
                <w:bCs/>
              </w:rPr>
              <w:t>of Act</w:t>
            </w:r>
          </w:p>
        </w:tc>
        <w:tc>
          <w:tcPr>
            <w:tcW w:w="1134" w:type="dxa"/>
            <w:tcBorders>
              <w:bottom w:val="nil"/>
            </w:tcBorders>
          </w:tcPr>
          <w:p>
            <w:pPr>
              <w:pStyle w:val="yTableNAm"/>
              <w:spacing w:before="0"/>
              <w:jc w:val="center"/>
              <w:rPr>
                <w:b/>
                <w:bCs/>
              </w:rPr>
            </w:pPr>
            <w:r>
              <w:rPr>
                <w:b/>
                <w:bCs/>
              </w:rPr>
              <w:t>Fee</w:t>
            </w:r>
          </w:p>
          <w:p>
            <w:pPr>
              <w:pStyle w:val="yTableNAm"/>
              <w:spacing w:before="0"/>
              <w:jc w:val="center"/>
              <w:rPr>
                <w:b/>
                <w:bCs/>
              </w:rPr>
            </w:pPr>
            <w:r>
              <w:rPr>
                <w:b/>
                <w:bCs/>
              </w:rPr>
              <w:t>$</w:t>
            </w:r>
          </w:p>
        </w:tc>
      </w:tr>
      <w:tr>
        <w:tc>
          <w:tcPr>
            <w:tcW w:w="4962" w:type="dxa"/>
            <w:tcBorders>
              <w:bottom w:val="nil"/>
            </w:tcBorders>
          </w:tcPr>
          <w:p>
            <w:pPr>
              <w:pStyle w:val="yTableNAm"/>
              <w:ind w:left="578" w:hanging="578"/>
            </w:pPr>
            <w:r>
              <w:t>1.</w:t>
            </w:r>
            <w:r>
              <w:tab/>
              <w:t>Application for accreditation as an operator or owner for —</w:t>
            </w:r>
          </w:p>
        </w:tc>
        <w:tc>
          <w:tcPr>
            <w:tcW w:w="1134" w:type="dxa"/>
            <w:tcBorders>
              <w:bottom w:val="nil"/>
            </w:tcBorders>
          </w:tcPr>
          <w:p>
            <w:pPr>
              <w:pStyle w:val="yTableNAm"/>
            </w:pPr>
            <w:r>
              <w:t>s. 21(1)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rPr>
                <w:i/>
                <w:iCs/>
              </w:rPr>
            </w:pPr>
            <w:r>
              <w:tab/>
            </w:r>
            <w:r>
              <w:rPr>
                <w:i/>
                <w:iCs/>
              </w:rPr>
              <w:t xml:space="preserve">[(a) </w:t>
            </w:r>
            <w:r>
              <w:rPr>
                <w:i/>
                <w:iCs/>
              </w:rPr>
              <w:tab/>
              <w:t>deleted]</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left" w:pos="1092"/>
              </w:tabs>
              <w:ind w:left="1092" w:hanging="1092"/>
            </w:pPr>
            <w:r>
              <w:tab/>
              <w:t>(b)</w:t>
            </w:r>
            <w:r>
              <w:tab/>
              <w:t>a 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(c)</w:t>
            </w:r>
            <w:r>
              <w:tab/>
              <w:t>a heritage, not</w:t>
            </w:r>
            <w:r>
              <w:noBreakHyphen/>
              <w:t>for</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nil"/>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532.96</w:t>
            </w:r>
          </w:p>
        </w:tc>
      </w:tr>
      <w:tr>
        <w:tc>
          <w:tcPr>
            <w:tcW w:w="4962" w:type="dxa"/>
            <w:tcBorders>
              <w:bottom w:val="nil"/>
            </w:tcBorders>
          </w:tcPr>
          <w:p>
            <w:pPr>
              <w:pStyle w:val="yTableNAm"/>
              <w:ind w:left="578" w:hanging="578"/>
            </w:pPr>
            <w:r>
              <w:rPr>
                <w:i/>
                <w:iCs/>
              </w:rPr>
              <w:t>[2.</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Borders>
              <w:bottom w:val="nil"/>
            </w:tcBorders>
          </w:tcPr>
          <w:p>
            <w:pPr>
              <w:pStyle w:val="yTableNAm"/>
              <w:rPr>
                <w:i/>
                <w:iCs/>
              </w:rPr>
            </w:pPr>
            <w:r>
              <w:rPr>
                <w:i/>
                <w:iCs/>
              </w:rPr>
              <w:t>[3.</w:t>
            </w:r>
            <w:r>
              <w:rPr>
                <w:i/>
                <w:iCs/>
              </w:rPr>
              <w:tab/>
              <w:t>deleted]</w:t>
            </w:r>
          </w:p>
        </w:tc>
        <w:tc>
          <w:tcPr>
            <w:tcW w:w="1134" w:type="dxa"/>
            <w:tcBorders>
              <w:bottom w:val="nil"/>
            </w:tcBorders>
          </w:tcPr>
          <w:p>
            <w:pPr>
              <w:pStyle w:val="yTableNAm"/>
            </w:pPr>
          </w:p>
        </w:tc>
        <w:tc>
          <w:tcPr>
            <w:tcW w:w="1134" w:type="dxa"/>
            <w:tcBorders>
              <w:bottom w:val="nil"/>
            </w:tcBorders>
          </w:tcPr>
          <w:p>
            <w:pPr>
              <w:pStyle w:val="yTableNAm"/>
            </w:pPr>
          </w:p>
        </w:tc>
      </w:tr>
      <w:tr>
        <w:tc>
          <w:tcPr>
            <w:tcW w:w="4962" w:type="dxa"/>
          </w:tcPr>
          <w:p>
            <w:pPr>
              <w:pStyle w:val="yTableNAm"/>
              <w:ind w:left="578" w:hanging="578"/>
            </w:pPr>
            <w:r>
              <w:t>4.</w:t>
            </w:r>
            <w:r>
              <w:tab/>
              <w:t>Annual private siding registration fee, per siding</w:t>
            </w:r>
          </w:p>
        </w:tc>
        <w:tc>
          <w:tcPr>
            <w:tcW w:w="1134" w:type="dxa"/>
          </w:tcPr>
          <w:p>
            <w:pPr>
              <w:pStyle w:val="yTableNAm"/>
            </w:pPr>
            <w:r>
              <w:t>s. 22(1)</w:t>
            </w:r>
          </w:p>
        </w:tc>
        <w:tc>
          <w:tcPr>
            <w:tcW w:w="1134" w:type="dxa"/>
          </w:tcPr>
          <w:p>
            <w:pPr>
              <w:pStyle w:val="yTableNAm"/>
            </w:pPr>
            <w:r>
              <w:br/>
              <w:t>106.59</w:t>
            </w:r>
          </w:p>
        </w:tc>
      </w:tr>
      <w:tr>
        <w:tc>
          <w:tcPr>
            <w:tcW w:w="4962" w:type="dxa"/>
          </w:tcPr>
          <w:p>
            <w:pPr>
              <w:pStyle w:val="yTableNAm"/>
              <w:ind w:left="578" w:hanging="578"/>
            </w:pPr>
            <w:r>
              <w:t>5.</w:t>
            </w:r>
            <w:r>
              <w:tab/>
              <w:t>Annual fee for an owner (per kilometre of track or part thereof) with the minimum fee prescribed in item 9</w:t>
            </w:r>
          </w:p>
        </w:tc>
        <w:tc>
          <w:tcPr>
            <w:tcW w:w="1134" w:type="dxa"/>
          </w:tcPr>
          <w:p>
            <w:pPr>
              <w:pStyle w:val="yTableNAm"/>
            </w:pPr>
            <w:r>
              <w:t>s. 22(1)</w:t>
            </w:r>
          </w:p>
        </w:tc>
        <w:tc>
          <w:tcPr>
            <w:tcW w:w="1134" w:type="dxa"/>
          </w:tcPr>
          <w:p>
            <w:pPr>
              <w:pStyle w:val="yTableNAm"/>
            </w:pPr>
            <w:r>
              <w:br/>
            </w:r>
            <w:r>
              <w:br/>
              <w:t>51.2103</w:t>
            </w:r>
          </w:p>
        </w:tc>
      </w:tr>
      <w:tr>
        <w:tc>
          <w:tcPr>
            <w:tcW w:w="4962" w:type="dxa"/>
          </w:tcPr>
          <w:p>
            <w:pPr>
              <w:pStyle w:val="yTableNAm"/>
              <w:ind w:left="578" w:hanging="578"/>
            </w:pPr>
            <w:r>
              <w:t>6.</w:t>
            </w:r>
            <w:r>
              <w:tab/>
              <w:t>Annual fee for an operator (per train/tram kilometre) with the minimum fee prescribed in item 9</w:t>
            </w:r>
          </w:p>
        </w:tc>
        <w:tc>
          <w:tcPr>
            <w:tcW w:w="1134" w:type="dxa"/>
          </w:tcPr>
          <w:p>
            <w:pPr>
              <w:pStyle w:val="yTableNAm"/>
            </w:pPr>
            <w:r>
              <w:t>s. 22(1)</w:t>
            </w:r>
          </w:p>
        </w:tc>
        <w:tc>
          <w:tcPr>
            <w:tcW w:w="1134" w:type="dxa"/>
          </w:tcPr>
          <w:p>
            <w:pPr>
              <w:pStyle w:val="yTableNAm"/>
            </w:pPr>
            <w:r>
              <w:br/>
            </w:r>
            <w:r>
              <w:br/>
              <w:t>0.0315</w:t>
            </w:r>
          </w:p>
        </w:tc>
      </w:tr>
      <w:tr>
        <w:tc>
          <w:tcPr>
            <w:tcW w:w="4962" w:type="dxa"/>
          </w:tcPr>
          <w:p>
            <w:pPr>
              <w:pStyle w:val="yTableNAm"/>
              <w:ind w:left="578" w:hanging="578"/>
            </w:pPr>
            <w:r>
              <w:t>7.</w:t>
            </w:r>
            <w:r>
              <w:tab/>
              <w:t>Additional annual fee for an owner if an accreditation is varied (per kilometre of track or part thereof)</w:t>
            </w:r>
          </w:p>
        </w:tc>
        <w:tc>
          <w:tcPr>
            <w:tcW w:w="1134" w:type="dxa"/>
          </w:tcPr>
          <w:p>
            <w:pPr>
              <w:pStyle w:val="yTableNAm"/>
            </w:pPr>
            <w:r>
              <w:t>s. 22(2)</w:t>
            </w:r>
          </w:p>
        </w:tc>
        <w:tc>
          <w:tcPr>
            <w:tcW w:w="1134" w:type="dxa"/>
          </w:tcPr>
          <w:p>
            <w:pPr>
              <w:pStyle w:val="yTableNAm"/>
            </w:pPr>
            <w:r>
              <w:br/>
            </w:r>
            <w:r>
              <w:br/>
              <w:t>51.2103</w:t>
            </w:r>
          </w:p>
        </w:tc>
      </w:tr>
      <w:tr>
        <w:tc>
          <w:tcPr>
            <w:tcW w:w="4962" w:type="dxa"/>
            <w:tcBorders>
              <w:bottom w:val="nil"/>
            </w:tcBorders>
          </w:tcPr>
          <w:p>
            <w:pPr>
              <w:pStyle w:val="yTableNAm"/>
              <w:ind w:left="578" w:hanging="578"/>
            </w:pPr>
            <w:r>
              <w:t>8.</w:t>
            </w:r>
            <w:r>
              <w:tab/>
              <w:t>Additional annual fee for an operator if an accreditation is varied (per train/tram kilometre)</w:t>
            </w:r>
          </w:p>
        </w:tc>
        <w:tc>
          <w:tcPr>
            <w:tcW w:w="1134" w:type="dxa"/>
            <w:tcBorders>
              <w:bottom w:val="nil"/>
            </w:tcBorders>
          </w:tcPr>
          <w:p>
            <w:pPr>
              <w:pStyle w:val="yTableNAm"/>
            </w:pPr>
            <w:r>
              <w:t>s. 22(2)</w:t>
            </w:r>
          </w:p>
        </w:tc>
        <w:tc>
          <w:tcPr>
            <w:tcW w:w="1134" w:type="dxa"/>
            <w:tcBorders>
              <w:bottom w:val="nil"/>
            </w:tcBorders>
          </w:tcPr>
          <w:p>
            <w:pPr>
              <w:pStyle w:val="yTableNAm"/>
            </w:pPr>
            <w:r>
              <w:br/>
            </w:r>
            <w:r>
              <w:br/>
              <w:t>0.0315</w:t>
            </w:r>
          </w:p>
        </w:tc>
      </w:tr>
      <w:tr>
        <w:tc>
          <w:tcPr>
            <w:tcW w:w="4962" w:type="dxa"/>
            <w:tcBorders>
              <w:bottom w:val="nil"/>
            </w:tcBorders>
          </w:tcPr>
          <w:p>
            <w:pPr>
              <w:pStyle w:val="yTableNAm"/>
              <w:ind w:left="578" w:hanging="578"/>
            </w:pPr>
            <w:r>
              <w:t>9.</w:t>
            </w:r>
            <w:r>
              <w:tab/>
              <w:t>Minimum Annual Accreditation fee for an operator or owner for a —</w:t>
            </w:r>
          </w:p>
        </w:tc>
        <w:tc>
          <w:tcPr>
            <w:tcW w:w="1134" w:type="dxa"/>
            <w:tcBorders>
              <w:bottom w:val="nil"/>
            </w:tcBorders>
          </w:tcPr>
          <w:p>
            <w:pPr>
              <w:pStyle w:val="yTableNAm"/>
            </w:pPr>
            <w:r>
              <w:t>s. 22(1)</w:t>
            </w:r>
          </w:p>
        </w:tc>
        <w:tc>
          <w:tcPr>
            <w:tcW w:w="1134" w:type="dxa"/>
            <w:tcBorders>
              <w:bottom w:val="nil"/>
            </w:tcBorders>
          </w:tcPr>
          <w:p>
            <w:pPr>
              <w:pStyle w:val="yTableNAm"/>
            </w:pPr>
          </w:p>
        </w:tc>
      </w:tr>
      <w:tr>
        <w:tc>
          <w:tcPr>
            <w:tcW w:w="4962" w:type="dxa"/>
            <w:tcBorders>
              <w:top w:val="nil"/>
              <w:bottom w:val="nil"/>
            </w:tcBorders>
          </w:tcPr>
          <w:p>
            <w:pPr>
              <w:pStyle w:val="yTableNAm"/>
              <w:tabs>
                <w:tab w:val="left" w:pos="1092"/>
              </w:tabs>
            </w:pPr>
            <w:r>
              <w:tab/>
              <w:t>(a)</w:t>
            </w:r>
            <w:r>
              <w:tab/>
              <w:t>commercial enterprise</w:t>
            </w:r>
          </w:p>
        </w:tc>
        <w:tc>
          <w:tcPr>
            <w:tcW w:w="1134" w:type="dxa"/>
            <w:tcBorders>
              <w:top w:val="nil"/>
              <w:bottom w:val="nil"/>
            </w:tcBorders>
          </w:tcPr>
          <w:p>
            <w:pPr>
              <w:pStyle w:val="yTableNAm"/>
            </w:pPr>
          </w:p>
        </w:tc>
        <w:tc>
          <w:tcPr>
            <w:tcW w:w="1134" w:type="dxa"/>
            <w:tcBorders>
              <w:top w:val="nil"/>
              <w:bottom w:val="nil"/>
            </w:tcBorders>
          </w:tcPr>
          <w:p>
            <w:pPr>
              <w:pStyle w:val="yTableNAm"/>
            </w:pPr>
            <w:r>
              <w:t>8 153.25</w:t>
            </w:r>
          </w:p>
        </w:tc>
      </w:tr>
      <w:tr>
        <w:tc>
          <w:tcPr>
            <w:tcW w:w="4962" w:type="dxa"/>
            <w:tcBorders>
              <w:top w:val="nil"/>
              <w:bottom w:val="nil"/>
            </w:tcBorders>
          </w:tcPr>
          <w:p>
            <w:pPr>
              <w:pStyle w:val="yTableNAm"/>
              <w:tabs>
                <w:tab w:val="left" w:pos="1092"/>
              </w:tabs>
            </w:pPr>
            <w:r>
              <w:tab/>
              <w:t>(b)</w:t>
            </w:r>
            <w:r>
              <w:tab/>
              <w:t>heritage, non</w:t>
            </w:r>
            <w:r>
              <w:noBreakHyphen/>
              <w:t>profit organization</w:t>
            </w:r>
          </w:p>
        </w:tc>
        <w:tc>
          <w:tcPr>
            <w:tcW w:w="1134" w:type="dxa"/>
            <w:tcBorders>
              <w:top w:val="nil"/>
              <w:bottom w:val="nil"/>
            </w:tcBorders>
          </w:tcPr>
          <w:p>
            <w:pPr>
              <w:pStyle w:val="yTableNAm"/>
            </w:pPr>
          </w:p>
        </w:tc>
        <w:tc>
          <w:tcPr>
            <w:tcW w:w="1134" w:type="dxa"/>
            <w:tcBorders>
              <w:top w:val="nil"/>
              <w:bottom w:val="nil"/>
            </w:tcBorders>
          </w:tcPr>
          <w:p>
            <w:pPr>
              <w:pStyle w:val="yTableNAm"/>
            </w:pPr>
          </w:p>
        </w:tc>
      </w:tr>
      <w:tr>
        <w:tc>
          <w:tcPr>
            <w:tcW w:w="4962" w:type="dxa"/>
            <w:tcBorders>
              <w:top w:val="nil"/>
              <w:bottom w:val="nil"/>
            </w:tcBorders>
          </w:tcPr>
          <w:p>
            <w:pPr>
              <w:pStyle w:val="yTableNAm"/>
              <w:tabs>
                <w:tab w:val="clear" w:pos="567"/>
                <w:tab w:val="left" w:pos="1092"/>
                <w:tab w:val="left" w:pos="1692"/>
              </w:tabs>
              <w:ind w:left="1692" w:hanging="1692"/>
            </w:pPr>
            <w:r>
              <w:tab/>
              <w:t>(i)</w:t>
            </w:r>
            <w:r>
              <w:tab/>
              <w:t>with trains travelling more than 15 000 km per annum</w:t>
            </w:r>
          </w:p>
        </w:tc>
        <w:tc>
          <w:tcPr>
            <w:tcW w:w="1134" w:type="dxa"/>
            <w:tcBorders>
              <w:top w:val="nil"/>
              <w:bottom w:val="nil"/>
            </w:tcBorders>
          </w:tcPr>
          <w:p>
            <w:pPr>
              <w:pStyle w:val="yTableNAm"/>
            </w:pPr>
          </w:p>
        </w:tc>
        <w:tc>
          <w:tcPr>
            <w:tcW w:w="1134" w:type="dxa"/>
            <w:tcBorders>
              <w:top w:val="nil"/>
              <w:bottom w:val="nil"/>
            </w:tcBorders>
          </w:tcPr>
          <w:p>
            <w:pPr>
              <w:pStyle w:val="yTableNAm"/>
            </w:pPr>
            <w:r>
              <w:br/>
              <w:t>1 279.11</w:t>
            </w:r>
          </w:p>
        </w:tc>
      </w:tr>
      <w:tr>
        <w:tc>
          <w:tcPr>
            <w:tcW w:w="4962" w:type="dxa"/>
            <w:tcBorders>
              <w:top w:val="nil"/>
              <w:bottom w:val="single" w:sz="4" w:space="0" w:color="auto"/>
            </w:tcBorders>
          </w:tcPr>
          <w:p>
            <w:pPr>
              <w:pStyle w:val="yTableNAm"/>
              <w:tabs>
                <w:tab w:val="clear" w:pos="567"/>
                <w:tab w:val="left" w:pos="1092"/>
                <w:tab w:val="left" w:pos="1692"/>
              </w:tabs>
              <w:ind w:left="1692" w:hanging="1692"/>
            </w:pPr>
            <w:r>
              <w:tab/>
              <w:t>(ii)</w:t>
            </w:r>
            <w:r>
              <w:tab/>
              <w:t>with trains travelling 15 000 km or less per annum</w:t>
            </w:r>
          </w:p>
        </w:tc>
        <w:tc>
          <w:tcPr>
            <w:tcW w:w="1134" w:type="dxa"/>
            <w:tcBorders>
              <w:top w:val="nil"/>
              <w:bottom w:val="single" w:sz="4" w:space="0" w:color="auto"/>
            </w:tcBorders>
          </w:tcPr>
          <w:p>
            <w:pPr>
              <w:pStyle w:val="yTableNAm"/>
            </w:pPr>
          </w:p>
        </w:tc>
        <w:tc>
          <w:tcPr>
            <w:tcW w:w="1134" w:type="dxa"/>
            <w:tcBorders>
              <w:top w:val="nil"/>
              <w:bottom w:val="single" w:sz="4" w:space="0" w:color="auto"/>
            </w:tcBorders>
          </w:tcPr>
          <w:p>
            <w:pPr>
              <w:pStyle w:val="yTableNAm"/>
            </w:pPr>
            <w:r>
              <w:br/>
              <w:t>532.96</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30 May 2008 p. 2085; 15 Jan 2010 p. 73-4; 18 Jun 2010 p. 2700.] </w:t>
      </w:r>
    </w:p>
    <w:p>
      <w:pPr>
        <w:pStyle w:val="yScheduleHeading"/>
      </w:pPr>
      <w:bookmarkStart w:id="75" w:name="_Toc378667831"/>
      <w:bookmarkStart w:id="76" w:name="_Toc426632609"/>
      <w:r>
        <w:rPr>
          <w:rStyle w:val="CharSchNo"/>
        </w:rPr>
        <w:t>Schedule 3</w:t>
      </w:r>
      <w:r>
        <w:t xml:space="preserve"> — </w:t>
      </w:r>
      <w:r>
        <w:rPr>
          <w:rStyle w:val="CharSchText"/>
        </w:rPr>
        <w:t>Form of warrant</w:t>
      </w:r>
      <w:bookmarkEnd w:id="75"/>
      <w:bookmarkEnd w:id="76"/>
    </w:p>
    <w:p>
      <w:pPr>
        <w:pStyle w:val="yShoulderClause"/>
      </w:pPr>
      <w:r>
        <w:t>[r. 12]</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r>
        <w:rPr>
          <w:sz w:val="20"/>
        </w:rPr>
        <w:t>Given under my hand this ............. day of ..............................................................</w:t>
      </w:r>
    </w:p>
    <w:p>
      <w:pPr>
        <w:pStyle w:val="yIndenta"/>
        <w:spacing w:before="160"/>
        <w:jc w:val="right"/>
        <w:rPr>
          <w:sz w:val="20"/>
        </w:rPr>
      </w:pPr>
      <w:r>
        <w:rPr>
          <w:sz w:val="20"/>
        </w:rPr>
        <w:t>....................................................</w:t>
      </w:r>
    </w:p>
    <w:p>
      <w:pPr>
        <w:pStyle w:val="yIndenta"/>
        <w:spacing w:before="0" w:line="0" w:lineRule="atLeast"/>
        <w:ind w:right="477"/>
        <w:jc w:val="right"/>
        <w:rPr>
          <w:sz w:val="20"/>
        </w:rPr>
      </w:pPr>
      <w:r>
        <w:rPr>
          <w:sz w:val="20"/>
        </w:rPr>
        <w:t>Justice of the Peace</w:t>
      </w:r>
    </w:p>
    <w:p>
      <w:pPr>
        <w:pStyle w:val="yIndenta"/>
        <w:spacing w:before="0"/>
        <w:rPr>
          <w:sz w:val="20"/>
        </w:rPr>
      </w:pPr>
      <w:r>
        <w:rPr>
          <w:sz w:val="20"/>
        </w:rPr>
        <w:t>Insert:</w:t>
      </w:r>
    </w:p>
    <w:p>
      <w:pPr>
        <w:pStyle w:val="yIndenta"/>
        <w:tabs>
          <w:tab w:val="clear" w:pos="1332"/>
          <w:tab w:val="clear" w:pos="1616"/>
          <w:tab w:val="left" w:pos="567"/>
        </w:tabs>
        <w:spacing w:before="0"/>
        <w:ind w:left="567" w:hanging="567"/>
        <w:rPr>
          <w:sz w:val="20"/>
        </w:rPr>
      </w:pPr>
      <w:r>
        <w:rPr>
          <w:sz w:val="20"/>
        </w:rPr>
        <w:t>1.</w:t>
      </w:r>
      <w:r>
        <w:rPr>
          <w:sz w:val="20"/>
        </w:rPr>
        <w:tab/>
        <w:t>name of Justice of the Peace;</w:t>
      </w:r>
    </w:p>
    <w:p>
      <w:pPr>
        <w:pStyle w:val="yIndenta"/>
        <w:tabs>
          <w:tab w:val="clear" w:pos="1332"/>
          <w:tab w:val="clear" w:pos="1616"/>
          <w:tab w:val="left" w:pos="567"/>
        </w:tabs>
        <w:spacing w:before="0"/>
        <w:ind w:left="567" w:hanging="567"/>
        <w:rPr>
          <w:sz w:val="20"/>
        </w:rPr>
      </w:pPr>
      <w:r>
        <w:rPr>
          <w:sz w:val="20"/>
        </w:rPr>
        <w:t>2.</w:t>
      </w:r>
      <w:r>
        <w:rPr>
          <w:sz w:val="20"/>
        </w:rPr>
        <w:tab/>
        <w:t>address of Justice of the Peace;</w:t>
      </w:r>
    </w:p>
    <w:p>
      <w:pPr>
        <w:pStyle w:val="yIndenta"/>
        <w:tabs>
          <w:tab w:val="clear" w:pos="1332"/>
          <w:tab w:val="clear" w:pos="1616"/>
          <w:tab w:val="left" w:pos="567"/>
        </w:tabs>
        <w:spacing w:before="0"/>
        <w:ind w:left="567" w:hanging="567"/>
        <w:rPr>
          <w:sz w:val="20"/>
        </w:rPr>
      </w:pPr>
      <w:r>
        <w:rPr>
          <w:sz w:val="20"/>
        </w:rPr>
        <w:t>3.</w:t>
      </w:r>
      <w:r>
        <w:rPr>
          <w:sz w:val="20"/>
        </w:rPr>
        <w:tab/>
        <w:t>description of the place;</w:t>
      </w:r>
    </w:p>
    <w:p>
      <w:pPr>
        <w:pStyle w:val="yIndenta"/>
        <w:tabs>
          <w:tab w:val="clear" w:pos="1332"/>
          <w:tab w:val="clear" w:pos="1616"/>
          <w:tab w:val="left" w:pos="567"/>
        </w:tabs>
        <w:spacing w:before="0"/>
        <w:ind w:left="567" w:hanging="567"/>
        <w:rPr>
          <w:sz w:val="20"/>
        </w:rPr>
      </w:pPr>
      <w:r>
        <w:rPr>
          <w:sz w:val="20"/>
        </w:rPr>
        <w:t>4.</w:t>
      </w:r>
      <w:r>
        <w:rPr>
          <w:sz w:val="20"/>
        </w:rPr>
        <w:tab/>
        <w:t>purpose of the entry and the legislative provision by which that purpose is authorised;</w:t>
      </w:r>
    </w:p>
    <w:p>
      <w:pPr>
        <w:pStyle w:val="yIndenta"/>
        <w:tabs>
          <w:tab w:val="clear" w:pos="1332"/>
          <w:tab w:val="clear" w:pos="1616"/>
          <w:tab w:val="left" w:pos="567"/>
        </w:tabs>
        <w:spacing w:before="0"/>
        <w:ind w:left="567" w:hanging="567"/>
        <w:rPr>
          <w:sz w:val="20"/>
        </w:rPr>
      </w:pPr>
      <w:r>
        <w:rPr>
          <w:sz w:val="20"/>
        </w:rPr>
        <w:t>5.</w:t>
      </w:r>
      <w:r>
        <w:rPr>
          <w:sz w:val="20"/>
        </w:rPr>
        <w:tab/>
        <w:t>name of authorised person.</w:t>
      </w:r>
    </w:p>
    <w:p>
      <w:pPr>
        <w:spacing w:before="60"/>
        <w:ind w:right="98"/>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78" w:name="_Toc378667832"/>
      <w:bookmarkStart w:id="79" w:name="_Toc426632610"/>
      <w:r>
        <w:t>Notes</w:t>
      </w:r>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0" w:name="_Toc378667833"/>
      <w:bookmarkStart w:id="81" w:name="_Toc426632611"/>
      <w: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Rail Safety Regulations 1999</w:t>
            </w:r>
          </w:p>
        </w:tc>
        <w:tc>
          <w:tcPr>
            <w:tcW w:w="1276" w:type="dxa"/>
            <w:tcBorders>
              <w:top w:val="single" w:sz="8" w:space="0" w:color="auto"/>
            </w:tcBorders>
          </w:tcPr>
          <w:p>
            <w:pPr>
              <w:pStyle w:val="nTable"/>
              <w:spacing w:after="40"/>
            </w:pPr>
            <w:r>
              <w:t>2 Feb 1999 p. 375</w:t>
            </w:r>
            <w:r>
              <w:noBreakHyphen/>
              <w:t>95</w:t>
            </w:r>
          </w:p>
        </w:tc>
        <w:tc>
          <w:tcPr>
            <w:tcW w:w="2693" w:type="dxa"/>
            <w:tcBorders>
              <w:top w:val="single" w:sz="8" w:space="0" w:color="auto"/>
            </w:tcBorders>
          </w:tcPr>
          <w:p>
            <w:pPr>
              <w:pStyle w:val="nTable"/>
              <w:spacing w:after="40"/>
            </w:pPr>
            <w:r>
              <w:t>3 Feb 1999 (see r. 2 and </w:t>
            </w:r>
            <w:r>
              <w:rPr>
                <w:i/>
              </w:rPr>
              <w:t>Gazette</w:t>
            </w:r>
            <w:r>
              <w:t xml:space="preserve"> 2 Feb 1999 p. 351)</w:t>
            </w:r>
          </w:p>
        </w:tc>
      </w:tr>
      <w:tr>
        <w:tc>
          <w:tcPr>
            <w:tcW w:w="3119" w:type="dxa"/>
          </w:tcPr>
          <w:p>
            <w:pPr>
              <w:pStyle w:val="nTable"/>
              <w:spacing w:after="40"/>
              <w:rPr>
                <w:i/>
              </w:rPr>
            </w:pPr>
            <w:r>
              <w:rPr>
                <w:i/>
              </w:rPr>
              <w:t>Rail Safety Amendment Regulations 2000</w:t>
            </w:r>
          </w:p>
        </w:tc>
        <w:tc>
          <w:tcPr>
            <w:tcW w:w="1276" w:type="dxa"/>
          </w:tcPr>
          <w:p>
            <w:pPr>
              <w:pStyle w:val="nTable"/>
              <w:spacing w:after="40"/>
            </w:pPr>
            <w:r>
              <w:t>1 Feb 2000 p. 383</w:t>
            </w:r>
            <w:r>
              <w:noBreakHyphen/>
              <w:t>4</w:t>
            </w:r>
          </w:p>
        </w:tc>
        <w:tc>
          <w:tcPr>
            <w:tcW w:w="2693" w:type="dxa"/>
          </w:tcPr>
          <w:p>
            <w:pPr>
              <w:pStyle w:val="nTable"/>
              <w:spacing w:after="40"/>
            </w:pPr>
            <w:r>
              <w:t>1 Feb 2000</w:t>
            </w:r>
          </w:p>
        </w:tc>
      </w:tr>
      <w:tr>
        <w:tc>
          <w:tcPr>
            <w:tcW w:w="3119" w:type="dxa"/>
          </w:tcPr>
          <w:p>
            <w:pPr>
              <w:pStyle w:val="nTable"/>
              <w:spacing w:after="40"/>
              <w:rPr>
                <w:i/>
              </w:rPr>
            </w:pPr>
            <w:r>
              <w:rPr>
                <w:i/>
              </w:rPr>
              <w:t>Rail Safety Amendment Regulations (No. 2) 2000</w:t>
            </w:r>
          </w:p>
        </w:tc>
        <w:tc>
          <w:tcPr>
            <w:tcW w:w="1276" w:type="dxa"/>
          </w:tcPr>
          <w:p>
            <w:pPr>
              <w:pStyle w:val="nTable"/>
              <w:spacing w:after="40"/>
            </w:pPr>
            <w:r>
              <w:t>19 May 2000  p. 2438</w:t>
            </w:r>
            <w:r>
              <w:noBreakHyphen/>
              <w:t>9</w:t>
            </w:r>
          </w:p>
        </w:tc>
        <w:tc>
          <w:tcPr>
            <w:tcW w:w="2693" w:type="dxa"/>
          </w:tcPr>
          <w:p>
            <w:pPr>
              <w:pStyle w:val="nTable"/>
              <w:spacing w:after="40"/>
            </w:pPr>
            <w:r>
              <w:t>1 Jul 2000 (see r. 2)</w:t>
            </w:r>
          </w:p>
        </w:tc>
      </w:tr>
      <w:tr>
        <w:tc>
          <w:tcPr>
            <w:tcW w:w="3119" w:type="dxa"/>
          </w:tcPr>
          <w:p>
            <w:pPr>
              <w:pStyle w:val="nTable"/>
              <w:spacing w:after="40"/>
              <w:rPr>
                <w:i/>
              </w:rPr>
            </w:pPr>
            <w:r>
              <w:rPr>
                <w:i/>
              </w:rPr>
              <w:t>Rail Safety Amendment Regulations 2001</w:t>
            </w:r>
          </w:p>
        </w:tc>
        <w:tc>
          <w:tcPr>
            <w:tcW w:w="1276" w:type="dxa"/>
          </w:tcPr>
          <w:p>
            <w:pPr>
              <w:pStyle w:val="nTable"/>
              <w:spacing w:after="40"/>
            </w:pPr>
            <w:r>
              <w:t>13 Jul 2001 p. 3475</w:t>
            </w:r>
            <w:r>
              <w:noBreakHyphen/>
              <w:t>6</w:t>
            </w:r>
          </w:p>
        </w:tc>
        <w:tc>
          <w:tcPr>
            <w:tcW w:w="2693" w:type="dxa"/>
          </w:tcPr>
          <w:p>
            <w:pPr>
              <w:pStyle w:val="nTable"/>
              <w:spacing w:after="40"/>
            </w:pPr>
            <w:r>
              <w:t>1 Aug 2001 (see r. 2)</w:t>
            </w:r>
          </w:p>
        </w:tc>
      </w:tr>
      <w:tr>
        <w:tc>
          <w:tcPr>
            <w:tcW w:w="3119" w:type="dxa"/>
          </w:tcPr>
          <w:p>
            <w:pPr>
              <w:pStyle w:val="nTable"/>
              <w:spacing w:after="40"/>
              <w:rPr>
                <w:i/>
              </w:rPr>
            </w:pPr>
            <w:r>
              <w:rPr>
                <w:i/>
              </w:rPr>
              <w:t>Rail Safety Amendment Regulations 2003</w:t>
            </w:r>
          </w:p>
        </w:tc>
        <w:tc>
          <w:tcPr>
            <w:tcW w:w="1276" w:type="dxa"/>
          </w:tcPr>
          <w:p>
            <w:pPr>
              <w:pStyle w:val="nTable"/>
              <w:spacing w:after="40"/>
            </w:pPr>
            <w:r>
              <w:t>18 Mar 2003 p. 807</w:t>
            </w:r>
            <w:r>
              <w:noBreakHyphen/>
              <w:t>8</w:t>
            </w:r>
          </w:p>
        </w:tc>
        <w:tc>
          <w:tcPr>
            <w:tcW w:w="2693" w:type="dxa"/>
          </w:tcPr>
          <w:p>
            <w:pPr>
              <w:pStyle w:val="nTable"/>
              <w:spacing w:after="40"/>
            </w:pPr>
            <w:r>
              <w:t>18 Mar 2003</w:t>
            </w:r>
          </w:p>
        </w:tc>
      </w:tr>
      <w:tr>
        <w:tc>
          <w:tcPr>
            <w:tcW w:w="3119" w:type="dxa"/>
          </w:tcPr>
          <w:p>
            <w:pPr>
              <w:pStyle w:val="nTable"/>
              <w:spacing w:after="40"/>
              <w:rPr>
                <w:i/>
              </w:rPr>
            </w:pPr>
            <w:r>
              <w:rPr>
                <w:i/>
              </w:rPr>
              <w:t>Equality of Status Subsidiary Legislation Amendment Regulations 2003</w:t>
            </w:r>
            <w:r>
              <w:t xml:space="preserve"> Pt. 33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7088" w:type="dxa"/>
            <w:gridSpan w:val="3"/>
          </w:tcPr>
          <w:p>
            <w:pPr>
              <w:pStyle w:val="nTable"/>
              <w:spacing w:after="40"/>
            </w:pPr>
            <w:r>
              <w:rPr>
                <w:b/>
                <w:bCs/>
              </w:rPr>
              <w:t xml:space="preserve">Reprint 1: The </w:t>
            </w:r>
            <w:r>
              <w:rPr>
                <w:b/>
                <w:bCs/>
                <w:i/>
              </w:rPr>
              <w:t>Rail Safety Regulations 1999</w:t>
            </w:r>
            <w:r>
              <w:rPr>
                <w:b/>
                <w:bCs/>
              </w:rPr>
              <w:t xml:space="preserve"> as at 18 Jun 2004</w:t>
            </w:r>
            <w:r>
              <w:t xml:space="preserve"> (includes amendments listed above)</w:t>
            </w:r>
          </w:p>
        </w:tc>
      </w:tr>
      <w:tr>
        <w:tc>
          <w:tcPr>
            <w:tcW w:w="3119" w:type="dxa"/>
          </w:tcPr>
          <w:p>
            <w:pPr>
              <w:pStyle w:val="nTable"/>
              <w:spacing w:after="40"/>
              <w:rPr>
                <w:i/>
              </w:rPr>
            </w:pPr>
            <w:r>
              <w:rPr>
                <w:i/>
              </w:rPr>
              <w:t>Rail Safety Amendment Regulations 2004</w:t>
            </w:r>
          </w:p>
        </w:tc>
        <w:tc>
          <w:tcPr>
            <w:tcW w:w="1276" w:type="dxa"/>
          </w:tcPr>
          <w:p>
            <w:pPr>
              <w:pStyle w:val="nTable"/>
              <w:spacing w:after="40"/>
            </w:pPr>
            <w:r>
              <w:t>25 Jun 2004 p. 2290-1</w:t>
            </w:r>
          </w:p>
        </w:tc>
        <w:tc>
          <w:tcPr>
            <w:tcW w:w="2693" w:type="dxa"/>
          </w:tcPr>
          <w:p>
            <w:pPr>
              <w:pStyle w:val="nTable"/>
              <w:spacing w:after="40"/>
            </w:pPr>
            <w:r>
              <w:t>1 Jul 2004 (see r. 2)</w:t>
            </w:r>
          </w:p>
        </w:tc>
      </w:tr>
      <w:tr>
        <w:tc>
          <w:tcPr>
            <w:tcW w:w="3119" w:type="dxa"/>
          </w:tcPr>
          <w:p>
            <w:pPr>
              <w:pStyle w:val="nTable"/>
              <w:spacing w:after="40"/>
              <w:rPr>
                <w:i/>
              </w:rPr>
            </w:pPr>
            <w:r>
              <w:rPr>
                <w:i/>
              </w:rPr>
              <w:t>Rail Safety Amendment Regulations 2005</w:t>
            </w:r>
          </w:p>
        </w:tc>
        <w:tc>
          <w:tcPr>
            <w:tcW w:w="1276" w:type="dxa"/>
          </w:tcPr>
          <w:p>
            <w:pPr>
              <w:pStyle w:val="nTable"/>
              <w:spacing w:after="40"/>
            </w:pPr>
            <w:r>
              <w:t>24 Jun 2005 p. 2790</w:t>
            </w:r>
          </w:p>
        </w:tc>
        <w:tc>
          <w:tcPr>
            <w:tcW w:w="2693" w:type="dxa"/>
          </w:tcPr>
          <w:p>
            <w:pPr>
              <w:pStyle w:val="nTable"/>
              <w:spacing w:after="40"/>
            </w:pPr>
            <w:r>
              <w:t>1 Jul 2005 (see r. 2)</w:t>
            </w:r>
          </w:p>
        </w:tc>
      </w:tr>
      <w:tr>
        <w:tc>
          <w:tcPr>
            <w:tcW w:w="3119" w:type="dxa"/>
          </w:tcPr>
          <w:p>
            <w:pPr>
              <w:pStyle w:val="nTable"/>
              <w:spacing w:after="40"/>
              <w:rPr>
                <w:i/>
              </w:rPr>
            </w:pPr>
            <w:r>
              <w:rPr>
                <w:i/>
              </w:rPr>
              <w:t>Rail Safety Amendment Regulations 2006</w:t>
            </w:r>
          </w:p>
        </w:tc>
        <w:tc>
          <w:tcPr>
            <w:tcW w:w="1276" w:type="dxa"/>
          </w:tcPr>
          <w:p>
            <w:pPr>
              <w:pStyle w:val="nTable"/>
              <w:spacing w:after="40"/>
            </w:pPr>
            <w:r>
              <w:t>23 Jun 2006 p. 2223</w:t>
            </w:r>
            <w:r>
              <w:noBreakHyphen/>
              <w:t>4</w:t>
            </w:r>
          </w:p>
        </w:tc>
        <w:tc>
          <w:tcPr>
            <w:tcW w:w="2693" w:type="dxa"/>
          </w:tcPr>
          <w:p>
            <w:pPr>
              <w:pStyle w:val="nTable"/>
              <w:spacing w:after="40"/>
            </w:pPr>
            <w:r>
              <w:t>1 Jul 2006 (see r. 2)</w:t>
            </w:r>
          </w:p>
        </w:tc>
      </w:tr>
      <w:tr>
        <w:tc>
          <w:tcPr>
            <w:tcW w:w="3119" w:type="dxa"/>
          </w:tcPr>
          <w:p>
            <w:pPr>
              <w:pStyle w:val="nTable"/>
              <w:spacing w:after="40"/>
              <w:rPr>
                <w:i/>
              </w:rPr>
            </w:pPr>
            <w:r>
              <w:rPr>
                <w:i/>
              </w:rPr>
              <w:t>Rail Safety Amendment Regulations (No. 2) 2006</w:t>
            </w:r>
          </w:p>
        </w:tc>
        <w:tc>
          <w:tcPr>
            <w:tcW w:w="1276" w:type="dxa"/>
          </w:tcPr>
          <w:p>
            <w:pPr>
              <w:pStyle w:val="nTable"/>
              <w:spacing w:after="40"/>
            </w:pPr>
            <w:r>
              <w:t>8 Dec 2006 p. 5392-3</w:t>
            </w:r>
          </w:p>
        </w:tc>
        <w:tc>
          <w:tcPr>
            <w:tcW w:w="2693" w:type="dxa"/>
          </w:tcPr>
          <w:p>
            <w:pPr>
              <w:pStyle w:val="nTable"/>
              <w:spacing w:after="40"/>
            </w:pPr>
            <w:r>
              <w:t>8 Dec 2006</w:t>
            </w:r>
          </w:p>
        </w:tc>
      </w:tr>
      <w:tr>
        <w:tc>
          <w:tcPr>
            <w:tcW w:w="3119" w:type="dxa"/>
          </w:tcPr>
          <w:p>
            <w:pPr>
              <w:pStyle w:val="nTable"/>
              <w:spacing w:after="40"/>
              <w:rPr>
                <w:i/>
              </w:rPr>
            </w:pPr>
            <w:r>
              <w:rPr>
                <w:i/>
              </w:rPr>
              <w:t xml:space="preserve">Rail Safety Amendment Regulations 2007 </w:t>
            </w:r>
          </w:p>
        </w:tc>
        <w:tc>
          <w:tcPr>
            <w:tcW w:w="1276" w:type="dxa"/>
          </w:tcPr>
          <w:p>
            <w:pPr>
              <w:pStyle w:val="nTable"/>
              <w:spacing w:after="40"/>
            </w:pPr>
            <w:r>
              <w:t>12 Jun 2007 p. 2737</w:t>
            </w:r>
            <w:r>
              <w:noBreakHyphen/>
              <w:t>8</w:t>
            </w:r>
          </w:p>
        </w:tc>
        <w:tc>
          <w:tcPr>
            <w:tcW w:w="2693" w:type="dxa"/>
          </w:tcPr>
          <w:p>
            <w:pPr>
              <w:pStyle w:val="nTable"/>
              <w:spacing w:after="40"/>
            </w:pPr>
            <w:r>
              <w:t>1 Jul 2007 (see r. 2)</w:t>
            </w:r>
          </w:p>
        </w:tc>
      </w:tr>
      <w:tr>
        <w:trPr>
          <w:cantSplit/>
        </w:trPr>
        <w:tc>
          <w:tcPr>
            <w:tcW w:w="7088" w:type="dxa"/>
            <w:gridSpan w:val="3"/>
          </w:tcPr>
          <w:p>
            <w:pPr>
              <w:pStyle w:val="nTable"/>
              <w:spacing w:after="40"/>
            </w:pPr>
            <w:r>
              <w:rPr>
                <w:b/>
                <w:bCs/>
              </w:rPr>
              <w:t xml:space="preserve">Reprint 2: The </w:t>
            </w:r>
            <w:r>
              <w:rPr>
                <w:b/>
                <w:bCs/>
                <w:i/>
              </w:rPr>
              <w:t>Rail Safety Regulations 1999</w:t>
            </w:r>
            <w:r>
              <w:rPr>
                <w:b/>
                <w:bCs/>
              </w:rPr>
              <w:t xml:space="preserve"> as at 22 Feb 2008</w:t>
            </w:r>
            <w:r>
              <w:t xml:space="preserve"> (includes amendments listed above)</w:t>
            </w:r>
          </w:p>
        </w:tc>
      </w:tr>
      <w:tr>
        <w:tc>
          <w:tcPr>
            <w:tcW w:w="3119" w:type="dxa"/>
          </w:tcPr>
          <w:p>
            <w:pPr>
              <w:pStyle w:val="nTable"/>
              <w:spacing w:after="40"/>
              <w:rPr>
                <w:i/>
              </w:rPr>
            </w:pPr>
            <w:r>
              <w:rPr>
                <w:i/>
              </w:rPr>
              <w:t>Rail Safety Amendment Regulations 2008</w:t>
            </w:r>
          </w:p>
        </w:tc>
        <w:tc>
          <w:tcPr>
            <w:tcW w:w="1276" w:type="dxa"/>
          </w:tcPr>
          <w:p>
            <w:pPr>
              <w:pStyle w:val="nTable"/>
              <w:spacing w:after="40"/>
            </w:pPr>
            <w:r>
              <w:t>14 Mar 2008 p. 835-6</w:t>
            </w:r>
          </w:p>
        </w:tc>
        <w:tc>
          <w:tcPr>
            <w:tcW w:w="2693" w:type="dxa"/>
          </w:tcPr>
          <w:p>
            <w:pPr>
              <w:pStyle w:val="nTable"/>
              <w:spacing w:after="40"/>
            </w:pPr>
            <w:r>
              <w:t>r. 1 and 2: 14 Mar 2008 (see r. 2(a));</w:t>
            </w:r>
          </w:p>
          <w:p>
            <w:pPr>
              <w:pStyle w:val="nTable"/>
              <w:spacing w:before="0" w:after="40"/>
            </w:pPr>
            <w:r>
              <w:t xml:space="preserve">Regulations other than r. 1 and 2: 15 Mar 2008 (see r. 2(b) and </w:t>
            </w:r>
            <w:r>
              <w:rPr>
                <w:i/>
                <w:iCs/>
              </w:rPr>
              <w:t xml:space="preserve">Gazette </w:t>
            </w:r>
            <w:r>
              <w:t>14 Mar 2008 p. 829)</w:t>
            </w:r>
          </w:p>
        </w:tc>
      </w:tr>
      <w:tr>
        <w:tc>
          <w:tcPr>
            <w:tcW w:w="3119" w:type="dxa"/>
          </w:tcPr>
          <w:p>
            <w:pPr>
              <w:pStyle w:val="nTable"/>
              <w:spacing w:after="40"/>
              <w:rPr>
                <w:i/>
              </w:rPr>
            </w:pPr>
            <w:r>
              <w:rPr>
                <w:i/>
              </w:rPr>
              <w:t>Rail Safety Amendment Regulations (No. 2) 2008</w:t>
            </w:r>
            <w:r>
              <w:rPr>
                <w:iCs/>
              </w:rPr>
              <w:t xml:space="preserve"> </w:t>
            </w:r>
          </w:p>
        </w:tc>
        <w:tc>
          <w:tcPr>
            <w:tcW w:w="1276" w:type="dxa"/>
          </w:tcPr>
          <w:p>
            <w:pPr>
              <w:pStyle w:val="nTable"/>
              <w:spacing w:after="40"/>
            </w:pPr>
            <w:r>
              <w:t>30 May 2008 p. 2085</w:t>
            </w:r>
          </w:p>
        </w:tc>
        <w:tc>
          <w:tcPr>
            <w:tcW w:w="2693" w:type="dxa"/>
          </w:tcPr>
          <w:p>
            <w:pPr>
              <w:pStyle w:val="nTable"/>
              <w:spacing w:after="40"/>
            </w:pPr>
            <w:r>
              <w:t>r. 1 and 2: 30 May 2008 (see r. 2(a));</w:t>
            </w:r>
            <w:r>
              <w:br/>
              <w:t>Regulations other than r. 1 and 2: 1 Jul 2008 (see r. 2(b))</w:t>
            </w:r>
          </w:p>
        </w:tc>
      </w:tr>
      <w:tr>
        <w:tc>
          <w:tcPr>
            <w:tcW w:w="3119" w:type="dxa"/>
          </w:tcPr>
          <w:p>
            <w:pPr>
              <w:pStyle w:val="nTable"/>
              <w:spacing w:after="40"/>
              <w:rPr>
                <w:i/>
              </w:rPr>
            </w:pPr>
            <w:r>
              <w:rPr>
                <w:i/>
              </w:rPr>
              <w:t>Rail Safety Amendment Regulations 2009</w:t>
            </w:r>
          </w:p>
        </w:tc>
        <w:tc>
          <w:tcPr>
            <w:tcW w:w="1276" w:type="dxa"/>
          </w:tcPr>
          <w:p>
            <w:pPr>
              <w:pStyle w:val="nTable"/>
              <w:spacing w:after="40"/>
            </w:pPr>
            <w:r>
              <w:t>15 Jan 2010 p. 73-4</w:t>
            </w:r>
          </w:p>
        </w:tc>
        <w:tc>
          <w:tcPr>
            <w:tcW w:w="2693" w:type="dxa"/>
          </w:tcPr>
          <w:p>
            <w:pPr>
              <w:pStyle w:val="nTable"/>
              <w:spacing w:after="40"/>
            </w:pPr>
            <w:r>
              <w:rPr>
                <w:snapToGrid w:val="0"/>
                <w:spacing w:val="-2"/>
              </w:rPr>
              <w:t>r. 1 and 2: 15 Jan 2010 (see r. 2(a));</w:t>
            </w:r>
            <w:r>
              <w:rPr>
                <w:snapToGrid w:val="0"/>
                <w:spacing w:val="-2"/>
              </w:rPr>
              <w:br/>
              <w:t>Regulations other than r. 1 and 2: 16 Jan 2010 (see r. 2(b))</w:t>
            </w:r>
          </w:p>
        </w:tc>
      </w:tr>
      <w:tr>
        <w:tc>
          <w:tcPr>
            <w:tcW w:w="3119" w:type="dxa"/>
          </w:tcPr>
          <w:p>
            <w:pPr>
              <w:pStyle w:val="nTable"/>
              <w:spacing w:after="40"/>
              <w:rPr>
                <w:i/>
              </w:rPr>
            </w:pPr>
            <w:r>
              <w:rPr>
                <w:i/>
              </w:rPr>
              <w:t>Rail Safety Amendment Regulations 2010</w:t>
            </w:r>
          </w:p>
        </w:tc>
        <w:tc>
          <w:tcPr>
            <w:tcW w:w="1276" w:type="dxa"/>
          </w:tcPr>
          <w:p>
            <w:pPr>
              <w:pStyle w:val="nTable"/>
              <w:spacing w:after="40"/>
            </w:pPr>
            <w:r>
              <w:t>18 Jun 2010 p. 2699-700</w:t>
            </w:r>
          </w:p>
        </w:tc>
        <w:tc>
          <w:tcPr>
            <w:tcW w:w="2693" w:type="dxa"/>
          </w:tcPr>
          <w:p>
            <w:pPr>
              <w:pStyle w:val="nTable"/>
              <w:spacing w:after="40"/>
              <w:rPr>
                <w:snapToGrid w:val="0"/>
                <w:spacing w:val="-2"/>
              </w:rPr>
            </w:pPr>
            <w:r>
              <w:rPr>
                <w:snapToGrid w:val="0"/>
                <w:spacing w:val="-2"/>
              </w:rPr>
              <w:t>r. 1 and 2: 18 Jun 2010 (see r. 2(a));</w:t>
            </w:r>
            <w:r>
              <w:rPr>
                <w:snapToGrid w:val="0"/>
                <w:spacing w:val="-2"/>
              </w:rPr>
              <w:br/>
              <w:t>Regulations other than r. 1 and 2: 1 Jul 2010 (see r. 2(b))</w:t>
            </w:r>
          </w:p>
        </w:tc>
      </w:tr>
      <w:tr>
        <w:tc>
          <w:tcPr>
            <w:tcW w:w="3119" w:type="dxa"/>
          </w:tcPr>
          <w:p>
            <w:pPr>
              <w:pStyle w:val="nTable"/>
              <w:spacing w:after="40"/>
              <w:rPr>
                <w:i/>
              </w:rPr>
            </w:pPr>
            <w:r>
              <w:rPr>
                <w:i/>
              </w:rPr>
              <w:t>Rail Safety Amendment Regulations (No. 2) 2010</w:t>
            </w:r>
          </w:p>
        </w:tc>
        <w:tc>
          <w:tcPr>
            <w:tcW w:w="1276" w:type="dxa"/>
          </w:tcPr>
          <w:p>
            <w:pPr>
              <w:pStyle w:val="nTable"/>
              <w:spacing w:after="40"/>
            </w:pPr>
            <w:r>
              <w:t>26 Oct 2010 p. 5297-8</w:t>
            </w:r>
          </w:p>
        </w:tc>
        <w:tc>
          <w:tcPr>
            <w:tcW w:w="2693" w:type="dxa"/>
          </w:tcPr>
          <w:p>
            <w:pPr>
              <w:pStyle w:val="nTable"/>
              <w:spacing w:after="40"/>
              <w:rPr>
                <w:snapToGrid w:val="0"/>
                <w:spacing w:val="-2"/>
              </w:rPr>
            </w:pPr>
            <w:r>
              <w:rPr>
                <w:snapToGrid w:val="0"/>
                <w:spacing w:val="-2"/>
              </w:rPr>
              <w:t>r. 1 and 2: 26 Oct 2010 (see r. 2(a));</w:t>
            </w:r>
            <w:r>
              <w:rPr>
                <w:snapToGrid w:val="0"/>
                <w:spacing w:val="-2"/>
              </w:rPr>
              <w:br/>
              <w:t>Regulations other than r. 1 and 2: 27 Oct 2010 (see r. 2(b))</w:t>
            </w:r>
          </w:p>
        </w:tc>
      </w:tr>
      <w:tr>
        <w:trPr>
          <w:cantSplit/>
        </w:trPr>
        <w:tc>
          <w:tcPr>
            <w:tcW w:w="7088" w:type="dxa"/>
            <w:gridSpan w:val="3"/>
            <w:tcBorders>
              <w:bottom w:val="single" w:sz="4" w:space="0" w:color="auto"/>
            </w:tcBorders>
          </w:tcPr>
          <w:p>
            <w:pPr>
              <w:pStyle w:val="nTable"/>
              <w:spacing w:after="40"/>
              <w:rPr>
                <w:b/>
                <w:bCs/>
                <w:snapToGrid w:val="0"/>
                <w:color w:val="FF0000"/>
                <w:spacing w:val="-2"/>
              </w:rPr>
            </w:pPr>
            <w:r>
              <w:rPr>
                <w:b/>
                <w:bCs/>
                <w:snapToGrid w:val="0"/>
                <w:color w:val="FF0000"/>
                <w:spacing w:val="-2"/>
              </w:rPr>
              <w:t xml:space="preserve">These regulations were repealed by the </w:t>
            </w:r>
            <w:r>
              <w:rPr>
                <w:b/>
                <w:bCs/>
                <w:i/>
                <w:iCs/>
                <w:snapToGrid w:val="0"/>
                <w:color w:val="FF0000"/>
                <w:spacing w:val="-2"/>
              </w:rPr>
              <w:t>Rail Safety Act 2010</w:t>
            </w:r>
            <w:r>
              <w:rPr>
                <w:b/>
                <w:bCs/>
                <w:snapToGrid w:val="0"/>
                <w:color w:val="FF0000"/>
                <w:spacing w:val="-2"/>
              </w:rPr>
              <w:t xml:space="preserve"> s. 230(2) (No. 18 of 2010) as at 1 Feb 2011 (see s. 2(b) and </w:t>
            </w:r>
            <w:r>
              <w:rPr>
                <w:b/>
                <w:bCs/>
                <w:i/>
                <w:iCs/>
                <w:snapToGrid w:val="0"/>
                <w:color w:val="FF0000"/>
                <w:spacing w:val="-2"/>
              </w:rPr>
              <w:t>Gazette</w:t>
            </w:r>
            <w:r>
              <w:rPr>
                <w:b/>
                <w:bCs/>
                <w:snapToGrid w:val="0"/>
                <w:color w:val="FF0000"/>
                <w:spacing w:val="-2"/>
              </w:rPr>
              <w:t xml:space="preserve"> 28 Jan 2011 p. 241)</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nder the</w:t>
      </w:r>
      <w:r>
        <w:rPr>
          <w:i/>
          <w:iCs/>
          <w:snapToGrid w:val="0"/>
        </w:rPr>
        <w:t xml:space="preserve"> Interpretation Act 1984 </w:t>
      </w:r>
      <w:r>
        <w:rPr>
          <w:snapToGrid w:val="0"/>
        </w:rPr>
        <w:t>s. 16, 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rFonts w:ascii="Arial" w:hAnsi="Arial"/>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14(1)</w:t>
      </w:r>
    </w:p>
    <w:p>
      <w:pPr>
        <w:pStyle w:val="DefinedTerms"/>
      </w:pPr>
      <w:r>
        <w:t>Australian Rail Safety Standard</w:t>
      </w:r>
      <w:r>
        <w:tab/>
        <w:t>3</w:t>
      </w:r>
    </w:p>
    <w:p>
      <w:pPr>
        <w:pStyle w:val="DefinedTerms"/>
      </w:pPr>
      <w:r>
        <w:t>authorised person</w:t>
      </w:r>
      <w:r>
        <w:tab/>
        <w:t>14(2)</w:t>
      </w:r>
    </w:p>
    <w:p>
      <w:pPr>
        <w:pStyle w:val="DefinedTerms"/>
      </w:pPr>
      <w:r>
        <w:t>breath analysing equipment</w:t>
      </w:r>
      <w:r>
        <w:tab/>
        <w:t>14(3)</w:t>
      </w:r>
    </w:p>
    <w:p>
      <w:pPr>
        <w:pStyle w:val="DefinedTerms"/>
      </w:pPr>
      <w:r>
        <w:t>breath analysis</w:t>
      </w:r>
      <w:r>
        <w:tab/>
        <w:t>14(1)</w:t>
      </w:r>
    </w:p>
    <w:p>
      <w:pPr>
        <w:pStyle w:val="DefinedTerms"/>
      </w:pPr>
      <w:r>
        <w:t>Category A notifiable occurrences</w:t>
      </w:r>
      <w:r>
        <w:tab/>
        <w:t>4(2)</w:t>
      </w:r>
    </w:p>
    <w:p>
      <w:pPr>
        <w:pStyle w:val="DefinedTerms"/>
      </w:pPr>
      <w:r>
        <w:t>Category B notifiable occurrences</w:t>
      </w:r>
      <w:r>
        <w:tab/>
        <w:t>4(3)</w:t>
      </w:r>
    </w:p>
    <w:p>
      <w:pPr>
        <w:pStyle w:val="DefinedTerms"/>
      </w:pPr>
      <w:r>
        <w:t>drugs analyst</w:t>
      </w:r>
      <w:r>
        <w:tab/>
        <w:t>14(1)</w:t>
      </w:r>
    </w:p>
    <w:p>
      <w:pPr>
        <w:pStyle w:val="DefinedTerms"/>
      </w:pPr>
      <w:r>
        <w:t>light</w:t>
      </w:r>
      <w:r>
        <w:tab/>
        <w:t>9(1)</w:t>
      </w:r>
    </w:p>
    <w:p>
      <w:pPr>
        <w:pStyle w:val="DefinedTerms"/>
      </w:pPr>
      <w:r>
        <w:t>medical practitioner</w:t>
      </w:r>
      <w:r>
        <w:tab/>
        <w:t>14(1)</w:t>
      </w:r>
    </w:p>
    <w:p>
      <w:pPr>
        <w:pStyle w:val="DefinedTerms"/>
      </w:pPr>
      <w:r>
        <w:t>metropolitan area</w:t>
      </w:r>
      <w:r>
        <w:tab/>
        <w:t>26(1)</w:t>
      </w:r>
    </w:p>
    <w:p>
      <w:pPr>
        <w:pStyle w:val="DefinedTerms"/>
      </w:pPr>
      <w:r>
        <w:t>notifiable occurrence</w:t>
      </w:r>
      <w:r>
        <w:tab/>
        <w:t>4(1)</w:t>
      </w:r>
    </w:p>
    <w:p>
      <w:pPr>
        <w:pStyle w:val="DefinedTerms"/>
      </w:pPr>
      <w:r>
        <w:t>nurse</w:t>
      </w:r>
      <w:r>
        <w:tab/>
        <w:t>14(1)</w:t>
      </w:r>
    </w:p>
    <w:p>
      <w:pPr>
        <w:pStyle w:val="DefinedTerms"/>
      </w:pPr>
      <w:r>
        <w:t>owner</w:t>
      </w:r>
      <w:r>
        <w:tab/>
        <w:t>9(1)</w:t>
      </w:r>
    </w:p>
    <w:p>
      <w:pPr>
        <w:pStyle w:val="DefinedTerms"/>
      </w:pPr>
      <w:r>
        <w:t>preliminary test</w:t>
      </w:r>
      <w:r>
        <w:tab/>
        <w:t>14(1)</w:t>
      </w:r>
    </w:p>
    <w:p>
      <w:pPr>
        <w:pStyle w:val="DefinedTerms"/>
      </w:pPr>
      <w:r>
        <w:t>railway employee</w:t>
      </w:r>
      <w:r>
        <w:tab/>
        <w:t>14(4)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82F0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1863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88848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4A1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14E1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421C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2639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22E8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AEEDE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FEDD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7E23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619"/>
    <w:docVar w:name="WAFER_20140124161152" w:val="RemoveTocBookmarks,RemoveUnusedBookmarks,RemoveLanguageTags,UsedStyles,ResetPageSize,UpdateArrangement"/>
    <w:docVar w:name="WAFER_20140124161152_GUID" w:val="b523b07f-6af2-4066-9bb9-1b291738ef4e"/>
    <w:docVar w:name="WAFER_20140124171832" w:val="RemoveTocBookmarks,RunningHeaders"/>
    <w:docVar w:name="WAFER_20140124171832_GUID" w:val="ff6f5739-b30f-4c0f-b3f1-2c13b4030595"/>
    <w:docVar w:name="WAFER_20150806085243" w:val="ResetPageSize,UpdateArrangement,UpdateNTable"/>
    <w:docVar w:name="WAFER_20150806085243_GUID" w:val="5887da1a-f0e7-4a2f-a116-fd95bfa14419"/>
    <w:docVar w:name="WAFER_20151117135619" w:val="UpdateStyles,UsedStyles"/>
    <w:docVar w:name="WAFER_20151117135619_GUID" w:val="c9e0f893-7de5-4493-af77-760be93fb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7786</Words>
  <Characters>37765</Characters>
  <Application>Microsoft Office Word</Application>
  <DocSecurity>0</DocSecurity>
  <Lines>1110</Lines>
  <Paragraphs>641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1999 - 02-h0-04</dc:title>
  <dc:subject/>
  <dc:creator/>
  <cp:keywords/>
  <dc:description/>
  <cp:lastModifiedBy>svcMRProcess</cp:lastModifiedBy>
  <cp:revision>4</cp:revision>
  <cp:lastPrinted>2008-02-28T01:35:00Z</cp:lastPrinted>
  <dcterms:created xsi:type="dcterms:W3CDTF">2015-11-17T06:47:00Z</dcterms:created>
  <dcterms:modified xsi:type="dcterms:W3CDTF">2015-11-17T06:47:00Z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20110201</vt:lpwstr>
  </property>
  <property fmtid="{D5CDD505-2E9C-101B-9397-08002B2CF9AE}" pid="4" name="DocumentType">
    <vt:lpwstr>Reg</vt:lpwstr>
  </property>
  <property fmtid="{D5CDD505-2E9C-101B-9397-08002B2CF9AE}" pid="5" name="OwlsUID">
    <vt:i4>376</vt:i4>
  </property>
  <property fmtid="{D5CDD505-2E9C-101B-9397-08002B2CF9AE}" pid="6" name="ReprintNo">
    <vt:lpwstr>2</vt:lpwstr>
  </property>
  <property fmtid="{D5CDD505-2E9C-101B-9397-08002B2CF9AE}" pid="7" name="AsAtDate">
    <vt:lpwstr>01 Feb 2011</vt:lpwstr>
  </property>
  <property fmtid="{D5CDD505-2E9C-101B-9397-08002B2CF9AE}" pid="8" name="Suffix">
    <vt:lpwstr>02-h0-04</vt:lpwstr>
  </property>
  <property fmtid="{D5CDD505-2E9C-101B-9397-08002B2CF9AE}" pid="9" name="Status">
    <vt:lpwstr>NIF</vt:lpwstr>
  </property>
</Properties>
</file>