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(Skin Penetration Procedure)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_Toc419460319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_Toc419460320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_Toc419460321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_Toc419460322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to operate as local laws</w:t>
      </w:r>
      <w:r>
        <w:tab/>
      </w:r>
      <w:r>
        <w:fldChar w:fldCharType="begin"/>
      </w:r>
      <w:r>
        <w:instrText xml:space="preserve"> PAGEREF _Toc419460323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Owner of an establishment to notify local government</w:t>
      </w:r>
      <w:r>
        <w:tab/>
      </w:r>
      <w:r>
        <w:fldChar w:fldCharType="begin"/>
      </w:r>
      <w:r>
        <w:instrText xml:space="preserve"> PAGEREF _Toc419460324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Code</w:t>
      </w:r>
      <w:r>
        <w:tab/>
      </w:r>
      <w:r>
        <w:fldChar w:fldCharType="begin"/>
      </w:r>
      <w:r>
        <w:instrText xml:space="preserve"> PAGEREF _Toc419460325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Compliance with the Code</w:t>
      </w:r>
      <w:r>
        <w:tab/>
      </w:r>
      <w:r>
        <w:fldChar w:fldCharType="begin"/>
      </w:r>
      <w:r>
        <w:instrText xml:space="preserve"> PAGEREF _Toc419460326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Infectious diseases</w:t>
      </w:r>
      <w:r>
        <w:tab/>
      </w:r>
      <w:r>
        <w:fldChar w:fldCharType="begin"/>
      </w:r>
      <w:r>
        <w:instrText xml:space="preserve"> PAGEREF _Toc419460327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_Toc419460329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Health Act 1911</w:t>
      </w:r>
    </w:p>
    <w:p>
      <w:pPr>
        <w:pStyle w:val="NameofActReg"/>
        <w:rPr>
          <w:b w:val="0"/>
        </w:rPr>
      </w:pPr>
      <w:r>
        <w:t>Health (Skin Penetration Procedure) Regulations 1998</w:t>
      </w:r>
    </w:p>
    <w:p>
      <w:pPr>
        <w:pStyle w:val="Heading5"/>
        <w:spacing w:before="0"/>
        <w:rPr>
          <w:snapToGrid w:val="0"/>
        </w:rPr>
      </w:pPr>
      <w:bookmarkStart w:id="3" w:name="_Toc378750339"/>
      <w:bookmarkStart w:id="4" w:name="_Toc41946031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5" w:name="_Toc378750340"/>
      <w:bookmarkStart w:id="6" w:name="_Toc41946032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7" w:name="_Toc378750341"/>
      <w:bookmarkStart w:id="8" w:name="_Toc41946032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lastRenderedPageBreak/>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9" w:name="_Toc378750342"/>
      <w:bookmarkStart w:id="10" w:name="_Toc419460322"/>
      <w:r>
        <w:rPr>
          <w:rStyle w:val="CharSectno"/>
        </w:rPr>
        <w:t>4</w:t>
      </w:r>
      <w:r>
        <w:rPr>
          <w:snapToGrid w:val="0"/>
        </w:rPr>
        <w:t>.</w:t>
      </w:r>
      <w:r>
        <w:rPr>
          <w:snapToGrid w:val="0"/>
        </w:rPr>
        <w:tab/>
        <w:t>Application</w:t>
      </w:r>
      <w:bookmarkEnd w:id="9"/>
      <w:bookmarkEnd w:id="10"/>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lastRenderedPageBreak/>
        <w:tab/>
        <w:t>[Regulation 4 amended in Gazette 1 Apr 2011 p. 1180.]</w:t>
      </w:r>
    </w:p>
    <w:p>
      <w:pPr>
        <w:pStyle w:val="Heading5"/>
        <w:rPr>
          <w:snapToGrid w:val="0"/>
        </w:rPr>
      </w:pPr>
      <w:bookmarkStart w:id="11" w:name="_Toc378750343"/>
      <w:bookmarkStart w:id="12" w:name="_Toc419460323"/>
      <w:r>
        <w:rPr>
          <w:rStyle w:val="CharSectno"/>
        </w:rPr>
        <w:t>5</w:t>
      </w:r>
      <w:r>
        <w:rPr>
          <w:snapToGrid w:val="0"/>
        </w:rPr>
        <w:t>.</w:t>
      </w:r>
      <w:r>
        <w:rPr>
          <w:snapToGrid w:val="0"/>
        </w:rPr>
        <w:tab/>
        <w:t>Regulations to operate as local laws</w:t>
      </w:r>
      <w:bookmarkEnd w:id="11"/>
      <w:bookmarkEnd w:id="12"/>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13" w:name="_Toc378750344"/>
      <w:bookmarkStart w:id="14" w:name="_Toc419460324"/>
      <w:r>
        <w:rPr>
          <w:rStyle w:val="CharSectno"/>
        </w:rPr>
        <w:t>6</w:t>
      </w:r>
      <w:r>
        <w:rPr>
          <w:snapToGrid w:val="0"/>
        </w:rPr>
        <w:t>.</w:t>
      </w:r>
      <w:r>
        <w:rPr>
          <w:snapToGrid w:val="0"/>
        </w:rPr>
        <w:tab/>
        <w:t>Owner of an establishment to notify local government</w:t>
      </w:r>
      <w:bookmarkEnd w:id="13"/>
      <w:bookmarkEnd w:id="14"/>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5" w:name="_Toc378750345"/>
      <w:bookmarkStart w:id="16" w:name="_Toc419460325"/>
      <w:r>
        <w:rPr>
          <w:rStyle w:val="CharSectno"/>
        </w:rPr>
        <w:t>7</w:t>
      </w:r>
      <w:r>
        <w:rPr>
          <w:snapToGrid w:val="0"/>
        </w:rPr>
        <w:t>.</w:t>
      </w:r>
      <w:r>
        <w:rPr>
          <w:snapToGrid w:val="0"/>
        </w:rPr>
        <w:tab/>
        <w:t>Adoption of Code</w:t>
      </w:r>
      <w:bookmarkEnd w:id="15"/>
      <w:bookmarkEnd w:id="16"/>
      <w:r>
        <w:rPr>
          <w:snapToGrid w:val="0"/>
        </w:rPr>
        <w:t xml:space="preserve"> </w:t>
      </w:r>
    </w:p>
    <w:p>
      <w:pPr>
        <w:pStyle w:val="Subsection"/>
        <w:rPr>
          <w:snapToGrid w:val="0"/>
        </w:rPr>
      </w:pPr>
      <w:r>
        <w:rPr>
          <w:snapToGrid w:val="0"/>
        </w:rPr>
        <w:tab/>
        <w:t>(1)</w:t>
      </w:r>
      <w:r>
        <w:rPr>
          <w:snapToGrid w:val="0"/>
        </w:rPr>
        <w:tab/>
        <w:t xml:space="preserve">Under section 344A(1) of the </w:t>
      </w:r>
      <w:r>
        <w:rPr>
          <w:i/>
          <w:snapToGrid w:val="0"/>
        </w:rPr>
        <w:t>Health Act 1911</w:t>
      </w:r>
      <w:r>
        <w:rPr>
          <w:snapToGrid w:val="0"/>
        </w:rPr>
        <w:t xml:space="preserve">, the Code of Practice for Skin Penetration Procedures published by the Executive Director, Public Health, and amended from time to time, under section 344A(2) of the </w:t>
      </w:r>
      <w:r>
        <w:rPr>
          <w:i/>
          <w:snapToGrid w:val="0"/>
        </w:rPr>
        <w:t>Health Act 1911</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section 344A(3) of the </w:t>
      </w:r>
      <w:r>
        <w:rPr>
          <w:i/>
          <w:snapToGrid w:val="0"/>
        </w:rPr>
        <w:t>Health Act 1911</w:t>
      </w:r>
      <w:r>
        <w:rPr>
          <w:snapToGrid w:val="0"/>
        </w:rPr>
        <w:t>,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Heading5"/>
        <w:rPr>
          <w:snapToGrid w:val="0"/>
        </w:rPr>
      </w:pPr>
      <w:bookmarkStart w:id="17" w:name="_Toc378750346"/>
      <w:bookmarkStart w:id="18" w:name="_Toc419460326"/>
      <w:r>
        <w:rPr>
          <w:rStyle w:val="CharSectno"/>
        </w:rPr>
        <w:lastRenderedPageBreak/>
        <w:t>8</w:t>
      </w:r>
      <w:r>
        <w:rPr>
          <w:snapToGrid w:val="0"/>
        </w:rPr>
        <w:t>.</w:t>
      </w:r>
      <w:r>
        <w:rPr>
          <w:snapToGrid w:val="0"/>
        </w:rPr>
        <w:tab/>
        <w:t>Compliance with the Code</w:t>
      </w:r>
      <w:bookmarkEnd w:id="17"/>
      <w:bookmarkEnd w:id="18"/>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9" w:name="_Toc378750347"/>
      <w:bookmarkStart w:id="20" w:name="_Toc419460327"/>
      <w:r>
        <w:rPr>
          <w:rStyle w:val="CharSectno"/>
        </w:rPr>
        <w:t>9</w:t>
      </w:r>
      <w:r>
        <w:rPr>
          <w:snapToGrid w:val="0"/>
        </w:rPr>
        <w:t>.</w:t>
      </w:r>
      <w:r>
        <w:rPr>
          <w:snapToGrid w:val="0"/>
        </w:rPr>
        <w:tab/>
        <w:t>Infectious diseases</w:t>
      </w:r>
      <w:bookmarkEnd w:id="19"/>
      <w:bookmarkEnd w:id="20"/>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750348"/>
      <w:bookmarkStart w:id="22" w:name="_Toc419460328"/>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23" w:name="_Toc378750349"/>
      <w:bookmarkStart w:id="24" w:name="_Toc419460329"/>
      <w:r>
        <w:rPr>
          <w:snapToGrid w:val="0"/>
        </w:rPr>
        <w:t>Compilation table</w:t>
      </w:r>
      <w:bookmarkEnd w:id="23"/>
      <w:bookmarkEnd w:id="24"/>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single" w:sz="8" w:space="0" w:color="auto"/>
            </w:tcBorders>
          </w:tcPr>
          <w:p>
            <w:pPr>
              <w:pStyle w:val="nTable"/>
              <w:spacing w:after="40"/>
            </w:pPr>
            <w:r>
              <w:rPr>
                <w:i/>
              </w:rPr>
              <w:t>Health (Skin Penetration Procedure) Amendment Regulations 2011</w:t>
            </w:r>
          </w:p>
        </w:tc>
        <w:tc>
          <w:tcPr>
            <w:tcW w:w="1276" w:type="dxa"/>
            <w:tcBorders>
              <w:top w:val="nil"/>
              <w:bottom w:val="single" w:sz="8" w:space="0" w:color="auto"/>
            </w:tcBorders>
          </w:tcPr>
          <w:p>
            <w:pPr>
              <w:pStyle w:val="nTable"/>
              <w:spacing w:after="40"/>
            </w:pPr>
            <w:r>
              <w:t>1 Apr 2011 p. 1179</w:t>
            </w:r>
            <w:r>
              <w:noBreakHyphen/>
              <w:t>80</w:t>
            </w:r>
          </w:p>
        </w:tc>
        <w:tc>
          <w:tcPr>
            <w:tcW w:w="2693" w:type="dxa"/>
            <w:tcBorders>
              <w:top w:val="nil"/>
              <w:bottom w:val="single" w:sz="8" w:space="0" w:color="auto"/>
            </w:tcBorders>
          </w:tcPr>
          <w:p>
            <w:pPr>
              <w:pStyle w:val="nTable"/>
              <w:spacing w:after="40"/>
            </w:pPr>
            <w:r>
              <w:rPr>
                <w:snapToGrid w:val="0"/>
                <w:spacing w:val="-2"/>
              </w:rPr>
              <w:t>r. 1 and 2: 1 Apr 2011 (see r. 2(a));</w:t>
            </w:r>
            <w:r>
              <w:rPr>
                <w:snapToGrid w:val="0"/>
                <w:spacing w:val="-2"/>
              </w:rPr>
              <w:br/>
              <w:t>Regulations other than r. 1 and 2: 2 Apr 2011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w:t>
      </w:r>
    </w:p>
    <w:p>
      <w:pPr>
        <w:pStyle w:val="DefinedTerms"/>
      </w:pPr>
      <w:r>
        <w:t>dentist</w:t>
      </w:r>
      <w:r>
        <w:tab/>
        <w:t>3</w:t>
      </w:r>
    </w:p>
    <w:p>
      <w:pPr>
        <w:pStyle w:val="DefinedTerms"/>
      </w:pPr>
      <w:r>
        <w:t>establishment</w:t>
      </w:r>
      <w:r>
        <w:tab/>
        <w:t>3</w:t>
      </w:r>
    </w:p>
    <w:p>
      <w:pPr>
        <w:pStyle w:val="DefinedTerms"/>
      </w:pPr>
      <w:r>
        <w:t>medical practitioner</w:t>
      </w:r>
      <w:r>
        <w:tab/>
        <w:t>3</w:t>
      </w:r>
    </w:p>
    <w:p>
      <w:pPr>
        <w:pStyle w:val="DefinedTerms"/>
      </w:pPr>
      <w:r>
        <w:t>nurse</w:t>
      </w:r>
      <w:r>
        <w:tab/>
        <w:t>3</w:t>
      </w:r>
    </w:p>
    <w:p>
      <w:pPr>
        <w:pStyle w:val="DefinedTerms"/>
      </w:pPr>
      <w:r>
        <w:t>operator</w:t>
      </w:r>
      <w:r>
        <w:tab/>
        <w:t>3</w:t>
      </w:r>
    </w:p>
    <w:p>
      <w:pPr>
        <w:pStyle w:val="DefinedTerms"/>
      </w:pPr>
      <w:r>
        <w:t>owner</w:t>
      </w:r>
      <w:r>
        <w:tab/>
        <w:t>3</w:t>
      </w:r>
    </w:p>
    <w:p>
      <w:pPr>
        <w:pStyle w:val="DefinedTerms"/>
      </w:pPr>
      <w:r>
        <w:t>podiatrist</w:t>
      </w:r>
      <w:r>
        <w:tab/>
        <w:t>3</w:t>
      </w:r>
    </w:p>
    <w:p>
      <w:pPr>
        <w:pStyle w:val="DefinedTerms"/>
      </w:pPr>
      <w:r>
        <w:t>skin penetration procedure</w:t>
      </w:r>
      <w:r>
        <w:tab/>
        <w:t>3</w:t>
      </w:r>
    </w:p>
    <w:p>
      <w:pPr>
        <w:pStyle w:val="DefinedTerms"/>
      </w:pPr>
      <w:r>
        <w:t>the Code</w:t>
      </w:r>
      <w:r>
        <w:tab/>
        <w:t>7(1)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14"/>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1491</Words>
  <Characters>6997</Characters>
  <Application>Microsoft Office Word</Application>
  <DocSecurity>0</DocSecurity>
  <Lines>225</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1998 - 01-b0-05</dc:title>
  <dc:subject/>
  <dc:creator/>
  <cp:keywords/>
  <dc:description/>
  <cp:lastModifiedBy>svcMRProcess</cp:lastModifiedBy>
  <cp:revision>4</cp:revision>
  <cp:lastPrinted>2004-05-03T04:57:00Z</cp:lastPrinted>
  <dcterms:created xsi:type="dcterms:W3CDTF">2015-12-01T02:51:00Z</dcterms:created>
  <dcterms:modified xsi:type="dcterms:W3CDTF">2015-12-01T02:51:00Z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41</vt:i4>
  </property>
  <property fmtid="{D5CDD505-2E9C-101B-9397-08002B2CF9AE}" pid="6" name="AsAtDate">
    <vt:lpwstr>02 Apr 2011</vt:lpwstr>
  </property>
  <property fmtid="{D5CDD505-2E9C-101B-9397-08002B2CF9AE}" pid="7" name="Suffix">
    <vt:lpwstr>01-b0-05</vt:lpwstr>
  </property>
</Properties>
</file>