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851"/>
      </w:pPr>
      <w:r>
        <w:fldChar w:fldCharType="begin"/>
      </w:r>
      <w:r>
        <w:instrText xml:space="preserve"> STYLEREF "Name Of Act/Reg"</w:instrText>
      </w:r>
      <w:r>
        <w:fldChar w:fldCharType="separate"/>
      </w:r>
      <w:r>
        <w:rPr>
          <w:noProof/>
        </w:rPr>
        <w:t>The Western Australian Turf Club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9"/>
      </w:pPr>
      <w:r>
        <w:fldChar w:fldCharType="begin"/>
      </w:r>
      <w:r>
        <w:instrText xml:space="preserve"> STYLEREF "Name Of Act/Reg"</w:instrText>
      </w:r>
      <w:r>
        <w:fldChar w:fldCharType="separate"/>
      </w:r>
      <w:r>
        <w:rPr>
          <w:noProof/>
        </w:rPr>
        <w:t>The Western Australian Turf Club Act 1892</w:t>
      </w:r>
      <w:r>
        <w:fldChar w:fldCharType="end"/>
      </w:r>
    </w:p>
    <w:p>
      <w:pPr>
        <w:pStyle w:val="Arrangement"/>
      </w:pPr>
      <w:r>
        <w:t>CONTENTS</w:t>
      </w:r>
    </w:p>
    <w:p>
      <w:pPr>
        <w:pStyle w:val="TOC4"/>
        <w:rPr>
          <w:noProof/>
          <w:sz w:val="24"/>
          <w:szCs w:val="24"/>
        </w:rPr>
      </w:pPr>
      <w:r>
        <w:rPr>
          <w:b/>
        </w:rPr>
        <w:fldChar w:fldCharType="begin"/>
      </w:r>
      <w:r>
        <w:rPr>
          <w:b/>
        </w:rPr>
        <w:instrText xml:space="preserve"> TOC \o "2-3"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_Toc103063353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_Toc103063354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Actions to be in the name of the chairman</w:t>
      </w:r>
      <w:r>
        <w:rPr>
          <w:noProof/>
        </w:rPr>
        <w:tab/>
      </w:r>
      <w:r>
        <w:rPr>
          <w:noProof/>
        </w:rPr>
        <w:fldChar w:fldCharType="begin"/>
      </w:r>
      <w:r>
        <w:rPr>
          <w:noProof/>
        </w:rPr>
        <w:instrText xml:space="preserve"> PAGEREF _Toc103063355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Memorial of the chairman’s name to be recorded in the Supreme Court</w:t>
      </w:r>
      <w:r>
        <w:rPr>
          <w:noProof/>
        </w:rPr>
        <w:tab/>
      </w:r>
      <w:r>
        <w:rPr>
          <w:noProof/>
        </w:rPr>
        <w:fldChar w:fldCharType="begin"/>
      </w:r>
      <w:r>
        <w:rPr>
          <w:noProof/>
        </w:rPr>
        <w:instrText xml:space="preserve"> PAGEREF _Toc103063356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No action to be brought until memorial is recorded</w:t>
      </w:r>
      <w:r>
        <w:rPr>
          <w:noProof/>
        </w:rPr>
        <w:tab/>
      </w:r>
      <w:r>
        <w:rPr>
          <w:noProof/>
        </w:rPr>
        <w:fldChar w:fldCharType="begin"/>
      </w:r>
      <w:r>
        <w:rPr>
          <w:noProof/>
        </w:rPr>
        <w:instrText xml:space="preserve"> PAGEREF _Toc103063357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Effect of judgment against the chairman</w:t>
      </w:r>
      <w:r>
        <w:rPr>
          <w:noProof/>
        </w:rPr>
        <w:tab/>
      </w:r>
      <w:r>
        <w:rPr>
          <w:noProof/>
        </w:rPr>
        <w:fldChar w:fldCharType="begin"/>
      </w:r>
      <w:r>
        <w:rPr>
          <w:noProof/>
        </w:rPr>
        <w:instrText xml:space="preserve"> PAGEREF _Toc103063358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Racecourse vested in chairman for term created by Crown Grant of 11 September 1877</w:t>
      </w:r>
      <w:r>
        <w:rPr>
          <w:noProof/>
        </w:rPr>
        <w:tab/>
      </w:r>
      <w:r>
        <w:rPr>
          <w:noProof/>
        </w:rPr>
        <w:fldChar w:fldCharType="begin"/>
      </w:r>
      <w:r>
        <w:rPr>
          <w:noProof/>
        </w:rPr>
        <w:instrText xml:space="preserve"> PAGEREF _Toc103063359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Crown may demise lands to chairman</w:t>
      </w:r>
      <w:r>
        <w:rPr>
          <w:noProof/>
        </w:rPr>
        <w:tab/>
      </w:r>
      <w:r>
        <w:rPr>
          <w:noProof/>
        </w:rPr>
        <w:fldChar w:fldCharType="begin"/>
      </w:r>
      <w:r>
        <w:rPr>
          <w:noProof/>
        </w:rPr>
        <w:instrText xml:space="preserve"> PAGEREF _Toc103063360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Lands and other property to be vested in chairman</w:t>
      </w:r>
      <w:r>
        <w:rPr>
          <w:noProof/>
        </w:rPr>
        <w:tab/>
      </w:r>
      <w:r>
        <w:rPr>
          <w:noProof/>
        </w:rPr>
        <w:fldChar w:fldCharType="begin"/>
      </w:r>
      <w:r>
        <w:rPr>
          <w:noProof/>
        </w:rPr>
        <w:instrText xml:space="preserve"> PAGEREF _Toc103063361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Lands vested in chairman to be held for racecourse only</w:t>
      </w:r>
      <w:r>
        <w:rPr>
          <w:noProof/>
        </w:rPr>
        <w:tab/>
      </w:r>
      <w:r>
        <w:rPr>
          <w:noProof/>
        </w:rPr>
        <w:fldChar w:fldCharType="begin"/>
      </w:r>
      <w:r>
        <w:rPr>
          <w:noProof/>
        </w:rPr>
        <w:instrText xml:space="preserve"> PAGEREF _Toc103063362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Lands already demised to be held for purpose of a racecourse</w:t>
      </w:r>
      <w:r>
        <w:rPr>
          <w:noProof/>
        </w:rPr>
        <w:tab/>
      </w:r>
      <w:r>
        <w:rPr>
          <w:noProof/>
        </w:rPr>
        <w:fldChar w:fldCharType="begin"/>
      </w:r>
      <w:r>
        <w:rPr>
          <w:noProof/>
        </w:rPr>
        <w:instrText xml:space="preserve"> PAGEREF _Toc103063363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Committee may maintain buildings already erected and erect others</w:t>
      </w:r>
      <w:r>
        <w:rPr>
          <w:noProof/>
        </w:rPr>
        <w:tab/>
      </w:r>
      <w:r>
        <w:rPr>
          <w:noProof/>
        </w:rPr>
        <w:fldChar w:fldCharType="begin"/>
      </w:r>
      <w:r>
        <w:rPr>
          <w:noProof/>
        </w:rPr>
        <w:instrText xml:space="preserve"> PAGEREF _Toc103063364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w:t>
      </w:r>
      <w:r>
        <w:rPr>
          <w:noProof/>
          <w:sz w:val="24"/>
          <w:szCs w:val="24"/>
        </w:rPr>
        <w:tab/>
      </w:r>
      <w:r>
        <w:rPr>
          <w:noProof/>
          <w:szCs w:val="24"/>
        </w:rPr>
        <w:t>By</w:t>
      </w:r>
      <w:r>
        <w:rPr>
          <w:noProof/>
          <w:szCs w:val="24"/>
        </w:rPr>
        <w:noBreakHyphen/>
        <w:t>laws</w:t>
      </w:r>
      <w:r>
        <w:rPr>
          <w:noProof/>
        </w:rPr>
        <w:tab/>
      </w:r>
      <w:r>
        <w:rPr>
          <w:noProof/>
        </w:rPr>
        <w:fldChar w:fldCharType="begin"/>
      </w:r>
      <w:r>
        <w:rPr>
          <w:noProof/>
        </w:rPr>
        <w:instrText xml:space="preserve"> PAGEREF _Toc103063365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Obstructing officers, etc., of committee or trespassing upon racecourse</w:t>
      </w:r>
      <w:r>
        <w:rPr>
          <w:noProof/>
        </w:rPr>
        <w:tab/>
      </w:r>
      <w:r>
        <w:rPr>
          <w:noProof/>
        </w:rPr>
        <w:fldChar w:fldCharType="begin"/>
      </w:r>
      <w:r>
        <w:rPr>
          <w:noProof/>
        </w:rPr>
        <w:instrText xml:space="preserve"> PAGEREF _Toc103063366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Transient offender may be arrested</w:t>
      </w:r>
      <w:r>
        <w:rPr>
          <w:noProof/>
        </w:rPr>
        <w:tab/>
      </w:r>
      <w:r>
        <w:rPr>
          <w:noProof/>
        </w:rPr>
        <w:fldChar w:fldCharType="begin"/>
      </w:r>
      <w:r>
        <w:rPr>
          <w:noProof/>
        </w:rPr>
        <w:instrText xml:space="preserve"> PAGEREF _Toc103063367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Liability to penalty not to relieve from other liabilities</w:t>
      </w:r>
      <w:r>
        <w:rPr>
          <w:noProof/>
        </w:rPr>
        <w:tab/>
      </w:r>
      <w:r>
        <w:rPr>
          <w:noProof/>
        </w:rPr>
        <w:fldChar w:fldCharType="begin"/>
      </w:r>
      <w:r>
        <w:rPr>
          <w:noProof/>
        </w:rPr>
        <w:instrText xml:space="preserve"> PAGEREF _Toc103063368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Committee may fix tolls and charges</w:t>
      </w:r>
      <w:r>
        <w:rPr>
          <w:noProof/>
        </w:rPr>
        <w:tab/>
      </w:r>
      <w:r>
        <w:rPr>
          <w:noProof/>
        </w:rPr>
        <w:fldChar w:fldCharType="begin"/>
      </w:r>
      <w:r>
        <w:rPr>
          <w:noProof/>
        </w:rPr>
        <w:instrText xml:space="preserve"> PAGEREF _Toc103063369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Chairman may let lands buildings or tolls</w:t>
      </w:r>
      <w:r>
        <w:rPr>
          <w:noProof/>
        </w:rPr>
        <w:tab/>
      </w:r>
      <w:r>
        <w:rPr>
          <w:noProof/>
        </w:rPr>
        <w:fldChar w:fldCharType="begin"/>
      </w:r>
      <w:r>
        <w:rPr>
          <w:noProof/>
        </w:rPr>
        <w:instrText xml:space="preserve"> PAGEREF _Toc103063370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Borrowing powers</w:t>
      </w:r>
      <w:r>
        <w:rPr>
          <w:noProof/>
        </w:rPr>
        <w:tab/>
      </w:r>
      <w:r>
        <w:rPr>
          <w:noProof/>
        </w:rPr>
        <w:fldChar w:fldCharType="begin"/>
      </w:r>
      <w:r>
        <w:rPr>
          <w:noProof/>
        </w:rPr>
        <w:instrText xml:space="preserve"> PAGEREF _Toc103063371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Power to give security</w:t>
      </w:r>
      <w:r>
        <w:rPr>
          <w:noProof/>
        </w:rPr>
        <w:tab/>
      </w:r>
      <w:r>
        <w:rPr>
          <w:noProof/>
        </w:rPr>
        <w:fldChar w:fldCharType="begin"/>
      </w:r>
      <w:r>
        <w:rPr>
          <w:noProof/>
        </w:rPr>
        <w:instrText xml:space="preserve"> PAGEREF _Toc103063372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Transfer of mortgage</w:t>
      </w:r>
      <w:r>
        <w:rPr>
          <w:noProof/>
        </w:rPr>
        <w:tab/>
      </w:r>
      <w:r>
        <w:rPr>
          <w:noProof/>
        </w:rPr>
        <w:fldChar w:fldCharType="begin"/>
      </w:r>
      <w:r>
        <w:rPr>
          <w:noProof/>
        </w:rPr>
        <w:instrText xml:space="preserve"> PAGEREF _Toc103063373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Rights of mortgagees</w:t>
      </w:r>
      <w:r>
        <w:rPr>
          <w:noProof/>
        </w:rPr>
        <w:tab/>
      </w:r>
      <w:r>
        <w:rPr>
          <w:noProof/>
        </w:rPr>
        <w:fldChar w:fldCharType="begin"/>
      </w:r>
      <w:r>
        <w:rPr>
          <w:noProof/>
        </w:rPr>
        <w:instrText xml:space="preserve"> PAGEREF _Toc103063374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Arrears of interest when to be enforced by appointment of receiver</w:t>
      </w:r>
      <w:r>
        <w:rPr>
          <w:noProof/>
        </w:rPr>
        <w:tab/>
      </w:r>
      <w:r>
        <w:rPr>
          <w:noProof/>
        </w:rPr>
        <w:fldChar w:fldCharType="begin"/>
      </w:r>
      <w:r>
        <w:rPr>
          <w:noProof/>
        </w:rPr>
        <w:instrText xml:space="preserve"> PAGEREF _Toc103063375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Appointment of receiver</w:t>
      </w:r>
      <w:r>
        <w:rPr>
          <w:noProof/>
        </w:rPr>
        <w:tab/>
      </w:r>
      <w:r>
        <w:rPr>
          <w:noProof/>
        </w:rPr>
        <w:fldChar w:fldCharType="begin"/>
      </w:r>
      <w:r>
        <w:rPr>
          <w:noProof/>
        </w:rPr>
        <w:instrText xml:space="preserve"> PAGEREF _Toc103063376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Commissioner of Crown Lands may authorise inspection of racecourse and buildings</w:t>
      </w:r>
      <w:r>
        <w:rPr>
          <w:noProof/>
        </w:rPr>
        <w:tab/>
      </w:r>
      <w:r>
        <w:rPr>
          <w:noProof/>
        </w:rPr>
        <w:fldChar w:fldCharType="begin"/>
      </w:r>
      <w:r>
        <w:rPr>
          <w:noProof/>
        </w:rPr>
        <w:instrText xml:space="preserve"> PAGEREF _Toc103063377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Commissioner of Crown Lands may give notice to repair, etc.</w:t>
      </w:r>
      <w:r>
        <w:rPr>
          <w:noProof/>
        </w:rPr>
        <w:tab/>
      </w:r>
      <w:r>
        <w:rPr>
          <w:noProof/>
        </w:rPr>
        <w:fldChar w:fldCharType="begin"/>
      </w:r>
      <w:r>
        <w:rPr>
          <w:noProof/>
        </w:rPr>
        <w:instrText xml:space="preserve"> PAGEREF _Toc103063378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Service of notice</w:t>
      </w:r>
      <w:r>
        <w:rPr>
          <w:noProof/>
        </w:rPr>
        <w:tab/>
      </w:r>
      <w:r>
        <w:rPr>
          <w:noProof/>
        </w:rPr>
        <w:fldChar w:fldCharType="begin"/>
      </w:r>
      <w:r>
        <w:rPr>
          <w:noProof/>
        </w:rPr>
        <w:instrText xml:space="preserve"> PAGEREF _Toc103063379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Committee to repair, etc., upon notice</w:t>
      </w:r>
      <w:r>
        <w:rPr>
          <w:noProof/>
        </w:rPr>
        <w:tab/>
      </w:r>
      <w:r>
        <w:rPr>
          <w:noProof/>
        </w:rPr>
        <w:fldChar w:fldCharType="begin"/>
      </w:r>
      <w:r>
        <w:rPr>
          <w:noProof/>
        </w:rPr>
        <w:instrText xml:space="preserve"> PAGEREF _Toc103063380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Officers to give security</w:t>
      </w:r>
      <w:r>
        <w:rPr>
          <w:noProof/>
        </w:rPr>
        <w:tab/>
      </w:r>
      <w:r>
        <w:rPr>
          <w:noProof/>
        </w:rPr>
        <w:fldChar w:fldCharType="begin"/>
      </w:r>
      <w:r>
        <w:rPr>
          <w:noProof/>
        </w:rPr>
        <w:instrText xml:space="preserve"> PAGEREF _Toc103063381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Accounts to be kept</w:t>
      </w:r>
      <w:r>
        <w:rPr>
          <w:noProof/>
        </w:rPr>
        <w:tab/>
      </w:r>
      <w:r>
        <w:rPr>
          <w:noProof/>
        </w:rPr>
        <w:fldChar w:fldCharType="begin"/>
      </w:r>
      <w:r>
        <w:rPr>
          <w:noProof/>
        </w:rPr>
        <w:instrText xml:space="preserve"> PAGEREF _Toc103063382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Appointment of auditors</w:t>
      </w:r>
      <w:r>
        <w:rPr>
          <w:noProof/>
        </w:rPr>
        <w:tab/>
      </w:r>
      <w:r>
        <w:rPr>
          <w:noProof/>
        </w:rPr>
        <w:fldChar w:fldCharType="begin"/>
      </w:r>
      <w:r>
        <w:rPr>
          <w:noProof/>
        </w:rPr>
        <w:instrText xml:space="preserve"> PAGEREF _Toc103063383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Books to be balanced and audited</w:t>
      </w:r>
      <w:r>
        <w:rPr>
          <w:noProof/>
        </w:rPr>
        <w:tab/>
      </w:r>
      <w:r>
        <w:rPr>
          <w:noProof/>
        </w:rPr>
        <w:fldChar w:fldCharType="begin"/>
      </w:r>
      <w:r>
        <w:rPr>
          <w:noProof/>
        </w:rPr>
        <w:instrText xml:space="preserve"> PAGEREF _Toc103063384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Copy of annual account to be submitted to chief executive officer</w:t>
      </w:r>
      <w:r>
        <w:rPr>
          <w:noProof/>
        </w:rPr>
        <w:tab/>
      </w:r>
      <w:r>
        <w:rPr>
          <w:noProof/>
        </w:rPr>
        <w:fldChar w:fldCharType="begin"/>
      </w:r>
      <w:r>
        <w:rPr>
          <w:noProof/>
        </w:rPr>
        <w:instrText xml:space="preserve"> PAGEREF _Toc103063385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41A</w:t>
      </w:r>
      <w:r>
        <w:rPr>
          <w:noProof/>
          <w:snapToGrid w:val="0"/>
          <w:szCs w:val="24"/>
        </w:rPr>
        <w:t xml:space="preserve">. </w:t>
      </w:r>
      <w:r>
        <w:rPr>
          <w:noProof/>
          <w:sz w:val="24"/>
          <w:szCs w:val="24"/>
        </w:rPr>
        <w:tab/>
      </w:r>
      <w:r>
        <w:rPr>
          <w:noProof/>
          <w:snapToGrid w:val="0"/>
          <w:szCs w:val="24"/>
        </w:rPr>
        <w:t>Inspection of annual account</w:t>
      </w:r>
      <w:r>
        <w:rPr>
          <w:noProof/>
        </w:rPr>
        <w:tab/>
      </w:r>
      <w:r>
        <w:rPr>
          <w:noProof/>
        </w:rPr>
        <w:fldChar w:fldCharType="begin"/>
      </w:r>
      <w:r>
        <w:rPr>
          <w:noProof/>
        </w:rPr>
        <w:instrText xml:space="preserve"> PAGEREF _Toc103063386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Club not to be incorporated</w:t>
      </w:r>
      <w:r>
        <w:rPr>
          <w:noProof/>
        </w:rPr>
        <w:tab/>
      </w:r>
      <w:r>
        <w:rPr>
          <w:noProof/>
        </w:rPr>
        <w:fldChar w:fldCharType="begin"/>
      </w:r>
      <w:r>
        <w:rPr>
          <w:noProof/>
        </w:rPr>
        <w:instrText xml:space="preserve"> PAGEREF _Toc103063387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If racecourse not maintained and used land to revert to the Crown</w:t>
      </w:r>
      <w:r>
        <w:rPr>
          <w:noProof/>
        </w:rPr>
        <w:tab/>
      </w:r>
      <w:r>
        <w:rPr>
          <w:noProof/>
        </w:rPr>
        <w:fldChar w:fldCharType="begin"/>
      </w:r>
      <w:r>
        <w:rPr>
          <w:noProof/>
        </w:rPr>
        <w:instrText xml:space="preserve"> PAGEREF _Toc103063388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Building to be paid for if possession re</w:t>
      </w:r>
      <w:r>
        <w:rPr>
          <w:noProof/>
          <w:snapToGrid w:val="0"/>
          <w:szCs w:val="24"/>
        </w:rPr>
        <w:noBreakHyphen/>
        <w:t>resumed</w:t>
      </w:r>
      <w:r>
        <w:rPr>
          <w:noProof/>
        </w:rPr>
        <w:tab/>
      </w:r>
      <w:r>
        <w:rPr>
          <w:noProof/>
        </w:rPr>
        <w:fldChar w:fldCharType="begin"/>
      </w:r>
      <w:r>
        <w:rPr>
          <w:noProof/>
        </w:rPr>
        <w:instrText xml:space="preserve"> PAGEREF _Toc103063389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Saving of rights</w:t>
      </w:r>
      <w:r>
        <w:rPr>
          <w:noProof/>
        </w:rPr>
        <w:tab/>
      </w:r>
      <w:r>
        <w:rPr>
          <w:noProof/>
        </w:rPr>
        <w:fldChar w:fldCharType="begin"/>
      </w:r>
      <w:r>
        <w:rPr>
          <w:noProof/>
        </w:rPr>
        <w:instrText xml:space="preserve"> PAGEREF _Toc103063390 \h </w:instrText>
      </w:r>
      <w:r>
        <w:rPr>
          <w:noProof/>
        </w:rPr>
      </w:r>
      <w:r>
        <w:rPr>
          <w:noProof/>
        </w:rPr>
        <w:fldChar w:fldCharType="separate"/>
      </w:r>
      <w:r>
        <w:rPr>
          <w:noProof/>
        </w:rPr>
        <w:t>19</w:t>
      </w:r>
      <w:r>
        <w:rPr>
          <w:noProof/>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_Toc103063391 \h </w:instrText>
      </w:r>
      <w:r>
        <w:rPr>
          <w:b w:val="0"/>
          <w:noProof/>
          <w:sz w:val="22"/>
        </w:rPr>
      </w:r>
      <w:r>
        <w:rPr>
          <w:b w:val="0"/>
          <w:noProof/>
          <w:sz w:val="22"/>
        </w:rPr>
        <w:fldChar w:fldCharType="separate"/>
      </w:r>
      <w:r>
        <w:rPr>
          <w:b w:val="0"/>
          <w:noProof/>
          <w:sz w:val="22"/>
        </w:rPr>
        <w:t>20</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_Toc103063393 \h </w:instrText>
      </w:r>
      <w:r>
        <w:rPr>
          <w:noProof/>
        </w:rPr>
      </w:r>
      <w:r>
        <w:rPr>
          <w:noProof/>
        </w:rPr>
        <w:fldChar w:fldCharType="separate"/>
      </w:r>
      <w:r>
        <w:rPr>
          <w:noProof/>
        </w:rPr>
        <w:t>21</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The Western Australian Turf Club Act 1892 </w:t>
      </w:r>
    </w:p>
    <w:p>
      <w:pPr>
        <w:pStyle w:val="LongTitle"/>
        <w:rPr>
          <w:snapToGrid w:val="0"/>
        </w:rPr>
      </w:pPr>
      <w:r>
        <w:rPr>
          <w:snapToGrid w:val="0"/>
        </w:rPr>
        <w:t xml:space="preserve">An Act to enable the Members of ‘The Western Australian Turf Club’ to sue and be sued in the name of the Chairman for the time being of the Committee of the said Club and for other purposes. </w:t>
      </w:r>
    </w:p>
    <w:p>
      <w:pPr>
        <w:pStyle w:val="Preamble1"/>
        <w:rPr>
          <w:snapToGrid w:val="0"/>
        </w:rPr>
      </w:pPr>
      <w:r>
        <w:rPr>
          <w:snapToGrid w:val="0"/>
        </w:rPr>
        <w:t>Preamble</w:t>
      </w:r>
    </w:p>
    <w:p>
      <w:pPr>
        <w:pStyle w:val="Preamble2"/>
        <w:rPr>
          <w:snapToGrid w:val="0"/>
        </w:rPr>
      </w:pPr>
      <w:r>
        <w:rPr>
          <w:snapToGrid w:val="0"/>
        </w:rPr>
        <w:t xml:space="preserve">Whereas by deed poll or grant from the Crown dated 11 September 1877 Her Majesty demised and leased unto Alfred Robert Waylen Walter Padbury and Stephen Henry Parker (thereinafter and hereinafter referred to as </w:t>
      </w:r>
      <w:r>
        <w:rPr>
          <w:b/>
          <w:snapToGrid w:val="0"/>
        </w:rPr>
        <w:t>‘</w:t>
      </w:r>
      <w:r>
        <w:rPr>
          <w:rStyle w:val="CharDefText"/>
        </w:rPr>
        <w:t>the Lessees</w:t>
      </w:r>
      <w:r>
        <w:rPr>
          <w:b/>
          <w:snapToGrid w:val="0"/>
        </w:rPr>
        <w:t>’</w:t>
      </w:r>
      <w:r>
        <w:rPr>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snapToGrid w:val="0"/>
        </w:rPr>
        <w:noBreakHyphen/>
        <w:t>west by about 43 chains 80 links of the North</w:t>
      </w:r>
      <w:r>
        <w:rPr>
          <w:snapToGrid w:val="0"/>
        </w:rPr>
        <w:noBreakHyphen/>
        <w:t>east boundary of Swan Location 33 extending South</w:t>
      </w:r>
      <w:r>
        <w:rPr>
          <w:snapToGrid w:val="0"/>
        </w:rPr>
        <w:noBreakHyphen/>
        <w:t>east from left bank of Swan River through centre of a certain blue gum tree marked [] on its River side and [] on its Land side about 75 links South</w:t>
      </w:r>
      <w:r>
        <w:rPr>
          <w:snapToGrid w:val="0"/>
        </w:rPr>
        <w:noBreakHyphen/>
        <w:t>east from said bank through a squared and pointed post and terminating at centre of a similar post about 7 chains 80 links farther South</w:t>
      </w:r>
      <w:r>
        <w:rPr>
          <w:snapToGrid w:val="0"/>
        </w:rPr>
        <w:noBreakHyphen/>
        <w:t>east  On the South</w:t>
      </w:r>
      <w:r>
        <w:rPr>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snapToGrid w:val="0"/>
        </w:rPr>
        <w:noBreakHyphen/>
        <w:t>east from said bank  And on the North by left bank aforesaid between North end of the East and South</w:t>
      </w:r>
      <w:r>
        <w:rPr>
          <w:snapToGrid w:val="0"/>
        </w:rPr>
        <w:noBreakHyphen/>
        <w:t>west boundaries all bearings and boundaries being true or thereabouts Excepting and reserving to Her Majesty her heirs and successors or for any person or persons acting in that behalf by her or their authority full 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recognized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snapToGrid w:val="0"/>
        </w:rPr>
        <w:noBreakHyphen/>
        <w:t>enter and the same to have again re</w:t>
      </w:r>
      <w:r>
        <w:rPr>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w:t>
      </w:r>
    </w:p>
    <w:p>
      <w:pPr>
        <w:pStyle w:val="Enactment"/>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w:t>
      </w:r>
    </w:p>
    <w:p>
      <w:pPr>
        <w:pStyle w:val="Heading5"/>
        <w:rPr>
          <w:snapToGrid w:val="0"/>
        </w:rPr>
      </w:pPr>
      <w:bookmarkStart w:id="1" w:name="_Toc34557990"/>
      <w:bookmarkStart w:id="2" w:name="_Toc36544482"/>
      <w:bookmarkStart w:id="3" w:name="_Toc37748036"/>
      <w:bookmarkStart w:id="4" w:name="_Toc10306335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rPr>
          <w:snapToGrid w:val="0"/>
        </w:rPr>
      </w:pPr>
      <w:bookmarkStart w:id="5" w:name="_Toc34557991"/>
      <w:bookmarkStart w:id="6" w:name="_Toc36544483"/>
      <w:bookmarkStart w:id="7" w:name="_Toc37748037"/>
      <w:bookmarkStart w:id="8" w:name="_Toc103063354"/>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b/>
        </w:rPr>
        <w:t>“</w:t>
      </w:r>
      <w:r>
        <w:rPr>
          <w:rStyle w:val="CharDefText"/>
        </w:rPr>
        <w:t>club</w:t>
      </w:r>
      <w:r>
        <w:rPr>
          <w:b/>
        </w:rPr>
        <w:t>”</w:t>
      </w:r>
      <w:r>
        <w:t xml:space="preserve"> means The Western Australian Turf Club.</w:t>
      </w:r>
    </w:p>
    <w:p>
      <w:pPr>
        <w:pStyle w:val="Defstart"/>
      </w:pPr>
      <w:r>
        <w:tab/>
        <w:t xml:space="preserve">The term </w:t>
      </w:r>
      <w:r>
        <w:rPr>
          <w:b/>
        </w:rPr>
        <w:t>“</w:t>
      </w:r>
      <w:r>
        <w:rPr>
          <w:rStyle w:val="CharDefText"/>
        </w:rPr>
        <w:t>committee</w:t>
      </w:r>
      <w:r>
        <w:rPr>
          <w:b/>
        </w:rPr>
        <w:t>”</w:t>
      </w:r>
      <w:r>
        <w:t xml:space="preserve"> means the committee for the time being of the club.</w:t>
      </w:r>
    </w:p>
    <w:p>
      <w:pPr>
        <w:pStyle w:val="Defstart"/>
      </w:pPr>
      <w:r>
        <w:tab/>
        <w:t xml:space="preserve">The term </w:t>
      </w:r>
      <w:r>
        <w:rPr>
          <w:b/>
        </w:rPr>
        <w:t>“</w:t>
      </w:r>
      <w:r>
        <w:rPr>
          <w:rStyle w:val="CharDefText"/>
        </w:rPr>
        <w:t>chairman</w:t>
      </w:r>
      <w:r>
        <w:rPr>
          <w:b/>
        </w:rPr>
        <w:t>”</w:t>
      </w:r>
      <w:r>
        <w:t xml:space="preserve"> means the person who is the chairman for the time being of the committee.</w:t>
      </w:r>
    </w:p>
    <w:p>
      <w:pPr>
        <w:pStyle w:val="Defstart"/>
      </w:pPr>
      <w:r>
        <w:tab/>
        <w:t xml:space="preserve">The term </w:t>
      </w:r>
      <w:r>
        <w:rPr>
          <w:b/>
        </w:rPr>
        <w:t>“</w:t>
      </w:r>
      <w:r>
        <w:rPr>
          <w:rStyle w:val="CharDefText"/>
        </w:rPr>
        <w:t>justice</w:t>
      </w:r>
      <w:r>
        <w:rPr>
          <w:b/>
        </w:rPr>
        <w:t>”</w:t>
      </w:r>
      <w:r>
        <w:t xml:space="preserve"> means a Justice of the Peace acting in and for the colony of Western Australia or in and for the city borough or session district where the matter requiring the cognizance of such justice shall arise.</w:t>
      </w:r>
    </w:p>
    <w:p>
      <w:pPr>
        <w:pStyle w:val="Defstart"/>
      </w:pPr>
      <w:r>
        <w:tab/>
        <w:t xml:space="preserve">The term </w:t>
      </w:r>
      <w:r>
        <w:rPr>
          <w:b/>
        </w:rPr>
        <w:t>“</w:t>
      </w:r>
      <w:r>
        <w:rPr>
          <w:rStyle w:val="CharDefText"/>
        </w:rPr>
        <w:t>building</w:t>
      </w:r>
      <w:r>
        <w:rPr>
          <w:b/>
        </w:rPr>
        <w:t>”</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Heading5"/>
        <w:rPr>
          <w:snapToGrid w:val="0"/>
        </w:rPr>
      </w:pPr>
      <w:bookmarkStart w:id="9" w:name="_Toc34557992"/>
      <w:bookmarkStart w:id="10" w:name="_Toc36544484"/>
      <w:bookmarkStart w:id="11" w:name="_Toc37748038"/>
      <w:bookmarkStart w:id="12" w:name="_Toc103063355"/>
      <w:r>
        <w:rPr>
          <w:rStyle w:val="CharSectno"/>
        </w:rPr>
        <w:t>3</w:t>
      </w:r>
      <w:r>
        <w:rPr>
          <w:snapToGrid w:val="0"/>
        </w:rPr>
        <w:t>.</w:t>
      </w:r>
      <w:r>
        <w:rPr>
          <w:snapToGrid w:val="0"/>
        </w:rPr>
        <w:tab/>
        <w:t>Actions to be in the name of the chairman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13" w:name="_Toc34557993"/>
      <w:bookmarkStart w:id="14" w:name="_Toc36544485"/>
      <w:bookmarkStart w:id="15" w:name="_Toc37748039"/>
      <w:bookmarkStart w:id="16" w:name="_Toc103063356"/>
      <w:r>
        <w:rPr>
          <w:rStyle w:val="CharSectno"/>
        </w:rPr>
        <w:t>4</w:t>
      </w:r>
      <w:r>
        <w:rPr>
          <w:snapToGrid w:val="0"/>
        </w:rPr>
        <w:t>.</w:t>
      </w:r>
      <w:r>
        <w:rPr>
          <w:snapToGrid w:val="0"/>
        </w:rPr>
        <w:tab/>
        <w:t>Memorial of the chairman’s name to be recorded in the Supreme Court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rPr>
          <w:snapToGrid w:val="0"/>
        </w:rPr>
      </w:pPr>
      <w:bookmarkStart w:id="17" w:name="_Toc34557994"/>
      <w:bookmarkStart w:id="18" w:name="_Toc36544486"/>
      <w:bookmarkStart w:id="19" w:name="_Toc37748040"/>
      <w:bookmarkStart w:id="20" w:name="_Toc103063357"/>
      <w:r>
        <w:rPr>
          <w:rStyle w:val="CharSectno"/>
        </w:rPr>
        <w:t>5</w:t>
      </w:r>
      <w:r>
        <w:rPr>
          <w:snapToGrid w:val="0"/>
        </w:rPr>
        <w:t>.</w:t>
      </w:r>
      <w:r>
        <w:rPr>
          <w:snapToGrid w:val="0"/>
        </w:rPr>
        <w:tab/>
        <w:t>No action to be brought until memorial is recorded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rPr>
          <w:snapToGrid w:val="0"/>
        </w:rPr>
      </w:pPr>
      <w:bookmarkStart w:id="21" w:name="_Toc34557995"/>
      <w:bookmarkStart w:id="22" w:name="_Toc36544487"/>
      <w:bookmarkStart w:id="23" w:name="_Toc37748041"/>
      <w:bookmarkStart w:id="24" w:name="_Toc103063358"/>
      <w:r>
        <w:rPr>
          <w:rStyle w:val="CharSectno"/>
        </w:rPr>
        <w:t>6</w:t>
      </w:r>
      <w:r>
        <w:rPr>
          <w:snapToGrid w:val="0"/>
        </w:rPr>
        <w:t>.</w:t>
      </w:r>
      <w:r>
        <w:rPr>
          <w:snapToGrid w:val="0"/>
        </w:rPr>
        <w:tab/>
        <w:t>Effect of judgment against the chairman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keepNext/>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25" w:name="_Toc34557996"/>
      <w:bookmarkStart w:id="26" w:name="_Toc36544488"/>
      <w:bookmarkStart w:id="27" w:name="_Toc37748042"/>
      <w:bookmarkStart w:id="28" w:name="_Toc103063359"/>
      <w:r>
        <w:rPr>
          <w:rStyle w:val="CharSectno"/>
        </w:rPr>
        <w:t>7</w:t>
      </w:r>
      <w:r>
        <w:rPr>
          <w:snapToGrid w:val="0"/>
        </w:rPr>
        <w:t>.</w:t>
      </w:r>
      <w:r>
        <w:rPr>
          <w:snapToGrid w:val="0"/>
        </w:rPr>
        <w:tab/>
        <w:t>Racecourse vested in chairman for term created by Crown Grant of 11 September 1877</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29" w:name="_Toc34557997"/>
      <w:bookmarkStart w:id="30" w:name="_Toc36544489"/>
      <w:bookmarkStart w:id="31" w:name="_Toc37748043"/>
      <w:bookmarkStart w:id="32" w:name="_Toc103063360"/>
      <w:r>
        <w:rPr>
          <w:rStyle w:val="CharSectno"/>
        </w:rPr>
        <w:t>8</w:t>
      </w:r>
      <w:r>
        <w:rPr>
          <w:snapToGrid w:val="0"/>
        </w:rPr>
        <w:t>.</w:t>
      </w:r>
      <w:r>
        <w:rPr>
          <w:snapToGrid w:val="0"/>
        </w:rPr>
        <w:tab/>
        <w:t>Crown may demise lands to chairman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rPr>
          <w:snapToGrid w:val="0"/>
        </w:rPr>
      </w:pPr>
      <w:bookmarkStart w:id="33" w:name="_Toc34557998"/>
      <w:bookmarkStart w:id="34" w:name="_Toc36544490"/>
      <w:bookmarkStart w:id="35" w:name="_Toc37748044"/>
      <w:bookmarkStart w:id="36" w:name="_Toc103063361"/>
      <w:r>
        <w:rPr>
          <w:rStyle w:val="CharSectno"/>
        </w:rPr>
        <w:t>9</w:t>
      </w:r>
      <w:r>
        <w:rPr>
          <w:snapToGrid w:val="0"/>
        </w:rPr>
        <w:t>.</w:t>
      </w:r>
      <w:r>
        <w:rPr>
          <w:snapToGrid w:val="0"/>
        </w:rPr>
        <w:tab/>
        <w:t>Lands and other property to be vested in chairman</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rPr>
          <w:snapToGrid w:val="0"/>
        </w:rPr>
      </w:pPr>
      <w:bookmarkStart w:id="37" w:name="_Toc34557999"/>
      <w:bookmarkStart w:id="38" w:name="_Toc36544491"/>
      <w:bookmarkStart w:id="39" w:name="_Toc37748045"/>
      <w:bookmarkStart w:id="40" w:name="_Toc103063362"/>
      <w:r>
        <w:rPr>
          <w:rStyle w:val="CharSectno"/>
        </w:rPr>
        <w:t>10</w:t>
      </w:r>
      <w:r>
        <w:rPr>
          <w:snapToGrid w:val="0"/>
        </w:rPr>
        <w:t>.</w:t>
      </w:r>
      <w:r>
        <w:rPr>
          <w:snapToGrid w:val="0"/>
        </w:rPr>
        <w:tab/>
        <w:t>Lands vested in chairman to be held for racecourse only</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10 amended by No. 24 of 1997 s. 5.] </w:t>
      </w:r>
    </w:p>
    <w:p>
      <w:pPr>
        <w:pStyle w:val="Heading5"/>
        <w:rPr>
          <w:snapToGrid w:val="0"/>
        </w:rPr>
      </w:pPr>
      <w:bookmarkStart w:id="41" w:name="_Toc34558000"/>
      <w:bookmarkStart w:id="42" w:name="_Toc36544492"/>
      <w:bookmarkStart w:id="43" w:name="_Toc37748046"/>
      <w:bookmarkStart w:id="44" w:name="_Toc103063363"/>
      <w:r>
        <w:rPr>
          <w:rStyle w:val="CharSectno"/>
        </w:rPr>
        <w:t>11</w:t>
      </w:r>
      <w:r>
        <w:rPr>
          <w:snapToGrid w:val="0"/>
        </w:rPr>
        <w:t>.</w:t>
      </w:r>
      <w:r>
        <w:rPr>
          <w:snapToGrid w:val="0"/>
        </w:rPr>
        <w:tab/>
        <w:t>Lands already demised to be held for purpose of a racecourse</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45" w:name="_Toc34558001"/>
      <w:bookmarkStart w:id="46" w:name="_Toc36544493"/>
      <w:bookmarkStart w:id="47" w:name="_Toc37748047"/>
      <w:bookmarkStart w:id="48" w:name="_Toc103063364"/>
      <w:r>
        <w:rPr>
          <w:rStyle w:val="CharSectno"/>
        </w:rPr>
        <w:t>12</w:t>
      </w:r>
      <w:r>
        <w:rPr>
          <w:snapToGrid w:val="0"/>
        </w:rPr>
        <w:t>.</w:t>
      </w:r>
      <w:r>
        <w:rPr>
          <w:snapToGrid w:val="0"/>
        </w:rPr>
        <w:tab/>
        <w:t>Committee may maintain buildings already erected and erect others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49" w:name="_Toc103063365"/>
      <w:bookmarkStart w:id="50" w:name="_Toc34558003"/>
      <w:bookmarkStart w:id="51" w:name="_Toc36544495"/>
      <w:bookmarkStart w:id="52" w:name="_Toc37748049"/>
      <w:r>
        <w:rPr>
          <w:rStyle w:val="CharSectno"/>
        </w:rPr>
        <w:t>13</w:t>
      </w:r>
      <w:r>
        <w:t>.</w:t>
      </w:r>
      <w:r>
        <w:tab/>
        <w:t>By</w:t>
      </w:r>
      <w:r>
        <w:noBreakHyphen/>
        <w:t>laws</w:t>
      </w:r>
      <w:bookmarkEnd w:id="49"/>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by No. 35 of 2003 s. 238.]</w:t>
      </w:r>
    </w:p>
    <w:p>
      <w:pPr>
        <w:pStyle w:val="Ednotesection"/>
      </w:pPr>
      <w:bookmarkStart w:id="53" w:name="_Toc34558010"/>
      <w:bookmarkStart w:id="54" w:name="_Toc36544502"/>
      <w:bookmarkStart w:id="55" w:name="_Toc37748056"/>
      <w:bookmarkEnd w:id="50"/>
      <w:bookmarkEnd w:id="51"/>
      <w:bookmarkEnd w:id="52"/>
      <w:r>
        <w:t>[</w:t>
      </w:r>
      <w:r>
        <w:rPr>
          <w:b/>
        </w:rPr>
        <w:t>14-20.</w:t>
      </w:r>
      <w:r>
        <w:tab/>
      </w:r>
      <w:r>
        <w:tab/>
        <w:t xml:space="preserve">Repealed by No. 35 of 2003 s. 239.] </w:t>
      </w:r>
    </w:p>
    <w:p>
      <w:pPr>
        <w:pStyle w:val="Heading5"/>
        <w:rPr>
          <w:snapToGrid w:val="0"/>
        </w:rPr>
      </w:pPr>
      <w:bookmarkStart w:id="56" w:name="_Toc103063366"/>
      <w:r>
        <w:rPr>
          <w:rStyle w:val="CharSectno"/>
        </w:rPr>
        <w:t>21</w:t>
      </w:r>
      <w:r>
        <w:rPr>
          <w:snapToGrid w:val="0"/>
        </w:rPr>
        <w:t>.</w:t>
      </w:r>
      <w:r>
        <w:rPr>
          <w:snapToGrid w:val="0"/>
        </w:rPr>
        <w:tab/>
        <w:t>Obstructing officers, etc., of committee or trespassing upon racecourse</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57" w:name="_Toc34558011"/>
      <w:bookmarkStart w:id="58" w:name="_Toc36544503"/>
      <w:bookmarkStart w:id="59" w:name="_Toc37748057"/>
      <w:bookmarkStart w:id="60" w:name="_Toc103063367"/>
      <w:r>
        <w:rPr>
          <w:rStyle w:val="CharSectno"/>
        </w:rPr>
        <w:t>22</w:t>
      </w:r>
      <w:r>
        <w:rPr>
          <w:snapToGrid w:val="0"/>
        </w:rPr>
        <w:t>.</w:t>
      </w:r>
      <w:r>
        <w:rPr>
          <w:snapToGrid w:val="0"/>
        </w:rPr>
        <w:tab/>
        <w:t>Transient offender may be arrested</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constable who shall convey him with all convenient dispatch before some justice without any warrant or other authority than this Act and such justice shall</w:t>
      </w:r>
      <w:r>
        <w:t xml:space="preserve"> deal with the offender according to law</w:t>
      </w:r>
      <w:r>
        <w:rPr>
          <w:snapToGrid w:val="0"/>
        </w:rPr>
        <w:t>.</w:t>
      </w:r>
    </w:p>
    <w:p>
      <w:pPr>
        <w:pStyle w:val="Footnotesection"/>
      </w:pPr>
      <w:bookmarkStart w:id="61" w:name="_Toc34558012"/>
      <w:bookmarkStart w:id="62" w:name="_Toc36544504"/>
      <w:bookmarkStart w:id="63" w:name="_Toc37748058"/>
      <w:r>
        <w:tab/>
        <w:t>[Section 22 amended by No. 35 of 2003 s. 240; No. 84 of 2004 s. 80.]</w:t>
      </w:r>
    </w:p>
    <w:p>
      <w:pPr>
        <w:pStyle w:val="Heading5"/>
        <w:rPr>
          <w:snapToGrid w:val="0"/>
        </w:rPr>
      </w:pPr>
      <w:bookmarkStart w:id="64" w:name="_Toc103063368"/>
      <w:r>
        <w:rPr>
          <w:rStyle w:val="CharSectno"/>
        </w:rPr>
        <w:t>23</w:t>
      </w:r>
      <w:r>
        <w:rPr>
          <w:snapToGrid w:val="0"/>
        </w:rPr>
        <w:t>.</w:t>
      </w:r>
      <w:r>
        <w:rPr>
          <w:snapToGrid w:val="0"/>
        </w:rPr>
        <w:tab/>
        <w:t>Liability to penalty not to relieve from other liabilities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65" w:name="_Toc34558013"/>
      <w:bookmarkStart w:id="66" w:name="_Toc36544505"/>
      <w:bookmarkStart w:id="67" w:name="_Toc37748059"/>
      <w:r>
        <w:tab/>
        <w:t>[Section 23 amended by No. 35 of 2003 s. 241.]</w:t>
      </w:r>
    </w:p>
    <w:p>
      <w:pPr>
        <w:pStyle w:val="Heading5"/>
        <w:rPr>
          <w:snapToGrid w:val="0"/>
        </w:rPr>
      </w:pPr>
      <w:bookmarkStart w:id="68" w:name="_Toc103063369"/>
      <w:r>
        <w:rPr>
          <w:rStyle w:val="CharSectno"/>
        </w:rPr>
        <w:t>24</w:t>
      </w:r>
      <w:r>
        <w:rPr>
          <w:snapToGrid w:val="0"/>
        </w:rPr>
        <w:t>.</w:t>
      </w:r>
      <w:r>
        <w:rPr>
          <w:snapToGrid w:val="0"/>
        </w:rPr>
        <w:tab/>
        <w:t>Committee may fix tolls and charges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69" w:name="_Toc34558014"/>
      <w:bookmarkStart w:id="70" w:name="_Toc36544506"/>
      <w:bookmarkStart w:id="71" w:name="_Toc37748060"/>
      <w:bookmarkStart w:id="72" w:name="_Toc103063370"/>
      <w:r>
        <w:rPr>
          <w:rStyle w:val="CharSectno"/>
        </w:rPr>
        <w:t>25</w:t>
      </w:r>
      <w:r>
        <w:rPr>
          <w:snapToGrid w:val="0"/>
        </w:rPr>
        <w:t>.</w:t>
      </w:r>
      <w:r>
        <w:rPr>
          <w:snapToGrid w:val="0"/>
        </w:rPr>
        <w:tab/>
        <w:t>Chairman may let lands buildings or tolls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73" w:name="_Toc34558015"/>
      <w:bookmarkStart w:id="74" w:name="_Toc36544507"/>
      <w:bookmarkStart w:id="75" w:name="_Toc37748061"/>
      <w:bookmarkStart w:id="76" w:name="_Toc103063371"/>
      <w:r>
        <w:rPr>
          <w:rStyle w:val="CharSectno"/>
        </w:rPr>
        <w:t>26</w:t>
      </w:r>
      <w:r>
        <w:rPr>
          <w:snapToGrid w:val="0"/>
        </w:rPr>
        <w:t>.</w:t>
      </w:r>
      <w:r>
        <w:rPr>
          <w:snapToGrid w:val="0"/>
        </w:rPr>
        <w:tab/>
        <w:t>Borrowing powers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t xml:space="preserve">Repealed by No. 24 of 1997 s. 7.] </w:t>
      </w:r>
    </w:p>
    <w:p>
      <w:pPr>
        <w:pStyle w:val="Heading5"/>
        <w:rPr>
          <w:snapToGrid w:val="0"/>
        </w:rPr>
      </w:pPr>
      <w:bookmarkStart w:id="77" w:name="_Toc34558016"/>
      <w:bookmarkStart w:id="78" w:name="_Toc36544508"/>
      <w:bookmarkStart w:id="79" w:name="_Toc37748062"/>
      <w:bookmarkStart w:id="80" w:name="_Toc103063372"/>
      <w:r>
        <w:rPr>
          <w:rStyle w:val="CharSectno"/>
        </w:rPr>
        <w:t>28</w:t>
      </w:r>
      <w:r>
        <w:rPr>
          <w:snapToGrid w:val="0"/>
        </w:rPr>
        <w:t>.</w:t>
      </w:r>
      <w:r>
        <w:rPr>
          <w:snapToGrid w:val="0"/>
        </w:rPr>
        <w:tab/>
        <w:t>Power to give security</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81" w:name="_Toc34558017"/>
      <w:bookmarkStart w:id="82" w:name="_Toc36544509"/>
      <w:bookmarkStart w:id="83" w:name="_Toc37748063"/>
      <w:bookmarkStart w:id="84" w:name="_Toc103063373"/>
      <w:r>
        <w:rPr>
          <w:rStyle w:val="CharSectno"/>
        </w:rPr>
        <w:t>29</w:t>
      </w:r>
      <w:r>
        <w:rPr>
          <w:snapToGrid w:val="0"/>
        </w:rPr>
        <w:t>.</w:t>
      </w:r>
      <w:r>
        <w:rPr>
          <w:snapToGrid w:val="0"/>
        </w:rPr>
        <w:tab/>
        <w:t>Transfer of mortgage</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85" w:name="_Toc34558018"/>
      <w:bookmarkStart w:id="86" w:name="_Toc36544510"/>
      <w:bookmarkStart w:id="87" w:name="_Toc37748064"/>
      <w:bookmarkStart w:id="88" w:name="_Toc103063374"/>
      <w:r>
        <w:rPr>
          <w:rStyle w:val="CharSectno"/>
        </w:rPr>
        <w:t>30</w:t>
      </w:r>
      <w:r>
        <w:rPr>
          <w:snapToGrid w:val="0"/>
        </w:rPr>
        <w:t>.</w:t>
      </w:r>
      <w:r>
        <w:rPr>
          <w:snapToGrid w:val="0"/>
        </w:rPr>
        <w:tab/>
        <w:t>Rights of mortgagees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89" w:name="_Toc34558019"/>
      <w:bookmarkStart w:id="90" w:name="_Toc36544511"/>
      <w:bookmarkStart w:id="91" w:name="_Toc37748065"/>
      <w:bookmarkStart w:id="92" w:name="_Toc103063375"/>
      <w:r>
        <w:rPr>
          <w:rStyle w:val="CharSectno"/>
        </w:rPr>
        <w:t>31</w:t>
      </w:r>
      <w:r>
        <w:rPr>
          <w:snapToGrid w:val="0"/>
        </w:rPr>
        <w:t>.</w:t>
      </w:r>
      <w:r>
        <w:rPr>
          <w:snapToGrid w:val="0"/>
        </w:rPr>
        <w:tab/>
        <w:t>Arrears of interest when to be enforced by appointment of receiver</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93" w:name="_Toc34558020"/>
      <w:bookmarkStart w:id="94" w:name="_Toc36544512"/>
      <w:bookmarkStart w:id="95" w:name="_Toc37748066"/>
      <w:bookmarkStart w:id="96" w:name="_Toc103063376"/>
      <w:r>
        <w:rPr>
          <w:rStyle w:val="CharSectno"/>
        </w:rPr>
        <w:t>32</w:t>
      </w:r>
      <w:r>
        <w:rPr>
          <w:snapToGrid w:val="0"/>
        </w:rPr>
        <w:t>.</w:t>
      </w:r>
      <w:r>
        <w:rPr>
          <w:snapToGrid w:val="0"/>
        </w:rPr>
        <w:tab/>
        <w:t>Appointment of receiver</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97" w:name="_Toc34558021"/>
      <w:bookmarkStart w:id="98" w:name="_Toc36544513"/>
      <w:bookmarkStart w:id="99" w:name="_Toc37748067"/>
      <w:bookmarkStart w:id="100" w:name="_Toc103063377"/>
      <w:r>
        <w:rPr>
          <w:rStyle w:val="CharSectno"/>
        </w:rPr>
        <w:t>33</w:t>
      </w:r>
      <w:r>
        <w:rPr>
          <w:snapToGrid w:val="0"/>
        </w:rPr>
        <w:t>.</w:t>
      </w:r>
      <w:r>
        <w:rPr>
          <w:snapToGrid w:val="0"/>
        </w:rPr>
        <w:tab/>
        <w:t>Commissioner of Crown Lands may authorise inspection of racecourse and buildings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101" w:name="_Toc34558022"/>
      <w:bookmarkStart w:id="102" w:name="_Toc36544514"/>
      <w:bookmarkStart w:id="103" w:name="_Toc37748068"/>
      <w:bookmarkStart w:id="104" w:name="_Toc103063378"/>
      <w:r>
        <w:rPr>
          <w:rStyle w:val="CharSectno"/>
        </w:rPr>
        <w:t>34</w:t>
      </w:r>
      <w:r>
        <w:rPr>
          <w:snapToGrid w:val="0"/>
        </w:rPr>
        <w:t>.</w:t>
      </w:r>
      <w:r>
        <w:rPr>
          <w:snapToGrid w:val="0"/>
        </w:rPr>
        <w:tab/>
        <w:t>Commissioner of Crown Lands may give notice to repair, etc.</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05" w:name="_Toc34558023"/>
      <w:bookmarkStart w:id="106" w:name="_Toc36544515"/>
      <w:bookmarkStart w:id="107" w:name="_Toc37748069"/>
      <w:bookmarkStart w:id="108" w:name="_Toc103063379"/>
      <w:r>
        <w:rPr>
          <w:rStyle w:val="CharSectno"/>
        </w:rPr>
        <w:t>35</w:t>
      </w:r>
      <w:r>
        <w:rPr>
          <w:snapToGrid w:val="0"/>
        </w:rPr>
        <w:t>.</w:t>
      </w:r>
      <w:r>
        <w:rPr>
          <w:snapToGrid w:val="0"/>
        </w:rPr>
        <w:tab/>
        <w:t>Service of notice</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09" w:name="_Toc34558024"/>
      <w:bookmarkStart w:id="110" w:name="_Toc36544516"/>
      <w:bookmarkStart w:id="111" w:name="_Toc37748070"/>
      <w:bookmarkStart w:id="112" w:name="_Toc103063380"/>
      <w:r>
        <w:rPr>
          <w:rStyle w:val="CharSectno"/>
        </w:rPr>
        <w:t>36</w:t>
      </w:r>
      <w:r>
        <w:rPr>
          <w:snapToGrid w:val="0"/>
        </w:rPr>
        <w:t>.</w:t>
      </w:r>
      <w:r>
        <w:rPr>
          <w:snapToGrid w:val="0"/>
        </w:rPr>
        <w:tab/>
        <w:t>Committee to repair, etc., upon notice</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13" w:name="_Toc34558025"/>
      <w:bookmarkStart w:id="114" w:name="_Toc36544517"/>
      <w:bookmarkStart w:id="115" w:name="_Toc37748071"/>
      <w:bookmarkStart w:id="116" w:name="_Toc103063381"/>
      <w:r>
        <w:rPr>
          <w:rStyle w:val="CharSectno"/>
        </w:rPr>
        <w:t>37</w:t>
      </w:r>
      <w:r>
        <w:rPr>
          <w:snapToGrid w:val="0"/>
        </w:rPr>
        <w:t>.</w:t>
      </w:r>
      <w:r>
        <w:rPr>
          <w:snapToGrid w:val="0"/>
        </w:rPr>
        <w:tab/>
        <w:t>Officers to give security</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117" w:name="_Toc34558026"/>
      <w:bookmarkStart w:id="118" w:name="_Toc36544518"/>
      <w:bookmarkStart w:id="119" w:name="_Toc37748072"/>
      <w:bookmarkStart w:id="120" w:name="_Toc103063382"/>
      <w:r>
        <w:rPr>
          <w:rStyle w:val="CharSectno"/>
        </w:rPr>
        <w:t>38</w:t>
      </w:r>
      <w:r>
        <w:rPr>
          <w:snapToGrid w:val="0"/>
        </w:rPr>
        <w:t>.</w:t>
      </w:r>
      <w:r>
        <w:rPr>
          <w:snapToGrid w:val="0"/>
        </w:rPr>
        <w:tab/>
        <w:t>Accounts to be kept</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121" w:name="_Toc34558027"/>
      <w:bookmarkStart w:id="122" w:name="_Toc36544519"/>
      <w:bookmarkStart w:id="123" w:name="_Toc37748073"/>
      <w:bookmarkStart w:id="124" w:name="_Toc103063383"/>
      <w:r>
        <w:rPr>
          <w:rStyle w:val="CharSectno"/>
        </w:rPr>
        <w:t>39</w:t>
      </w:r>
      <w:r>
        <w:rPr>
          <w:snapToGrid w:val="0"/>
        </w:rPr>
        <w:t>.</w:t>
      </w:r>
      <w:r>
        <w:rPr>
          <w:snapToGrid w:val="0"/>
        </w:rPr>
        <w:tab/>
        <w:t>Appointment of auditors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25" w:name="_Toc34558028"/>
      <w:bookmarkStart w:id="126" w:name="_Toc36544520"/>
      <w:bookmarkStart w:id="127" w:name="_Toc37748074"/>
      <w:bookmarkStart w:id="128" w:name="_Toc103063384"/>
      <w:r>
        <w:rPr>
          <w:rStyle w:val="CharSectno"/>
        </w:rPr>
        <w:t>40</w:t>
      </w:r>
      <w:r>
        <w:rPr>
          <w:snapToGrid w:val="0"/>
        </w:rPr>
        <w:t>.</w:t>
      </w:r>
      <w:r>
        <w:rPr>
          <w:snapToGrid w:val="0"/>
        </w:rPr>
        <w:tab/>
        <w:t>Books to be balanced and audited</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129" w:name="_Toc34558029"/>
      <w:bookmarkStart w:id="130" w:name="_Toc36544521"/>
      <w:bookmarkStart w:id="131" w:name="_Toc37748075"/>
      <w:bookmarkStart w:id="132" w:name="_Toc103063385"/>
      <w:r>
        <w:rPr>
          <w:rStyle w:val="CharSectno"/>
        </w:rPr>
        <w:t>41</w:t>
      </w:r>
      <w:r>
        <w:rPr>
          <w:snapToGrid w:val="0"/>
        </w:rPr>
        <w:t>.</w:t>
      </w:r>
      <w:r>
        <w:rPr>
          <w:snapToGrid w:val="0"/>
        </w:rPr>
        <w:tab/>
        <w:t>Copy of annual account to be submitted to chief executive officer</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by No. 77 of 1990 s. 5.] </w:t>
      </w:r>
    </w:p>
    <w:p>
      <w:pPr>
        <w:pStyle w:val="Heading5"/>
        <w:rPr>
          <w:snapToGrid w:val="0"/>
        </w:rPr>
      </w:pPr>
      <w:bookmarkStart w:id="133" w:name="_Toc34558030"/>
      <w:bookmarkStart w:id="134" w:name="_Toc36544522"/>
      <w:bookmarkStart w:id="135" w:name="_Toc37748076"/>
      <w:bookmarkStart w:id="136" w:name="_Toc103063386"/>
      <w:r>
        <w:rPr>
          <w:rStyle w:val="CharSectno"/>
        </w:rPr>
        <w:t>41A</w:t>
      </w:r>
      <w:r>
        <w:rPr>
          <w:snapToGrid w:val="0"/>
        </w:rPr>
        <w:t xml:space="preserve">. </w:t>
      </w:r>
      <w:r>
        <w:rPr>
          <w:snapToGrid w:val="0"/>
        </w:rPr>
        <w:tab/>
        <w:t>Inspection of annual account</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137" w:name="_Toc34558031"/>
      <w:bookmarkStart w:id="138" w:name="_Toc36544523"/>
      <w:bookmarkStart w:id="139" w:name="_Toc37748077"/>
      <w:bookmarkStart w:id="140" w:name="_Toc103063387"/>
      <w:r>
        <w:rPr>
          <w:rStyle w:val="CharSectno"/>
        </w:rPr>
        <w:t>42</w:t>
      </w:r>
      <w:r>
        <w:rPr>
          <w:snapToGrid w:val="0"/>
        </w:rPr>
        <w:t>.</w:t>
      </w:r>
      <w:r>
        <w:rPr>
          <w:snapToGrid w:val="0"/>
        </w:rPr>
        <w:tab/>
        <w:t>Club not to be incorporated</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141" w:name="_Toc34558032"/>
      <w:bookmarkStart w:id="142" w:name="_Toc36544524"/>
      <w:bookmarkStart w:id="143" w:name="_Toc37748078"/>
      <w:bookmarkStart w:id="144" w:name="_Toc103063388"/>
      <w:r>
        <w:rPr>
          <w:rStyle w:val="CharSectno"/>
        </w:rPr>
        <w:t>43</w:t>
      </w:r>
      <w:r>
        <w:rPr>
          <w:snapToGrid w:val="0"/>
        </w:rPr>
        <w:t>.</w:t>
      </w:r>
      <w:r>
        <w:rPr>
          <w:snapToGrid w:val="0"/>
        </w:rPr>
        <w:tab/>
        <w:t>If racecourse not maintained and used land to revert to the Crown</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145" w:name="_Toc34558033"/>
      <w:bookmarkStart w:id="146" w:name="_Toc36544525"/>
      <w:bookmarkStart w:id="147" w:name="_Toc37748079"/>
      <w:bookmarkStart w:id="148" w:name="_Toc103063389"/>
      <w:r>
        <w:rPr>
          <w:rStyle w:val="CharSectno"/>
        </w:rPr>
        <w:t>44</w:t>
      </w:r>
      <w:r>
        <w:rPr>
          <w:snapToGrid w:val="0"/>
        </w:rPr>
        <w:t>.</w:t>
      </w:r>
      <w:r>
        <w:rPr>
          <w:snapToGrid w:val="0"/>
        </w:rPr>
        <w:tab/>
        <w:t>Building to be paid for if possession re</w:t>
      </w:r>
      <w:r>
        <w:rPr>
          <w:snapToGrid w:val="0"/>
        </w:rPr>
        <w:noBreakHyphen/>
        <w:t>resumed</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149" w:name="_Toc34558034"/>
      <w:bookmarkStart w:id="150" w:name="_Toc36544526"/>
      <w:bookmarkStart w:id="151" w:name="_Toc37748080"/>
      <w:bookmarkStart w:id="152" w:name="_Toc103063390"/>
      <w:r>
        <w:rPr>
          <w:rStyle w:val="CharSectno"/>
        </w:rPr>
        <w:t>45</w:t>
      </w:r>
      <w:r>
        <w:rPr>
          <w:snapToGrid w:val="0"/>
        </w:rPr>
        <w:t>.</w:t>
      </w:r>
      <w:r>
        <w:rPr>
          <w:snapToGrid w:val="0"/>
        </w:rPr>
        <w:tab/>
        <w:t>Saving of rights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bookmarkStart w:id="153" w:name="_Toc36544527"/>
      <w:bookmarkStart w:id="154" w:name="_Toc37748081"/>
    </w:p>
    <w:p>
      <w:pPr>
        <w:pStyle w:val="yScheduleHeading"/>
      </w:pPr>
      <w:bookmarkStart w:id="155" w:name="_Toc103063391"/>
      <w:r>
        <w:rPr>
          <w:rStyle w:val="CharSchNo"/>
        </w:rPr>
        <w:t>First Schedule</w:t>
      </w:r>
      <w:bookmarkEnd w:id="153"/>
      <w:bookmarkEnd w:id="154"/>
      <w:bookmarkEnd w:id="155"/>
      <w:r>
        <w:rPr>
          <w:rStyle w:val="CharSchText"/>
        </w:rPr>
        <w:t xml:space="preserve"> </w:t>
      </w:r>
    </w:p>
    <w:p>
      <w:pPr>
        <w:pStyle w:val="yMiscellaneousHeading"/>
        <w:rPr>
          <w:snapToGrid w:val="0"/>
        </w:rPr>
      </w:pPr>
      <w:r>
        <w:rPr>
          <w:snapToGrid w:val="0"/>
        </w:rPr>
        <w:t>THE WESTERN AUSTRALIAN TURF CLUB</w:t>
      </w:r>
    </w:p>
    <w:p>
      <w:pPr>
        <w:pStyle w:val="yMiscellaneousBody"/>
        <w:rPr>
          <w:snapToGrid w:val="0"/>
        </w:rPr>
      </w:pPr>
      <w:r>
        <w:rPr>
          <w:snapToGrid w:val="0"/>
        </w:rPr>
        <w:t>Section 4</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repealed by No. 24 of 1997 s. 11.]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56" w:name="_Toc96328576"/>
      <w:bookmarkStart w:id="157" w:name="_Toc96328620"/>
      <w:bookmarkStart w:id="158" w:name="_Toc96502467"/>
      <w:bookmarkStart w:id="159" w:name="_Toc96502548"/>
      <w:bookmarkStart w:id="160" w:name="_Toc103063392"/>
      <w:r>
        <w:t>Notes</w:t>
      </w:r>
      <w:bookmarkEnd w:id="156"/>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noProof/>
          <w:snapToGrid w:val="0"/>
        </w:rPr>
        <w:t>The Western Australian Turf Club Act 1892</w:t>
      </w:r>
      <w:r>
        <w:rPr>
          <w:snapToGrid w:val="0"/>
        </w:rPr>
        <w:t xml:space="preserve"> and includes the amendments made by the other written laws referred to in the following table</w:t>
      </w:r>
      <w:r>
        <w:rPr>
          <w:snapToGrid w:val="0"/>
          <w:vertAlign w:val="superscript"/>
        </w:rPr>
        <w:t xml:space="preserve"> 6</w:t>
      </w:r>
      <w:r>
        <w:rPr>
          <w:snapToGrid w:val="0"/>
        </w:rPr>
        <w:t>.  The table also contains information about any reprint.</w:t>
      </w:r>
    </w:p>
    <w:p>
      <w:pPr>
        <w:pStyle w:val="nHeading3"/>
        <w:rPr>
          <w:snapToGrid w:val="0"/>
        </w:rPr>
      </w:pPr>
      <w:bookmarkStart w:id="161" w:name="_Toc36544528"/>
      <w:bookmarkStart w:id="162" w:name="_Toc37748082"/>
      <w:bookmarkStart w:id="163" w:name="_Toc103063393"/>
      <w:r>
        <w:rPr>
          <w:snapToGrid w:val="0"/>
        </w:rPr>
        <w:t>Compilation table</w:t>
      </w:r>
      <w:bookmarkEnd w:id="161"/>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Pr>
          <w:p>
            <w:pPr>
              <w:pStyle w:val="nTable"/>
              <w:spacing w:after="40"/>
              <w:rPr>
                <w:sz w:val="19"/>
              </w:rPr>
            </w:pPr>
            <w:r>
              <w:rPr>
                <w:i/>
                <w:sz w:val="19"/>
              </w:rPr>
              <w:t>The Western Australian Turf Club Act 1892</w:t>
            </w:r>
          </w:p>
        </w:tc>
        <w:tc>
          <w:tcPr>
            <w:tcW w:w="1134" w:type="dxa"/>
          </w:tcPr>
          <w:p>
            <w:pPr>
              <w:pStyle w:val="nTable"/>
              <w:spacing w:after="40"/>
              <w:rPr>
                <w:sz w:val="19"/>
              </w:rPr>
            </w:pPr>
            <w:r>
              <w:rPr>
                <w:sz w:val="19"/>
              </w:rPr>
              <w:t>55 Vict Private Act</w:t>
            </w:r>
          </w:p>
        </w:tc>
        <w:tc>
          <w:tcPr>
            <w:tcW w:w="1134" w:type="dxa"/>
          </w:tcPr>
          <w:p>
            <w:pPr>
              <w:pStyle w:val="nTable"/>
              <w:spacing w:after="40"/>
              <w:rPr>
                <w:sz w:val="19"/>
              </w:rPr>
            </w:pPr>
            <w:r>
              <w:rPr>
                <w:sz w:val="19"/>
              </w:rPr>
              <w:t>18 Mar 1892</w:t>
            </w:r>
          </w:p>
        </w:tc>
        <w:tc>
          <w:tcPr>
            <w:tcW w:w="2551" w:type="dxa"/>
          </w:tcPr>
          <w:p>
            <w:pPr>
              <w:pStyle w:val="nTable"/>
              <w:spacing w:after="40"/>
              <w:rPr>
                <w:sz w:val="19"/>
              </w:rPr>
            </w:pPr>
            <w:r>
              <w:rPr>
                <w:sz w:val="19"/>
              </w:rPr>
              <w:t>18 Mar 1892</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 (see s. 2(2)); balance: 21 Dec 1965 (see s. 2(1))</w:t>
            </w:r>
          </w:p>
        </w:tc>
      </w:tr>
      <w:tr>
        <w:trPr>
          <w:cantSplit/>
        </w:trPr>
        <w:tc>
          <w:tcPr>
            <w:tcW w:w="7087"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t>(</w:t>
            </w:r>
            <w:r>
              <w:rPr>
                <w:sz w:val="19"/>
              </w:rPr>
              <w:t>includes amendments listed above)</w:t>
            </w:r>
          </w:p>
        </w:tc>
      </w:tr>
      <w:tr>
        <w:tc>
          <w:tcPr>
            <w:tcW w:w="2268" w:type="dxa"/>
          </w:tcPr>
          <w:p>
            <w:pPr>
              <w:pStyle w:val="nTable"/>
              <w:spacing w:after="40"/>
              <w:rPr>
                <w:sz w:val="19"/>
                <w:vertAlign w:val="superscript"/>
              </w:rPr>
            </w:pPr>
            <w:r>
              <w:rPr>
                <w:i/>
                <w:sz w:val="19"/>
              </w:rPr>
              <w:t>The Western Australian Turf Club Amendment Act 1990</w:t>
            </w:r>
            <w:r>
              <w:rPr>
                <w:sz w:val="19"/>
                <w:vertAlign w:val="superscript"/>
              </w:rPr>
              <w:t> 4</w:t>
            </w:r>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Feb 1991 (see s. 2 and </w:t>
            </w:r>
            <w:r>
              <w:rPr>
                <w:i/>
                <w:sz w:val="19"/>
              </w:rPr>
              <w:t>Gazette</w:t>
            </w:r>
            <w:r>
              <w:rPr>
                <w:sz w:val="19"/>
              </w:rPr>
              <w:t xml:space="preserve"> 25 Jan 1991 p. 268)</w:t>
            </w:r>
          </w:p>
        </w:tc>
      </w:tr>
      <w:tr>
        <w:tc>
          <w:tcPr>
            <w:tcW w:w="2268"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5</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1" w:type="dxa"/>
          </w:tcPr>
          <w:p>
            <w:pPr>
              <w:pStyle w:val="nTable"/>
              <w:spacing w:after="40"/>
              <w:rPr>
                <w:sz w:val="19"/>
              </w:rPr>
            </w:pPr>
            <w:r>
              <w:rPr>
                <w:sz w:val="19"/>
              </w:rPr>
              <w:t>24 Sep 1997 (see s. 2)</w:t>
            </w:r>
          </w:p>
        </w:tc>
      </w:tr>
      <w:tr>
        <w:trPr>
          <w:cantSplit/>
        </w:trPr>
        <w:tc>
          <w:tcPr>
            <w:tcW w:w="7087"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8" w:type="dxa"/>
          </w:tcPr>
          <w:p>
            <w:pPr>
              <w:pStyle w:val="nTable"/>
              <w:spacing w:after="40"/>
              <w:rPr>
                <w:i/>
                <w:sz w:val="19"/>
              </w:rPr>
            </w:pPr>
            <w:r>
              <w:rPr>
                <w:i/>
              </w:rPr>
              <w:t>Racing and Gambling Legislation Amendment and Repeal Act 2003</w:t>
            </w:r>
            <w:r>
              <w:t xml:space="preserve"> Pt. 14</w:t>
            </w:r>
            <w:r>
              <w:rPr>
                <w:vertAlign w:val="superscript"/>
              </w:rPr>
              <w:t> 7</w:t>
            </w:r>
          </w:p>
        </w:tc>
        <w:tc>
          <w:tcPr>
            <w:tcW w:w="1134" w:type="dxa"/>
          </w:tcPr>
          <w:p>
            <w:pPr>
              <w:pStyle w:val="nTable"/>
              <w:spacing w:after="40"/>
              <w:rPr>
                <w:sz w:val="19"/>
              </w:rPr>
            </w:pPr>
            <w:r>
              <w:t>35 of 2003</w:t>
            </w:r>
          </w:p>
        </w:tc>
        <w:tc>
          <w:tcPr>
            <w:tcW w:w="1134" w:type="dxa"/>
          </w:tcPr>
          <w:p>
            <w:pPr>
              <w:pStyle w:val="nTable"/>
              <w:spacing w:after="40"/>
              <w:rPr>
                <w:sz w:val="19"/>
              </w:rPr>
            </w:pPr>
            <w:r>
              <w:t>26 Jun 2003</w:t>
            </w:r>
          </w:p>
        </w:tc>
        <w:tc>
          <w:tcPr>
            <w:tcW w:w="2551" w:type="dxa"/>
          </w:tcPr>
          <w:p>
            <w:pPr>
              <w:pStyle w:val="nTable"/>
              <w:spacing w:after="40"/>
              <w:rPr>
                <w:sz w:val="19"/>
              </w:rPr>
            </w:pPr>
            <w:r>
              <w:t xml:space="preserve">1 Aug 2003 (see s. 2 and </w:t>
            </w:r>
            <w:r>
              <w:rPr>
                <w:i/>
              </w:rPr>
              <w:t>Gazette</w:t>
            </w:r>
            <w:r>
              <w:t xml:space="preserve"> 29 Jul 2003 p. 3259)</w:t>
            </w:r>
          </w:p>
        </w:tc>
      </w:tr>
      <w:tr>
        <w:tc>
          <w:tcPr>
            <w:tcW w:w="2268" w:type="dxa"/>
            <w:tcBorders>
              <w:bottom w:val="single" w:sz="4" w:space="0" w:color="auto"/>
            </w:tcBorders>
          </w:tcPr>
          <w:p>
            <w:pPr>
              <w:pStyle w:val="nTable"/>
              <w:spacing w:after="40"/>
              <w:rPr>
                <w:i/>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after="40"/>
            </w:pPr>
            <w:r>
              <w:rPr>
                <w:snapToGrid w:val="0"/>
                <w:sz w:val="19"/>
                <w:lang w:val="en-US"/>
              </w:rPr>
              <w:t>84 of 2004</w:t>
            </w:r>
          </w:p>
        </w:tc>
        <w:tc>
          <w:tcPr>
            <w:tcW w:w="1134" w:type="dxa"/>
            <w:tcBorders>
              <w:bottom w:val="single" w:sz="4" w:space="0" w:color="auto"/>
            </w:tcBorders>
          </w:tcPr>
          <w:p>
            <w:pPr>
              <w:pStyle w:val="nTable"/>
              <w:spacing w:after="40"/>
            </w:pPr>
            <w:r>
              <w:rPr>
                <w:sz w:val="19"/>
              </w:rPr>
              <w:t>16 Dec 2004</w:t>
            </w:r>
          </w:p>
        </w:tc>
        <w:tc>
          <w:tcPr>
            <w:tcW w:w="2551" w:type="dxa"/>
            <w:tcBorders>
              <w:bottom w:val="single" w:sz="4" w:space="0" w:color="auto"/>
            </w:tcBorders>
          </w:tcPr>
          <w:p>
            <w:pPr>
              <w:pStyle w:val="nTable"/>
              <w:spacing w:after="40"/>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bl>
    <w:p>
      <w:pPr>
        <w:pStyle w:val="nSubsection"/>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rPr>
          <w:snapToGrid w:val="0"/>
        </w:rPr>
      </w:pPr>
      <w:r>
        <w:rPr>
          <w:snapToGrid w:val="0"/>
          <w:vertAlign w:val="superscript"/>
        </w:rPr>
        <w:t>4</w:t>
      </w:r>
      <w:r>
        <w:rPr>
          <w:snapToGrid w:val="0"/>
        </w:rPr>
        <w:tab/>
      </w:r>
      <w:r>
        <w:rPr>
          <w:i/>
          <w:sz w:val="19"/>
        </w:rPr>
        <w:t>The</w:t>
      </w:r>
      <w:r>
        <w:rPr>
          <w:sz w:val="19"/>
        </w:rPr>
        <w:t xml:space="preserve"> </w:t>
      </w:r>
      <w:r>
        <w:rPr>
          <w:i/>
          <w:sz w:val="19"/>
        </w:rPr>
        <w:t xml:space="preserve">Western Australian Turf Club Amendment Act 1990 </w:t>
      </w:r>
      <w:r>
        <w:rPr>
          <w:snapToGrid w:val="0"/>
        </w:rPr>
        <w:t>s. 6  reads as follows: </w:t>
      </w:r>
    </w:p>
    <w:p>
      <w:pPr>
        <w:pStyle w:val="MiscOpen"/>
        <w:rPr>
          <w:snapToGrid w:val="0"/>
        </w:rPr>
      </w:pPr>
      <w:r>
        <w:rPr>
          <w:snapToGrid w:val="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z w:val="19"/>
        </w:rPr>
        <w:t xml:space="preserve">Turf Club Legislation Amendment Act 1997 </w:t>
      </w:r>
      <w:r>
        <w:rPr>
          <w:snapToGrid w:val="0"/>
        </w:rPr>
        <w:t>s. 12 reads as follows:</w:t>
      </w:r>
    </w:p>
    <w:p>
      <w:pPr>
        <w:pStyle w:val="MiscOpen"/>
        <w:rPr>
          <w:snapToGrid w:val="0"/>
        </w:rPr>
      </w:pPr>
      <w:r>
        <w:rPr>
          <w:snapToGrid w:val="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rPr>
      </w:pPr>
      <w:r>
        <w:rPr>
          <w:snapToGrid w:val="0"/>
        </w:rPr>
        <w:t>”.</w:t>
      </w:r>
    </w:p>
    <w:p>
      <w:pPr>
        <w:pStyle w:val="nSubsection"/>
        <w:keepNext/>
      </w:pPr>
      <w:r>
        <w:rPr>
          <w:vertAlign w:val="superscript"/>
        </w:rPr>
        <w:t>6</w:t>
      </w:r>
      <w:r>
        <w:tab/>
        <w:t xml:space="preserve">This Act is to be read in conjunction with the </w:t>
      </w:r>
      <w:r>
        <w:rPr>
          <w:i/>
        </w:rPr>
        <w:t xml:space="preserve">Western Australian Turf Club (Property) Act 1944 </w:t>
      </w:r>
      <w:r>
        <w:t>(see</w:t>
      </w:r>
      <w:r>
        <w:rPr>
          <w:i/>
        </w:rPr>
        <w:t> </w:t>
      </w:r>
      <w:r>
        <w:t>s. 2 of that Act).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164" w:name="_Toc20219085"/>
      <w:bookmarkStart w:id="165" w:name="_Toc20710666"/>
      <w:bookmarkStart w:id="166" w:name="_Toc22632825"/>
      <w:bookmarkStart w:id="167" w:name="_Toc44146574"/>
      <w:r>
        <w:rPr>
          <w:rStyle w:val="CharSectno"/>
        </w:rPr>
        <w:t>19</w:t>
      </w:r>
      <w:r>
        <w:t>.</w:t>
      </w:r>
      <w:r>
        <w:tab/>
        <w:t>Power to amend regulations</w:t>
      </w:r>
      <w:bookmarkEnd w:id="164"/>
      <w:bookmarkEnd w:id="165"/>
      <w:bookmarkEnd w:id="166"/>
      <w:bookmarkEnd w:id="16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Open"/>
      </w:pPr>
      <w:r>
        <w:t xml:space="preserve"> “</w:t>
      </w:r>
    </w:p>
    <w:p>
      <w:pPr>
        <w:pStyle w:val="nzHeading3"/>
      </w:pPr>
      <w:r>
        <w:rPr>
          <w:rStyle w:val="CharDivNo"/>
        </w:rPr>
        <w:t>Division 2</w:t>
      </w:r>
      <w:r>
        <w:t> — </w:t>
      </w:r>
      <w:r>
        <w:rPr>
          <w:rStyle w:val="CharDivText"/>
        </w:rPr>
        <w:t>Transitional provision</w:t>
      </w:r>
    </w:p>
    <w:p>
      <w:pPr>
        <w:pStyle w:val="nzHeading5"/>
      </w:pPr>
      <w:bookmarkStart w:id="168" w:name="_Toc44146797"/>
      <w:r>
        <w:rPr>
          <w:rStyle w:val="CharSectno"/>
        </w:rPr>
        <w:t>242</w:t>
      </w:r>
      <w:r>
        <w:t>.</w:t>
      </w:r>
      <w:r>
        <w:tab/>
        <w:t>By</w:t>
      </w:r>
      <w:r>
        <w:noBreakHyphen/>
        <w:t>laws — continuation and expiry</w:t>
      </w:r>
      <w:bookmarkEnd w:id="168"/>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169" w:name="_Hlt30405868"/>
      <w:bookmarkEnd w:id="169"/>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170" w:name="_Hlt30405859"/>
      <w:bookmarkEnd w:id="170"/>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773"/>
      <w:gridCol w:w="5490"/>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773" w:type="dxa"/>
        </w:tcPr>
        <w:p>
          <w:pPr>
            <w:pStyle w:val="HeaderNumberLeft"/>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r>
      <w:trPr>
        <w:cantSplit/>
      </w:trPr>
      <w:tc>
        <w:tcPr>
          <w:tcW w:w="1773" w:type="dxa"/>
        </w:tcPr>
        <w:p>
          <w:pPr>
            <w:pStyle w:val="HeaderSectionRight"/>
            <w:ind w:right="17"/>
            <w:jc w:val="left"/>
          </w:pPr>
          <w:r>
            <w:fldChar w:fldCharType="begin"/>
          </w:r>
          <w:r>
            <w:instrText xml:space="preserve"> STYLEREF CharSchNo \* MERGEFORMAT </w:instrText>
          </w:r>
          <w:r>
            <w:fldChar w:fldCharType="end"/>
          </w:r>
        </w:p>
      </w:tc>
      <w:tc>
        <w:tcPr>
          <w:tcW w:w="5485"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24C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98DB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FABF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D255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A05D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6E4C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0EAB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4AAA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10CBCA"/>
    <w:lvl w:ilvl="0">
      <w:start w:val="1"/>
      <w:numFmt w:val="decimal"/>
      <w:pStyle w:val="ListNumber"/>
      <w:lvlText w:val="%1."/>
      <w:lvlJc w:val="left"/>
      <w:pPr>
        <w:tabs>
          <w:tab w:val="num" w:pos="360"/>
        </w:tabs>
        <w:ind w:left="360" w:hanging="360"/>
      </w:pPr>
    </w:lvl>
  </w:abstractNum>
  <w:abstractNum w:abstractNumId="9">
    <w:nsid w:val="FFFFFF89"/>
    <w:multiLevelType w:val="singleLevel"/>
    <w:tmpl w:val="CB0888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DE6F5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7585</Words>
  <Characters>34590</Characters>
  <Application>Microsoft Office Word</Application>
  <DocSecurity>0</DocSecurity>
  <Lines>843</Lines>
  <Paragraphs>334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1892 - 02-b0-04</dc:title>
  <dc:subject/>
  <dc:creator/>
  <cp:keywords/>
  <dc:description/>
  <cp:lastModifiedBy>svcMRProcess</cp:lastModifiedBy>
  <cp:revision>4</cp:revision>
  <cp:lastPrinted>2003-04-23T00:01:00Z</cp:lastPrinted>
  <dcterms:created xsi:type="dcterms:W3CDTF">2020-02-18T04:53:00Z</dcterms:created>
  <dcterms:modified xsi:type="dcterms:W3CDTF">2020-02-18T04:53:00Z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898</vt:i4>
  </property>
  <property fmtid="{D5CDD505-2E9C-101B-9397-08002B2CF9AE}" pid="6" name="AsAtDate">
    <vt:lpwstr>02 May 2005</vt:lpwstr>
  </property>
  <property fmtid="{D5CDD505-2E9C-101B-9397-08002B2CF9AE}" pid="7" name="Suffix">
    <vt:lpwstr>02-b0-04</vt:lpwstr>
  </property>
</Properties>
</file>