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Exotic Diseases of Animals Act 1993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Exotic Diseases (General) Regulations 1970</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Exotic Diseases of Animals Regulations 2011</w:t>
      </w:r>
      <w:r>
        <w:rPr>
          <w:color w:val="000000"/>
          <w:sz w:val="22"/>
          <w:szCs w:val="22"/>
        </w:rPr>
        <w:t xml:space="preserve"> r. 6(b) as at 15 Oct 2011 (see </w:t>
      </w:r>
      <w:r>
        <w:rPr>
          <w:i/>
          <w:iCs/>
          <w:color w:val="000000"/>
          <w:sz w:val="22"/>
          <w:szCs w:val="22"/>
        </w:rPr>
        <w:t>Gazette</w:t>
      </w:r>
      <w:r>
        <w:rPr>
          <w:color w:val="000000"/>
          <w:sz w:val="22"/>
          <w:szCs w:val="22"/>
        </w:rPr>
        <w:t xml:space="preserve"> 14 Oct 2011 p. 4342).</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Exotic Diseases (General)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_Toc426018417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_Toc426018418 \h </w:instrText>
      </w:r>
      <w:r>
        <w:fldChar w:fldCharType="separate"/>
      </w:r>
      <w:r>
        <w:t>1</w:t>
      </w:r>
      <w:r>
        <w:fldChar w:fldCharType="end"/>
      </w:r>
    </w:p>
    <w:p>
      <w:pPr>
        <w:pStyle w:val="TOC8"/>
        <w:rPr>
          <w:rFonts w:asciiTheme="minorHAnsi" w:eastAsiaTheme="minorEastAsia" w:hAnsiTheme="minorHAnsi" w:cstheme="minorBidi"/>
          <w:szCs w:val="22"/>
        </w:rPr>
      </w:pPr>
      <w:r>
        <w:t>3.</w:t>
      </w:r>
      <w:r>
        <w:tab/>
        <w:t>Person to report suspicion of exotic disease</w:t>
      </w:r>
      <w:r>
        <w:tab/>
      </w:r>
      <w:r>
        <w:fldChar w:fldCharType="begin"/>
      </w:r>
      <w:r>
        <w:instrText xml:space="preserve"> PAGEREF _Toc426018419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Report to be investigated</w:t>
      </w:r>
      <w:r>
        <w:tab/>
      </w:r>
      <w:r>
        <w:fldChar w:fldCharType="begin"/>
      </w:r>
      <w:r>
        <w:instrText xml:space="preserve"> PAGEREF _Toc426018420 \h </w:instrText>
      </w:r>
      <w:r>
        <w:fldChar w:fldCharType="separate"/>
      </w:r>
      <w:r>
        <w:t>2</w:t>
      </w:r>
      <w:r>
        <w:fldChar w:fldCharType="end"/>
      </w:r>
    </w:p>
    <w:p>
      <w:pPr>
        <w:pStyle w:val="TOC8"/>
        <w:rPr>
          <w:rFonts w:asciiTheme="minorHAnsi" w:eastAsiaTheme="minorEastAsia" w:hAnsiTheme="minorHAnsi" w:cstheme="minorBidi"/>
          <w:szCs w:val="22"/>
        </w:rPr>
      </w:pPr>
      <w:r>
        <w:t>5.</w:t>
      </w:r>
      <w:r>
        <w:tab/>
        <w:t>Chief Inspector of Stock to be told of result of investigation</w:t>
      </w:r>
      <w:r>
        <w:tab/>
      </w:r>
      <w:r>
        <w:fldChar w:fldCharType="begin"/>
      </w:r>
      <w:r>
        <w:instrText xml:space="preserve"> PAGEREF _Toc426018421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Quarantine etc. when exotic disease thought to exist</w:t>
      </w:r>
      <w:r>
        <w:tab/>
      </w:r>
      <w:r>
        <w:fldChar w:fldCharType="begin"/>
      </w:r>
      <w:r>
        <w:instrText xml:space="preserve"> PAGEREF _Toc426018422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diagnostic team</w:t>
      </w:r>
      <w:r>
        <w:tab/>
      </w:r>
      <w:r>
        <w:fldChar w:fldCharType="begin"/>
      </w:r>
      <w:r>
        <w:instrText xml:space="preserve"> PAGEREF _Toc426018423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When quarantined premises become an </w:t>
      </w:r>
      <w:r>
        <w:rPr>
          <w:i/>
          <w:iCs/>
          <w:snapToGrid w:val="0"/>
        </w:rPr>
        <w:t>Infected Place</w:t>
      </w:r>
      <w:r>
        <w:tab/>
      </w:r>
      <w:r>
        <w:fldChar w:fldCharType="begin"/>
      </w:r>
      <w:r>
        <w:instrText xml:space="preserve"> PAGEREF _Toc426018424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Nothing to leave suspected premises</w:t>
      </w:r>
      <w:r>
        <w:tab/>
      </w:r>
      <w:r>
        <w:fldChar w:fldCharType="begin"/>
      </w:r>
      <w:r>
        <w:instrText xml:space="preserve"> PAGEREF _Toc426018425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Officer in Charge of an Infected Place</w:t>
      </w:r>
      <w:r>
        <w:tab/>
      </w:r>
      <w:r>
        <w:fldChar w:fldCharType="begin"/>
      </w:r>
      <w:r>
        <w:instrText xml:space="preserve"> PAGEREF _Toc426018426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Dangerous Contact Premises</w:t>
      </w:r>
      <w:r>
        <w:tab/>
      </w:r>
      <w:r>
        <w:fldChar w:fldCharType="begin"/>
      </w:r>
      <w:r>
        <w:instrText xml:space="preserve"> PAGEREF _Toc426018427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relating to an Infected Place</w:t>
      </w:r>
      <w:r>
        <w:tab/>
      </w:r>
      <w:r>
        <w:fldChar w:fldCharType="begin"/>
      </w:r>
      <w:r>
        <w:instrText xml:space="preserve"> PAGEREF _Toc426018428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_Toc426018429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Disposal of swill</w:t>
      </w:r>
      <w:r>
        <w:tab/>
      </w:r>
      <w:r>
        <w:fldChar w:fldCharType="begin"/>
      </w:r>
      <w:r>
        <w:instrText xml:space="preserve"> PAGEREF _Toc426018430 \h </w:instrText>
      </w:r>
      <w:r>
        <w:fldChar w:fldCharType="separate"/>
      </w:r>
      <w:r>
        <w:t>8</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Sterilization of swill</w:t>
      </w:r>
      <w:r>
        <w:tab/>
      </w:r>
      <w:r>
        <w:fldChar w:fldCharType="begin"/>
      </w:r>
      <w:r>
        <w:instrText xml:space="preserve"> PAGEREF _Toc426018431 \h </w:instrText>
      </w:r>
      <w:r>
        <w:fldChar w:fldCharType="separate"/>
      </w:r>
      <w:r>
        <w:t>9</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Declaration of carcase as pig feed</w:t>
      </w:r>
      <w:r>
        <w:tab/>
      </w:r>
      <w:r>
        <w:fldChar w:fldCharType="begin"/>
      </w:r>
      <w:r>
        <w:instrText xml:space="preserve"> PAGEREF _Toc426018432 \h </w:instrText>
      </w:r>
      <w:r>
        <w:fldChar w:fldCharType="separate"/>
      </w:r>
      <w:r>
        <w:t>9</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Application for treatment licence</w:t>
      </w:r>
      <w:r>
        <w:tab/>
      </w:r>
      <w:r>
        <w:fldChar w:fldCharType="begin"/>
      </w:r>
      <w:r>
        <w:instrText xml:space="preserve"> PAGEREF _Toc426018433 \h </w:instrText>
      </w:r>
      <w:r>
        <w:fldChar w:fldCharType="separate"/>
      </w:r>
      <w:r>
        <w:t>10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Treatment licence</w:t>
      </w:r>
      <w:r>
        <w:tab/>
      </w:r>
      <w:r>
        <w:fldChar w:fldCharType="begin"/>
      </w:r>
      <w:r>
        <w:instrText xml:space="preserve"> PAGEREF _Toc426018434 \h </w:instrText>
      </w:r>
      <w:r>
        <w:fldChar w:fldCharType="separate"/>
      </w:r>
      <w:r>
        <w:t>10</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t>Conditions of treatment licence</w:t>
      </w:r>
      <w:r>
        <w:tab/>
      </w:r>
      <w:r>
        <w:fldChar w:fldCharType="begin"/>
      </w:r>
      <w:r>
        <w:instrText xml:space="preserve"> PAGEREF _Toc426018435 \h </w:instrText>
      </w:r>
      <w:r>
        <w:fldChar w:fldCharType="separate"/>
      </w:r>
      <w:r>
        <w:t>12</w:t>
      </w:r>
      <w:r>
        <w:fldChar w:fldCharType="end"/>
      </w:r>
    </w:p>
    <w:p>
      <w:pPr>
        <w:pStyle w:val="TOC8"/>
        <w:rPr>
          <w:rFonts w:asciiTheme="minorHAnsi" w:eastAsiaTheme="minorEastAsia" w:hAnsiTheme="minorHAnsi" w:cstheme="minorBidi"/>
          <w:szCs w:val="22"/>
        </w:rPr>
      </w:pPr>
      <w:r>
        <w:t>13G</w:t>
      </w:r>
      <w:r>
        <w:rPr>
          <w:snapToGrid w:val="0"/>
        </w:rPr>
        <w:t>.</w:t>
      </w:r>
      <w:r>
        <w:rPr>
          <w:snapToGrid w:val="0"/>
        </w:rPr>
        <w:tab/>
        <w:t>Swill to be boiled by licence holder</w:t>
      </w:r>
      <w:r>
        <w:tab/>
      </w:r>
      <w:r>
        <w:fldChar w:fldCharType="begin"/>
      </w:r>
      <w:r>
        <w:instrText xml:space="preserve"> PAGEREF _Toc426018436 \h </w:instrText>
      </w:r>
      <w:r>
        <w:fldChar w:fldCharType="separate"/>
      </w:r>
      <w:r>
        <w:t>12</w:t>
      </w:r>
      <w:r>
        <w:fldChar w:fldCharType="end"/>
      </w:r>
    </w:p>
    <w:p>
      <w:pPr>
        <w:pStyle w:val="TOC8"/>
        <w:rPr>
          <w:rFonts w:asciiTheme="minorHAnsi" w:eastAsiaTheme="minorEastAsia" w:hAnsiTheme="minorHAnsi" w:cstheme="minorBidi"/>
          <w:szCs w:val="22"/>
        </w:rPr>
      </w:pPr>
      <w:r>
        <w:t>13H</w:t>
      </w:r>
      <w:r>
        <w:rPr>
          <w:snapToGrid w:val="0"/>
        </w:rPr>
        <w:t>.</w:t>
      </w:r>
      <w:r>
        <w:rPr>
          <w:snapToGrid w:val="0"/>
        </w:rPr>
        <w:tab/>
        <w:t>Offences relating to licences</w:t>
      </w:r>
      <w:r>
        <w:tab/>
      </w:r>
      <w:r>
        <w:fldChar w:fldCharType="begin"/>
      </w:r>
      <w:r>
        <w:instrText xml:space="preserve"> PAGEREF _Toc426018437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licence</w:t>
      </w:r>
      <w:r>
        <w:tab/>
      </w:r>
      <w:r>
        <w:fldChar w:fldCharType="begin"/>
      </w:r>
      <w:r>
        <w:instrText xml:space="preserve"> PAGEREF _Toc426018438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Diagnostic team etc. may enter premises</w:t>
      </w:r>
      <w:r>
        <w:tab/>
      </w:r>
      <w:r>
        <w:fldChar w:fldCharType="begin"/>
      </w:r>
      <w:r>
        <w:instrText xml:space="preserve"> PAGEREF _Toc426018439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Offences generally</w:t>
      </w:r>
      <w:r>
        <w:tab/>
      </w:r>
      <w:r>
        <w:fldChar w:fldCharType="begin"/>
      </w:r>
      <w:r>
        <w:instrText xml:space="preserve"> PAGEREF _Toc426018440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A</w:t>
      </w:r>
    </w:p>
    <w:p>
      <w:pPr>
        <w:pStyle w:val="TOC2"/>
        <w:tabs>
          <w:tab w:val="right" w:leader="dot" w:pos="7077"/>
        </w:tabs>
        <w:rPr>
          <w:rFonts w:asciiTheme="minorHAnsi" w:eastAsiaTheme="minorEastAsia" w:hAnsiTheme="minorHAnsi" w:cstheme="minorBidi"/>
          <w:b w:val="0"/>
          <w:sz w:val="22"/>
          <w:szCs w:val="22"/>
        </w:rPr>
      </w:pPr>
      <w:r>
        <w:t>Exotic vesicular diseases</w:t>
      </w:r>
    </w:p>
    <w:p>
      <w:pPr>
        <w:pStyle w:val="TOC2"/>
        <w:tabs>
          <w:tab w:val="right" w:leader="dot" w:pos="7077"/>
        </w:tabs>
        <w:rPr>
          <w:rFonts w:asciiTheme="minorHAnsi" w:eastAsiaTheme="minorEastAsia" w:hAnsiTheme="minorHAnsi" w:cstheme="minorBidi"/>
          <w:b w:val="0"/>
          <w:sz w:val="22"/>
          <w:szCs w:val="22"/>
        </w:rPr>
      </w:pPr>
      <w:r>
        <w:t>Schedule B</w:t>
      </w:r>
    </w:p>
    <w:p>
      <w:pPr>
        <w:pStyle w:val="TOC2"/>
        <w:tabs>
          <w:tab w:val="right" w:leader="dot" w:pos="7077"/>
        </w:tabs>
        <w:rPr>
          <w:rFonts w:asciiTheme="minorHAnsi" w:eastAsiaTheme="minorEastAsia" w:hAnsiTheme="minorHAnsi" w:cstheme="minorBidi"/>
          <w:b w:val="0"/>
          <w:sz w:val="22"/>
          <w:szCs w:val="22"/>
        </w:rPr>
      </w:pPr>
      <w:r>
        <w:t>Exotic diseases transmitted directly or indirectly</w:t>
      </w:r>
    </w:p>
    <w:p>
      <w:pPr>
        <w:pStyle w:val="TOC2"/>
        <w:tabs>
          <w:tab w:val="right" w:leader="dot" w:pos="7077"/>
        </w:tabs>
        <w:rPr>
          <w:rFonts w:asciiTheme="minorHAnsi" w:eastAsiaTheme="minorEastAsia" w:hAnsiTheme="minorHAnsi" w:cstheme="minorBidi"/>
          <w:b w:val="0"/>
          <w:sz w:val="22"/>
          <w:szCs w:val="22"/>
        </w:rPr>
      </w:pPr>
      <w:r>
        <w:t>Schedule C</w:t>
      </w:r>
    </w:p>
    <w:p>
      <w:pPr>
        <w:pStyle w:val="TOC2"/>
        <w:tabs>
          <w:tab w:val="right" w:leader="dot" w:pos="7077"/>
        </w:tabs>
        <w:rPr>
          <w:rFonts w:asciiTheme="minorHAnsi" w:eastAsiaTheme="minorEastAsia" w:hAnsiTheme="minorHAnsi" w:cstheme="minorBidi"/>
          <w:b w:val="0"/>
          <w:sz w:val="22"/>
          <w:szCs w:val="22"/>
        </w:rPr>
      </w:pPr>
      <w:r>
        <w:t>Exotic diseases transmitted by insect vectors</w:t>
      </w:r>
    </w:p>
    <w:p>
      <w:pPr>
        <w:pStyle w:val="TOC2"/>
        <w:tabs>
          <w:tab w:val="right" w:leader="dot" w:pos="7077"/>
        </w:tabs>
        <w:rPr>
          <w:rFonts w:asciiTheme="minorHAnsi" w:eastAsiaTheme="minorEastAsia" w:hAnsiTheme="minorHAnsi" w:cstheme="minorBidi"/>
          <w:b w:val="0"/>
          <w:sz w:val="22"/>
          <w:szCs w:val="22"/>
        </w:rPr>
      </w:pPr>
      <w:r>
        <w:t>Schedule 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_Toc426018449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 xml:space="preserve">Exotic Diseases of Animals Act 1993 </w:t>
      </w:r>
      <w:r>
        <w:rPr>
          <w:snapToGrid w:val="0"/>
          <w:vertAlign w:val="superscript"/>
        </w:rPr>
        <w:t>2</w:t>
      </w:r>
    </w:p>
    <w:p>
      <w:pPr>
        <w:pStyle w:val="NameofActReg"/>
      </w:pPr>
      <w:r>
        <w:t>Exotic Diseases (General) Regulations 1970</w:t>
      </w:r>
    </w:p>
    <w:p>
      <w:pPr>
        <w:pStyle w:val="Heading5"/>
        <w:rPr>
          <w:snapToGrid w:val="0"/>
        </w:rPr>
      </w:pPr>
      <w:bookmarkStart w:id="3" w:name="_Toc378240883"/>
      <w:bookmarkStart w:id="4" w:name="_Toc42601841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pPr>
        <w:pStyle w:val="Footnotesection"/>
      </w:pPr>
      <w:r>
        <w:tab/>
        <w:t>[Regulation 1 amended in Gazette 20 Jun 2000 p. 3004.]</w:t>
      </w:r>
    </w:p>
    <w:p>
      <w:pPr>
        <w:pStyle w:val="Heading5"/>
        <w:rPr>
          <w:snapToGrid w:val="0"/>
        </w:rPr>
      </w:pPr>
      <w:bookmarkStart w:id="5" w:name="_Toc378240884"/>
      <w:bookmarkStart w:id="6" w:name="_Toc426018418"/>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Officer in Charge</w:t>
      </w:r>
      <w:r>
        <w:t xml:space="preserve"> means a person appointed by the Chief Inspector of Stock to be in charge of an </w:t>
      </w:r>
      <w:smartTag w:uri="urn:schemas-microsoft-com:office:smarttags" w:element="Street">
        <w:smartTag w:uri="urn:schemas-microsoft-com:office:smarttags" w:element="address">
          <w:r>
            <w:t>Infected Place</w:t>
          </w:r>
        </w:smartTag>
      </w:smartTag>
      <w:r>
        <w:t>;</w:t>
      </w:r>
    </w:p>
    <w:p>
      <w:pPr>
        <w:pStyle w:val="Defstart"/>
      </w:pPr>
      <w:r>
        <w:rPr>
          <w:b/>
        </w:rPr>
        <w:tab/>
      </w:r>
      <w:r>
        <w:rPr>
          <w:rStyle w:val="CharDefText"/>
        </w:rPr>
        <w:t>premises</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pPr>
        <w:pStyle w:val="Heading5"/>
      </w:pPr>
      <w:bookmarkStart w:id="7" w:name="_Toc378240885"/>
      <w:bookmarkStart w:id="8" w:name="_Toc426018419"/>
      <w:r>
        <w:rPr>
          <w:rStyle w:val="CharSectno"/>
        </w:rPr>
        <w:t>3</w:t>
      </w:r>
      <w:r>
        <w:t>.</w:t>
      </w:r>
      <w:r>
        <w:tab/>
        <w:t>Person to report suspicion of exotic disease</w:t>
      </w:r>
      <w:bookmarkEnd w:id="7"/>
      <w:bookmarkEnd w:id="8"/>
    </w:p>
    <w:p>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pPr>
        <w:pStyle w:val="Subsection"/>
        <w:rPr>
          <w:snapToGrid w:val="0"/>
        </w:rPr>
      </w:pPr>
      <w:r>
        <w:rPr>
          <w:snapToGrid w:val="0"/>
        </w:rPr>
        <w:tab/>
        <w:t>(2)</w:t>
      </w:r>
      <w:r>
        <w:rPr>
          <w:snapToGrid w:val="0"/>
        </w:rPr>
        <w:tab/>
        <w:t>Where it is necessary for a person to leave the premises where an animal is suspected to be suffering from an exotic disease in order to make a report in accordance with subregulation (1), he shall first disinfect himself by the best available means and after duly reporting the matter, return to those premises by the most direct route.</w:t>
      </w:r>
    </w:p>
    <w:p>
      <w:pPr>
        <w:pStyle w:val="Heading5"/>
        <w:rPr>
          <w:snapToGrid w:val="0"/>
        </w:rPr>
      </w:pPr>
      <w:bookmarkStart w:id="9" w:name="_Toc378240886"/>
      <w:bookmarkStart w:id="10" w:name="_Toc426018420"/>
      <w:r>
        <w:rPr>
          <w:rStyle w:val="CharSectno"/>
        </w:rPr>
        <w:t>4</w:t>
      </w:r>
      <w:r>
        <w:rPr>
          <w:snapToGrid w:val="0"/>
        </w:rPr>
        <w:t>.</w:t>
      </w:r>
      <w:r>
        <w:rPr>
          <w:snapToGrid w:val="0"/>
        </w:rPr>
        <w:tab/>
        <w:t>Report to be investigated</w:t>
      </w:r>
      <w:bookmarkEnd w:id="9"/>
      <w:bookmarkEnd w:id="10"/>
    </w:p>
    <w:p>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pPr>
        <w:pStyle w:val="Footnotesection"/>
      </w:pPr>
      <w:r>
        <w:tab/>
        <w:t>[Regulation 4 inserted in Gazette 20 Feb 1976 p. 521</w:t>
      </w:r>
      <w:r>
        <w:softHyphen/>
        <w:t xml:space="preserve">2.] </w:t>
      </w:r>
    </w:p>
    <w:p>
      <w:pPr>
        <w:pStyle w:val="Heading5"/>
      </w:pPr>
      <w:bookmarkStart w:id="11" w:name="_Toc378240887"/>
      <w:bookmarkStart w:id="12" w:name="_Toc426018421"/>
      <w:r>
        <w:rPr>
          <w:rStyle w:val="CharSectno"/>
        </w:rPr>
        <w:t>5</w:t>
      </w:r>
      <w:r>
        <w:t>.</w:t>
      </w:r>
      <w:r>
        <w:tab/>
        <w:t>Chief Inspector of Stock to be told of result of investigation</w:t>
      </w:r>
      <w:bookmarkEnd w:id="11"/>
      <w:bookmarkEnd w:id="12"/>
    </w:p>
    <w:p>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pPr>
        <w:pStyle w:val="Indenta"/>
        <w:rPr>
          <w:snapToGrid w:val="0"/>
        </w:rPr>
      </w:pPr>
      <w:r>
        <w:rPr>
          <w:snapToGrid w:val="0"/>
        </w:rPr>
        <w:tab/>
        <w:t>(b)</w:t>
      </w:r>
      <w:r>
        <w:rPr>
          <w:snapToGrid w:val="0"/>
        </w:rPr>
        <w:tab/>
        <w:t>an animal is suspected to be affected with rabies, it shall be locked securely in a room or shed.</w:t>
      </w:r>
    </w:p>
    <w:p>
      <w:pPr>
        <w:pStyle w:val="Heading5"/>
        <w:rPr>
          <w:snapToGrid w:val="0"/>
        </w:rPr>
      </w:pPr>
      <w:bookmarkStart w:id="13" w:name="_Toc378240888"/>
      <w:bookmarkStart w:id="14" w:name="_Toc426018422"/>
      <w:r>
        <w:rPr>
          <w:rStyle w:val="CharSectno"/>
        </w:rPr>
        <w:t>6</w:t>
      </w:r>
      <w:r>
        <w:rPr>
          <w:snapToGrid w:val="0"/>
        </w:rPr>
        <w:t>.</w:t>
      </w:r>
      <w:r>
        <w:rPr>
          <w:snapToGrid w:val="0"/>
        </w:rPr>
        <w:tab/>
        <w:t>Quarantine etc. when exotic disease thought to exist</w:t>
      </w:r>
      <w:bookmarkEnd w:id="13"/>
      <w:bookmarkEnd w:id="14"/>
    </w:p>
    <w:p>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pPr>
        <w:pStyle w:val="Indenta"/>
        <w:rPr>
          <w:snapToGrid w:val="0"/>
        </w:rPr>
      </w:pPr>
      <w:r>
        <w:rPr>
          <w:snapToGrid w:val="0"/>
        </w:rPr>
        <w:tab/>
        <w:t>(a)</w:t>
      </w:r>
      <w:r>
        <w:rPr>
          <w:snapToGrid w:val="0"/>
        </w:rPr>
        <w:tab/>
        <w:t>direct an inspector or district veterinary officer to — </w:t>
      </w:r>
    </w:p>
    <w:p>
      <w:pPr>
        <w:pStyle w:val="Indenti"/>
        <w:rPr>
          <w:snapToGrid w:val="0"/>
        </w:rPr>
      </w:pPr>
      <w:r>
        <w:rPr>
          <w:snapToGrid w:val="0"/>
        </w:rPr>
        <w:tab/>
        <w:t>(i)</w:t>
      </w:r>
      <w:r>
        <w:rPr>
          <w:snapToGrid w:val="0"/>
        </w:rPr>
        <w:tab/>
        <w:t>serve a quarantine order on the occupier of the premises; and</w:t>
      </w:r>
    </w:p>
    <w:p>
      <w:pPr>
        <w:pStyle w:val="Indenti"/>
        <w:rPr>
          <w:snapToGrid w:val="0"/>
        </w:rPr>
      </w:pPr>
      <w:r>
        <w:rPr>
          <w:snapToGrid w:val="0"/>
        </w:rPr>
        <w:tab/>
        <w:t>(ii)</w:t>
      </w:r>
      <w:r>
        <w:rPr>
          <w:snapToGrid w:val="0"/>
        </w:rPr>
        <w:tab/>
        <w:t>remain on the premises as Officer in Charge;</w:t>
      </w:r>
    </w:p>
    <w:p>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pPr>
        <w:pStyle w:val="Heading5"/>
        <w:rPr>
          <w:snapToGrid w:val="0"/>
        </w:rPr>
      </w:pPr>
      <w:bookmarkStart w:id="15" w:name="_Toc378240889"/>
      <w:bookmarkStart w:id="16" w:name="_Toc426018423"/>
      <w:r>
        <w:rPr>
          <w:rStyle w:val="CharSectno"/>
        </w:rPr>
        <w:t>7</w:t>
      </w:r>
      <w:r>
        <w:rPr>
          <w:snapToGrid w:val="0"/>
        </w:rPr>
        <w:t>.</w:t>
      </w:r>
      <w:r>
        <w:rPr>
          <w:snapToGrid w:val="0"/>
        </w:rPr>
        <w:tab/>
        <w:t>Powers of diagnostic team</w:t>
      </w:r>
      <w:bookmarkEnd w:id="15"/>
      <w:bookmarkEnd w:id="16"/>
    </w:p>
    <w:p>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pPr>
        <w:pStyle w:val="Footnotesection"/>
      </w:pPr>
      <w:r>
        <w:tab/>
        <w:t xml:space="preserve">[Regulation 7 inserted in Gazette 20 Feb 1976 p. 522.] </w:t>
      </w:r>
    </w:p>
    <w:p>
      <w:pPr>
        <w:pStyle w:val="Heading5"/>
        <w:rPr>
          <w:snapToGrid w:val="0"/>
        </w:rPr>
      </w:pPr>
      <w:bookmarkStart w:id="17" w:name="_Toc378240890"/>
      <w:bookmarkStart w:id="18" w:name="_Toc426018424"/>
      <w:r>
        <w:rPr>
          <w:rStyle w:val="CharSectno"/>
        </w:rPr>
        <w:t>8</w:t>
      </w:r>
      <w:r>
        <w:rPr>
          <w:snapToGrid w:val="0"/>
        </w:rPr>
        <w:t>.</w:t>
      </w:r>
      <w:r>
        <w:rPr>
          <w:snapToGrid w:val="0"/>
        </w:rPr>
        <w:tab/>
        <w:t xml:space="preserve">When quarantined premises become an </w:t>
      </w:r>
      <w:smartTag w:uri="urn:schemas-microsoft-com:office:smarttags" w:element="Street">
        <w:smartTag w:uri="urn:schemas-microsoft-com:office:smarttags" w:element="address">
          <w:r>
            <w:rPr>
              <w:i/>
              <w:iCs/>
              <w:snapToGrid w:val="0"/>
            </w:rPr>
            <w:t>Infected Place</w:t>
          </w:r>
        </w:smartTag>
      </w:smartTag>
      <w:bookmarkEnd w:id="17"/>
      <w:bookmarkEnd w:id="18"/>
    </w:p>
    <w:p>
      <w:pPr>
        <w:pStyle w:val="Subsection"/>
        <w:rPr>
          <w:snapToGrid w:val="0"/>
        </w:rPr>
      </w:pPr>
      <w:r>
        <w:rPr>
          <w:snapToGrid w:val="0"/>
        </w:rPr>
        <w:tab/>
        <w:t>(1)</w:t>
      </w:r>
      <w:r>
        <w:rPr>
          <w:snapToGrid w:val="0"/>
        </w:rPr>
        <w:tab/>
        <w:t>Upon service of the quarantine order referred to in regulation 6(a), the premises described in the quarantine order — </w:t>
      </w:r>
    </w:p>
    <w:p>
      <w:pPr>
        <w:pStyle w:val="Indenta"/>
        <w:rPr>
          <w:snapToGrid w:val="0"/>
        </w:rPr>
      </w:pPr>
      <w:r>
        <w:rPr>
          <w:snapToGrid w:val="0"/>
        </w:rPr>
        <w:tab/>
        <w:t>(a)</w:t>
      </w:r>
      <w:r>
        <w:rPr>
          <w:snapToGrid w:val="0"/>
        </w:rPr>
        <w:tab/>
        <w:t xml:space="preserve">become an </w:t>
      </w:r>
      <w:r>
        <w:rPr>
          <w:rStyle w:val="CharDefText"/>
        </w:rPr>
        <w:t>Infected Place</w:t>
      </w:r>
      <w:r>
        <w:rPr>
          <w:snapToGrid w:val="0"/>
        </w:rPr>
        <w:t>; and</w:t>
      </w:r>
    </w:p>
    <w:p>
      <w:pPr>
        <w:pStyle w:val="Indenta"/>
        <w:rPr>
          <w:snapToGrid w:val="0"/>
        </w:rPr>
      </w:pPr>
      <w:r>
        <w:rPr>
          <w:snapToGrid w:val="0"/>
        </w:rPr>
        <w:tab/>
        <w:t>(b)</w:t>
      </w:r>
      <w:r>
        <w:rPr>
          <w:snapToGrid w:val="0"/>
        </w:rPr>
        <w:tab/>
        <w:t>become subject to the provisions of regulation 12.</w:t>
      </w:r>
    </w:p>
    <w:p>
      <w:pPr>
        <w:pStyle w:val="Subsection"/>
        <w:rPr>
          <w:snapToGrid w:val="0"/>
        </w:rPr>
      </w:pPr>
      <w:r>
        <w:rPr>
          <w:snapToGrid w:val="0"/>
        </w:rPr>
        <w:tab/>
        <w:t>(2)</w:t>
      </w:r>
      <w:r>
        <w:rPr>
          <w:snapToGrid w:val="0"/>
        </w:rPr>
        <w:tab/>
        <w:t xml:space="preserve">The limits of an </w:t>
      </w:r>
      <w:smartTag w:uri="urn:schemas-microsoft-com:office:smarttags" w:element="Street">
        <w:smartTag w:uri="urn:schemas-microsoft-com:office:smarttags" w:element="address">
          <w:r>
            <w:rPr>
              <w:snapToGrid w:val="0"/>
            </w:rPr>
            <w:t>Infected Place</w:t>
          </w:r>
        </w:smartTag>
      </w:smartTag>
      <w:r>
        <w:rPr>
          <w:snapToGrid w:val="0"/>
        </w:rPr>
        <w:t xml:space="preserve"> may at any time be altered by the Chief Inspector of Stock by notice in writing served on the occupier of the </w:t>
      </w:r>
      <w:smartTag w:uri="urn:schemas-microsoft-com:office:smarttags" w:element="Street">
        <w:smartTag w:uri="urn:schemas-microsoft-com:office:smarttags" w:element="address">
          <w:r>
            <w:rPr>
              <w:snapToGrid w:val="0"/>
            </w:rPr>
            <w:t>Infected Place</w:t>
          </w:r>
        </w:smartTag>
      </w:smartTag>
      <w:r>
        <w:rPr>
          <w:snapToGrid w:val="0"/>
        </w:rPr>
        <w:t>.</w:t>
      </w:r>
    </w:p>
    <w:p>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pPr>
        <w:pStyle w:val="Heading5"/>
        <w:rPr>
          <w:snapToGrid w:val="0"/>
        </w:rPr>
      </w:pPr>
      <w:bookmarkStart w:id="19" w:name="_Toc378240891"/>
      <w:bookmarkStart w:id="20" w:name="_Toc426018425"/>
      <w:r>
        <w:rPr>
          <w:rStyle w:val="CharSectno"/>
        </w:rPr>
        <w:t>9</w:t>
      </w:r>
      <w:r>
        <w:rPr>
          <w:snapToGrid w:val="0"/>
        </w:rPr>
        <w:t>.</w:t>
      </w:r>
      <w:r>
        <w:rPr>
          <w:snapToGrid w:val="0"/>
        </w:rPr>
        <w:tab/>
        <w:t>Nothing to leave suspected premises</w:t>
      </w:r>
      <w:bookmarkEnd w:id="19"/>
      <w:bookmarkEnd w:id="20"/>
    </w:p>
    <w:p>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pPr>
        <w:pStyle w:val="Indenta"/>
        <w:rPr>
          <w:snapToGrid w:val="0"/>
        </w:rPr>
      </w:pPr>
      <w:r>
        <w:rPr>
          <w:snapToGrid w:val="0"/>
        </w:rPr>
        <w:tab/>
        <w:t>(b)</w:t>
      </w:r>
      <w:r>
        <w:rPr>
          <w:snapToGrid w:val="0"/>
        </w:rPr>
        <w:tab/>
        <w:t xml:space="preserve">in the case of livestock or farm produce, a written release authorising the removal of the livestock or farm produce from the premises has been granted by the Chief Inspector of Stock or Officer in Charge of the </w:t>
      </w:r>
      <w:smartTag w:uri="urn:schemas-microsoft-com:office:smarttags" w:element="Street">
        <w:smartTag w:uri="urn:schemas-microsoft-com:office:smarttags" w:element="address">
          <w:r>
            <w:rPr>
              <w:snapToGrid w:val="0"/>
            </w:rPr>
            <w:t>Infected Place</w:t>
          </w:r>
        </w:smartTag>
      </w:smartTag>
      <w:r>
        <w:rPr>
          <w:snapToGrid w:val="0"/>
        </w:rPr>
        <w:t>.</w:t>
      </w:r>
    </w:p>
    <w:p>
      <w:pPr>
        <w:pStyle w:val="Subsection"/>
        <w:rPr>
          <w:snapToGrid w:val="0"/>
        </w:rPr>
      </w:pPr>
      <w:r>
        <w:rPr>
          <w:snapToGrid w:val="0"/>
        </w:rPr>
        <w:tab/>
        <w:t>(2)</w:t>
      </w:r>
      <w:r>
        <w:rPr>
          <w:snapToGrid w:val="0"/>
        </w:rPr>
        <w:tab/>
        <w:t>Where a person is granted a permit to leave premises in accordance with subregulation (1) — </w:t>
      </w:r>
    </w:p>
    <w:p>
      <w:pPr>
        <w:pStyle w:val="Indenta"/>
        <w:rPr>
          <w:snapToGrid w:val="0"/>
        </w:rPr>
      </w:pPr>
      <w:r>
        <w:rPr>
          <w:snapToGrid w:val="0"/>
        </w:rPr>
        <w:tab/>
        <w:t>(a)</w:t>
      </w:r>
      <w:r>
        <w:rPr>
          <w:snapToGrid w:val="0"/>
        </w:rPr>
        <w:tab/>
        <w:t>he shall thoroughly disinfect himself before leaving the premises; and</w:t>
      </w:r>
    </w:p>
    <w:p>
      <w:pPr>
        <w:pStyle w:val="Indenta"/>
        <w:rPr>
          <w:snapToGrid w:val="0"/>
        </w:rPr>
      </w:pPr>
      <w:r>
        <w:rPr>
          <w:snapToGrid w:val="0"/>
        </w:rPr>
        <w:tab/>
        <w:t>(b)</w:t>
      </w:r>
      <w:r>
        <w:rPr>
          <w:snapToGrid w:val="0"/>
        </w:rPr>
        <w:tab/>
        <w:t xml:space="preserve">where the suspected disease is a disease specified in Schedule A or Schedule B, he shall not visit any other place where animals are located unless he has obtained the written permission of the Chief Inspector of Stock or Officer in Charge of the </w:t>
      </w:r>
      <w:smartTag w:uri="urn:schemas-microsoft-com:office:smarttags" w:element="Street">
        <w:smartTag w:uri="urn:schemas-microsoft-com:office:smarttags" w:element="address">
          <w:r>
            <w:rPr>
              <w:snapToGrid w:val="0"/>
            </w:rPr>
            <w:t>Infected Place</w:t>
          </w:r>
        </w:smartTag>
      </w:smartTag>
      <w:r>
        <w:rPr>
          <w:snapToGrid w:val="0"/>
        </w:rPr>
        <w:t>.</w:t>
      </w:r>
    </w:p>
    <w:p>
      <w:pPr>
        <w:pStyle w:val="Heading5"/>
        <w:rPr>
          <w:snapToGrid w:val="0"/>
        </w:rPr>
      </w:pPr>
      <w:bookmarkStart w:id="21" w:name="_Toc378240892"/>
      <w:bookmarkStart w:id="22" w:name="_Toc426018426"/>
      <w:r>
        <w:rPr>
          <w:rStyle w:val="CharSectno"/>
        </w:rPr>
        <w:t>10</w:t>
      </w:r>
      <w:r>
        <w:rPr>
          <w:snapToGrid w:val="0"/>
        </w:rPr>
        <w:t>.</w:t>
      </w:r>
      <w:r>
        <w:rPr>
          <w:snapToGrid w:val="0"/>
        </w:rPr>
        <w:tab/>
        <w:t>Officer in Charge of an Infected Place</w:t>
      </w:r>
      <w:bookmarkEnd w:id="21"/>
      <w:bookmarkEnd w:id="22"/>
    </w:p>
    <w:p>
      <w:pPr>
        <w:pStyle w:val="Subsection"/>
        <w:rPr>
          <w:snapToGrid w:val="0"/>
        </w:rPr>
      </w:pPr>
      <w:r>
        <w:rPr>
          <w:snapToGrid w:val="0"/>
        </w:rPr>
        <w:tab/>
      </w:r>
      <w:r>
        <w:rPr>
          <w:snapToGrid w:val="0"/>
        </w:rPr>
        <w:tab/>
        <w:t xml:space="preserve">The Officer in Charge of an </w:t>
      </w:r>
      <w:smartTag w:uri="urn:schemas-microsoft-com:office:smarttags" w:element="Street">
        <w:smartTag w:uri="urn:schemas-microsoft-com:office:smarttags" w:element="address">
          <w:r>
            <w:rPr>
              <w:snapToGrid w:val="0"/>
            </w:rPr>
            <w:t>Infected Place</w:t>
          </w:r>
        </w:smartTag>
      </w:smartTag>
      <w:r>
        <w:rPr>
          <w:snapToGrid w:val="0"/>
        </w:rPr>
        <w:t xml:space="preserve"> shall — </w:t>
      </w:r>
    </w:p>
    <w:p>
      <w:pPr>
        <w:pStyle w:val="Indenta"/>
        <w:rPr>
          <w:snapToGrid w:val="0"/>
        </w:rPr>
      </w:pPr>
      <w:r>
        <w:rPr>
          <w:snapToGrid w:val="0"/>
        </w:rPr>
        <w:tab/>
        <w:t>(a)</w:t>
      </w:r>
      <w:r>
        <w:rPr>
          <w:snapToGrid w:val="0"/>
        </w:rPr>
        <w:tab/>
        <w:t xml:space="preserve">instruct everyone on the </w:t>
      </w:r>
      <w:smartTag w:uri="urn:schemas-microsoft-com:office:smarttags" w:element="Street">
        <w:smartTag w:uri="urn:schemas-microsoft-com:office:smarttags" w:element="address">
          <w:r>
            <w:rPr>
              <w:snapToGrid w:val="0"/>
            </w:rPr>
            <w:t>Infected Place</w:t>
          </w:r>
        </w:smartTag>
      </w:smartTag>
      <w:r>
        <w:rPr>
          <w:snapToGrid w:val="0"/>
        </w:rPr>
        <w:t xml:space="preserve"> in the proper techniques of disinfection;</w:t>
      </w:r>
    </w:p>
    <w:p>
      <w:pPr>
        <w:pStyle w:val="Indenta"/>
        <w:rPr>
          <w:snapToGrid w:val="0"/>
        </w:rPr>
      </w:pPr>
      <w:r>
        <w:rPr>
          <w:snapToGrid w:val="0"/>
        </w:rPr>
        <w:tab/>
        <w:t>(b)</w:t>
      </w:r>
      <w:r>
        <w:rPr>
          <w:snapToGrid w:val="0"/>
        </w:rPr>
        <w:tab/>
        <w:t xml:space="preserve">where applicable, direct that all livestock be removed from external boundaries of the </w:t>
      </w:r>
      <w:smartTag w:uri="urn:schemas-microsoft-com:office:smarttags" w:element="Street">
        <w:smartTag w:uri="urn:schemas-microsoft-com:office:smarttags" w:element="address">
          <w:r>
            <w:rPr>
              <w:snapToGrid w:val="0"/>
            </w:rPr>
            <w:t>Infected Place</w:t>
          </w:r>
        </w:smartTag>
      </w:smartTag>
      <w:r>
        <w:rPr>
          <w:snapToGrid w:val="0"/>
        </w:rPr>
        <w:t xml:space="preserve"> into secure internal paddocks and that all gates on the property be secured;</w:t>
      </w:r>
    </w:p>
    <w:p>
      <w:pPr>
        <w:pStyle w:val="Indenta"/>
        <w:rPr>
          <w:snapToGrid w:val="0"/>
        </w:rPr>
      </w:pPr>
      <w:r>
        <w:rPr>
          <w:snapToGrid w:val="0"/>
        </w:rPr>
        <w:tab/>
        <w:t>(c)</w:t>
      </w:r>
      <w:r>
        <w:rPr>
          <w:snapToGrid w:val="0"/>
        </w:rPr>
        <w:tab/>
        <w:t xml:space="preserve">station an inspector or police officer at one gate which shall be the only entry to and exit from the </w:t>
      </w:r>
      <w:smartTag w:uri="urn:schemas-microsoft-com:office:smarttags" w:element="Street">
        <w:smartTag w:uri="urn:schemas-microsoft-com:office:smarttags" w:element="address">
          <w:r>
            <w:rPr>
              <w:snapToGrid w:val="0"/>
            </w:rPr>
            <w:t>Infected Place</w:t>
          </w:r>
        </w:smartTag>
      </w:smartTag>
      <w:r>
        <w:rPr>
          <w:snapToGrid w:val="0"/>
        </w:rPr>
        <w:t>;</w:t>
      </w:r>
    </w:p>
    <w:p>
      <w:pPr>
        <w:pStyle w:val="Indenta"/>
        <w:rPr>
          <w:snapToGrid w:val="0"/>
        </w:rPr>
      </w:pPr>
      <w:r>
        <w:rPr>
          <w:snapToGrid w:val="0"/>
        </w:rPr>
        <w:tab/>
        <w:t>(d)</w:t>
      </w:r>
      <w:r>
        <w:rPr>
          <w:snapToGrid w:val="0"/>
        </w:rPr>
        <w:tab/>
        <w:t xml:space="preserve">initiate enquiries into the movement of livestock, farm produce, vehicles and persons to and from the </w:t>
      </w:r>
      <w:smartTag w:uri="urn:schemas-microsoft-com:office:smarttags" w:element="Street">
        <w:smartTag w:uri="urn:schemas-microsoft-com:office:smarttags" w:element="address">
          <w:r>
            <w:rPr>
              <w:snapToGrid w:val="0"/>
            </w:rPr>
            <w:t>Infected Place</w:t>
          </w:r>
        </w:smartTag>
      </w:smartTag>
      <w:r>
        <w:rPr>
          <w:snapToGrid w:val="0"/>
        </w:rPr>
        <w:t xml:space="preserve"> during the 21 days prior to the detection of the suspicion of an exotic disease,</w:t>
      </w:r>
    </w:p>
    <w:p>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pPr>
        <w:pStyle w:val="Heading5"/>
        <w:rPr>
          <w:snapToGrid w:val="0"/>
        </w:rPr>
      </w:pPr>
      <w:bookmarkStart w:id="23" w:name="_Toc378240893"/>
      <w:bookmarkStart w:id="24" w:name="_Toc426018427"/>
      <w:r>
        <w:rPr>
          <w:rStyle w:val="CharSectno"/>
        </w:rPr>
        <w:t>11</w:t>
      </w:r>
      <w:r>
        <w:rPr>
          <w:snapToGrid w:val="0"/>
        </w:rPr>
        <w:t>.</w:t>
      </w:r>
      <w:r>
        <w:rPr>
          <w:snapToGrid w:val="0"/>
        </w:rPr>
        <w:tab/>
        <w:t>Dangerous Contact Premises</w:t>
      </w:r>
      <w:bookmarkEnd w:id="23"/>
      <w:bookmarkEnd w:id="24"/>
    </w:p>
    <w:p>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pPr>
        <w:pStyle w:val="Heading5"/>
        <w:rPr>
          <w:snapToGrid w:val="0"/>
        </w:rPr>
      </w:pPr>
      <w:bookmarkStart w:id="25" w:name="_Toc378240894"/>
      <w:bookmarkStart w:id="26" w:name="_Toc426018428"/>
      <w:r>
        <w:rPr>
          <w:rStyle w:val="CharSectno"/>
        </w:rPr>
        <w:t>12</w:t>
      </w:r>
      <w:r>
        <w:rPr>
          <w:snapToGrid w:val="0"/>
        </w:rPr>
        <w:t>.</w:t>
      </w:r>
      <w:r>
        <w:rPr>
          <w:snapToGrid w:val="0"/>
        </w:rPr>
        <w:tab/>
        <w:t xml:space="preserve">Rules relating to an </w:t>
      </w:r>
      <w:smartTag w:uri="urn:schemas-microsoft-com:office:smarttags" w:element="Street">
        <w:smartTag w:uri="urn:schemas-microsoft-com:office:smarttags" w:element="address">
          <w:r>
            <w:rPr>
              <w:snapToGrid w:val="0"/>
            </w:rPr>
            <w:t>Infected Place</w:t>
          </w:r>
        </w:smartTag>
      </w:smartTag>
      <w:bookmarkEnd w:id="25"/>
      <w:bookmarkEnd w:id="26"/>
    </w:p>
    <w:p>
      <w:pPr>
        <w:pStyle w:val="Subsection"/>
        <w:keepNext/>
        <w:keepLines/>
        <w:rPr>
          <w:snapToGrid w:val="0"/>
        </w:rPr>
      </w:pPr>
      <w:r>
        <w:rPr>
          <w:snapToGrid w:val="0"/>
        </w:rPr>
        <w:tab/>
        <w:t>(1)</w:t>
      </w:r>
      <w:r>
        <w:rPr>
          <w:snapToGrid w:val="0"/>
        </w:rPr>
        <w:tab/>
        <w:t xml:space="preserve">Any premises which become an </w:t>
      </w:r>
      <w:smartTag w:uri="urn:schemas-microsoft-com:office:smarttags" w:element="Street">
        <w:smartTag w:uri="urn:schemas-microsoft-com:office:smarttags" w:element="address">
          <w:r>
            <w:rPr>
              <w:snapToGrid w:val="0"/>
            </w:rPr>
            <w:t>Infected Place</w:t>
          </w:r>
        </w:smartTag>
      </w:smartTag>
      <w:r>
        <w:rPr>
          <w:snapToGrid w:val="0"/>
        </w:rPr>
        <w:t xml:space="preserve"> pursuant to regulation 8 shall be subject to the following rules: </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1. </w:t>
      </w:r>
      <w:r>
        <w:rPr>
          <w:snapToGrid w:val="0"/>
        </w:rPr>
        <w:tab/>
        <w:t xml:space="preserve">No animal, poultry or carcase shall be moved into or out of the </w:t>
      </w:r>
      <w:smartTag w:uri="urn:schemas-microsoft-com:office:smarttags" w:element="Street">
        <w:smartTag w:uri="urn:schemas-microsoft-com:office:smarttags" w:element="address">
          <w:r>
            <w:rPr>
              <w:snapToGrid w:val="0"/>
            </w:rPr>
            <w:t>Infected Place</w:t>
          </w:r>
        </w:smartTag>
      </w:smartTag>
      <w:r>
        <w:rPr>
          <w:snapToGrid w:val="0"/>
        </w:rPr>
        <w:t xml:space="preserve"> except pursuant to a permit granted by the Officer in Charge of the </w:t>
      </w:r>
      <w:smartTag w:uri="urn:schemas-microsoft-com:office:smarttags" w:element="Street">
        <w:smartTag w:uri="urn:schemas-microsoft-com:office:smarttags" w:element="address">
          <w:r>
            <w:rPr>
              <w:snapToGrid w:val="0"/>
            </w:rPr>
            <w:t>Infected Place</w:t>
          </w:r>
        </w:smartTag>
      </w:smartTag>
      <w:r>
        <w:rPr>
          <w:snapToGrid w:val="0"/>
        </w:rPr>
        <w:t xml:space="preserve"> and in accordance with the conditions specified therein.</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2. </w:t>
      </w:r>
      <w:r>
        <w:rPr>
          <w:snapToGrid w:val="0"/>
        </w:rPr>
        <w:tab/>
        <w:t xml:space="preserve">Where the suspected disease is specified in Schedule A or Schedule B, no fodder, litter, dung, utensil, pen, hurdle, vehicle or other thing shall be removed out of the </w:t>
      </w:r>
      <w:smartTag w:uri="urn:schemas-microsoft-com:office:smarttags" w:element="Street">
        <w:smartTag w:uri="urn:schemas-microsoft-com:office:smarttags" w:element="address">
          <w:r>
            <w:rPr>
              <w:snapToGrid w:val="0"/>
            </w:rPr>
            <w:t>Infected Place</w:t>
          </w:r>
        </w:smartTag>
      </w:smartTag>
      <w:r>
        <w:rPr>
          <w:snapToGrid w:val="0"/>
        </w:rPr>
        <w:t xml:space="preserve"> except pursuant to a permit granted by the Officer in Charge of the </w:t>
      </w:r>
      <w:smartTag w:uri="urn:schemas-microsoft-com:office:smarttags" w:element="Street">
        <w:smartTag w:uri="urn:schemas-microsoft-com:office:smarttags" w:element="address">
          <w:r>
            <w:rPr>
              <w:snapToGrid w:val="0"/>
            </w:rPr>
            <w:t>Infected Place</w:t>
          </w:r>
        </w:smartTag>
      </w:smartTag>
      <w:r>
        <w:rPr>
          <w:snapToGrid w:val="0"/>
        </w:rPr>
        <w:t xml:space="preserve"> and in accordance with the conditions specified therein.</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4. </w:t>
      </w:r>
      <w:r>
        <w:rPr>
          <w:snapToGrid w:val="0"/>
        </w:rPr>
        <w:tab/>
        <w:t xml:space="preserve">No person other than the Officer in Charge shall enter or leave an </w:t>
      </w:r>
      <w:smartTag w:uri="urn:schemas-microsoft-com:office:smarttags" w:element="Street">
        <w:smartTag w:uri="urn:schemas-microsoft-com:office:smarttags" w:element="address">
          <w:r>
            <w:rPr>
              <w:snapToGrid w:val="0"/>
            </w:rPr>
            <w:t>Infected Place</w:t>
          </w:r>
        </w:smartTag>
      </w:smartTag>
      <w:r>
        <w:rPr>
          <w:snapToGrid w:val="0"/>
        </w:rPr>
        <w:t xml:space="preserve"> unless authorised by and in accordance with a written permit from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8. </w:t>
      </w:r>
      <w:r>
        <w:rPr>
          <w:snapToGrid w:val="0"/>
        </w:rPr>
        <w:tab/>
        <w:t xml:space="preserve">A receptacle containing disinfectant of a type approved by the Officer in Charge shall be kept at the exit from an </w:t>
      </w:r>
      <w:smartTag w:uri="urn:schemas-microsoft-com:office:smarttags" w:element="Street">
        <w:smartTag w:uri="urn:schemas-microsoft-com:office:smarttags" w:element="address">
          <w:r>
            <w:rPr>
              <w:snapToGrid w:val="0"/>
            </w:rPr>
            <w:t>Infected Place</w:t>
          </w:r>
        </w:smartTag>
      </w:smartTag>
      <w:r>
        <w:rPr>
          <w:snapToGrid w:val="0"/>
        </w:rPr>
        <w:t xml:space="preserve"> and fresh disinfectant shall be placed in it as often as may be directed by the Officer in Charge.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t>Rule 9.</w:t>
      </w:r>
      <w:r>
        <w:rPr>
          <w:snapToGrid w:val="0"/>
        </w:rPr>
        <w:tab/>
        <w:t>(1)</w:t>
      </w:r>
      <w:r>
        <w:rPr>
          <w:snapToGrid w:val="0"/>
        </w:rPr>
        <w:tab/>
        <w:t xml:space="preserve">No person shall cause or permit milk to be removed from the </w:t>
      </w:r>
      <w:smartTag w:uri="urn:schemas-microsoft-com:office:smarttags" w:element="Street">
        <w:smartTag w:uri="urn:schemas-microsoft-com:office:smarttags" w:element="address">
          <w:r>
            <w:rPr>
              <w:snapToGrid w:val="0"/>
            </w:rPr>
            <w:t>Infected Place</w:t>
          </w:r>
        </w:smartTag>
      </w:smartTag>
      <w:r>
        <w:rPr>
          <w:snapToGrid w:val="0"/>
        </w:rPr>
        <w:t xml:space="preserve"> and all milk on the </w:t>
      </w:r>
      <w:smartTag w:uri="urn:schemas-microsoft-com:office:smarttags" w:element="Street">
        <w:smartTag w:uri="urn:schemas-microsoft-com:office:smarttags" w:element="address">
          <w:r>
            <w:rPr>
              <w:snapToGrid w:val="0"/>
            </w:rPr>
            <w:t>Infected Place</w:t>
          </w:r>
        </w:smartTag>
      </w:smartTag>
      <w:r>
        <w:rPr>
          <w:snapToGrid w:val="0"/>
        </w:rPr>
        <w:t xml:space="preserve"> shall be destroyed in the manner directed by the Officer in Charge.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(3)</w:t>
      </w:r>
      <w:r>
        <w:rPr>
          <w:snapToGrid w:val="0"/>
        </w:rPr>
        <w:tab/>
        <w:t xml:space="preserve">For the purpose of this rule </w:t>
      </w:r>
      <w:r>
        <w:rPr>
          <w:rStyle w:val="CharDefText"/>
        </w:rPr>
        <w:t>milk</w:t>
      </w:r>
      <w:r>
        <w:rPr>
          <w:snapToGrid w:val="0"/>
        </w:rPr>
        <w:t xml:space="preserve"> includes whey, buttermilk and separated milk.</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pPr>
        <w:pStyle w:val="Subsection"/>
        <w:rPr>
          <w:snapToGrid w:val="0"/>
        </w:rPr>
      </w:pPr>
      <w:r>
        <w:rPr>
          <w:snapToGrid w:val="0"/>
        </w:rPr>
        <w:tab/>
        <w:t xml:space="preserve">(2) </w:t>
      </w:r>
      <w:r>
        <w:rPr>
          <w:snapToGrid w:val="0"/>
        </w:rPr>
        <w:tab/>
        <w:t xml:space="preserve">The Chief Inspector of Stock may, by notice in writing to the occupier of an </w:t>
      </w:r>
      <w:smartTag w:uri="urn:schemas-microsoft-com:office:smarttags" w:element="Street">
        <w:smartTag w:uri="urn:schemas-microsoft-com:office:smarttags" w:element="address">
          <w:r>
            <w:rPr>
              <w:snapToGrid w:val="0"/>
            </w:rPr>
            <w:t>Infected Place</w:t>
          </w:r>
        </w:smartTag>
      </w:smartTag>
      <w:r>
        <w:rPr>
          <w:snapToGrid w:val="0"/>
        </w:rPr>
        <w:t>, direct that — </w:t>
      </w:r>
    </w:p>
    <w:p>
      <w:pPr>
        <w:pStyle w:val="Indenta"/>
        <w:rPr>
          <w:snapToGrid w:val="0"/>
        </w:rPr>
      </w:pPr>
      <w:r>
        <w:rPr>
          <w:snapToGrid w:val="0"/>
        </w:rPr>
        <w:tab/>
        <w:t>(a)</w:t>
      </w:r>
      <w:r>
        <w:rPr>
          <w:snapToGrid w:val="0"/>
        </w:rPr>
        <w:tab/>
        <w:t xml:space="preserve">any additional rules specified in the notice shall apply to the </w:t>
      </w:r>
      <w:smartTag w:uri="urn:schemas-microsoft-com:office:smarttags" w:element="Street">
        <w:smartTag w:uri="urn:schemas-microsoft-com:office:smarttags" w:element="address">
          <w:r>
            <w:rPr>
              <w:snapToGrid w:val="0"/>
            </w:rPr>
            <w:t>Infected Place</w:t>
          </w:r>
        </w:smartTag>
      </w:smartTag>
      <w:r>
        <w:rPr>
          <w:snapToGrid w:val="0"/>
        </w:rPr>
        <w:t>; or</w:t>
      </w:r>
    </w:p>
    <w:p>
      <w:pPr>
        <w:pStyle w:val="Indenta"/>
        <w:rPr>
          <w:snapToGrid w:val="0"/>
        </w:rPr>
      </w:pPr>
      <w:r>
        <w:rPr>
          <w:snapToGrid w:val="0"/>
        </w:rPr>
        <w:tab/>
        <w:t>(b)</w:t>
      </w:r>
      <w:r>
        <w:rPr>
          <w:snapToGrid w:val="0"/>
        </w:rPr>
        <w:tab/>
        <w:t xml:space="preserve">any of the rules prescribed by this regulation shall cease to apply to the </w:t>
      </w:r>
      <w:smartTag w:uri="urn:schemas-microsoft-com:office:smarttags" w:element="Street">
        <w:smartTag w:uri="urn:schemas-microsoft-com:office:smarttags" w:element="address">
          <w:r>
            <w:rPr>
              <w:snapToGrid w:val="0"/>
            </w:rPr>
            <w:t>Infected Place</w:t>
          </w:r>
        </w:smartTag>
      </w:smartTag>
      <w:r>
        <w:rPr>
          <w:snapToGrid w:val="0"/>
        </w:rPr>
        <w:t xml:space="preserve"> or shall be modified to the extent or in the manner specified in the notice.</w:t>
      </w:r>
    </w:p>
    <w:p>
      <w:pPr>
        <w:pStyle w:val="Heading5"/>
        <w:rPr>
          <w:snapToGrid w:val="0"/>
        </w:rPr>
      </w:pPr>
      <w:bookmarkStart w:id="27" w:name="_Toc378240895"/>
      <w:bookmarkStart w:id="28" w:name="_Toc426018429"/>
      <w:r>
        <w:rPr>
          <w:rStyle w:val="CharSectno"/>
        </w:rPr>
        <w:t>13</w:t>
      </w:r>
      <w:r>
        <w:rPr>
          <w:snapToGrid w:val="0"/>
        </w:rPr>
        <w:t>.</w:t>
      </w:r>
      <w:r>
        <w:rPr>
          <w:snapToGrid w:val="0"/>
        </w:rPr>
        <w:tab/>
        <w:t>Terms used</w:t>
      </w:r>
      <w:bookmarkEnd w:id="27"/>
      <w:bookmarkEnd w:id="28"/>
    </w:p>
    <w:p>
      <w:pPr>
        <w:pStyle w:val="Subsection"/>
        <w:keepNext/>
        <w:rPr>
          <w:snapToGrid w:val="0"/>
        </w:rPr>
      </w:pPr>
      <w:r>
        <w:rPr>
          <w:snapToGrid w:val="0"/>
        </w:rPr>
        <w:tab/>
      </w:r>
      <w:r>
        <w:rPr>
          <w:snapToGrid w:val="0"/>
        </w:rPr>
        <w:tab/>
        <w:t>For the purposes of regulations 13A to 13G (both inclusive) — </w:t>
      </w:r>
    </w:p>
    <w:p>
      <w:pPr>
        <w:pStyle w:val="Defstart"/>
      </w:pPr>
      <w:r>
        <w:rPr>
          <w:b/>
        </w:rPr>
        <w:tab/>
      </w:r>
      <w:r>
        <w:rPr>
          <w:rStyle w:val="CharDefText"/>
        </w:rPr>
        <w:t>swill</w:t>
      </w:r>
      <w:r>
        <w:t xml:space="preserve"> means meat, meat scraps, meat trimmings, animal offal, blood, bones or any material which contains meat or any other waste or refuse not known to be free of meat or from contact with meat;</w:t>
      </w:r>
    </w:p>
    <w:p>
      <w:pPr>
        <w:pStyle w:val="Defstart"/>
      </w:pPr>
      <w:r>
        <w:rPr>
          <w:b/>
        </w:rPr>
        <w:tab/>
      </w:r>
      <w:r>
        <w:rPr>
          <w:rStyle w:val="CharDefText"/>
        </w:rPr>
        <w:t>treatment licence</w:t>
      </w:r>
      <w:r>
        <w:t xml:space="preserve"> means a licence issued pursuant to regulation 13F;</w:t>
      </w:r>
    </w:p>
    <w:p>
      <w:pPr>
        <w:pStyle w:val="Defstart"/>
      </w:pPr>
      <w:r>
        <w:tab/>
      </w:r>
      <w:r>
        <w:rPr>
          <w:rStyle w:val="CharDefText"/>
        </w:rPr>
        <w:t>treatment premises</w:t>
      </w:r>
      <w:r>
        <w:t xml:space="preserve"> means premises that are or are to be used for the treatment of swill pursuant to a treatment licence.</w:t>
      </w:r>
    </w:p>
    <w:p>
      <w:pPr>
        <w:pStyle w:val="Footnotesection"/>
      </w:pPr>
      <w:r>
        <w:tab/>
        <w:t>[Regulation 13 inserted in Gazette 1 Oct 1976 p. 3612</w:t>
      </w:r>
      <w:r>
        <w:softHyphen/>
      </w:r>
      <w:r>
        <w:noBreakHyphen/>
        <w:t xml:space="preserve">13.] </w:t>
      </w:r>
    </w:p>
    <w:p>
      <w:pPr>
        <w:pStyle w:val="Heading5"/>
        <w:rPr>
          <w:snapToGrid w:val="0"/>
        </w:rPr>
      </w:pPr>
      <w:bookmarkStart w:id="29" w:name="_Toc378240896"/>
      <w:bookmarkStart w:id="30" w:name="_Toc426018430"/>
      <w:r>
        <w:rPr>
          <w:rStyle w:val="CharSectno"/>
        </w:rPr>
        <w:t>13A</w:t>
      </w:r>
      <w:r>
        <w:rPr>
          <w:snapToGrid w:val="0"/>
        </w:rPr>
        <w:t>.</w:t>
      </w:r>
      <w:r>
        <w:rPr>
          <w:snapToGrid w:val="0"/>
        </w:rPr>
        <w:tab/>
        <w:t>Disposal of swill</w:t>
      </w:r>
      <w:bookmarkEnd w:id="29"/>
      <w:bookmarkEnd w:id="30"/>
    </w:p>
    <w:p>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pPr>
        <w:pStyle w:val="Footnotesection"/>
      </w:pPr>
      <w:r>
        <w:tab/>
        <w:t xml:space="preserve">[Regulation 13A inserted in Gazette 1 Oct 1976 p. 3613.] </w:t>
      </w:r>
    </w:p>
    <w:p>
      <w:pPr>
        <w:pStyle w:val="Heading5"/>
        <w:rPr>
          <w:snapToGrid w:val="0"/>
        </w:rPr>
      </w:pPr>
      <w:bookmarkStart w:id="31" w:name="_Toc378240897"/>
      <w:bookmarkStart w:id="32" w:name="_Toc426018431"/>
      <w:r>
        <w:rPr>
          <w:rStyle w:val="CharSectno"/>
        </w:rPr>
        <w:t>13B</w:t>
      </w:r>
      <w:r>
        <w:rPr>
          <w:snapToGrid w:val="0"/>
        </w:rPr>
        <w:t>.</w:t>
      </w:r>
      <w:r>
        <w:rPr>
          <w:snapToGrid w:val="0"/>
        </w:rPr>
        <w:tab/>
        <w:t>Sterilization of swill</w:t>
      </w:r>
      <w:bookmarkEnd w:id="31"/>
      <w:bookmarkEnd w:id="3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collect swill except for the purposes of — </w:t>
      </w:r>
    </w:p>
    <w:p>
      <w:pPr>
        <w:pStyle w:val="Indenti"/>
        <w:rPr>
          <w:snapToGrid w:val="0"/>
        </w:rPr>
      </w:pPr>
      <w:r>
        <w:rPr>
          <w:snapToGrid w:val="0"/>
        </w:rPr>
        <w:tab/>
        <w:t>(i)</w:t>
      </w:r>
      <w:r>
        <w:rPr>
          <w:snapToGrid w:val="0"/>
        </w:rPr>
        <w:tab/>
        <w:t>sterilization by an approved dry rendering or autoclave process at approved premises; or</w:t>
      </w:r>
    </w:p>
    <w:p>
      <w:pPr>
        <w:pStyle w:val="Indenti"/>
        <w:rPr>
          <w:snapToGrid w:val="0"/>
        </w:rPr>
      </w:pPr>
      <w:r>
        <w:rPr>
          <w:snapToGrid w:val="0"/>
        </w:rPr>
        <w:tab/>
        <w:t>(ii)</w:t>
      </w:r>
      <w:r>
        <w:rPr>
          <w:snapToGrid w:val="0"/>
        </w:rPr>
        <w:tab/>
        <w:t xml:space="preserve">incineration;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dispose of swill except — </w:t>
      </w:r>
    </w:p>
    <w:p>
      <w:pPr>
        <w:pStyle w:val="Indenti"/>
        <w:rPr>
          <w:snapToGrid w:val="0"/>
        </w:rPr>
      </w:pPr>
      <w:r>
        <w:rPr>
          <w:snapToGrid w:val="0"/>
        </w:rPr>
        <w:tab/>
        <w:t>(i)</w:t>
      </w:r>
      <w:r>
        <w:rPr>
          <w:snapToGrid w:val="0"/>
        </w:rPr>
        <w:tab/>
        <w:t>for the purpose of sterilization by an approved dry rendering or autoclave process at approved premises; or</w:t>
      </w:r>
    </w:p>
    <w:p>
      <w:pPr>
        <w:pStyle w:val="Indenti"/>
        <w:rPr>
          <w:snapToGrid w:val="0"/>
        </w:rPr>
      </w:pPr>
      <w:r>
        <w:rPr>
          <w:snapToGrid w:val="0"/>
        </w:rPr>
        <w:tab/>
        <w:t>(ii)</w:t>
      </w:r>
      <w:r>
        <w:rPr>
          <w:snapToGrid w:val="0"/>
        </w:rPr>
        <w:tab/>
        <w:t>by incineration.</w:t>
      </w:r>
    </w:p>
    <w:p>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3</w:t>
      </w:r>
      <w:r>
        <w:rPr>
          <w:snapToGrid w:val="0"/>
        </w:rPr>
        <w:t>.</w:t>
      </w:r>
    </w:p>
    <w:p>
      <w:pPr>
        <w:pStyle w:val="Footnotesection"/>
      </w:pPr>
      <w:r>
        <w:tab/>
        <w:t xml:space="preserve">[Regulation 13B inserted in Gazette 1 Oct 1976 p. 3613.] </w:t>
      </w:r>
    </w:p>
    <w:p>
      <w:pPr>
        <w:pStyle w:val="Heading5"/>
        <w:rPr>
          <w:snapToGrid w:val="0"/>
        </w:rPr>
      </w:pPr>
      <w:bookmarkStart w:id="33" w:name="_Toc378240898"/>
      <w:bookmarkStart w:id="34" w:name="_Toc426018432"/>
      <w:r>
        <w:rPr>
          <w:rStyle w:val="CharSectno"/>
        </w:rPr>
        <w:t>13C</w:t>
      </w:r>
      <w:r>
        <w:rPr>
          <w:snapToGrid w:val="0"/>
        </w:rPr>
        <w:t>.</w:t>
      </w:r>
      <w:r>
        <w:rPr>
          <w:snapToGrid w:val="0"/>
        </w:rPr>
        <w:tab/>
        <w:t>Declaration of carcase as pig feed</w:t>
      </w:r>
      <w:bookmarkEnd w:id="33"/>
      <w:bookmarkEnd w:id="34"/>
    </w:p>
    <w:p>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pPr>
        <w:pStyle w:val="Subsection"/>
        <w:rPr>
          <w:snapToGrid w:val="0"/>
        </w:rPr>
      </w:pPr>
      <w:r>
        <w:rPr>
          <w:snapToGrid w:val="0"/>
        </w:rPr>
        <w:tab/>
        <w:t>(4)</w:t>
      </w:r>
      <w:r>
        <w:rPr>
          <w:snapToGrid w:val="0"/>
        </w:rPr>
        <w:tab/>
        <w:t>A declaration made under subregulation (2) may be varied or cancelled by the Minister by a subsequent notice.</w:t>
      </w:r>
    </w:p>
    <w:p>
      <w:pPr>
        <w:pStyle w:val="Footnotesection"/>
      </w:pPr>
      <w:r>
        <w:tab/>
        <w:t xml:space="preserve">[Regulation 13C inserted in Gazette 1 Oct 1976 p. 3613.] </w:t>
      </w:r>
    </w:p>
    <w:p>
      <w:pPr>
        <w:pStyle w:val="Heading5"/>
        <w:rPr>
          <w:snapToGrid w:val="0"/>
        </w:rPr>
      </w:pPr>
      <w:bookmarkStart w:id="35" w:name="_Toc378240899"/>
      <w:bookmarkStart w:id="36" w:name="_Toc426018433"/>
      <w:r>
        <w:rPr>
          <w:rStyle w:val="CharSectno"/>
        </w:rPr>
        <w:t>13D</w:t>
      </w:r>
      <w:r>
        <w:rPr>
          <w:snapToGrid w:val="0"/>
        </w:rPr>
        <w:t>.</w:t>
      </w:r>
      <w:r>
        <w:rPr>
          <w:snapToGrid w:val="0"/>
        </w:rPr>
        <w:tab/>
        <w:t>Application for treatment licence</w:t>
      </w:r>
      <w:bookmarkEnd w:id="35"/>
      <w:bookmarkEnd w:id="36"/>
    </w:p>
    <w:p>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pPr>
        <w:pStyle w:val="Footnotesection"/>
      </w:pPr>
      <w:r>
        <w:tab/>
        <w:t xml:space="preserve">[Regulation 13D inserted in Gazette 1 Oct 1976 p. 3613.] </w:t>
      </w:r>
    </w:p>
    <w:p>
      <w:pPr>
        <w:pStyle w:val="Heading5"/>
        <w:rPr>
          <w:snapToGrid w:val="0"/>
        </w:rPr>
      </w:pPr>
      <w:bookmarkStart w:id="37" w:name="_Toc378240900"/>
      <w:bookmarkStart w:id="38" w:name="_Toc426018434"/>
      <w:r>
        <w:rPr>
          <w:rStyle w:val="CharSectno"/>
        </w:rPr>
        <w:t>13E</w:t>
      </w:r>
      <w:r>
        <w:rPr>
          <w:snapToGrid w:val="0"/>
        </w:rPr>
        <w:t>.</w:t>
      </w:r>
      <w:r>
        <w:rPr>
          <w:snapToGrid w:val="0"/>
        </w:rPr>
        <w:tab/>
        <w:t>Treatment licence</w:t>
      </w:r>
      <w:bookmarkEnd w:id="37"/>
      <w:bookmarkEnd w:id="38"/>
    </w:p>
    <w:p>
      <w:pPr>
        <w:pStyle w:val="Subsection"/>
        <w:rPr>
          <w:snapToGrid w:val="0"/>
        </w:rPr>
      </w:pPr>
      <w:r>
        <w:rPr>
          <w:snapToGrid w:val="0"/>
        </w:rPr>
        <w:tab/>
        <w:t>(1)</w:t>
      </w:r>
      <w:r>
        <w:rPr>
          <w:snapToGrid w:val="0"/>
        </w:rPr>
        <w:tab/>
        <w:t>Subject to subregulation (2), where the Chief Inspector is satisfied that — </w:t>
      </w:r>
    </w:p>
    <w:p>
      <w:pPr>
        <w:pStyle w:val="Indenta"/>
        <w:rPr>
          <w:snapToGrid w:val="0"/>
        </w:rPr>
      </w:pPr>
      <w:r>
        <w:rPr>
          <w:snapToGrid w:val="0"/>
        </w:rPr>
        <w:tab/>
        <w:t>(a)</w:t>
      </w:r>
      <w:r>
        <w:rPr>
          <w:snapToGrid w:val="0"/>
        </w:rPr>
        <w:tab/>
        <w:t>the applicant for a treatment licence is the owner — </w:t>
      </w:r>
    </w:p>
    <w:p>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pPr>
        <w:pStyle w:val="Indenti"/>
        <w:rPr>
          <w:snapToGrid w:val="0"/>
        </w:rPr>
      </w:pPr>
      <w:r>
        <w:rPr>
          <w:snapToGrid w:val="0"/>
        </w:rPr>
        <w:tab/>
        <w:t>(ii)</w:t>
      </w:r>
      <w:r>
        <w:rPr>
          <w:snapToGrid w:val="0"/>
        </w:rPr>
        <w:tab/>
        <w:t>of the treatment premises; and</w:t>
      </w:r>
    </w:p>
    <w:p>
      <w:pPr>
        <w:pStyle w:val="Indenti"/>
        <w:rPr>
          <w:snapToGrid w:val="0"/>
        </w:rPr>
      </w:pPr>
      <w:r>
        <w:rPr>
          <w:snapToGrid w:val="0"/>
        </w:rPr>
        <w:tab/>
        <w:t>(iii)</w:t>
      </w:r>
      <w:r>
        <w:rPr>
          <w:snapToGrid w:val="0"/>
        </w:rPr>
        <w:tab/>
        <w:t>of the pigs to which the animal offal, meat and meat trimmings treated under the licence are to be fed;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treatment premises in respect of which the application is made — </w:t>
      </w:r>
    </w:p>
    <w:p>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pPr>
        <w:pStyle w:val="Subsection"/>
        <w:rPr>
          <w:snapToGrid w:val="0"/>
        </w:rPr>
      </w:pPr>
      <w:r>
        <w:rPr>
          <w:snapToGrid w:val="0"/>
        </w:rPr>
        <w:tab/>
      </w:r>
      <w:r>
        <w:rPr>
          <w:snapToGrid w:val="0"/>
        </w:rPr>
        <w:tab/>
        <w:t>he may issue a treatment licence to the applicant.</w:t>
      </w:r>
    </w:p>
    <w:p>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pPr>
        <w:pStyle w:val="Subsection"/>
        <w:rPr>
          <w:snapToGrid w:val="0"/>
        </w:rPr>
      </w:pPr>
      <w:r>
        <w:rPr>
          <w:snapToGrid w:val="0"/>
        </w:rPr>
        <w:tab/>
        <w:t>(3)</w:t>
      </w:r>
      <w:r>
        <w:rPr>
          <w:snapToGrid w:val="0"/>
        </w:rPr>
        <w:tab/>
        <w:t>A treatment licence shall be in the form of Form 2 in Schedule D.</w:t>
      </w:r>
    </w:p>
    <w:p>
      <w:pPr>
        <w:pStyle w:val="Subsection"/>
        <w:rPr>
          <w:snapToGrid w:val="0"/>
        </w:rPr>
      </w:pPr>
      <w:r>
        <w:rPr>
          <w:snapToGrid w:val="0"/>
        </w:rPr>
        <w:tab/>
        <w:t>(4)</w:t>
      </w:r>
      <w:r>
        <w:rPr>
          <w:snapToGrid w:val="0"/>
        </w:rPr>
        <w:tab/>
        <w:t>An application for the issue of a treatment licence shall be accompanied by a fee of $266.</w:t>
      </w:r>
    </w:p>
    <w:p>
      <w:pPr>
        <w:pStyle w:val="Subsection"/>
        <w:rPr>
          <w:snapToGrid w:val="0"/>
        </w:rPr>
      </w:pPr>
      <w:r>
        <w:rPr>
          <w:snapToGrid w:val="0"/>
        </w:rPr>
        <w:tab/>
        <w:t>(5)</w:t>
      </w:r>
      <w:r>
        <w:rPr>
          <w:snapToGrid w:val="0"/>
        </w:rPr>
        <w:tab/>
        <w:t>A treatment licence is subject to the conditions specified therein by the Chief Inspector.</w:t>
      </w:r>
    </w:p>
    <w:p>
      <w:pPr>
        <w:pStyle w:val="Subsection"/>
        <w:rPr>
          <w:snapToGrid w:val="0"/>
        </w:rPr>
      </w:pPr>
      <w:r>
        <w:rPr>
          <w:snapToGrid w:val="0"/>
        </w:rPr>
        <w:tab/>
        <w:t>(6)</w:t>
      </w:r>
      <w:r>
        <w:rPr>
          <w:snapToGrid w:val="0"/>
        </w:rPr>
        <w:tab/>
        <w:t>A treatment licence is valid for a period of 12 months unless it is sooner revoked.</w:t>
      </w:r>
    </w:p>
    <w:p>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20 May 2008 p. 1939; 26 Jun 2009 p. 2604.] </w:t>
      </w:r>
    </w:p>
    <w:p>
      <w:pPr>
        <w:pStyle w:val="Heading5"/>
        <w:rPr>
          <w:snapToGrid w:val="0"/>
        </w:rPr>
      </w:pPr>
      <w:bookmarkStart w:id="39" w:name="_Toc378240901"/>
      <w:bookmarkStart w:id="40" w:name="_Toc426018435"/>
      <w:r>
        <w:rPr>
          <w:rStyle w:val="CharSectno"/>
        </w:rPr>
        <w:t>13F</w:t>
      </w:r>
      <w:r>
        <w:rPr>
          <w:snapToGrid w:val="0"/>
        </w:rPr>
        <w:t>.</w:t>
      </w:r>
      <w:r>
        <w:rPr>
          <w:snapToGrid w:val="0"/>
        </w:rPr>
        <w:tab/>
        <w:t>Conditions of treatment licence</w:t>
      </w:r>
      <w:bookmarkEnd w:id="39"/>
      <w:bookmarkEnd w:id="40"/>
    </w:p>
    <w:p>
      <w:pPr>
        <w:pStyle w:val="Subsection"/>
        <w:keepNext/>
        <w:rPr>
          <w:snapToGrid w:val="0"/>
        </w:rPr>
      </w:pPr>
      <w:r>
        <w:rPr>
          <w:snapToGrid w:val="0"/>
        </w:rPr>
        <w:tab/>
      </w:r>
      <w:r>
        <w:rPr>
          <w:snapToGrid w:val="0"/>
        </w:rPr>
        <w:tab/>
        <w:t>The holder of a treatment licence — </w:t>
      </w:r>
    </w:p>
    <w:p>
      <w:pPr>
        <w:pStyle w:val="Indenta"/>
        <w:rPr>
          <w:snapToGrid w:val="0"/>
        </w:rPr>
      </w:pPr>
      <w:r>
        <w:rPr>
          <w:snapToGrid w:val="0"/>
        </w:rPr>
        <w:tab/>
        <w:t>(a)</w:t>
      </w:r>
      <w:r>
        <w:rPr>
          <w:snapToGrid w:val="0"/>
        </w:rPr>
        <w:tab/>
        <w:t>shall maintain the treatment premises in a clean and hygienic condition;</w:t>
      </w:r>
    </w:p>
    <w:p>
      <w:pPr>
        <w:pStyle w:val="Indenta"/>
        <w:rPr>
          <w:snapToGrid w:val="0"/>
        </w:rPr>
      </w:pPr>
      <w:r>
        <w:rPr>
          <w:snapToGrid w:val="0"/>
        </w:rPr>
        <w:tab/>
        <w:t>(b)</w:t>
      </w:r>
      <w:r>
        <w:rPr>
          <w:snapToGrid w:val="0"/>
        </w:rPr>
        <w:tab/>
        <w:t>shall not keep any offal, meat or meat trimmings in a place that is accessible to dogs or scavenging animals;</w:t>
      </w:r>
    </w:p>
    <w:p>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pPr>
        <w:pStyle w:val="Footnotesection"/>
      </w:pPr>
      <w:r>
        <w:tab/>
        <w:t xml:space="preserve">[Regulation 13F inserted in Gazette 1 Oct 1976 p. 3614.] </w:t>
      </w:r>
    </w:p>
    <w:p>
      <w:pPr>
        <w:pStyle w:val="Heading5"/>
        <w:rPr>
          <w:snapToGrid w:val="0"/>
        </w:rPr>
      </w:pPr>
      <w:bookmarkStart w:id="41" w:name="_Toc378240902"/>
      <w:bookmarkStart w:id="42" w:name="_Toc426018436"/>
      <w:r>
        <w:rPr>
          <w:rStyle w:val="CharSectno"/>
        </w:rPr>
        <w:t>13G</w:t>
      </w:r>
      <w:r>
        <w:rPr>
          <w:snapToGrid w:val="0"/>
        </w:rPr>
        <w:t>.</w:t>
      </w:r>
      <w:r>
        <w:rPr>
          <w:snapToGrid w:val="0"/>
        </w:rPr>
        <w:tab/>
        <w:t>Swill to be boiled by licence holder</w:t>
      </w:r>
      <w:bookmarkEnd w:id="41"/>
      <w:bookmarkEnd w:id="42"/>
    </w:p>
    <w:p>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pPr>
        <w:pStyle w:val="Footnotesection"/>
      </w:pPr>
      <w:r>
        <w:tab/>
        <w:t xml:space="preserve">[Regulation 13G inserted in Gazette 1 Oct 1976 p. 3614.] </w:t>
      </w:r>
    </w:p>
    <w:p>
      <w:pPr>
        <w:pStyle w:val="Heading5"/>
        <w:rPr>
          <w:snapToGrid w:val="0"/>
        </w:rPr>
      </w:pPr>
      <w:bookmarkStart w:id="43" w:name="_Toc378240903"/>
      <w:bookmarkStart w:id="44" w:name="_Toc426018437"/>
      <w:r>
        <w:rPr>
          <w:rStyle w:val="CharSectno"/>
        </w:rPr>
        <w:t>13H</w:t>
      </w:r>
      <w:r>
        <w:rPr>
          <w:snapToGrid w:val="0"/>
        </w:rPr>
        <w:t>.</w:t>
      </w:r>
      <w:r>
        <w:rPr>
          <w:snapToGrid w:val="0"/>
        </w:rPr>
        <w:tab/>
        <w:t>Offences relating to licences</w:t>
      </w:r>
      <w:bookmarkEnd w:id="43"/>
      <w:bookmarkEnd w:id="44"/>
    </w:p>
    <w:p>
      <w:pPr>
        <w:pStyle w:val="Subsection"/>
        <w:rPr>
          <w:snapToGrid w:val="0"/>
        </w:rPr>
      </w:pPr>
      <w:r>
        <w:rPr>
          <w:snapToGrid w:val="0"/>
        </w:rPr>
        <w:tab/>
      </w:r>
      <w:r>
        <w:rPr>
          <w:snapToGrid w:val="0"/>
        </w:rPr>
        <w:tab/>
        <w:t>A person who contravenes or fails to comply with regulations 13A, 13B, 13F or 13G commits an offence.</w:t>
      </w:r>
    </w:p>
    <w:p>
      <w:pPr>
        <w:pStyle w:val="Penstart"/>
        <w:rPr>
          <w:snapToGrid w:val="0"/>
        </w:rPr>
      </w:pPr>
      <w:r>
        <w:rPr>
          <w:snapToGrid w:val="0"/>
        </w:rPr>
        <w:tab/>
        <w:t>Penalty:</w:t>
      </w:r>
    </w:p>
    <w:p>
      <w:pPr>
        <w:pStyle w:val="Penpara"/>
        <w:rPr>
          <w:snapToGrid w:val="0"/>
        </w:rPr>
      </w:pPr>
      <w:r>
        <w:rPr>
          <w:snapToGrid w:val="0"/>
        </w:rPr>
        <w:tab/>
        <w:t xml:space="preserve">(a) </w:t>
      </w:r>
      <w:r>
        <w:rPr>
          <w:snapToGrid w:val="0"/>
        </w:rPr>
        <w:tab/>
        <w:t>for a first offence, $5 000; and</w:t>
      </w:r>
    </w:p>
    <w:p>
      <w:pPr>
        <w:pStyle w:val="Penpara"/>
        <w:rPr>
          <w:snapToGrid w:val="0"/>
        </w:rPr>
      </w:pPr>
      <w:r>
        <w:rPr>
          <w:snapToGrid w:val="0"/>
        </w:rPr>
        <w:tab/>
        <w:t xml:space="preserve">(b) </w:t>
      </w:r>
      <w:r>
        <w:rPr>
          <w:snapToGrid w:val="0"/>
        </w:rPr>
        <w:tab/>
        <w:t>for a second or subsequent offence, $10 000,</w:t>
      </w:r>
    </w:p>
    <w:p>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pPr>
        <w:pStyle w:val="Footnotesection"/>
      </w:pPr>
      <w:r>
        <w:tab/>
        <w:t xml:space="preserve">[Regulation 13H inserted in Gazette 26 Jun 1992 p. 2657.] </w:t>
      </w:r>
    </w:p>
    <w:p>
      <w:pPr>
        <w:pStyle w:val="Heading5"/>
        <w:rPr>
          <w:snapToGrid w:val="0"/>
        </w:rPr>
      </w:pPr>
      <w:bookmarkStart w:id="45" w:name="_Toc378240904"/>
      <w:bookmarkStart w:id="46" w:name="_Toc426018438"/>
      <w:r>
        <w:rPr>
          <w:rStyle w:val="CharSectno"/>
        </w:rPr>
        <w:t>14</w:t>
      </w:r>
      <w:r>
        <w:rPr>
          <w:snapToGrid w:val="0"/>
        </w:rPr>
        <w:t>.</w:t>
      </w:r>
      <w:r>
        <w:rPr>
          <w:snapToGrid w:val="0"/>
        </w:rPr>
        <w:tab/>
        <w:t>Revocation of licence</w:t>
      </w:r>
      <w:bookmarkEnd w:id="45"/>
      <w:bookmarkEnd w:id="46"/>
    </w:p>
    <w:p>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pPr>
        <w:pStyle w:val="Footnotesection"/>
      </w:pPr>
      <w:r>
        <w:tab/>
        <w:t xml:space="preserve">[Regulation 14 inserted in Gazette 1 Oct 1976 p. 3614.] </w:t>
      </w:r>
    </w:p>
    <w:p>
      <w:pPr>
        <w:pStyle w:val="Heading5"/>
        <w:rPr>
          <w:snapToGrid w:val="0"/>
        </w:rPr>
      </w:pPr>
      <w:bookmarkStart w:id="47" w:name="_Toc378240905"/>
      <w:bookmarkStart w:id="48" w:name="_Toc426018439"/>
      <w:r>
        <w:rPr>
          <w:rStyle w:val="CharSectno"/>
        </w:rPr>
        <w:t>15</w:t>
      </w:r>
      <w:r>
        <w:rPr>
          <w:snapToGrid w:val="0"/>
        </w:rPr>
        <w:t>.</w:t>
      </w:r>
      <w:r>
        <w:rPr>
          <w:snapToGrid w:val="0"/>
        </w:rPr>
        <w:tab/>
        <w:t>Diagnostic team etc. may enter premises</w:t>
      </w:r>
      <w:bookmarkEnd w:id="47"/>
      <w:bookmarkEnd w:id="48"/>
    </w:p>
    <w:p>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pPr>
        <w:pStyle w:val="Heading5"/>
        <w:rPr>
          <w:snapToGrid w:val="0"/>
        </w:rPr>
      </w:pPr>
      <w:bookmarkStart w:id="49" w:name="_Toc378240906"/>
      <w:bookmarkStart w:id="50" w:name="_Toc426018440"/>
      <w:r>
        <w:rPr>
          <w:rStyle w:val="CharSectno"/>
        </w:rPr>
        <w:t>16</w:t>
      </w:r>
      <w:r>
        <w:rPr>
          <w:snapToGrid w:val="0"/>
        </w:rPr>
        <w:t>.</w:t>
      </w:r>
      <w:r>
        <w:rPr>
          <w:snapToGrid w:val="0"/>
        </w:rPr>
        <w:tab/>
        <w:t>Offences generally</w:t>
      </w:r>
      <w:bookmarkEnd w:id="49"/>
      <w:bookmarkEnd w:id="50"/>
    </w:p>
    <w:p>
      <w:pPr>
        <w:pStyle w:val="Subsection"/>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keepNext/>
        <w:keepLines/>
        <w:rPr>
          <w:snapToGrid w:val="0"/>
        </w:rPr>
      </w:pPr>
      <w:r>
        <w:rPr>
          <w:snapToGrid w:val="0"/>
        </w:rPr>
        <w:tab/>
        <w:t>(b)</w:t>
      </w:r>
      <w:r>
        <w:rPr>
          <w:snapToGrid w:val="0"/>
        </w:rPr>
        <w:tab/>
        <w:t>any provision of a condition or rule imposed or in force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and in addition, in the case of a continuing offence, to a further penalty of $10 for every day that the offence continues after the offender is convicted.</w:t>
      </w:r>
    </w:p>
    <w:p>
      <w:pPr>
        <w:pStyle w:val="Footnotesection"/>
      </w:pPr>
      <w:r>
        <w:tab/>
        <w:t xml:space="preserve">[Regulation 16 amended in Gazette 7 Aug 1987 p. 3125; 26 Jun 1992 p. 2657.]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1" w:name="_Toc378240907"/>
      <w:bookmarkStart w:id="52" w:name="_Toc426018393"/>
      <w:bookmarkStart w:id="53" w:name="_Toc426018441"/>
      <w:r>
        <w:rPr>
          <w:rStyle w:val="CharSchNo"/>
        </w:rPr>
        <w:t>Schedule A</w:t>
      </w:r>
      <w:bookmarkEnd w:id="51"/>
      <w:bookmarkEnd w:id="52"/>
      <w:bookmarkEnd w:id="53"/>
      <w:r>
        <w:rPr>
          <w:rStyle w:val="CharSchNo"/>
        </w:rPr>
        <w:t xml:space="preserve"> </w:t>
      </w:r>
    </w:p>
    <w:p>
      <w:pPr>
        <w:pStyle w:val="yHeading2"/>
      </w:pPr>
      <w:bookmarkStart w:id="54" w:name="_Toc378240908"/>
      <w:bookmarkStart w:id="55" w:name="_Toc426018394"/>
      <w:bookmarkStart w:id="56" w:name="_Toc426018442"/>
      <w:r>
        <w:rPr>
          <w:rStyle w:val="CharSchText"/>
        </w:rPr>
        <w:t>Exotic vesicular diseases</w:t>
      </w:r>
      <w:bookmarkEnd w:id="54"/>
      <w:bookmarkEnd w:id="55"/>
      <w:bookmarkEnd w:id="56"/>
    </w:p>
    <w:p>
      <w:pPr>
        <w:pStyle w:val="yNumberedItem"/>
        <w:rPr>
          <w:snapToGrid w:val="0"/>
        </w:rPr>
      </w:pPr>
      <w:r>
        <w:rPr>
          <w:snapToGrid w:val="0"/>
        </w:rPr>
        <w:tab/>
        <w:t>Foot</w:t>
      </w:r>
      <w:r>
        <w:rPr>
          <w:snapToGrid w:val="0"/>
        </w:rPr>
        <w:noBreakHyphen/>
        <w:t>and</w:t>
      </w:r>
      <w:r>
        <w:rPr>
          <w:snapToGrid w:val="0"/>
        </w:rPr>
        <w:noBreakHyphen/>
        <w:t>Mouth Disease</w:t>
      </w:r>
    </w:p>
    <w:p>
      <w:pPr>
        <w:pStyle w:val="yNumberedItem"/>
        <w:rPr>
          <w:snapToGrid w:val="0"/>
        </w:rPr>
      </w:pPr>
      <w:r>
        <w:rPr>
          <w:snapToGrid w:val="0"/>
        </w:rPr>
        <w:tab/>
        <w:t>Vesicular Stomatitis</w:t>
      </w:r>
    </w:p>
    <w:p>
      <w:pPr>
        <w:pStyle w:val="yNumberedItem"/>
        <w:rPr>
          <w:snapToGrid w:val="0"/>
        </w:rPr>
      </w:pPr>
      <w:r>
        <w:rPr>
          <w:snapToGrid w:val="0"/>
        </w:rPr>
        <w:tab/>
        <w:t>Vesicular Exanthema</w:t>
      </w:r>
    </w:p>
    <w:p>
      <w:pPr>
        <w:pStyle w:val="yNumberedItem"/>
        <w:rPr>
          <w:snapToGrid w:val="0"/>
        </w:rPr>
      </w:pPr>
      <w:r>
        <w:rPr>
          <w:snapToGrid w:val="0"/>
        </w:rPr>
        <w:tab/>
        <w:t>Swine Vesicular Disease</w:t>
      </w:r>
    </w:p>
    <w:p>
      <w:pPr>
        <w:pStyle w:val="yFootnotesection"/>
      </w:pPr>
      <w:r>
        <w:tab/>
        <w:t xml:space="preserve">[Schedule A amended in Gazette 14 Jun 1974 p. 1938.] </w:t>
      </w:r>
    </w:p>
    <w:p>
      <w:pPr>
        <w:pStyle w:val="yScheduleHeading"/>
      </w:pPr>
      <w:bookmarkStart w:id="57" w:name="_Toc378240909"/>
      <w:bookmarkStart w:id="58" w:name="_Toc426018395"/>
      <w:bookmarkStart w:id="59" w:name="_Toc426018443"/>
      <w:r>
        <w:rPr>
          <w:rStyle w:val="CharSchNo"/>
        </w:rPr>
        <w:t>Schedule B</w:t>
      </w:r>
      <w:bookmarkEnd w:id="57"/>
      <w:bookmarkEnd w:id="58"/>
      <w:bookmarkEnd w:id="59"/>
      <w:r>
        <w:t xml:space="preserve"> </w:t>
      </w:r>
    </w:p>
    <w:p>
      <w:pPr>
        <w:pStyle w:val="yHeading2"/>
      </w:pPr>
      <w:bookmarkStart w:id="60" w:name="_Toc378240910"/>
      <w:bookmarkStart w:id="61" w:name="_Toc426018396"/>
      <w:bookmarkStart w:id="62" w:name="_Toc426018444"/>
      <w:r>
        <w:rPr>
          <w:rStyle w:val="CharSchText"/>
        </w:rPr>
        <w:t>Exotic diseases transmitted directly or indirectly</w:t>
      </w:r>
      <w:bookmarkEnd w:id="60"/>
      <w:bookmarkEnd w:id="61"/>
      <w:bookmarkEnd w:id="62"/>
    </w:p>
    <w:p>
      <w:pPr>
        <w:pStyle w:val="yNumberedItem"/>
        <w:rPr>
          <w:snapToGrid w:val="0"/>
        </w:rPr>
      </w:pPr>
      <w:r>
        <w:rPr>
          <w:snapToGrid w:val="0"/>
        </w:rPr>
        <w:tab/>
        <w:t>Swine Fever</w:t>
      </w:r>
    </w:p>
    <w:p>
      <w:pPr>
        <w:pStyle w:val="yNumberedItem"/>
        <w:rPr>
          <w:snapToGrid w:val="0"/>
        </w:rPr>
      </w:pPr>
      <w:r>
        <w:rPr>
          <w:snapToGrid w:val="0"/>
        </w:rPr>
        <w:tab/>
        <w:t>African Swine Fever</w:t>
      </w:r>
    </w:p>
    <w:p>
      <w:pPr>
        <w:pStyle w:val="yNumberedItem"/>
        <w:rPr>
          <w:snapToGrid w:val="0"/>
        </w:rPr>
      </w:pPr>
      <w:r>
        <w:rPr>
          <w:snapToGrid w:val="0"/>
        </w:rPr>
        <w:tab/>
        <w:t>Rinderpest</w:t>
      </w:r>
    </w:p>
    <w:p>
      <w:pPr>
        <w:pStyle w:val="yNumberedItem"/>
        <w:rPr>
          <w:snapToGrid w:val="0"/>
        </w:rPr>
      </w:pPr>
      <w:r>
        <w:rPr>
          <w:snapToGrid w:val="0"/>
        </w:rPr>
        <w:tab/>
        <w:t>Rabies</w:t>
      </w:r>
    </w:p>
    <w:p>
      <w:pPr>
        <w:pStyle w:val="yNumberedItem"/>
        <w:rPr>
          <w:snapToGrid w:val="0"/>
        </w:rPr>
      </w:pPr>
      <w:r>
        <w:rPr>
          <w:snapToGrid w:val="0"/>
        </w:rPr>
        <w:tab/>
      </w:r>
      <w:smartTag w:uri="urn:schemas-microsoft-com:office:smarttags" w:element="City">
        <w:smartTag w:uri="urn:schemas-microsoft-com:office:smarttags" w:element="place">
          <w:r>
            <w:rPr>
              <w:snapToGrid w:val="0"/>
            </w:rPr>
            <w:t>Newcastle</w:t>
          </w:r>
        </w:smartTag>
      </w:smartTag>
      <w:r>
        <w:rPr>
          <w:snapToGrid w:val="0"/>
        </w:rPr>
        <w:t xml:space="preserve"> Disease</w:t>
      </w:r>
    </w:p>
    <w:p>
      <w:pPr>
        <w:pStyle w:val="yNumberedItem"/>
        <w:rPr>
          <w:snapToGrid w:val="0"/>
        </w:rPr>
      </w:pPr>
      <w:r>
        <w:rPr>
          <w:snapToGrid w:val="0"/>
        </w:rPr>
        <w:tab/>
        <w:t>Fowl Plague</w:t>
      </w:r>
    </w:p>
    <w:p>
      <w:pPr>
        <w:pStyle w:val="yNumberedItem"/>
        <w:rPr>
          <w:snapToGrid w:val="0"/>
        </w:rPr>
      </w:pPr>
      <w:r>
        <w:rPr>
          <w:snapToGrid w:val="0"/>
        </w:rPr>
        <w:tab/>
        <w:t>Scrapie</w:t>
      </w:r>
    </w:p>
    <w:p>
      <w:pPr>
        <w:pStyle w:val="yNumberedItem"/>
        <w:rPr>
          <w:snapToGrid w:val="0"/>
        </w:rPr>
      </w:pPr>
      <w:r>
        <w:rPr>
          <w:snapToGrid w:val="0"/>
        </w:rPr>
        <w:tab/>
        <w:t>Sheep Scab</w:t>
      </w:r>
    </w:p>
    <w:p>
      <w:pPr>
        <w:pStyle w:val="yNumberedItem"/>
        <w:rPr>
          <w:snapToGrid w:val="0"/>
        </w:rPr>
      </w:pPr>
      <w:r>
        <w:rPr>
          <w:snapToGrid w:val="0"/>
        </w:rPr>
        <w:tab/>
        <w:t>Sheep Pox</w:t>
      </w:r>
    </w:p>
    <w:p>
      <w:pPr>
        <w:pStyle w:val="yNumberedItem"/>
        <w:rPr>
          <w:snapToGrid w:val="0"/>
        </w:rPr>
      </w:pPr>
      <w:r>
        <w:rPr>
          <w:snapToGrid w:val="0"/>
        </w:rPr>
        <w:tab/>
        <w:t>Aujesky’s disease</w:t>
      </w:r>
    </w:p>
    <w:p>
      <w:pPr>
        <w:pStyle w:val="yNumberedItem"/>
        <w:rPr>
          <w:snapToGrid w:val="0"/>
        </w:rPr>
      </w:pPr>
      <w:r>
        <w:rPr>
          <w:snapToGrid w:val="0"/>
        </w:rPr>
        <w:tab/>
        <w:t>Trichinosis</w:t>
      </w:r>
    </w:p>
    <w:p>
      <w:pPr>
        <w:pStyle w:val="yNumberedItem"/>
        <w:rPr>
          <w:snapToGrid w:val="0"/>
        </w:rPr>
      </w:pPr>
      <w:r>
        <w:rPr>
          <w:snapToGrid w:val="0"/>
        </w:rPr>
        <w:tab/>
        <w:t>Glanders</w:t>
      </w:r>
    </w:p>
    <w:p>
      <w:pPr>
        <w:pStyle w:val="yNumberedItem"/>
        <w:rPr>
          <w:snapToGrid w:val="0"/>
        </w:rPr>
      </w:pPr>
      <w:r>
        <w:rPr>
          <w:snapToGrid w:val="0"/>
        </w:rPr>
        <w:tab/>
        <w:t>Dourine</w:t>
      </w:r>
    </w:p>
    <w:p>
      <w:pPr>
        <w:pStyle w:val="yScheduleHeading"/>
      </w:pPr>
      <w:bookmarkStart w:id="63" w:name="_Toc378240911"/>
      <w:bookmarkStart w:id="64" w:name="_Toc426018397"/>
      <w:bookmarkStart w:id="65" w:name="_Toc426018445"/>
      <w:r>
        <w:rPr>
          <w:rStyle w:val="CharSchNo"/>
        </w:rPr>
        <w:t>Schedule C</w:t>
      </w:r>
      <w:bookmarkEnd w:id="63"/>
      <w:bookmarkEnd w:id="64"/>
      <w:bookmarkEnd w:id="65"/>
      <w:r>
        <w:rPr>
          <w:rStyle w:val="CharSchNo"/>
        </w:rPr>
        <w:t xml:space="preserve"> </w:t>
      </w:r>
    </w:p>
    <w:p>
      <w:pPr>
        <w:pStyle w:val="yHeading2"/>
      </w:pPr>
      <w:bookmarkStart w:id="66" w:name="_Toc378240912"/>
      <w:bookmarkStart w:id="67" w:name="_Toc426018398"/>
      <w:bookmarkStart w:id="68" w:name="_Toc426018446"/>
      <w:r>
        <w:rPr>
          <w:rStyle w:val="CharSchText"/>
        </w:rPr>
        <w:t>Exotic diseases transmitted by insect vectors</w:t>
      </w:r>
      <w:bookmarkEnd w:id="66"/>
      <w:bookmarkEnd w:id="67"/>
      <w:bookmarkEnd w:id="68"/>
    </w:p>
    <w:p>
      <w:pPr>
        <w:pStyle w:val="yNumberedItem"/>
        <w:rPr>
          <w:snapToGrid w:val="0"/>
        </w:rPr>
      </w:pPr>
      <w:r>
        <w:rPr>
          <w:snapToGrid w:val="0"/>
        </w:rPr>
        <w:tab/>
        <w:t>Bluetongue</w:t>
      </w:r>
    </w:p>
    <w:p>
      <w:pPr>
        <w:pStyle w:val="yNumberedItem"/>
        <w:rPr>
          <w:snapToGrid w:val="0"/>
        </w:rPr>
      </w:pPr>
      <w:r>
        <w:rPr>
          <w:snapToGrid w:val="0"/>
        </w:rPr>
        <w:tab/>
        <w:t>African Horse Sickness</w:t>
      </w:r>
    </w:p>
    <w:p>
      <w:pPr>
        <w:pStyle w:val="yNumberedItem"/>
        <w:rPr>
          <w:snapToGrid w:val="0"/>
        </w:rPr>
      </w:pPr>
      <w:r>
        <w:rPr>
          <w:snapToGrid w:val="0"/>
        </w:rPr>
        <w:tab/>
        <w:t>Surra</w:t>
      </w:r>
    </w:p>
    <w:p>
      <w:pPr>
        <w:pStyle w:val="yNumberedItem"/>
        <w:rPr>
          <w:snapToGrid w:val="0"/>
        </w:rPr>
      </w:pPr>
      <w:r>
        <w:rPr>
          <w:snapToGrid w:val="0"/>
        </w:rPr>
        <w:tab/>
        <w:t>Equine Encephalomyelitis</w:t>
      </w:r>
    </w:p>
    <w:p>
      <w:pPr>
        <w:pStyle w:val="yNumberedItem"/>
        <w:rPr>
          <w:snapToGrid w:val="0"/>
        </w:rPr>
      </w:pPr>
      <w:r>
        <w:rPr>
          <w:snapToGrid w:val="0"/>
        </w:rPr>
        <w:tab/>
      </w:r>
      <w:smartTag w:uri="urn:schemas-microsoft-com:office:smarttags" w:element="City">
        <w:smartTag w:uri="urn:schemas-microsoft-com:office:smarttags" w:element="place">
          <w:r>
            <w:rPr>
              <w:snapToGrid w:val="0"/>
            </w:rPr>
            <w:t>Nairobi</w:t>
          </w:r>
        </w:smartTag>
      </w:smartTag>
      <w:r>
        <w:rPr>
          <w:snapToGrid w:val="0"/>
        </w:rPr>
        <w:t xml:space="preserve"> Sheep Disease</w:t>
      </w:r>
    </w:p>
    <w:p>
      <w:pPr>
        <w:pStyle w:val="yNumberedItem"/>
        <w:rPr>
          <w:snapToGrid w:val="0"/>
        </w:rPr>
      </w:pPr>
      <w:r>
        <w:rPr>
          <w:snapToGrid w:val="0"/>
        </w:rPr>
        <w:tab/>
        <w:t>Wesselbron Disease</w:t>
      </w:r>
    </w:p>
    <w:p>
      <w:pPr>
        <w:pStyle w:val="yNumberedItem"/>
        <w:rPr>
          <w:snapToGrid w:val="0"/>
        </w:rPr>
      </w:pPr>
      <w:r>
        <w:rPr>
          <w:snapToGrid w:val="0"/>
        </w:rPr>
        <w:tab/>
        <w:t>Rift Valley Fever</w:t>
      </w:r>
    </w:p>
    <w:p>
      <w:pPr>
        <w:pStyle w:val="yNumberedItem"/>
        <w:rPr>
          <w:snapToGrid w:val="0"/>
        </w:rPr>
      </w:pPr>
      <w:r>
        <w:rPr>
          <w:snapToGrid w:val="0"/>
        </w:rPr>
        <w:tab/>
        <w:t>Lumpy Skin Disease</w:t>
      </w:r>
    </w:p>
    <w:p>
      <w:pPr>
        <w:pStyle w:val="yScheduleHeading"/>
      </w:pPr>
      <w:bookmarkStart w:id="69" w:name="_Toc378240913"/>
      <w:bookmarkStart w:id="70" w:name="_Toc426018399"/>
      <w:bookmarkStart w:id="71" w:name="_Toc426018447"/>
      <w:r>
        <w:rPr>
          <w:rStyle w:val="CharSchNo"/>
        </w:rPr>
        <w:t>Schedule D</w:t>
      </w:r>
      <w:bookmarkEnd w:id="69"/>
      <w:bookmarkEnd w:id="70"/>
      <w:bookmarkEnd w:id="71"/>
      <w:r>
        <w:rPr>
          <w:rStyle w:val="CharSchText"/>
        </w:rPr>
        <w:t xml:space="preserve"> </w:t>
      </w:r>
    </w:p>
    <w:p>
      <w:pPr>
        <w:pStyle w:val="yMiscellaneousHeading"/>
        <w:rPr>
          <w:snapToGrid w:val="0"/>
        </w:rPr>
      </w:pPr>
      <w:r>
        <w:rPr>
          <w:snapToGrid w:val="0"/>
        </w:rPr>
        <w:t>Form 1</w:t>
      </w:r>
    </w:p>
    <w:p>
      <w:pPr>
        <w:pStyle w:val="yMiscellaneousHeading"/>
        <w:spacing w:before="0"/>
        <w:jc w:val="right"/>
        <w:rPr>
          <w:snapToGrid w:val="0"/>
        </w:rPr>
      </w:pPr>
      <w:r>
        <w:rPr>
          <w:snapToGrid w:val="0"/>
        </w:rPr>
        <w:t>[Reg. 13D]</w:t>
      </w:r>
    </w:p>
    <w:p>
      <w:pPr>
        <w:pStyle w:val="yMiscellaneousHeading"/>
        <w:spacing w:before="0"/>
        <w:rPr>
          <w:i/>
          <w:snapToGrid w:val="0"/>
        </w:rPr>
      </w:pPr>
      <w:r>
        <w:rPr>
          <w:i/>
          <w:snapToGrid w:val="0"/>
        </w:rPr>
        <w:t>Exotic Diseases (General) Regulations 1970</w:t>
      </w:r>
    </w:p>
    <w:p>
      <w:pPr>
        <w:pStyle w:val="yMiscellaneousHeading"/>
        <w:rPr>
          <w:snapToGrid w:val="0"/>
        </w:rPr>
      </w:pPr>
      <w:r>
        <w:rPr>
          <w:snapToGrid w:val="0"/>
        </w:rPr>
        <w:t>APPLICATION FOR TREATMENT LICENCE</w:t>
      </w:r>
    </w:p>
    <w:p>
      <w:pPr>
        <w:pStyle w:val="yMiscellaneousBody"/>
        <w:rPr>
          <w:snapToGrid w:val="0"/>
        </w:rPr>
      </w:pPr>
      <w:r>
        <w:rPr>
          <w:snapToGrid w:val="0"/>
        </w:rPr>
        <w:t>Chief Inspector of Stock</w:t>
      </w:r>
      <w:r>
        <w:rPr>
          <w:snapToGrid w:val="0"/>
        </w:rPr>
        <w:br/>
        <w:t xml:space="preserve">Department of Agriculture </w:t>
      </w:r>
      <w:r>
        <w:rPr>
          <w:snapToGrid w:val="0"/>
          <w:vertAlign w:val="superscript"/>
        </w:rPr>
        <w:t>4</w:t>
      </w:r>
      <w:r>
        <w:rPr>
          <w:snapToGrid w:val="0"/>
        </w:rPr>
        <w:t>.</w:t>
      </w:r>
    </w:p>
    <w:p>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pPr>
        <w:pStyle w:val="yMiscellaneousBody"/>
        <w:spacing w:before="120"/>
        <w:jc w:val="center"/>
        <w:rPr>
          <w:snapToGrid w:val="0"/>
        </w:rPr>
      </w:pPr>
      <w:r>
        <w:rPr>
          <w:snapToGrid w:val="0"/>
        </w:rPr>
        <w:t>PARTICULARS</w:t>
      </w:r>
    </w:p>
    <w:p>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pPr>
        <w:pStyle w:val="yMiscellaneousBody"/>
        <w:spacing w:before="120"/>
        <w:ind w:left="1134"/>
        <w:rPr>
          <w:snapToGrid w:val="0"/>
        </w:rPr>
      </w:pPr>
      <w:r>
        <w:rPr>
          <w:snapToGrid w:val="0"/>
        </w:rPr>
        <w:t>Name..................................................................................................</w:t>
      </w:r>
      <w:r>
        <w:rPr>
          <w:snapToGrid w:val="0"/>
        </w:rPr>
        <w:br/>
        <w:t>Address...............................................................................................</w:t>
      </w:r>
    </w:p>
    <w:p>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pPr>
        <w:pStyle w:val="yMiscellaneousBody"/>
        <w:ind w:left="1560"/>
        <w:rPr>
          <w:snapToGrid w:val="0"/>
        </w:rPr>
      </w:pPr>
      <w:r>
        <w:rPr>
          <w:snapToGrid w:val="0"/>
        </w:rPr>
        <w:t>Name...........................................................................................</w:t>
      </w:r>
      <w:r>
        <w:rPr>
          <w:snapToGrid w:val="0"/>
        </w:rPr>
        <w:br/>
        <w:t>Address.......................................................................................</w:t>
      </w:r>
    </w:p>
    <w:p>
      <w:pPr>
        <w:pStyle w:val="yMiscellaneousBody"/>
        <w:spacing w:before="120"/>
        <w:ind w:left="3119"/>
        <w:rPr>
          <w:snapToGrid w:val="0"/>
        </w:rPr>
      </w:pPr>
      <w:r>
        <w:rPr>
          <w:snapToGrid w:val="0"/>
        </w:rPr>
        <w:t>Signed ............................................................</w:t>
      </w:r>
    </w:p>
    <w:p>
      <w:pPr>
        <w:pStyle w:val="yMiscellaneousBody"/>
        <w:spacing w:before="0"/>
        <w:ind w:left="3119" w:right="431"/>
        <w:jc w:val="right"/>
        <w:rPr>
          <w:snapToGrid w:val="0"/>
        </w:rPr>
      </w:pPr>
      <w:r>
        <w:rPr>
          <w:snapToGrid w:val="0"/>
        </w:rPr>
        <w:t>Applicant.</w:t>
      </w:r>
    </w:p>
    <w:p>
      <w:pPr>
        <w:pStyle w:val="yMiscellaneousBody"/>
        <w:spacing w:before="120"/>
        <w:ind w:left="3119"/>
        <w:rPr>
          <w:snapToGrid w:val="0"/>
        </w:rPr>
      </w:pPr>
      <w:r>
        <w:rPr>
          <w:snapToGrid w:val="0"/>
        </w:rPr>
        <w:t xml:space="preserve">Date ............................................................... </w:t>
      </w:r>
    </w:p>
    <w:p>
      <w:pPr>
        <w:pStyle w:val="yMiscellaneousHeading"/>
        <w:pageBreakBefore/>
        <w:rPr>
          <w:snapToGrid w:val="0"/>
        </w:rPr>
      </w:pPr>
      <w:r>
        <w:rPr>
          <w:snapToGrid w:val="0"/>
        </w:rPr>
        <w:t>Form 2</w:t>
      </w:r>
    </w:p>
    <w:p>
      <w:pPr>
        <w:pStyle w:val="yMiscellaneousHeading"/>
        <w:jc w:val="right"/>
        <w:rPr>
          <w:snapToGrid w:val="0"/>
        </w:rPr>
      </w:pPr>
      <w:r>
        <w:rPr>
          <w:snapToGrid w:val="0"/>
        </w:rPr>
        <w:t>[Reg. 13E(3)]</w:t>
      </w:r>
    </w:p>
    <w:p>
      <w:pPr>
        <w:pStyle w:val="yMiscellaneousHeading"/>
        <w:rPr>
          <w:i/>
          <w:snapToGrid w:val="0"/>
        </w:rPr>
      </w:pPr>
      <w:r>
        <w:rPr>
          <w:i/>
          <w:snapToGrid w:val="0"/>
        </w:rPr>
        <w:t>Exotic Diseases (General) Regulations 1970</w:t>
      </w:r>
    </w:p>
    <w:p>
      <w:pPr>
        <w:pStyle w:val="yMiscellaneousHeading"/>
        <w:rPr>
          <w:snapToGrid w:val="0"/>
        </w:rPr>
      </w:pPr>
      <w:r>
        <w:rPr>
          <w:snapToGrid w:val="0"/>
        </w:rPr>
        <w:t>TREATMENT LICENCE</w:t>
      </w:r>
    </w:p>
    <w:p>
      <w:pPr>
        <w:pStyle w:val="yMiscellaneousBody"/>
        <w:rPr>
          <w:snapToGrid w:val="0"/>
        </w:rPr>
      </w:pPr>
      <w:r>
        <w:rPr>
          <w:snapToGrid w:val="0"/>
        </w:rPr>
        <w:t>This is to certify that...............................................................................................</w:t>
      </w:r>
      <w:r>
        <w:rPr>
          <w:snapToGrid w:val="0"/>
        </w:rPr>
        <w:br/>
        <w:t xml:space="preserve">of.............................................................................................................................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is licensed to treat animal offal, meat or meat trimmings for the purpose of feeding pigs pursuant to the </w:t>
      </w:r>
      <w:r>
        <w:rPr>
          <w:i/>
          <w:snapToGrid w:val="0"/>
        </w:rPr>
        <w:t>Exotic Diseases (General) Regulations 1970</w:t>
      </w:r>
      <w:r>
        <w:rPr>
          <w:snapToGrid w:val="0"/>
        </w:rPr>
        <w:t>.</w:t>
      </w:r>
    </w:p>
    <w:p>
      <w:pPr>
        <w:pStyle w:val="yMiscellaneousBody"/>
        <w:rPr>
          <w:snapToGrid w:val="0"/>
        </w:rPr>
      </w:pPr>
      <w:r>
        <w:rPr>
          <w:snapToGrid w:val="0"/>
        </w:rPr>
        <w:t>This licence is valid for a period of 12 months commencing on the ................................................. day of ................................................. 20.......</w:t>
      </w:r>
    </w:p>
    <w:p>
      <w:pPr>
        <w:pStyle w:val="yMiscellaneousBody"/>
        <w:jc w:val="right"/>
        <w:rPr>
          <w:snapToGrid w:val="0"/>
        </w:rPr>
      </w:pPr>
      <w:r>
        <w:rPr>
          <w:snapToGrid w:val="0"/>
        </w:rPr>
        <w:t>................................................................</w:t>
      </w:r>
    </w:p>
    <w:p>
      <w:pPr>
        <w:pStyle w:val="yMiscellaneousBody"/>
        <w:spacing w:before="0"/>
        <w:ind w:right="431"/>
        <w:jc w:val="right"/>
        <w:rPr>
          <w:snapToGrid w:val="0"/>
        </w:rPr>
      </w:pPr>
      <w:r>
        <w:rPr>
          <w:snapToGrid w:val="0"/>
        </w:rPr>
        <w:t xml:space="preserve">Chief Inspector. </w:t>
      </w:r>
    </w:p>
    <w:p>
      <w:pPr>
        <w:pStyle w:val="yFootnotesection"/>
      </w:pPr>
      <w:r>
        <w:tab/>
        <w:t xml:space="preserve">[Schedule D inserted in Gazette 1 Oct 1976 p. 3614.]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3" w:name="_Toc378240914"/>
      <w:bookmarkStart w:id="74" w:name="_Toc426018400"/>
      <w:bookmarkStart w:id="75" w:name="_Toc426018448"/>
      <w:r>
        <w:t>Notes</w:t>
      </w:r>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378240915"/>
      <w:bookmarkStart w:id="77" w:name="_Toc426018449"/>
      <w:r>
        <w:rPr>
          <w:snapToGrid w:val="0"/>
        </w:rP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Exotic Diseases (General) Regulations </w:t>
            </w:r>
            <w:r>
              <w:rPr>
                <w:vertAlign w:val="superscript"/>
              </w:rPr>
              <w:t>5</w:t>
            </w:r>
          </w:p>
        </w:tc>
        <w:tc>
          <w:tcPr>
            <w:tcW w:w="1276" w:type="dxa"/>
            <w:tcBorders>
              <w:top w:val="single" w:sz="8" w:space="0" w:color="auto"/>
            </w:tcBorders>
          </w:tcPr>
          <w:p>
            <w:pPr>
              <w:pStyle w:val="nTable"/>
              <w:spacing w:after="40"/>
            </w:pPr>
            <w:r>
              <w:t>24 Jun 1970 p. 1824</w:t>
            </w:r>
            <w:r>
              <w:noBreakHyphen/>
              <w:t>9</w:t>
            </w:r>
          </w:p>
        </w:tc>
        <w:tc>
          <w:tcPr>
            <w:tcW w:w="2693" w:type="dxa"/>
            <w:tcBorders>
              <w:top w:val="single" w:sz="8" w:space="0" w:color="auto"/>
            </w:tcBorders>
          </w:tcPr>
          <w:p>
            <w:pPr>
              <w:pStyle w:val="nTable"/>
              <w:spacing w:after="40"/>
            </w:pPr>
            <w:r>
              <w:t>25 Jun 1970 (see order published 24 Jun 1970 p. 1784)</w:t>
            </w:r>
          </w:p>
        </w:tc>
      </w:tr>
      <w:tr>
        <w:tc>
          <w:tcPr>
            <w:tcW w:w="3119" w:type="dxa"/>
          </w:tcPr>
          <w:p>
            <w:pPr>
              <w:pStyle w:val="nTable"/>
              <w:spacing w:after="40"/>
            </w:pPr>
            <w:r>
              <w:t>Untitled regulations</w:t>
            </w:r>
          </w:p>
        </w:tc>
        <w:tc>
          <w:tcPr>
            <w:tcW w:w="1276" w:type="dxa"/>
          </w:tcPr>
          <w:p>
            <w:pPr>
              <w:pStyle w:val="nTable"/>
              <w:spacing w:after="40"/>
            </w:pPr>
            <w:r>
              <w:t>26 Jan 1973 p. 262</w:t>
            </w:r>
          </w:p>
        </w:tc>
        <w:tc>
          <w:tcPr>
            <w:tcW w:w="2693" w:type="dxa"/>
          </w:tcPr>
          <w:p>
            <w:pPr>
              <w:pStyle w:val="nTable"/>
              <w:spacing w:after="40"/>
            </w:pPr>
            <w:r>
              <w:t>26 Jan 1973</w:t>
            </w:r>
          </w:p>
        </w:tc>
      </w:tr>
      <w:tr>
        <w:tc>
          <w:tcPr>
            <w:tcW w:w="3119" w:type="dxa"/>
          </w:tcPr>
          <w:p>
            <w:pPr>
              <w:pStyle w:val="nTable"/>
              <w:spacing w:after="40"/>
            </w:pPr>
            <w:r>
              <w:t>Untitled regulations</w:t>
            </w:r>
          </w:p>
        </w:tc>
        <w:tc>
          <w:tcPr>
            <w:tcW w:w="1276" w:type="dxa"/>
          </w:tcPr>
          <w:p>
            <w:pPr>
              <w:pStyle w:val="nTable"/>
              <w:spacing w:after="40"/>
            </w:pPr>
            <w:r>
              <w:t>14 Jun 1974 p. 1938</w:t>
            </w:r>
          </w:p>
        </w:tc>
        <w:tc>
          <w:tcPr>
            <w:tcW w:w="2693" w:type="dxa"/>
          </w:tcPr>
          <w:p>
            <w:pPr>
              <w:pStyle w:val="nTable"/>
              <w:spacing w:after="40"/>
            </w:pPr>
            <w:r>
              <w:t>14 Jun 1974</w:t>
            </w:r>
          </w:p>
        </w:tc>
      </w:tr>
      <w:tr>
        <w:tc>
          <w:tcPr>
            <w:tcW w:w="3119" w:type="dxa"/>
          </w:tcPr>
          <w:p>
            <w:pPr>
              <w:pStyle w:val="nTable"/>
              <w:spacing w:after="40"/>
            </w:pPr>
            <w:r>
              <w:t>Untitled regulations</w:t>
            </w:r>
          </w:p>
        </w:tc>
        <w:tc>
          <w:tcPr>
            <w:tcW w:w="1276" w:type="dxa"/>
          </w:tcPr>
          <w:p>
            <w:pPr>
              <w:pStyle w:val="nTable"/>
              <w:spacing w:after="40"/>
            </w:pPr>
            <w:r>
              <w:t>20 Feb 1976 p. 521</w:t>
            </w:r>
            <w:r>
              <w:noBreakHyphen/>
              <w:t>2</w:t>
            </w:r>
          </w:p>
        </w:tc>
        <w:tc>
          <w:tcPr>
            <w:tcW w:w="2693" w:type="dxa"/>
          </w:tcPr>
          <w:p>
            <w:pPr>
              <w:pStyle w:val="nTable"/>
              <w:spacing w:after="40"/>
            </w:pPr>
            <w:r>
              <w:t>20 Feb 1976</w:t>
            </w:r>
          </w:p>
        </w:tc>
      </w:tr>
      <w:tr>
        <w:tc>
          <w:tcPr>
            <w:tcW w:w="3119" w:type="dxa"/>
          </w:tcPr>
          <w:p>
            <w:pPr>
              <w:pStyle w:val="nTable"/>
              <w:spacing w:after="40"/>
            </w:pPr>
            <w:r>
              <w:t>Untitled regulations</w:t>
            </w:r>
          </w:p>
        </w:tc>
        <w:tc>
          <w:tcPr>
            <w:tcW w:w="1276" w:type="dxa"/>
          </w:tcPr>
          <w:p>
            <w:pPr>
              <w:pStyle w:val="nTable"/>
              <w:spacing w:after="40"/>
            </w:pPr>
            <w:r>
              <w:t>1 Oct 1976 p. 3612</w:t>
            </w:r>
            <w:r>
              <w:noBreakHyphen/>
              <w:t>14</w:t>
            </w:r>
          </w:p>
        </w:tc>
        <w:tc>
          <w:tcPr>
            <w:tcW w:w="2693" w:type="dxa"/>
          </w:tcPr>
          <w:p>
            <w:pPr>
              <w:pStyle w:val="nTable"/>
              <w:spacing w:after="40"/>
            </w:pPr>
            <w:r>
              <w:t>1 Oct 1976</w:t>
            </w:r>
          </w:p>
        </w:tc>
      </w:tr>
      <w:tr>
        <w:tc>
          <w:tcPr>
            <w:tcW w:w="3119" w:type="dxa"/>
          </w:tcPr>
          <w:p>
            <w:pPr>
              <w:pStyle w:val="nTable"/>
              <w:spacing w:after="40"/>
            </w:pPr>
            <w:r>
              <w:t>Untitled regulations</w:t>
            </w:r>
          </w:p>
        </w:tc>
        <w:tc>
          <w:tcPr>
            <w:tcW w:w="1276" w:type="dxa"/>
          </w:tcPr>
          <w:p>
            <w:pPr>
              <w:pStyle w:val="nTable"/>
              <w:spacing w:after="40"/>
            </w:pPr>
            <w:r>
              <w:t>18 Jul 1980 p. 2437</w:t>
            </w:r>
          </w:p>
        </w:tc>
        <w:tc>
          <w:tcPr>
            <w:tcW w:w="2693" w:type="dxa"/>
          </w:tcPr>
          <w:p>
            <w:pPr>
              <w:pStyle w:val="nTable"/>
              <w:spacing w:after="40"/>
            </w:pPr>
            <w:r>
              <w:t>1 Aug 1980</w:t>
            </w:r>
          </w:p>
        </w:tc>
      </w:tr>
      <w:tr>
        <w:tc>
          <w:tcPr>
            <w:tcW w:w="3119" w:type="dxa"/>
          </w:tcPr>
          <w:p>
            <w:pPr>
              <w:pStyle w:val="nTable"/>
              <w:spacing w:after="40"/>
            </w:pPr>
            <w:r>
              <w:rPr>
                <w:i/>
              </w:rPr>
              <w:t>Exotic Diseases (General) Amendment Regulations 1981</w:t>
            </w:r>
          </w:p>
        </w:tc>
        <w:tc>
          <w:tcPr>
            <w:tcW w:w="1276" w:type="dxa"/>
          </w:tcPr>
          <w:p>
            <w:pPr>
              <w:pStyle w:val="nTable"/>
              <w:spacing w:after="40"/>
            </w:pPr>
            <w:r>
              <w:t>28 Aug 1981 p. 3591</w:t>
            </w:r>
          </w:p>
        </w:tc>
        <w:tc>
          <w:tcPr>
            <w:tcW w:w="2693" w:type="dxa"/>
          </w:tcPr>
          <w:p>
            <w:pPr>
              <w:pStyle w:val="nTable"/>
              <w:spacing w:after="40"/>
            </w:pPr>
            <w:r>
              <w:t>1 Sep 1981 (see r. 2)</w:t>
            </w:r>
          </w:p>
        </w:tc>
      </w:tr>
      <w:tr>
        <w:tc>
          <w:tcPr>
            <w:tcW w:w="3119" w:type="dxa"/>
          </w:tcPr>
          <w:p>
            <w:pPr>
              <w:pStyle w:val="nTable"/>
              <w:spacing w:after="40"/>
            </w:pPr>
            <w:r>
              <w:rPr>
                <w:i/>
              </w:rPr>
              <w:t>Exotic Diseases (General) Amendment Regulations 1983</w:t>
            </w:r>
          </w:p>
        </w:tc>
        <w:tc>
          <w:tcPr>
            <w:tcW w:w="1276" w:type="dxa"/>
          </w:tcPr>
          <w:p>
            <w:pPr>
              <w:pStyle w:val="nTable"/>
              <w:spacing w:after="40"/>
            </w:pPr>
            <w:r>
              <w:t>12 Aug 1983 p. 2956</w:t>
            </w:r>
          </w:p>
        </w:tc>
        <w:tc>
          <w:tcPr>
            <w:tcW w:w="2693" w:type="dxa"/>
          </w:tcPr>
          <w:p>
            <w:pPr>
              <w:pStyle w:val="nTable"/>
              <w:spacing w:after="40"/>
            </w:pPr>
            <w:r>
              <w:t>1 Sep 1983 (see r. 2)</w:t>
            </w:r>
          </w:p>
        </w:tc>
      </w:tr>
      <w:tr>
        <w:tc>
          <w:tcPr>
            <w:tcW w:w="3119" w:type="dxa"/>
          </w:tcPr>
          <w:p>
            <w:pPr>
              <w:pStyle w:val="nTable"/>
              <w:spacing w:after="40"/>
            </w:pPr>
            <w:r>
              <w:rPr>
                <w:i/>
              </w:rPr>
              <w:t>Exotic Diseases (General) Amendment Regulations 1985</w:t>
            </w:r>
          </w:p>
        </w:tc>
        <w:tc>
          <w:tcPr>
            <w:tcW w:w="1276" w:type="dxa"/>
          </w:tcPr>
          <w:p>
            <w:pPr>
              <w:pStyle w:val="nTable"/>
              <w:spacing w:after="40"/>
            </w:pPr>
            <w:r>
              <w:t>3 May 1985 p. 1591</w:t>
            </w:r>
          </w:p>
        </w:tc>
        <w:tc>
          <w:tcPr>
            <w:tcW w:w="2693" w:type="dxa"/>
          </w:tcPr>
          <w:p>
            <w:pPr>
              <w:pStyle w:val="nTable"/>
              <w:spacing w:after="40"/>
            </w:pPr>
            <w:r>
              <w:t>1 Jul 1985 (see r. 2)</w:t>
            </w:r>
          </w:p>
        </w:tc>
      </w:tr>
      <w:tr>
        <w:tc>
          <w:tcPr>
            <w:tcW w:w="3119" w:type="dxa"/>
          </w:tcPr>
          <w:p>
            <w:pPr>
              <w:pStyle w:val="nTable"/>
              <w:spacing w:after="40"/>
            </w:pPr>
            <w:r>
              <w:rPr>
                <w:i/>
              </w:rPr>
              <w:t>Exotic Diseases (General) Amendment Regulations 1987</w:t>
            </w:r>
          </w:p>
        </w:tc>
        <w:tc>
          <w:tcPr>
            <w:tcW w:w="1276" w:type="dxa"/>
          </w:tcPr>
          <w:p>
            <w:pPr>
              <w:pStyle w:val="nTable"/>
              <w:spacing w:after="40"/>
            </w:pPr>
            <w:r>
              <w:t>7 Aug 1987 p. 3125</w:t>
            </w:r>
          </w:p>
        </w:tc>
        <w:tc>
          <w:tcPr>
            <w:tcW w:w="2693" w:type="dxa"/>
          </w:tcPr>
          <w:p>
            <w:pPr>
              <w:pStyle w:val="nTable"/>
              <w:spacing w:after="40"/>
            </w:pPr>
            <w:r>
              <w:t>7 Aug 1987</w:t>
            </w:r>
          </w:p>
        </w:tc>
      </w:tr>
      <w:tr>
        <w:tc>
          <w:tcPr>
            <w:tcW w:w="3119" w:type="dxa"/>
          </w:tcPr>
          <w:p>
            <w:pPr>
              <w:pStyle w:val="nTable"/>
              <w:spacing w:after="40"/>
            </w:pPr>
            <w:r>
              <w:rPr>
                <w:i/>
              </w:rPr>
              <w:t>Exotic Diseases (General) Amendment Regulations 1987</w:t>
            </w:r>
          </w:p>
        </w:tc>
        <w:tc>
          <w:tcPr>
            <w:tcW w:w="1276" w:type="dxa"/>
          </w:tcPr>
          <w:p>
            <w:pPr>
              <w:pStyle w:val="nTable"/>
              <w:spacing w:after="40"/>
            </w:pPr>
            <w:r>
              <w:t>30 Oct 1987 p. 4050</w:t>
            </w:r>
          </w:p>
        </w:tc>
        <w:tc>
          <w:tcPr>
            <w:tcW w:w="2693" w:type="dxa"/>
          </w:tcPr>
          <w:p>
            <w:pPr>
              <w:pStyle w:val="nTable"/>
              <w:spacing w:after="40"/>
            </w:pPr>
            <w:r>
              <w:t>1 Nov 1987 (see r. 2)</w:t>
            </w:r>
          </w:p>
        </w:tc>
      </w:tr>
      <w:tr>
        <w:tc>
          <w:tcPr>
            <w:tcW w:w="3119" w:type="dxa"/>
          </w:tcPr>
          <w:p>
            <w:pPr>
              <w:pStyle w:val="nTable"/>
              <w:spacing w:after="40"/>
            </w:pPr>
            <w:r>
              <w:rPr>
                <w:i/>
              </w:rPr>
              <w:t>Exotic Diseases (General) Amendment Regulations 1988</w:t>
            </w:r>
          </w:p>
        </w:tc>
        <w:tc>
          <w:tcPr>
            <w:tcW w:w="1276" w:type="dxa"/>
          </w:tcPr>
          <w:p>
            <w:pPr>
              <w:pStyle w:val="nTable"/>
              <w:spacing w:after="40"/>
            </w:pPr>
            <w:r>
              <w:t>14 Oct 1988 p. 4206</w:t>
            </w:r>
          </w:p>
        </w:tc>
        <w:tc>
          <w:tcPr>
            <w:tcW w:w="2693" w:type="dxa"/>
          </w:tcPr>
          <w:p>
            <w:pPr>
              <w:pStyle w:val="nTable"/>
              <w:spacing w:after="40"/>
            </w:pPr>
            <w:r>
              <w:t>14 Oct 1988</w:t>
            </w:r>
          </w:p>
        </w:tc>
      </w:tr>
      <w:tr>
        <w:tc>
          <w:tcPr>
            <w:tcW w:w="3119" w:type="dxa"/>
          </w:tcPr>
          <w:p>
            <w:pPr>
              <w:pStyle w:val="nTable"/>
              <w:spacing w:after="40"/>
            </w:pPr>
            <w:r>
              <w:rPr>
                <w:i/>
              </w:rPr>
              <w:t>Stock Diseases Amendment Regulations 1990</w:t>
            </w:r>
            <w:r>
              <w:t xml:space="preserve"> Pt. 3</w:t>
            </w:r>
          </w:p>
        </w:tc>
        <w:tc>
          <w:tcPr>
            <w:tcW w:w="1276" w:type="dxa"/>
          </w:tcPr>
          <w:p>
            <w:pPr>
              <w:pStyle w:val="nTable"/>
              <w:spacing w:after="40"/>
            </w:pPr>
            <w:r>
              <w:t>3 Aug 1990 p. 3670-1</w:t>
            </w:r>
          </w:p>
        </w:tc>
        <w:tc>
          <w:tcPr>
            <w:tcW w:w="2693" w:type="dxa"/>
          </w:tcPr>
          <w:p>
            <w:pPr>
              <w:pStyle w:val="nTable"/>
              <w:spacing w:after="40"/>
            </w:pPr>
            <w:r>
              <w:t>3 Aug 1990</w:t>
            </w:r>
          </w:p>
        </w:tc>
      </w:tr>
      <w:tr>
        <w:tc>
          <w:tcPr>
            <w:tcW w:w="3119" w:type="dxa"/>
          </w:tcPr>
          <w:p>
            <w:pPr>
              <w:pStyle w:val="nTable"/>
              <w:spacing w:after="40"/>
            </w:pPr>
            <w:r>
              <w:rPr>
                <w:i/>
              </w:rPr>
              <w:t>Stock Diseases Amendment Regulations 1991</w:t>
            </w:r>
            <w:r>
              <w:t xml:space="preserve"> Pt. 3</w:t>
            </w:r>
          </w:p>
        </w:tc>
        <w:tc>
          <w:tcPr>
            <w:tcW w:w="1276" w:type="dxa"/>
          </w:tcPr>
          <w:p>
            <w:pPr>
              <w:pStyle w:val="nTable"/>
              <w:spacing w:after="40"/>
            </w:pPr>
            <w:r>
              <w:t>18 Oct 1991 p. 5312-14</w:t>
            </w:r>
          </w:p>
        </w:tc>
        <w:tc>
          <w:tcPr>
            <w:tcW w:w="2693" w:type="dxa"/>
          </w:tcPr>
          <w:p>
            <w:pPr>
              <w:pStyle w:val="nTable"/>
              <w:spacing w:after="40"/>
            </w:pPr>
            <w:r>
              <w:t>18 Oct 1991</w:t>
            </w:r>
          </w:p>
        </w:tc>
      </w:tr>
      <w:tr>
        <w:tc>
          <w:tcPr>
            <w:tcW w:w="3119" w:type="dxa"/>
          </w:tcPr>
          <w:p>
            <w:pPr>
              <w:pStyle w:val="nTable"/>
              <w:spacing w:after="40"/>
            </w:pPr>
            <w:r>
              <w:rPr>
                <w:i/>
              </w:rPr>
              <w:t>Exotic Diseases (General) Amendment Regulations 1992</w:t>
            </w:r>
          </w:p>
        </w:tc>
        <w:tc>
          <w:tcPr>
            <w:tcW w:w="1276" w:type="dxa"/>
          </w:tcPr>
          <w:p>
            <w:pPr>
              <w:pStyle w:val="nTable"/>
              <w:spacing w:after="40"/>
            </w:pPr>
            <w:r>
              <w:t>26 Jun 1992 p. 2657</w:t>
            </w:r>
          </w:p>
        </w:tc>
        <w:tc>
          <w:tcPr>
            <w:tcW w:w="2693" w:type="dxa"/>
          </w:tcPr>
          <w:p>
            <w:pPr>
              <w:pStyle w:val="nTable"/>
              <w:spacing w:after="40"/>
            </w:pPr>
            <w:r>
              <w:t>26 Jun 1992</w:t>
            </w:r>
          </w:p>
        </w:tc>
      </w:tr>
      <w:tr>
        <w:tc>
          <w:tcPr>
            <w:tcW w:w="3119" w:type="dxa"/>
          </w:tcPr>
          <w:p>
            <w:pPr>
              <w:pStyle w:val="nTable"/>
              <w:keepNext/>
              <w:keepLines/>
              <w:spacing w:after="40"/>
            </w:pPr>
            <w:r>
              <w:rPr>
                <w:i/>
              </w:rPr>
              <w:t>Stock Diseases Amendment Regulations 1992</w:t>
            </w:r>
            <w:r>
              <w:t xml:space="preserve"> Pt. 3</w:t>
            </w:r>
          </w:p>
        </w:tc>
        <w:tc>
          <w:tcPr>
            <w:tcW w:w="1276" w:type="dxa"/>
          </w:tcPr>
          <w:p>
            <w:pPr>
              <w:pStyle w:val="nTable"/>
              <w:keepNext/>
              <w:keepLines/>
              <w:spacing w:after="40"/>
            </w:pPr>
            <w:r>
              <w:t>24 Jul 1992 p. 3604-6</w:t>
            </w:r>
          </w:p>
        </w:tc>
        <w:tc>
          <w:tcPr>
            <w:tcW w:w="2693" w:type="dxa"/>
          </w:tcPr>
          <w:p>
            <w:pPr>
              <w:pStyle w:val="nTable"/>
              <w:keepNext/>
              <w:keepLines/>
              <w:spacing w:after="40"/>
            </w:pPr>
            <w:r>
              <w:t>24 Jul 1992</w:t>
            </w:r>
          </w:p>
        </w:tc>
      </w:tr>
      <w:tr>
        <w:tc>
          <w:tcPr>
            <w:tcW w:w="3119" w:type="dxa"/>
          </w:tcPr>
          <w:p>
            <w:pPr>
              <w:pStyle w:val="nTable"/>
              <w:keepNext/>
              <w:keepLines/>
              <w:spacing w:after="40"/>
            </w:pPr>
            <w:r>
              <w:rPr>
                <w:i/>
              </w:rPr>
              <w:t>Stock Diseases Amendment Regulations 1993</w:t>
            </w:r>
            <w:r>
              <w:t xml:space="preserve"> Pt. 3</w:t>
            </w:r>
          </w:p>
        </w:tc>
        <w:tc>
          <w:tcPr>
            <w:tcW w:w="1276" w:type="dxa"/>
          </w:tcPr>
          <w:p>
            <w:pPr>
              <w:pStyle w:val="nTable"/>
              <w:keepNext/>
              <w:keepLines/>
              <w:spacing w:after="40"/>
            </w:pPr>
            <w:r>
              <w:t>17 Sep 1993 p. 5048-50</w:t>
            </w:r>
          </w:p>
        </w:tc>
        <w:tc>
          <w:tcPr>
            <w:tcW w:w="2693" w:type="dxa"/>
          </w:tcPr>
          <w:p>
            <w:pPr>
              <w:pStyle w:val="nTable"/>
              <w:keepNext/>
              <w:keepLines/>
              <w:spacing w:after="40"/>
            </w:pPr>
            <w:r>
              <w:t>17 Sep 1993</w:t>
            </w:r>
          </w:p>
        </w:tc>
      </w:tr>
      <w:tr>
        <w:tc>
          <w:tcPr>
            <w:tcW w:w="3119" w:type="dxa"/>
          </w:tcPr>
          <w:p>
            <w:pPr>
              <w:pStyle w:val="nTable"/>
              <w:keepNext/>
              <w:keepLines/>
              <w:spacing w:after="40"/>
            </w:pPr>
            <w:r>
              <w:rPr>
                <w:i/>
              </w:rPr>
              <w:t>Exotic Diseases (General) Amendment Regulations 1994</w:t>
            </w:r>
          </w:p>
        </w:tc>
        <w:tc>
          <w:tcPr>
            <w:tcW w:w="1276" w:type="dxa"/>
          </w:tcPr>
          <w:p>
            <w:pPr>
              <w:pStyle w:val="nTable"/>
              <w:keepNext/>
              <w:keepLines/>
              <w:spacing w:after="40"/>
            </w:pPr>
            <w:r>
              <w:t>24 Jun 1994 p. 2835</w:t>
            </w:r>
          </w:p>
        </w:tc>
        <w:tc>
          <w:tcPr>
            <w:tcW w:w="2693" w:type="dxa"/>
          </w:tcPr>
          <w:p>
            <w:pPr>
              <w:pStyle w:val="nTable"/>
              <w:keepNext/>
              <w:keepLines/>
              <w:spacing w:after="40"/>
            </w:pPr>
            <w:r>
              <w:t>1 Jul 1994 (see r. 2)</w:t>
            </w:r>
          </w:p>
        </w:tc>
      </w:tr>
      <w:tr>
        <w:tc>
          <w:tcPr>
            <w:tcW w:w="3119" w:type="dxa"/>
          </w:tcPr>
          <w:p>
            <w:pPr>
              <w:pStyle w:val="nTable"/>
              <w:spacing w:after="40"/>
            </w:pPr>
            <w:r>
              <w:rPr>
                <w:i/>
              </w:rPr>
              <w:t>Exotic Diseases (General) Amendment Regulations 1995</w:t>
            </w:r>
          </w:p>
        </w:tc>
        <w:tc>
          <w:tcPr>
            <w:tcW w:w="1276" w:type="dxa"/>
          </w:tcPr>
          <w:p>
            <w:pPr>
              <w:pStyle w:val="nTable"/>
              <w:spacing w:after="40"/>
            </w:pPr>
            <w:r>
              <w:t>21 Jul 1995 p. 3063</w:t>
            </w:r>
          </w:p>
        </w:tc>
        <w:tc>
          <w:tcPr>
            <w:tcW w:w="2693" w:type="dxa"/>
          </w:tcPr>
          <w:p>
            <w:pPr>
              <w:pStyle w:val="nTable"/>
              <w:spacing w:after="40"/>
            </w:pPr>
            <w:r>
              <w:t>21 Jul 1995</w:t>
            </w:r>
          </w:p>
        </w:tc>
      </w:tr>
      <w:tr>
        <w:tc>
          <w:tcPr>
            <w:tcW w:w="3119" w:type="dxa"/>
          </w:tcPr>
          <w:p>
            <w:pPr>
              <w:pStyle w:val="nTable"/>
              <w:spacing w:after="40"/>
            </w:pPr>
            <w:r>
              <w:rPr>
                <w:i/>
              </w:rPr>
              <w:t>Exotic Diseases (General) Amendment Regulations 1996</w:t>
            </w:r>
          </w:p>
        </w:tc>
        <w:tc>
          <w:tcPr>
            <w:tcW w:w="1276" w:type="dxa"/>
          </w:tcPr>
          <w:p>
            <w:pPr>
              <w:pStyle w:val="nTable"/>
              <w:spacing w:after="40"/>
            </w:pPr>
            <w:r>
              <w:t>3 Sep 1996 p. 4374</w:t>
            </w:r>
          </w:p>
        </w:tc>
        <w:tc>
          <w:tcPr>
            <w:tcW w:w="2693" w:type="dxa"/>
          </w:tcPr>
          <w:p>
            <w:pPr>
              <w:pStyle w:val="nTable"/>
              <w:spacing w:after="40"/>
            </w:pPr>
            <w:r>
              <w:t>4 Sep 1996 (see r. 2)</w:t>
            </w:r>
          </w:p>
        </w:tc>
      </w:tr>
      <w:tr>
        <w:tc>
          <w:tcPr>
            <w:tcW w:w="3119" w:type="dxa"/>
          </w:tcPr>
          <w:p>
            <w:pPr>
              <w:pStyle w:val="nTable"/>
              <w:spacing w:after="40"/>
            </w:pPr>
            <w:r>
              <w:rPr>
                <w:i/>
              </w:rPr>
              <w:t>Exotic Diseases (General) Amendment Regulations 1997</w:t>
            </w:r>
          </w:p>
        </w:tc>
        <w:tc>
          <w:tcPr>
            <w:tcW w:w="1276" w:type="dxa"/>
          </w:tcPr>
          <w:p>
            <w:pPr>
              <w:pStyle w:val="nTable"/>
              <w:spacing w:after="40"/>
            </w:pPr>
            <w:r>
              <w:t>19 Aug 1997 p. 4713</w:t>
            </w:r>
          </w:p>
        </w:tc>
        <w:tc>
          <w:tcPr>
            <w:tcW w:w="2693" w:type="dxa"/>
          </w:tcPr>
          <w:p>
            <w:pPr>
              <w:pStyle w:val="nTable"/>
              <w:spacing w:after="40"/>
            </w:pPr>
            <w:r>
              <w:t>19 Aug 1997</w:t>
            </w:r>
          </w:p>
        </w:tc>
      </w:tr>
      <w:tr>
        <w:tc>
          <w:tcPr>
            <w:tcW w:w="3119" w:type="dxa"/>
          </w:tcPr>
          <w:p>
            <w:pPr>
              <w:pStyle w:val="nTable"/>
              <w:spacing w:after="40"/>
              <w:rPr>
                <w:i/>
              </w:rPr>
            </w:pPr>
            <w:r>
              <w:rPr>
                <w:i/>
              </w:rPr>
              <w:t>Exotic Diseases (General) Amendment Regulations 1998</w:t>
            </w:r>
          </w:p>
        </w:tc>
        <w:tc>
          <w:tcPr>
            <w:tcW w:w="1276" w:type="dxa"/>
          </w:tcPr>
          <w:p>
            <w:pPr>
              <w:pStyle w:val="nTable"/>
              <w:spacing w:after="40"/>
            </w:pPr>
            <w:r>
              <w:t>23 Jun 1998 p. 3314</w:t>
            </w:r>
          </w:p>
        </w:tc>
        <w:tc>
          <w:tcPr>
            <w:tcW w:w="2693" w:type="dxa"/>
          </w:tcPr>
          <w:p>
            <w:pPr>
              <w:pStyle w:val="nTable"/>
              <w:spacing w:after="40"/>
            </w:pPr>
            <w:r>
              <w:t>23 Jun 1998</w:t>
            </w:r>
          </w:p>
        </w:tc>
      </w:tr>
      <w:tr>
        <w:tc>
          <w:tcPr>
            <w:tcW w:w="3119" w:type="dxa"/>
          </w:tcPr>
          <w:p>
            <w:pPr>
              <w:pStyle w:val="nTable"/>
              <w:spacing w:after="40"/>
              <w:rPr>
                <w:i/>
              </w:rPr>
            </w:pPr>
            <w:r>
              <w:rPr>
                <w:i/>
              </w:rPr>
              <w:t>Exotic Diseases (General) Amendment Regulations 2000</w:t>
            </w:r>
          </w:p>
        </w:tc>
        <w:tc>
          <w:tcPr>
            <w:tcW w:w="1276" w:type="dxa"/>
          </w:tcPr>
          <w:p>
            <w:pPr>
              <w:pStyle w:val="nTable"/>
              <w:spacing w:after="40"/>
            </w:pPr>
            <w:r>
              <w:t>20 Jun 2000 p. 3004</w:t>
            </w:r>
            <w:r>
              <w:noBreakHyphen/>
              <w:t>5</w:t>
            </w:r>
          </w:p>
        </w:tc>
        <w:tc>
          <w:tcPr>
            <w:tcW w:w="2693" w:type="dxa"/>
          </w:tcPr>
          <w:p>
            <w:pPr>
              <w:pStyle w:val="nTable"/>
              <w:spacing w:after="40"/>
            </w:pPr>
            <w:r>
              <w:t>1 Jul 2000 (see r. 2)</w:t>
            </w:r>
          </w:p>
        </w:tc>
      </w:tr>
      <w:tr>
        <w:tc>
          <w:tcPr>
            <w:tcW w:w="3119" w:type="dxa"/>
          </w:tcPr>
          <w:p>
            <w:pPr>
              <w:pStyle w:val="nTable"/>
              <w:spacing w:after="40"/>
              <w:rPr>
                <w:i/>
              </w:rPr>
            </w:pPr>
            <w:r>
              <w:rPr>
                <w:i/>
              </w:rPr>
              <w:t>Exotic Diseases (General) Amendment Regulations 2002</w:t>
            </w:r>
          </w:p>
        </w:tc>
        <w:tc>
          <w:tcPr>
            <w:tcW w:w="1276" w:type="dxa"/>
          </w:tcPr>
          <w:p>
            <w:pPr>
              <w:pStyle w:val="nTable"/>
              <w:spacing w:after="40"/>
            </w:pPr>
            <w:r>
              <w:t>28 Jun 2002 p. 3043</w:t>
            </w:r>
            <w:r>
              <w:noBreakHyphen/>
              <w:t>4</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1: The </w:t>
            </w:r>
            <w:r>
              <w:rPr>
                <w:b/>
                <w:i/>
              </w:rPr>
              <w:t>Exotic Diseases (General) Regulations 1970</w:t>
            </w:r>
            <w:r>
              <w:rPr>
                <w:b/>
              </w:rPr>
              <w:t xml:space="preserve"> as at 11 Apr 2003</w:t>
            </w:r>
            <w:r>
              <w:t xml:space="preserve"> (includes amendments listed above)</w:t>
            </w:r>
          </w:p>
        </w:tc>
      </w:tr>
      <w:tr>
        <w:tc>
          <w:tcPr>
            <w:tcW w:w="3119" w:type="dxa"/>
          </w:tcPr>
          <w:p>
            <w:pPr>
              <w:pStyle w:val="nTable"/>
              <w:spacing w:after="40"/>
              <w:rPr>
                <w:i/>
              </w:rPr>
            </w:pPr>
            <w:r>
              <w:rPr>
                <w:i/>
              </w:rPr>
              <w:t>Exotic Diseases (General) Amendment Regulations 2003</w:t>
            </w:r>
          </w:p>
        </w:tc>
        <w:tc>
          <w:tcPr>
            <w:tcW w:w="1276" w:type="dxa"/>
          </w:tcPr>
          <w:p>
            <w:pPr>
              <w:pStyle w:val="nTable"/>
              <w:spacing w:after="40"/>
            </w:pPr>
            <w:r>
              <w:t>17 Jun 2003 p. 2201-2</w:t>
            </w:r>
          </w:p>
        </w:tc>
        <w:tc>
          <w:tcPr>
            <w:tcW w:w="2693" w:type="dxa"/>
          </w:tcPr>
          <w:p>
            <w:pPr>
              <w:pStyle w:val="nTable"/>
              <w:spacing w:after="40"/>
            </w:pPr>
            <w:r>
              <w:t>1 Jul 2003 (see r. 2)</w:t>
            </w:r>
          </w:p>
        </w:tc>
      </w:tr>
      <w:tr>
        <w:tc>
          <w:tcPr>
            <w:tcW w:w="3119" w:type="dxa"/>
          </w:tcPr>
          <w:p>
            <w:pPr>
              <w:pStyle w:val="nTable"/>
              <w:spacing w:after="40"/>
              <w:rPr>
                <w:i/>
              </w:rPr>
            </w:pPr>
            <w:r>
              <w:rPr>
                <w:i/>
              </w:rPr>
              <w:t>Exotic Diseases (General) Amendment Regulations 2006</w:t>
            </w:r>
          </w:p>
        </w:tc>
        <w:tc>
          <w:tcPr>
            <w:tcW w:w="1276" w:type="dxa"/>
          </w:tcPr>
          <w:p>
            <w:pPr>
              <w:pStyle w:val="nTable"/>
              <w:spacing w:after="40"/>
            </w:pPr>
            <w:r>
              <w:t>16 Jun 2006 p. 2115-16</w:t>
            </w:r>
          </w:p>
        </w:tc>
        <w:tc>
          <w:tcPr>
            <w:tcW w:w="2693" w:type="dxa"/>
          </w:tcPr>
          <w:p>
            <w:pPr>
              <w:pStyle w:val="nTable"/>
              <w:spacing w:after="40"/>
            </w:pPr>
            <w:r>
              <w:t>1 Jul 2006 (see r. 2)</w:t>
            </w:r>
          </w:p>
        </w:tc>
      </w:tr>
      <w:tr>
        <w:tc>
          <w:tcPr>
            <w:tcW w:w="3119" w:type="dxa"/>
          </w:tcPr>
          <w:p>
            <w:pPr>
              <w:pStyle w:val="nTable"/>
              <w:spacing w:after="40"/>
              <w:rPr>
                <w:i/>
              </w:rPr>
            </w:pPr>
            <w:r>
              <w:rPr>
                <w:i/>
              </w:rPr>
              <w:t>Exotic Diseases (General) Amendment Regulations 2007</w:t>
            </w:r>
          </w:p>
        </w:tc>
        <w:tc>
          <w:tcPr>
            <w:tcW w:w="1276" w:type="dxa"/>
          </w:tcPr>
          <w:p>
            <w:pPr>
              <w:pStyle w:val="nTable"/>
              <w:spacing w:after="40"/>
            </w:pPr>
            <w:r>
              <w:t>15 Jun 2007 p. 2755-6</w:t>
            </w:r>
          </w:p>
        </w:tc>
        <w:tc>
          <w:tcPr>
            <w:tcW w:w="2693" w:type="dxa"/>
          </w:tcPr>
          <w:p>
            <w:pPr>
              <w:pStyle w:val="nTable"/>
              <w:spacing w:after="40"/>
            </w:pPr>
            <w:r>
              <w:t>r. 1 and 2: 15 Jun 2007 (see r. 2(a));</w:t>
            </w:r>
            <w:r>
              <w:br/>
              <w:t>Regulations other than r. 1 and 2: 1 Jul 2007 (see r. 2(b))</w:t>
            </w:r>
          </w:p>
        </w:tc>
      </w:tr>
      <w:tr>
        <w:tc>
          <w:tcPr>
            <w:tcW w:w="3119" w:type="dxa"/>
          </w:tcPr>
          <w:p>
            <w:pPr>
              <w:pStyle w:val="nTable"/>
              <w:spacing w:after="40"/>
              <w:rPr>
                <w:i/>
              </w:rPr>
            </w:pPr>
            <w:r>
              <w:rPr>
                <w:i/>
              </w:rPr>
              <w:t>Exotic Diseases (General) Amendment Regulations 2008</w:t>
            </w:r>
          </w:p>
        </w:tc>
        <w:tc>
          <w:tcPr>
            <w:tcW w:w="1276" w:type="dxa"/>
          </w:tcPr>
          <w:p>
            <w:pPr>
              <w:pStyle w:val="nTable"/>
              <w:spacing w:after="40"/>
            </w:pPr>
            <w:r>
              <w:t>20 May 2008 p. 1938-9</w:t>
            </w:r>
          </w:p>
        </w:tc>
        <w:tc>
          <w:tcPr>
            <w:tcW w:w="2693" w:type="dxa"/>
          </w:tcPr>
          <w:p>
            <w:pPr>
              <w:pStyle w:val="nTable"/>
              <w:spacing w:after="40"/>
            </w:pPr>
            <w:r>
              <w:t>r. 1 and 2: 20 May 2008 (see r. 2(a));</w:t>
            </w:r>
            <w:r>
              <w:br/>
              <w:t>Regulations other than r. 1 and 2: 1 Jul 2008 (see r. 2(b))</w:t>
            </w:r>
          </w:p>
        </w:tc>
      </w:tr>
      <w:tr>
        <w:trPr>
          <w:cantSplit/>
        </w:trPr>
        <w:tc>
          <w:tcPr>
            <w:tcW w:w="7088" w:type="dxa"/>
            <w:gridSpan w:val="3"/>
          </w:tcPr>
          <w:p>
            <w:pPr>
              <w:pStyle w:val="nTable"/>
              <w:spacing w:after="40"/>
            </w:pPr>
            <w:r>
              <w:rPr>
                <w:b/>
              </w:rPr>
              <w:t xml:space="preserve">Reprint 2: The </w:t>
            </w:r>
            <w:r>
              <w:rPr>
                <w:b/>
                <w:i/>
              </w:rPr>
              <w:t>Exotic Diseases (General) Regulations 1970</w:t>
            </w:r>
            <w:r>
              <w:rPr>
                <w:b/>
              </w:rPr>
              <w:t xml:space="preserve"> as at 5 Dec 2008</w:t>
            </w:r>
            <w:r>
              <w:t xml:space="preserve"> (includes amendments listed above)</w:t>
            </w:r>
          </w:p>
        </w:tc>
      </w:tr>
      <w:tr>
        <w:tc>
          <w:tcPr>
            <w:tcW w:w="3119" w:type="dxa"/>
          </w:tcPr>
          <w:p>
            <w:pPr>
              <w:pStyle w:val="nTable"/>
              <w:spacing w:after="40"/>
              <w:rPr>
                <w:i/>
              </w:rPr>
            </w:pPr>
            <w:r>
              <w:rPr>
                <w:i/>
              </w:rPr>
              <w:t>Exotic Diseases (General) Amendment Regulations 2009</w:t>
            </w:r>
          </w:p>
        </w:tc>
        <w:tc>
          <w:tcPr>
            <w:tcW w:w="1276" w:type="dxa"/>
          </w:tcPr>
          <w:p>
            <w:pPr>
              <w:pStyle w:val="nTable"/>
              <w:spacing w:after="40"/>
            </w:pPr>
            <w:r>
              <w:t>26 Jun 2009 p. 2603</w:t>
            </w:r>
            <w:r>
              <w:noBreakHyphen/>
              <w:t>4</w:t>
            </w:r>
          </w:p>
        </w:tc>
        <w:tc>
          <w:tcPr>
            <w:tcW w:w="2693" w:type="dxa"/>
          </w:tcPr>
          <w:p>
            <w:pPr>
              <w:pStyle w:val="nTable"/>
              <w:spacing w:after="40"/>
            </w:pPr>
            <w:r>
              <w:t>r. 1 and 2: 26 Jun 2009 (see r. 2(a));</w:t>
            </w:r>
            <w:r>
              <w:br/>
              <w:t>Regulations other than r. 1 and 2: 1 Jul 2009 (see r. 2(b))</w:t>
            </w:r>
          </w:p>
        </w:tc>
      </w:tr>
      <w:tr>
        <w:trPr>
          <w:cantSplit/>
        </w:trPr>
        <w:tc>
          <w:tcPr>
            <w:tcW w:w="7087" w:type="dxa"/>
            <w:gridSpan w:val="3"/>
            <w:tcBorders>
              <w:bottom w:val="single" w:sz="4" w:space="0" w:color="auto"/>
            </w:tcBorders>
          </w:tcPr>
          <w:p>
            <w:pPr>
              <w:pStyle w:val="nTable"/>
              <w:rPr>
                <w:b/>
                <w:bCs/>
                <w:snapToGrid w:val="0"/>
                <w:color w:val="FF0000"/>
              </w:rPr>
            </w:pPr>
            <w:r>
              <w:rPr>
                <w:b/>
                <w:bCs/>
                <w:snapToGrid w:val="0"/>
                <w:color w:val="FF0000"/>
              </w:rPr>
              <w:t xml:space="preserve">These Regulations were repealed by the </w:t>
            </w:r>
            <w:r>
              <w:rPr>
                <w:b/>
                <w:i/>
                <w:color w:val="FF0000"/>
              </w:rPr>
              <w:t>Exotic Diseases of Animals Regulations 2011</w:t>
            </w:r>
            <w:r>
              <w:rPr>
                <w:b/>
                <w:color w:val="FF0000"/>
              </w:rPr>
              <w:t xml:space="preserve"> r. 6(b) as at 15 Oct 2011 (see </w:t>
            </w:r>
            <w:r>
              <w:rPr>
                <w:b/>
                <w:i/>
                <w:iCs/>
                <w:color w:val="FF0000"/>
              </w:rPr>
              <w:t>Gazette</w:t>
            </w:r>
            <w:r>
              <w:rPr>
                <w:b/>
                <w:color w:val="FF0000"/>
              </w:rPr>
              <w:t xml:space="preserve"> 14 Oct 2011 p. 4342)</w:t>
            </w:r>
          </w:p>
        </w:tc>
      </w:tr>
    </w:tbl>
    <w:p>
      <w:pPr>
        <w:pStyle w:val="nSubsection"/>
      </w:pPr>
      <w:r>
        <w:rPr>
          <w:vertAlign w:val="superscript"/>
        </w:rPr>
        <w:t>2</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pPr>
        <w:pStyle w:val="nSubsection"/>
        <w:rPr>
          <w:i/>
        </w:rPr>
      </w:pPr>
      <w:r>
        <w:rPr>
          <w:vertAlign w:val="superscript"/>
        </w:rPr>
        <w:t>3</w:t>
      </w:r>
      <w:r>
        <w:tab/>
        <w:t xml:space="preserve">Now see the </w:t>
      </w:r>
      <w:r>
        <w:rPr>
          <w:i/>
        </w:rPr>
        <w:t>Local Government Act 1995.</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pPr>
      <w:r>
        <w:rPr>
          <w:vertAlign w:val="superscript"/>
        </w:rPr>
        <w:t>5</w:t>
      </w:r>
      <w:r>
        <w:tab/>
        <w:t xml:space="preserve">Now known as the </w:t>
      </w:r>
      <w:r>
        <w:rPr>
          <w:i/>
        </w:rPr>
        <w:t>Exotic Diseases (General) Regulations 1970</w:t>
      </w:r>
      <w:r>
        <w:t>; citation changed (see note under r. 1).</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79" w:name="_Toc426018450"/>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Infected Place</w:t>
      </w:r>
      <w:r>
        <w:tab/>
        <w:t>8(1)</w:t>
      </w:r>
    </w:p>
    <w:p>
      <w:pPr>
        <w:pStyle w:val="DefinedTerms"/>
      </w:pPr>
      <w:r>
        <w:t>milk</w:t>
      </w:r>
      <w:r>
        <w:tab/>
        <w:t>12(1)</w:t>
      </w:r>
    </w:p>
    <w:p>
      <w:pPr>
        <w:pStyle w:val="DefinedTerms"/>
      </w:pPr>
      <w:r>
        <w:t>Officer in Charge</w:t>
      </w:r>
      <w:r>
        <w:tab/>
        <w:t>2</w:t>
      </w:r>
    </w:p>
    <w:p>
      <w:pPr>
        <w:pStyle w:val="DefinedTerms"/>
      </w:pPr>
      <w:r>
        <w:t>premises</w:t>
      </w:r>
      <w:r>
        <w:tab/>
        <w:t>2</w:t>
      </w:r>
    </w:p>
    <w:p>
      <w:pPr>
        <w:pStyle w:val="DefinedTerms"/>
      </w:pPr>
      <w:r>
        <w:t>swill</w:t>
      </w:r>
      <w:r>
        <w:tab/>
        <w:t>13</w:t>
      </w:r>
    </w:p>
    <w:p>
      <w:pPr>
        <w:pStyle w:val="DefinedTerms"/>
      </w:pPr>
      <w:r>
        <w:t>treatment licence</w:t>
      </w:r>
      <w:r>
        <w:tab/>
        <w:t>13</w:t>
      </w:r>
    </w:p>
    <w:p>
      <w:pPr>
        <w:pStyle w:val="DefinedTerms"/>
      </w:pPr>
      <w:r>
        <w:t>treatment premises</w:t>
      </w:r>
      <w:r>
        <w:tab/>
        <w:t>13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(General)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Exotic Diseases (General)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(General)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(General)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186095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244"/>
    <w:docVar w:name="WAFER_20140123113512" w:val="RemoveTocBookmarks,RemoveUnusedBookmarks,RemoveLanguageTags,UsedStyles,ResetPageSize,UpdateArrangement"/>
    <w:docVar w:name="WAFER_20140123113512_GUID" w:val="4f2b0af3-d3fd-4185-892c-aa9a2be8e18f"/>
    <w:docVar w:name="WAFER_20140123114011" w:val="RemoveTocBookmarks,RunningHeaders"/>
    <w:docVar w:name="WAFER_20140123114011_GUID" w:val="bcf20376-3c91-4d12-b2b2-a2d2bdd42a2f"/>
    <w:docVar w:name="WAFER_20150729180828" w:val="ResetPageSize,UpdateArrangement,UpdateNTable"/>
    <w:docVar w:name="WAFER_20150729180828_GUID" w:val="201952d9-ac44-46fa-aebd-0034deba08bc"/>
    <w:docVar w:name="WAFER_20151117102244" w:val="UpdateStyles,UsedStyles"/>
    <w:docVar w:name="WAFER_20151117102244_GUID" w:val="e67ecc1f-d42b-4b0f-a0de-89d1a52e8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4896</Words>
  <Characters>24973</Characters>
  <Application>Microsoft Office Word</Application>
  <DocSecurity>0</DocSecurity>
  <Lines>756</Lines>
  <Paragraphs>452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1970 - 02-c0-04</dc:title>
  <dc:subject/>
  <dc:creator/>
  <cp:keywords/>
  <dc:description/>
  <cp:lastModifiedBy>svcMRProcess</cp:lastModifiedBy>
  <cp:revision>4</cp:revision>
  <cp:lastPrinted>2008-12-10T04:59:00Z</cp:lastPrinted>
  <dcterms:created xsi:type="dcterms:W3CDTF">2015-11-17T02:35:00Z</dcterms:created>
  <dcterms:modified xsi:type="dcterms:W3CDTF">2015-11-17T02:35:00Z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20111015</vt:lpwstr>
  </property>
  <property fmtid="{D5CDD505-2E9C-101B-9397-08002B2CF9AE}" pid="4" name="DocumentType">
    <vt:lpwstr>Reg</vt:lpwstr>
  </property>
  <property fmtid="{D5CDD505-2E9C-101B-9397-08002B2CF9AE}" pid="5" name="OwlsUID">
    <vt:i4>4428</vt:i4>
  </property>
  <property fmtid="{D5CDD505-2E9C-101B-9397-08002B2CF9AE}" pid="6" name="ReprintNo">
    <vt:lpwstr>2</vt:lpwstr>
  </property>
  <property fmtid="{D5CDD505-2E9C-101B-9397-08002B2CF9AE}" pid="7" name="AsAtDate">
    <vt:lpwstr>15 Oct 2011</vt:lpwstr>
  </property>
  <property fmtid="{D5CDD505-2E9C-101B-9397-08002B2CF9AE}" pid="8" name="Suffix">
    <vt:lpwstr>02-c0-04</vt:lpwstr>
  </property>
  <property fmtid="{D5CDD505-2E9C-101B-9397-08002B2CF9AE}" pid="9" name="Status">
    <vt:lpwstr>NIF</vt:lpwstr>
  </property>
</Properties>
</file>