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Redemption of Annuities Act 1909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Redemption of Annuities Act 1909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_Toc435024814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_Toc435024815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Judge may order redemption of annuity on surrender value being ascertained and paid</w:t>
      </w:r>
      <w:r>
        <w:tab/>
      </w:r>
      <w:r>
        <w:fldChar w:fldCharType="begin"/>
      </w:r>
      <w:r>
        <w:instrText xml:space="preserve"> PAGEREF _Toc435024816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_Toc435024818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Redemption of Annuities Act 1909 </w:t>
      </w:r>
    </w:p>
    <w:p>
      <w:pPr>
        <w:pStyle w:val="LongTitle"/>
        <w:rPr>
          <w:snapToGrid w:val="0"/>
        </w:rPr>
      </w:pPr>
      <w:r>
        <w:rPr>
          <w:snapToGrid w:val="0"/>
        </w:rPr>
        <w:t xml:space="preserve">An Act for the redemption of annuities charged on or issuing out of land. </w:t>
      </w:r>
    </w:p>
    <w:p>
      <w:pPr>
        <w:pStyle w:val="Heading5"/>
        <w:rPr>
          <w:snapToGrid w:val="0"/>
        </w:rPr>
      </w:pPr>
      <w:bookmarkStart w:id="3" w:name="_Toc378672338"/>
      <w:bookmarkStart w:id="4" w:name="_Toc43502481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pPr>
        <w:pStyle w:val="Heading5"/>
        <w:rPr>
          <w:snapToGrid w:val="0"/>
        </w:rPr>
      </w:pPr>
      <w:bookmarkStart w:id="5" w:name="_Toc378672339"/>
      <w:bookmarkStart w:id="6" w:name="_Toc435024815"/>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the following terms have the meanings set against them respectively: — </w:t>
      </w:r>
    </w:p>
    <w:p>
      <w:pPr>
        <w:pStyle w:val="Defstart"/>
      </w:pPr>
      <w:r>
        <w:rPr>
          <w:b/>
        </w:rPr>
        <w:tab/>
      </w:r>
      <w:r>
        <w:rPr>
          <w:rStyle w:val="CharDefText"/>
        </w:rPr>
        <w:t>Annuitant</w:t>
      </w:r>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pPr>
        <w:pStyle w:val="Defstart"/>
      </w:pPr>
      <w:r>
        <w:rPr>
          <w:b/>
        </w:rPr>
        <w:tab/>
      </w:r>
      <w:r>
        <w:rPr>
          <w:rStyle w:val="CharDefText"/>
        </w:rPr>
        <w:t>Annuity</w:t>
      </w:r>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Land</w:t>
      </w:r>
      <w:r>
        <w:t xml:space="preserve"> includes land of any tenure, and tenements and hereditaments, corporeal or incorporeal, and houses and other buildings, also an undivided share in land.</w:t>
      </w:r>
    </w:p>
    <w:p>
      <w:pPr>
        <w:pStyle w:val="Defstart"/>
      </w:pPr>
      <w:r>
        <w:rPr>
          <w:b/>
        </w:rPr>
        <w:tab/>
      </w:r>
      <w:r>
        <w:rPr>
          <w:rStyle w:val="CharDefText"/>
        </w:rPr>
        <w:t>Owner</w:t>
      </w:r>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pPr>
        <w:pStyle w:val="Defstart"/>
      </w:pPr>
      <w:r>
        <w:rPr>
          <w:b/>
        </w:rPr>
        <w:tab/>
      </w:r>
      <w:r>
        <w:rPr>
          <w:rStyle w:val="CharDefText"/>
        </w:rPr>
        <w:t>Registrar</w:t>
      </w:r>
      <w:r>
        <w:t xml:space="preserve"> means and includes the Registrar of Titles, and the Registrar of Deeds and Transfers, and any assistant or acting Registrar respectively.</w:t>
      </w:r>
    </w:p>
    <w:p>
      <w:pPr>
        <w:pStyle w:val="Footnotesection"/>
      </w:pPr>
      <w:r>
        <w:tab/>
        <w:t>[Section 2 amended: No. 60 of 2006 s. 149</w:t>
      </w:r>
      <w:r>
        <w:rPr>
          <w:spacing w:val="-4"/>
        </w:rPr>
        <w:t>; No. 47 of 2011 s.</w:t>
      </w:r>
      <w:r>
        <w:t> 16.]</w:t>
      </w:r>
    </w:p>
    <w:p>
      <w:pPr>
        <w:pStyle w:val="Heading5"/>
        <w:rPr>
          <w:snapToGrid w:val="0"/>
        </w:rPr>
      </w:pPr>
      <w:bookmarkStart w:id="7" w:name="_Toc378672340"/>
      <w:bookmarkStart w:id="8" w:name="_Toc435024816"/>
      <w:r>
        <w:rPr>
          <w:rStyle w:val="CharSectno"/>
        </w:rPr>
        <w:t>3</w:t>
      </w:r>
      <w:r>
        <w:rPr>
          <w:snapToGrid w:val="0"/>
        </w:rPr>
        <w:t>.</w:t>
      </w:r>
      <w:r>
        <w:rPr>
          <w:snapToGrid w:val="0"/>
        </w:rPr>
        <w:tab/>
        <w:t>Judge may order redemption of annuity on surrender value being ascertained and paid</w:t>
      </w:r>
      <w:bookmarkEnd w:id="7"/>
      <w:bookmarkEnd w:id="8"/>
      <w:r>
        <w:rPr>
          <w:snapToGrid w:val="0"/>
        </w:rPr>
        <w:t xml:space="preserve"> </w:t>
      </w:r>
    </w:p>
    <w:p>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pPr>
        <w:pStyle w:val="Indenta"/>
        <w:spacing w:before="60"/>
        <w:rPr>
          <w:snapToGrid w:val="0"/>
        </w:rPr>
      </w:pPr>
      <w:r>
        <w:rPr>
          <w:snapToGrid w:val="0"/>
        </w:rPr>
        <w:tab/>
        <w:t>(2)</w:t>
      </w:r>
      <w:r>
        <w:rPr>
          <w:snapToGrid w:val="0"/>
        </w:rPr>
        <w:tab/>
        <w:t>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Judge may direct. Every such order shall contain full particulars of the land affected.</w:t>
      </w:r>
    </w:p>
    <w:p>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pPr>
        <w:pStyle w:val="Indenta"/>
        <w:rPr>
          <w:snapToGrid w:val="0"/>
        </w:rPr>
      </w:pPr>
      <w:r>
        <w:rPr>
          <w:snapToGrid w:val="0"/>
        </w:rPr>
        <w:tab/>
        <w:t>(6)</w:t>
      </w:r>
      <w:r>
        <w:rPr>
          <w:snapToGrid w:val="0"/>
        </w:rPr>
        <w:tab/>
        <w:t>A Judge in Chambers may from time to time vary alter or amend any order heretofore or hereafter made under this Act.</w:t>
      </w:r>
    </w:p>
    <w:p>
      <w:pPr>
        <w:pStyle w:val="Footnotesection"/>
      </w:pPr>
      <w:r>
        <w:tab/>
        <w:t xml:space="preserve">[Section 3 amended: No. 48 of 1944 s. 2; No. 81 of 1996 s. 153(1).]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8672321"/>
      <w:bookmarkStart w:id="10" w:name="_Toc378672341"/>
      <w:bookmarkStart w:id="11" w:name="_Toc424301855"/>
      <w:bookmarkStart w:id="12" w:name="_Toc435024817"/>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Redemption of Annuities 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78672342"/>
      <w:bookmarkStart w:id="14" w:name="_Toc435024818"/>
      <w:r>
        <w:rPr>
          <w:snapToGrid w:val="0"/>
        </w:rPr>
        <w:t>Compilation table</w:t>
      </w:r>
      <w:bookmarkEnd w:id="13"/>
      <w:bookmarkEnd w:id="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Redemption of Annuities Act 1909</w:t>
            </w:r>
          </w:p>
        </w:tc>
        <w:tc>
          <w:tcPr>
            <w:tcW w:w="1134" w:type="dxa"/>
            <w:tcBorders>
              <w:top w:val="single" w:sz="8" w:space="0" w:color="auto"/>
            </w:tcBorders>
          </w:tcPr>
          <w:p>
            <w:pPr>
              <w:pStyle w:val="nTable"/>
              <w:spacing w:after="40"/>
            </w:pPr>
            <w:r>
              <w:t>34 of 1909</w:t>
            </w:r>
          </w:p>
        </w:tc>
        <w:tc>
          <w:tcPr>
            <w:tcW w:w="1134" w:type="dxa"/>
            <w:tcBorders>
              <w:top w:val="single" w:sz="8" w:space="0" w:color="auto"/>
            </w:tcBorders>
          </w:tcPr>
          <w:p>
            <w:pPr>
              <w:pStyle w:val="nTable"/>
              <w:spacing w:after="40"/>
            </w:pPr>
            <w:r>
              <w:t>4 Dec 1909</w:t>
            </w:r>
          </w:p>
        </w:tc>
        <w:tc>
          <w:tcPr>
            <w:tcW w:w="2551" w:type="dxa"/>
            <w:tcBorders>
              <w:top w:val="single" w:sz="8" w:space="0" w:color="auto"/>
            </w:tcBorders>
          </w:tcPr>
          <w:p>
            <w:pPr>
              <w:pStyle w:val="nTable"/>
              <w:spacing w:after="40"/>
            </w:pPr>
            <w:r>
              <w:t>4 Dec 1909</w:t>
            </w:r>
          </w:p>
        </w:tc>
      </w:tr>
      <w:tr>
        <w:tc>
          <w:tcPr>
            <w:tcW w:w="2268" w:type="dxa"/>
          </w:tcPr>
          <w:p>
            <w:pPr>
              <w:pStyle w:val="nTable"/>
              <w:spacing w:after="40"/>
            </w:pPr>
            <w:r>
              <w:rPr>
                <w:i/>
              </w:rPr>
              <w:t>Redemption of Annuities Act Amendment Act 1944</w:t>
            </w:r>
          </w:p>
        </w:tc>
        <w:tc>
          <w:tcPr>
            <w:tcW w:w="1134" w:type="dxa"/>
          </w:tcPr>
          <w:p>
            <w:pPr>
              <w:pStyle w:val="nTable"/>
              <w:spacing w:after="40"/>
            </w:pPr>
            <w:r>
              <w:t>48 of 1944</w:t>
            </w:r>
          </w:p>
        </w:tc>
        <w:tc>
          <w:tcPr>
            <w:tcW w:w="1134" w:type="dxa"/>
          </w:tcPr>
          <w:p>
            <w:pPr>
              <w:pStyle w:val="nTable"/>
              <w:spacing w:after="40"/>
            </w:pPr>
            <w:r>
              <w:t>24 Jan 1945</w:t>
            </w:r>
          </w:p>
        </w:tc>
        <w:tc>
          <w:tcPr>
            <w:tcW w:w="2551" w:type="dxa"/>
          </w:tcPr>
          <w:p>
            <w:pPr>
              <w:pStyle w:val="nTable"/>
              <w:spacing w:after="40"/>
            </w:pPr>
            <w:r>
              <w:t>24 Jan 1945</w:t>
            </w:r>
          </w:p>
        </w:tc>
      </w:tr>
      <w:tr>
        <w:tc>
          <w:tcPr>
            <w:tcW w:w="2268" w:type="dxa"/>
          </w:tcPr>
          <w:p>
            <w:pPr>
              <w:pStyle w:val="nTable"/>
              <w:spacing w:after="40"/>
            </w:pPr>
            <w:r>
              <w:rPr>
                <w:i/>
              </w:rPr>
              <w:t>Transfer of Land Amendment Act 1996</w:t>
            </w:r>
            <w:r>
              <w:t xml:space="preserve"> 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Pr>
          <w:p>
            <w:pPr>
              <w:pStyle w:val="nTable"/>
              <w:spacing w:after="40"/>
            </w:pPr>
            <w:r>
              <w:rPr>
                <w:b/>
                <w:bCs/>
              </w:rPr>
              <w:t xml:space="preserve">Reprint 1: The </w:t>
            </w:r>
            <w:r>
              <w:rPr>
                <w:b/>
                <w:bCs/>
                <w:i/>
              </w:rPr>
              <w:t>Redemption of Annuities Act 1909</w:t>
            </w:r>
            <w:r>
              <w:rPr>
                <w:b/>
                <w:bCs/>
              </w:rPr>
              <w:t xml:space="preserve"> as at 4 Mar 2005</w:t>
            </w:r>
            <w:r>
              <w:t xml:space="preserve"> (includes amendments listed above)</w:t>
            </w:r>
          </w:p>
        </w:tc>
      </w:tr>
      <w:tr>
        <w:tc>
          <w:tcPr>
            <w:tcW w:w="2268" w:type="dxa"/>
          </w:tcPr>
          <w:p>
            <w:pPr>
              <w:pStyle w:val="nTable"/>
              <w:spacing w:after="40"/>
            </w:pPr>
            <w:r>
              <w:rPr>
                <w:i/>
                <w:snapToGrid w:val="0"/>
              </w:rPr>
              <w:t>Land Information Authority Act 2006</w:t>
            </w:r>
            <w:r>
              <w:rPr>
                <w:iCs/>
                <w:snapToGrid w:val="0"/>
              </w:rPr>
              <w:t xml:space="preserve"> s. 149</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c>
          <w:tcPr>
            <w:tcW w:w="2268" w:type="dxa"/>
            <w:tcBorders>
              <w:bottom w:val="single" w:sz="4" w:space="0" w:color="auto"/>
            </w:tcBorders>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bottom w:val="single" w:sz="4" w:space="0" w:color="auto"/>
            </w:tcBorders>
          </w:tcPr>
          <w:p>
            <w:pPr>
              <w:pStyle w:val="nTable"/>
              <w:spacing w:after="40"/>
              <w:rPr>
                <w:snapToGrid w:val="0"/>
              </w:rPr>
            </w:pPr>
            <w:r>
              <w:rPr>
                <w:snapToGrid w:val="0"/>
              </w:rPr>
              <w:t>47 of 2011</w:t>
            </w:r>
          </w:p>
        </w:tc>
        <w:tc>
          <w:tcPr>
            <w:tcW w:w="1134" w:type="dxa"/>
            <w:tcBorders>
              <w:bottom w:val="single" w:sz="4" w:space="0" w:color="auto"/>
            </w:tcBorders>
          </w:tcPr>
          <w:p>
            <w:pPr>
              <w:pStyle w:val="nTable"/>
              <w:spacing w:after="40"/>
              <w:rPr>
                <w:snapToGrid w:val="0"/>
              </w:rPr>
            </w:pPr>
            <w:r>
              <w:rPr>
                <w:snapToGrid w:val="0"/>
              </w:rPr>
              <w:t>25 Oct 2011</w:t>
            </w:r>
          </w:p>
        </w:tc>
        <w:tc>
          <w:tcPr>
            <w:tcW w:w="2551" w:type="dxa"/>
            <w:tcBorders>
              <w:bottom w:val="single" w:sz="4" w:space="0" w:color="auto"/>
            </w:tcBorders>
          </w:tcPr>
          <w:p>
            <w:pPr>
              <w:pStyle w:val="nTable"/>
              <w:spacing w:after="40"/>
            </w:pPr>
            <w:r>
              <w:rPr>
                <w:snapToGrid w:val="0"/>
              </w:rPr>
              <w:t>26 Oct 2011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6" w:name="_Toc435024819"/>
      <w:r>
        <w:rPr>
          <w:sz w:val="28"/>
        </w:rPr>
        <w:t>Defined terms</w:t>
      </w:r>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Annuitant</w:t>
      </w:r>
      <w:r>
        <w:tab/>
        <w:t>2</w:t>
      </w:r>
    </w:p>
    <w:p>
      <w:pPr>
        <w:pStyle w:val="DefinedTerms"/>
      </w:pPr>
      <w:r>
        <w:t>Annuity</w:t>
      </w:r>
      <w:r>
        <w:tab/>
        <w:t>2</w:t>
      </w:r>
    </w:p>
    <w:p>
      <w:pPr>
        <w:pStyle w:val="DefinedTerms"/>
      </w:pPr>
      <w:r>
        <w:t>Judge</w:t>
      </w:r>
      <w:r>
        <w:tab/>
        <w:t>2</w:t>
      </w:r>
    </w:p>
    <w:p>
      <w:pPr>
        <w:pStyle w:val="DefinedTerms"/>
      </w:pPr>
      <w:r>
        <w:t>Land</w:t>
      </w:r>
      <w:r>
        <w:tab/>
        <w:t>2</w:t>
      </w:r>
    </w:p>
    <w:p>
      <w:pPr>
        <w:pStyle w:val="DefinedTerms"/>
      </w:pPr>
      <w:r>
        <w:t>Owner</w:t>
      </w:r>
      <w:r>
        <w:tab/>
        <w:t>2</w:t>
      </w:r>
    </w:p>
    <w:p>
      <w:pPr>
        <w:pStyle w:val="DefinedTerms"/>
      </w:pPr>
      <w:r>
        <w:t>Registrar</w:t>
      </w:r>
      <w:r>
        <w:tab/>
        <w:t>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Redemption of Annuities Act 1909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Redemption of Annuities Act 1909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Redemption of Annuities Act 1909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Redemption of Annuities Act 1909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Redemption of Annuities Act 1909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602"/>
    <w:docVar w:name="WAFER_20140128103629" w:val="RemoveTocBookmarks,RemoveUnusedBookmarks,RemoveLanguageTags,UsedStyles,ResetPageSize,UpdateArrangement"/>
    <w:docVar w:name="WAFER_20140128103629_GUID" w:val="5cf0f21d-6e70-4961-830d-2925788e9ec5"/>
    <w:docVar w:name="WAFER_20140128112323" w:val="RemoveTocBookmarks,RunningHeaders"/>
    <w:docVar w:name="WAFER_20140128112323_GUID" w:val="1611ee40-ce1b-45f9-b23b-1cd019394e00"/>
    <w:docVar w:name="WAFER_20150710142137" w:val="ResetPageSize,UpdateArrangement,UpdateNTable"/>
    <w:docVar w:name="WAFER_20150710142137_GUID" w:val="0d31013f-4fe3-47ed-939f-054b2500a37f"/>
    <w:docVar w:name="WAFER_20151111162803" w:val="UpdateStyles,UsedStyles"/>
    <w:docVar w:name="WAFER_20151111162803_GUID" w:val="a7b616e4-4e96-432a-89db-26eefea3d7bf"/>
    <w:docVar w:name="WAFER_20151201110602" w:val="RemoveTrackChanges"/>
    <w:docVar w:name="WAFER_20151201110602_GUID" w:val="45a4756d-a8f7-4dfa-a63e-a7e74070f1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1073</Words>
  <Characters>4938</Characters>
  <Application>Microsoft Office Word</Application>
  <DocSecurity>0</DocSecurity>
  <Lines>170</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1909 - 01-d0-06</dc:title>
  <dc:subject/>
  <dc:creator/>
  <cp:keywords/>
  <dc:description/>
  <cp:lastModifiedBy>svcMRProcess</cp:lastModifiedBy>
  <cp:revision>4</cp:revision>
  <cp:lastPrinted>2005-02-24T07:09:00Z</cp:lastPrinted>
  <dcterms:created xsi:type="dcterms:W3CDTF">2019-01-29T07:43:00Z</dcterms:created>
  <dcterms:modified xsi:type="dcterms:W3CDTF">2019-01-29T07:43:00Z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20111026</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AsAtDate">
    <vt:lpwstr>26 Oct 2011</vt:lpwstr>
  </property>
  <property fmtid="{D5CDD505-2E9C-101B-9397-08002B2CF9AE}" pid="8" name="Suffix">
    <vt:lpwstr>01-d0-06</vt:lpwstr>
  </property>
</Properties>
</file>