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Dispute Resolution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Dispute Resolution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_Toc416795131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_Toc416795132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_Toc416795133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Dispute resolution services</w:t>
      </w:r>
    </w:p>
    <w:p>
      <w:pPr>
        <w:pStyle w:val="TOC4"/>
        <w:tabs>
          <w:tab w:val="right" w:leader="dot" w:pos="7077"/>
        </w:tabs>
        <w:rPr>
          <w:rFonts w:asciiTheme="minorHAnsi" w:eastAsiaTheme="minorEastAsia" w:hAnsiTheme="minorHAnsi" w:cstheme="minorBidi"/>
          <w:b w:val="0"/>
          <w:szCs w:val="22"/>
        </w:rPr>
      </w:pPr>
      <w:r>
        <w:t>Division 1 — Mediation</w:t>
      </w:r>
    </w:p>
    <w:p>
      <w:pPr>
        <w:pStyle w:val="TOC8"/>
        <w:rPr>
          <w:rFonts w:asciiTheme="minorHAnsi" w:eastAsiaTheme="minorEastAsia" w:hAnsiTheme="minorHAnsi" w:cstheme="minorBidi"/>
          <w:szCs w:val="22"/>
        </w:rPr>
      </w:pPr>
      <w:r>
        <w:t>4.</w:t>
      </w:r>
      <w:r>
        <w:tab/>
        <w:t>Extended meaning of “employment dispute”</w:t>
      </w:r>
      <w:r>
        <w:tab/>
      </w:r>
      <w:r>
        <w:fldChar w:fldCharType="begin"/>
      </w:r>
      <w:r>
        <w:instrText xml:space="preserve"> PAGEREF _Toc416795136 \h </w:instrText>
      </w:r>
      <w:r>
        <w:fldChar w:fldCharType="separate"/>
      </w:r>
      <w:r>
        <w:t>4</w:t>
      </w:r>
      <w:r>
        <w:fldChar w:fldCharType="end"/>
      </w:r>
    </w:p>
    <w:p>
      <w:pPr>
        <w:pStyle w:val="TOC8"/>
        <w:rPr>
          <w:rFonts w:asciiTheme="minorHAnsi" w:eastAsiaTheme="minorEastAsia" w:hAnsiTheme="minorHAnsi" w:cstheme="minorBidi"/>
          <w:szCs w:val="22"/>
        </w:rPr>
      </w:pPr>
      <w:r>
        <w:t>5.</w:t>
      </w:r>
      <w:r>
        <w:tab/>
        <w:t>Constitution of IR Commission</w:t>
      </w:r>
      <w:r>
        <w:tab/>
      </w:r>
      <w:r>
        <w:fldChar w:fldCharType="begin"/>
      </w:r>
      <w:r>
        <w:instrText xml:space="preserve"> PAGEREF _Toc416795137 \h </w:instrText>
      </w:r>
      <w:r>
        <w:fldChar w:fldCharType="separate"/>
      </w:r>
      <w:r>
        <w:t>4</w:t>
      </w:r>
      <w:r>
        <w:fldChar w:fldCharType="end"/>
      </w:r>
    </w:p>
    <w:p>
      <w:pPr>
        <w:pStyle w:val="TOC8"/>
        <w:rPr>
          <w:rFonts w:asciiTheme="minorHAnsi" w:eastAsiaTheme="minorEastAsia" w:hAnsiTheme="minorHAnsi" w:cstheme="minorBidi"/>
          <w:szCs w:val="22"/>
        </w:rPr>
      </w:pPr>
      <w:r>
        <w:t>6.</w:t>
      </w:r>
      <w:r>
        <w:tab/>
        <w:t>Mediation by IR Commission</w:t>
      </w:r>
      <w:r>
        <w:tab/>
      </w:r>
      <w:r>
        <w:fldChar w:fldCharType="begin"/>
      </w:r>
      <w:r>
        <w:instrText xml:space="preserve"> PAGEREF _Toc416795138 \h </w:instrText>
      </w:r>
      <w:r>
        <w:fldChar w:fldCharType="separate"/>
      </w:r>
      <w:r>
        <w:t>4</w:t>
      </w:r>
      <w:r>
        <w:fldChar w:fldCharType="end"/>
      </w:r>
    </w:p>
    <w:p>
      <w:pPr>
        <w:pStyle w:val="TOC8"/>
        <w:rPr>
          <w:rFonts w:asciiTheme="minorHAnsi" w:eastAsiaTheme="minorEastAsia" w:hAnsiTheme="minorHAnsi" w:cstheme="minorBidi"/>
          <w:szCs w:val="22"/>
        </w:rPr>
      </w:pPr>
      <w:r>
        <w:t>7.</w:t>
      </w:r>
      <w:r>
        <w:tab/>
        <w:t>Request for mediation</w:t>
      </w:r>
      <w:r>
        <w:tab/>
      </w:r>
      <w:r>
        <w:fldChar w:fldCharType="begin"/>
      </w:r>
      <w:r>
        <w:instrText xml:space="preserve"> PAGEREF _Toc416795139 \h </w:instrText>
      </w:r>
      <w:r>
        <w:fldChar w:fldCharType="separate"/>
      </w:r>
      <w:r>
        <w:t>4</w:t>
      </w:r>
      <w:r>
        <w:fldChar w:fldCharType="end"/>
      </w:r>
    </w:p>
    <w:p>
      <w:pPr>
        <w:pStyle w:val="TOC8"/>
        <w:rPr>
          <w:rFonts w:asciiTheme="minorHAnsi" w:eastAsiaTheme="minorEastAsia" w:hAnsiTheme="minorHAnsi" w:cstheme="minorBidi"/>
          <w:szCs w:val="22"/>
        </w:rPr>
      </w:pPr>
      <w:r>
        <w:t>8.</w:t>
      </w:r>
      <w:r>
        <w:tab/>
        <w:t>Representative of group</w:t>
      </w:r>
      <w:r>
        <w:tab/>
      </w:r>
      <w:r>
        <w:fldChar w:fldCharType="begin"/>
      </w:r>
      <w:r>
        <w:instrText xml:space="preserve"> PAGEREF _Toc416795140 \h </w:instrText>
      </w:r>
      <w:r>
        <w:fldChar w:fldCharType="separate"/>
      </w:r>
      <w:r>
        <w:t>5</w:t>
      </w:r>
      <w:r>
        <w:fldChar w:fldCharType="end"/>
      </w:r>
    </w:p>
    <w:p>
      <w:pPr>
        <w:pStyle w:val="TOC8"/>
        <w:rPr>
          <w:rFonts w:asciiTheme="minorHAnsi" w:eastAsiaTheme="minorEastAsia" w:hAnsiTheme="minorHAnsi" w:cstheme="minorBidi"/>
          <w:szCs w:val="22"/>
        </w:rPr>
      </w:pPr>
      <w:r>
        <w:t>9.</w:t>
      </w:r>
      <w:r>
        <w:tab/>
        <w:t>IR Commission may refuse to act or suspend or discontinue mediation</w:t>
      </w:r>
      <w:r>
        <w:tab/>
      </w:r>
      <w:r>
        <w:fldChar w:fldCharType="begin"/>
      </w:r>
      <w:r>
        <w:instrText xml:space="preserve"> PAGEREF _Toc416795141 \h </w:instrText>
      </w:r>
      <w:r>
        <w:fldChar w:fldCharType="separate"/>
      </w:r>
      <w:r>
        <w:t>5</w:t>
      </w:r>
      <w:r>
        <w:fldChar w:fldCharType="end"/>
      </w:r>
    </w:p>
    <w:p>
      <w:pPr>
        <w:pStyle w:val="TOC8"/>
        <w:rPr>
          <w:rFonts w:asciiTheme="minorHAnsi" w:eastAsiaTheme="minorEastAsia" w:hAnsiTheme="minorHAnsi" w:cstheme="minorBidi"/>
          <w:szCs w:val="22"/>
        </w:rPr>
      </w:pPr>
      <w:r>
        <w:t>10.</w:t>
      </w:r>
      <w:r>
        <w:tab/>
        <w:t>IR Commission’s functions</w:t>
      </w:r>
      <w:r>
        <w:tab/>
      </w:r>
      <w:r>
        <w:fldChar w:fldCharType="begin"/>
      </w:r>
      <w:r>
        <w:instrText xml:space="preserve"> PAGEREF _Toc416795142 \h </w:instrText>
      </w:r>
      <w:r>
        <w:fldChar w:fldCharType="separate"/>
      </w:r>
      <w:r>
        <w:t>5</w:t>
      </w:r>
      <w:r>
        <w:fldChar w:fldCharType="end"/>
      </w:r>
    </w:p>
    <w:p>
      <w:pPr>
        <w:pStyle w:val="TOC8"/>
        <w:rPr>
          <w:rFonts w:asciiTheme="minorHAnsi" w:eastAsiaTheme="minorEastAsia" w:hAnsiTheme="minorHAnsi" w:cstheme="minorBidi"/>
          <w:szCs w:val="22"/>
        </w:rPr>
      </w:pPr>
      <w:r>
        <w:t>11.</w:t>
      </w:r>
      <w:r>
        <w:tab/>
        <w:t>Mediation settlement agreement</w:t>
      </w:r>
      <w:r>
        <w:tab/>
      </w:r>
      <w:r>
        <w:fldChar w:fldCharType="begin"/>
      </w:r>
      <w:r>
        <w:instrText xml:space="preserve"> PAGEREF _Toc416795143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Resolution under referral agreement</w:t>
      </w:r>
    </w:p>
    <w:p>
      <w:pPr>
        <w:pStyle w:val="TOC8"/>
        <w:rPr>
          <w:rFonts w:asciiTheme="minorHAnsi" w:eastAsiaTheme="minorEastAsia" w:hAnsiTheme="minorHAnsi" w:cstheme="minorBidi"/>
          <w:szCs w:val="22"/>
        </w:rPr>
      </w:pPr>
      <w:r>
        <w:t>12.</w:t>
      </w:r>
      <w:r>
        <w:tab/>
        <w:t>Referral agreements</w:t>
      </w:r>
      <w:r>
        <w:tab/>
      </w:r>
      <w:r>
        <w:fldChar w:fldCharType="begin"/>
      </w:r>
      <w:r>
        <w:instrText xml:space="preserve"> PAGEREF _Toc416795145 \h </w:instrText>
      </w:r>
      <w:r>
        <w:fldChar w:fldCharType="separate"/>
      </w:r>
      <w:r>
        <w:t>7</w:t>
      </w:r>
      <w:r>
        <w:fldChar w:fldCharType="end"/>
      </w:r>
    </w:p>
    <w:p>
      <w:pPr>
        <w:pStyle w:val="TOC8"/>
        <w:rPr>
          <w:rFonts w:asciiTheme="minorHAnsi" w:eastAsiaTheme="minorEastAsia" w:hAnsiTheme="minorHAnsi" w:cstheme="minorBidi"/>
          <w:szCs w:val="22"/>
        </w:rPr>
      </w:pPr>
      <w:r>
        <w:t>13.</w:t>
      </w:r>
      <w:r>
        <w:tab/>
        <w:t>Referral to IR Commission to perform certain functions in referral agreement</w:t>
      </w:r>
      <w:r>
        <w:tab/>
      </w:r>
      <w:r>
        <w:fldChar w:fldCharType="begin"/>
      </w:r>
      <w:r>
        <w:instrText xml:space="preserve"> PAGEREF _Toc416795146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of IR Commission</w:t>
      </w:r>
      <w:r>
        <w:tab/>
      </w:r>
      <w:r>
        <w:fldChar w:fldCharType="begin"/>
      </w:r>
      <w:r>
        <w:instrText xml:space="preserve"> PAGEREF _Toc416795147 \h </w:instrText>
      </w:r>
      <w:r>
        <w:fldChar w:fldCharType="separate"/>
      </w:r>
      <w:r>
        <w:t>9</w:t>
      </w:r>
      <w:r>
        <w:fldChar w:fldCharType="end"/>
      </w:r>
    </w:p>
    <w:p>
      <w:pPr>
        <w:pStyle w:val="TOC8"/>
        <w:rPr>
          <w:rFonts w:asciiTheme="minorHAnsi" w:eastAsiaTheme="minorEastAsia" w:hAnsiTheme="minorHAnsi" w:cstheme="minorBidi"/>
          <w:szCs w:val="22"/>
        </w:rPr>
      </w:pPr>
      <w:r>
        <w:t>15.</w:t>
      </w:r>
      <w:r>
        <w:tab/>
        <w:t>IR Commission’s functions</w:t>
      </w:r>
      <w:r>
        <w:tab/>
      </w:r>
      <w:r>
        <w:fldChar w:fldCharType="begin"/>
      </w:r>
      <w:r>
        <w:instrText xml:space="preserve"> PAGEREF _Toc416795148 \h </w:instrText>
      </w:r>
      <w:r>
        <w:fldChar w:fldCharType="separate"/>
      </w:r>
      <w:r>
        <w:t>9</w:t>
      </w:r>
      <w:r>
        <w:fldChar w:fldCharType="end"/>
      </w:r>
    </w:p>
    <w:p>
      <w:pPr>
        <w:pStyle w:val="TOC8"/>
        <w:rPr>
          <w:rFonts w:asciiTheme="minorHAnsi" w:eastAsiaTheme="minorEastAsia" w:hAnsiTheme="minorHAnsi" w:cstheme="minorBidi"/>
          <w:szCs w:val="22"/>
        </w:rPr>
      </w:pPr>
      <w:r>
        <w:t>16.</w:t>
      </w:r>
      <w:r>
        <w:tab/>
        <w:t>IR Commission may determine scope of referral agreement</w:t>
      </w:r>
      <w:r>
        <w:tab/>
      </w:r>
      <w:r>
        <w:fldChar w:fldCharType="begin"/>
      </w:r>
      <w:r>
        <w:instrText xml:space="preserve"> PAGEREF _Toc416795149 \h </w:instrText>
      </w:r>
      <w:r>
        <w:fldChar w:fldCharType="separate"/>
      </w:r>
      <w:r>
        <w:t>10</w:t>
      </w:r>
      <w:r>
        <w:fldChar w:fldCharType="end"/>
      </w:r>
    </w:p>
    <w:p>
      <w:pPr>
        <w:pStyle w:val="TOC8"/>
        <w:rPr>
          <w:rFonts w:asciiTheme="minorHAnsi" w:eastAsiaTheme="minorEastAsia" w:hAnsiTheme="minorHAnsi" w:cstheme="minorBidi"/>
          <w:szCs w:val="22"/>
        </w:rPr>
      </w:pPr>
      <w:r>
        <w:t>17.</w:t>
      </w:r>
      <w:r>
        <w:tab/>
        <w:t>Representation</w:t>
      </w:r>
      <w:r>
        <w:tab/>
      </w:r>
      <w:r>
        <w:fldChar w:fldCharType="begin"/>
      </w:r>
      <w:r>
        <w:instrText xml:space="preserve"> PAGEREF _Toc416795150 \h </w:instrText>
      </w:r>
      <w:r>
        <w:fldChar w:fldCharType="separate"/>
      </w:r>
      <w:r>
        <w:t>10</w:t>
      </w:r>
      <w:r>
        <w:fldChar w:fldCharType="end"/>
      </w:r>
    </w:p>
    <w:p>
      <w:pPr>
        <w:pStyle w:val="TOC8"/>
        <w:rPr>
          <w:rFonts w:asciiTheme="minorHAnsi" w:eastAsiaTheme="minorEastAsia" w:hAnsiTheme="minorHAnsi" w:cstheme="minorBidi"/>
          <w:szCs w:val="22"/>
        </w:rPr>
      </w:pPr>
      <w:r>
        <w:t>18.</w:t>
      </w:r>
      <w:r>
        <w:tab/>
        <w:t>IR Commission may register agreement in relation to dispute</w:t>
      </w:r>
      <w:r>
        <w:tab/>
      </w:r>
      <w:r>
        <w:fldChar w:fldCharType="begin"/>
      </w:r>
      <w:r>
        <w:instrText xml:space="preserve"> PAGEREF _Toc416795151 \h </w:instrText>
      </w:r>
      <w:r>
        <w:fldChar w:fldCharType="separate"/>
      </w:r>
      <w:r>
        <w:t>11</w:t>
      </w:r>
      <w:r>
        <w:fldChar w:fldCharType="end"/>
      </w:r>
    </w:p>
    <w:p>
      <w:pPr>
        <w:pStyle w:val="TOC8"/>
        <w:rPr>
          <w:rFonts w:asciiTheme="minorHAnsi" w:eastAsiaTheme="minorEastAsia" w:hAnsiTheme="minorHAnsi" w:cstheme="minorBidi"/>
          <w:szCs w:val="22"/>
        </w:rPr>
      </w:pPr>
      <w:r>
        <w:t>19.</w:t>
      </w:r>
      <w:r>
        <w:tab/>
        <w:t>Decision, direction or determination of IR Commission may bind parties</w:t>
      </w:r>
      <w:r>
        <w:tab/>
      </w:r>
      <w:r>
        <w:fldChar w:fldCharType="begin"/>
      </w:r>
      <w:r>
        <w:instrText xml:space="preserve"> PAGEREF _Toc416795152 \h </w:instrText>
      </w:r>
      <w:r>
        <w:fldChar w:fldCharType="separate"/>
      </w:r>
      <w:r>
        <w:t>11</w:t>
      </w:r>
      <w:r>
        <w:fldChar w:fldCharType="end"/>
      </w:r>
    </w:p>
    <w:p>
      <w:pPr>
        <w:pStyle w:val="TOC8"/>
        <w:rPr>
          <w:rFonts w:asciiTheme="minorHAnsi" w:eastAsiaTheme="minorEastAsia" w:hAnsiTheme="minorHAnsi" w:cstheme="minorBidi"/>
          <w:szCs w:val="22"/>
        </w:rPr>
      </w:pPr>
      <w:r>
        <w:t>20.</w:t>
      </w:r>
      <w:r>
        <w:tab/>
        <w:t>Enforcement of decisions and directions</w:t>
      </w:r>
      <w:r>
        <w:tab/>
      </w:r>
      <w:r>
        <w:fldChar w:fldCharType="begin"/>
      </w:r>
      <w:r>
        <w:instrText xml:space="preserve"> PAGEREF _Toc416795153 \h </w:instrText>
      </w:r>
      <w:r>
        <w:fldChar w:fldCharType="separate"/>
      </w:r>
      <w:r>
        <w:t>11</w:t>
      </w:r>
      <w:r>
        <w:fldChar w:fldCharType="end"/>
      </w:r>
    </w:p>
    <w:p>
      <w:pPr>
        <w:pStyle w:val="TOC8"/>
        <w:rPr>
          <w:rFonts w:asciiTheme="minorHAnsi" w:eastAsiaTheme="minorEastAsia" w:hAnsiTheme="minorHAnsi" w:cstheme="minorBidi"/>
          <w:szCs w:val="22"/>
        </w:rPr>
      </w:pPr>
      <w:r>
        <w:t>21.</w:t>
      </w:r>
      <w:r>
        <w:tab/>
        <w:t>IR Commission may refuse to act or suspend or discontinue referral</w:t>
      </w:r>
      <w:r>
        <w:tab/>
      </w:r>
      <w:r>
        <w:fldChar w:fldCharType="begin"/>
      </w:r>
      <w:r>
        <w:instrText xml:space="preserve"> PAGEREF _Toc416795154 \h </w:instrText>
      </w:r>
      <w:r>
        <w:fldChar w:fldCharType="separate"/>
      </w:r>
      <w:r>
        <w:t>12</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_Toc416795155 \h </w:instrText>
      </w:r>
      <w:r>
        <w:fldChar w:fldCharType="separate"/>
      </w:r>
      <w:r>
        <w:t>12</w:t>
      </w:r>
      <w:r>
        <w:fldChar w:fldCharType="end"/>
      </w:r>
    </w:p>
    <w:p>
      <w:pPr>
        <w:pStyle w:val="TOC8"/>
        <w:rPr>
          <w:rFonts w:asciiTheme="minorHAnsi" w:eastAsiaTheme="minorEastAsia" w:hAnsiTheme="minorHAnsi" w:cstheme="minorBidi"/>
          <w:szCs w:val="22"/>
        </w:rPr>
      </w:pPr>
      <w:r>
        <w:t>23.</w:t>
      </w:r>
      <w:r>
        <w:tab/>
        <w:t>IR Commission must publish examples of dispute resolution functions</w:t>
      </w:r>
      <w:r>
        <w:tab/>
      </w:r>
      <w:r>
        <w:fldChar w:fldCharType="begin"/>
      </w:r>
      <w:r>
        <w:instrText xml:space="preserve"> PAGEREF _Toc416795156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Provisions that relate to mediation and referral proceedings</w:t>
      </w:r>
    </w:p>
    <w:p>
      <w:pPr>
        <w:pStyle w:val="TOC8"/>
        <w:rPr>
          <w:rFonts w:asciiTheme="minorHAnsi" w:eastAsiaTheme="minorEastAsia" w:hAnsiTheme="minorHAnsi" w:cstheme="minorBidi"/>
          <w:szCs w:val="22"/>
        </w:rPr>
      </w:pPr>
      <w:r>
        <w:t>24.</w:t>
      </w:r>
      <w:r>
        <w:tab/>
        <w:t>Privilege</w:t>
      </w:r>
      <w:r>
        <w:tab/>
      </w:r>
      <w:r>
        <w:fldChar w:fldCharType="begin"/>
      </w:r>
      <w:r>
        <w:instrText xml:space="preserve"> PAGEREF _Toc416795158 \h </w:instrText>
      </w:r>
      <w:r>
        <w:fldChar w:fldCharType="separate"/>
      </w:r>
      <w:r>
        <w:t>13</w:t>
      </w:r>
      <w:r>
        <w:fldChar w:fldCharType="end"/>
      </w:r>
    </w:p>
    <w:p>
      <w:pPr>
        <w:pStyle w:val="TOC8"/>
        <w:rPr>
          <w:rFonts w:asciiTheme="minorHAnsi" w:eastAsiaTheme="minorEastAsia" w:hAnsiTheme="minorHAnsi" w:cstheme="minorBidi"/>
          <w:szCs w:val="22"/>
        </w:rPr>
      </w:pPr>
      <w:r>
        <w:t>25.</w:t>
      </w:r>
      <w:r>
        <w:tab/>
        <w:t>Privacy</w:t>
      </w:r>
      <w:r>
        <w:tab/>
      </w:r>
      <w:r>
        <w:fldChar w:fldCharType="begin"/>
      </w:r>
      <w:r>
        <w:instrText xml:space="preserve"> PAGEREF _Toc416795159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Resolution under Commonwealth workplace agreement or model dispute resolution process</w:t>
      </w:r>
    </w:p>
    <w:p>
      <w:pPr>
        <w:pStyle w:val="TOC8"/>
        <w:rPr>
          <w:rFonts w:asciiTheme="minorHAnsi" w:eastAsiaTheme="minorEastAsia" w:hAnsiTheme="minorHAnsi" w:cstheme="minorBidi"/>
          <w:szCs w:val="22"/>
        </w:rPr>
      </w:pPr>
      <w:r>
        <w:t>27.</w:t>
      </w:r>
      <w:r>
        <w:tab/>
        <w:t>Application for IR Commission to conduct dispute resolution process</w:t>
      </w:r>
      <w:r>
        <w:tab/>
      </w:r>
      <w:r>
        <w:fldChar w:fldCharType="begin"/>
      </w:r>
      <w:r>
        <w:instrText xml:space="preserve"> PAGEREF _Toc416795161 \h </w:instrText>
      </w:r>
      <w:r>
        <w:fldChar w:fldCharType="separate"/>
      </w:r>
      <w:r>
        <w:t>15</w:t>
      </w:r>
      <w:r>
        <w:fldChar w:fldCharType="end"/>
      </w:r>
    </w:p>
    <w:p>
      <w:pPr>
        <w:pStyle w:val="TOC8"/>
        <w:rPr>
          <w:rFonts w:asciiTheme="minorHAnsi" w:eastAsiaTheme="minorEastAsia" w:hAnsiTheme="minorHAnsi" w:cstheme="minorBidi"/>
          <w:szCs w:val="22"/>
        </w:rPr>
      </w:pPr>
      <w:r>
        <w:t>28.</w:t>
      </w:r>
      <w:r>
        <w:tab/>
        <w:t>Constitution of IR Commission</w:t>
      </w:r>
      <w:r>
        <w:tab/>
      </w:r>
      <w:r>
        <w:fldChar w:fldCharType="begin"/>
      </w:r>
      <w:r>
        <w:instrText xml:space="preserve"> PAGEREF _Toc416795162 \h </w:instrText>
      </w:r>
      <w:r>
        <w:fldChar w:fldCharType="separate"/>
      </w:r>
      <w:r>
        <w:t>15</w:t>
      </w:r>
      <w:r>
        <w:fldChar w:fldCharType="end"/>
      </w:r>
    </w:p>
    <w:p>
      <w:pPr>
        <w:pStyle w:val="TOC8"/>
        <w:rPr>
          <w:rFonts w:asciiTheme="minorHAnsi" w:eastAsiaTheme="minorEastAsia" w:hAnsiTheme="minorHAnsi" w:cstheme="minorBidi"/>
          <w:szCs w:val="22"/>
        </w:rPr>
      </w:pPr>
      <w:r>
        <w:t>29.</w:t>
      </w:r>
      <w:r>
        <w:tab/>
        <w:t>IR Commission’s functions</w:t>
      </w:r>
      <w:r>
        <w:tab/>
      </w:r>
      <w:r>
        <w:fldChar w:fldCharType="begin"/>
      </w:r>
      <w:r>
        <w:instrText xml:space="preserve"> PAGEREF _Toc416795163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30.</w:t>
      </w:r>
      <w:r>
        <w:tab/>
        <w:t>Application of IR Act</w:t>
      </w:r>
      <w:r>
        <w:tab/>
      </w:r>
      <w:r>
        <w:fldChar w:fldCharType="begin"/>
      </w:r>
      <w:r>
        <w:instrText xml:space="preserve"> PAGEREF _Toc416795165 \h </w:instrText>
      </w:r>
      <w:r>
        <w:fldChar w:fldCharType="separate"/>
      </w:r>
      <w:r>
        <w:t>17</w:t>
      </w:r>
      <w:r>
        <w:fldChar w:fldCharType="end"/>
      </w:r>
    </w:p>
    <w:p>
      <w:pPr>
        <w:pStyle w:val="TOC8"/>
        <w:rPr>
          <w:rFonts w:asciiTheme="minorHAnsi" w:eastAsiaTheme="minorEastAsia" w:hAnsiTheme="minorHAnsi" w:cstheme="minorBidi"/>
          <w:szCs w:val="22"/>
        </w:rPr>
      </w:pPr>
      <w:r>
        <w:t>31.</w:t>
      </w:r>
      <w:r>
        <w:tab/>
        <w:t>Regulations</w:t>
      </w:r>
      <w:r>
        <w:tab/>
      </w:r>
      <w:r>
        <w:fldChar w:fldCharType="begin"/>
      </w:r>
      <w:r>
        <w:instrText xml:space="preserve"> PAGEREF _Toc416795166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_Toc416795168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Employment Dispute Resolution Act 2008</w:t>
      </w:r>
    </w:p>
    <w:p>
      <w:pPr>
        <w:pStyle w:val="LongTitle"/>
      </w:pPr>
      <w:bookmarkStart w:id="3" w:name="BillCited"/>
      <w:bookmarkEnd w:id="3"/>
      <w:r>
        <w:rPr>
          <w:snapToGrid w:val="0"/>
        </w:rPr>
        <w:t>An Act to establish a dispute resolution framework for employment disputes</w:t>
      </w:r>
      <w:r>
        <w:t>.</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8234048"/>
      <w:bookmarkStart w:id="5" w:name="_Toc378234898"/>
      <w:bookmarkStart w:id="6" w:name="_Toc416795091"/>
      <w:bookmarkStart w:id="7" w:name="_Toc41679513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8234899"/>
      <w:bookmarkStart w:id="9" w:name="_Toc416795131"/>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10" w:name="_Toc378234900"/>
      <w:bookmarkStart w:id="11" w:name="_Toc416795132"/>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78234901"/>
      <w:bookmarkStart w:id="13" w:name="_Toc416795133"/>
      <w:r>
        <w:rPr>
          <w:rStyle w:val="CharSectno"/>
        </w:rPr>
        <w:t>3</w:t>
      </w:r>
      <w:r>
        <w:t>.</w:t>
      </w:r>
      <w:r>
        <w:tab/>
        <w:t>Terms used in this Act</w:t>
      </w:r>
      <w:bookmarkEnd w:id="12"/>
      <w:bookmarkEnd w:id="13"/>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tab/>
      </w:r>
      <w:r>
        <w:rPr>
          <w:rStyle w:val="CharDefText"/>
        </w:rPr>
        <w:t>Commonwealth enterprise agreement</w:t>
      </w:r>
      <w:r>
        <w:t xml:space="preserve"> means an enterprise agreement as defined in the </w:t>
      </w:r>
      <w:r>
        <w:rPr>
          <w:i/>
        </w:rPr>
        <w:t xml:space="preserve">Fair Work Act 2009 </w:t>
      </w:r>
      <w:r>
        <w:t>(Commonwealth) or any other agreement or arrangement prescribed under the IR Act section 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 xml:space="preserve">an organisation registered under the </w:t>
      </w:r>
      <w:r>
        <w:rPr>
          <w:i/>
        </w:rPr>
        <w:t>Fair Work (Registered Organisations) Act 2009</w:t>
      </w:r>
      <w:r>
        <w:t xml:space="preserve"> (Commonwealth);</w:t>
      </w:r>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Footnotesection"/>
      </w:pPr>
      <w:r>
        <w:tab/>
        <w:t>[Section 3 amended: No. 53 of 2011 s. 52.]</w:t>
      </w:r>
    </w:p>
    <w:p>
      <w:pPr>
        <w:pStyle w:val="Heading2"/>
      </w:pPr>
      <w:bookmarkStart w:id="14" w:name="_Toc378234052"/>
      <w:bookmarkStart w:id="15" w:name="_Toc378234902"/>
      <w:bookmarkStart w:id="16" w:name="_Toc416795095"/>
      <w:bookmarkStart w:id="17" w:name="_Toc416795134"/>
      <w:r>
        <w:rPr>
          <w:rStyle w:val="CharPartNo"/>
        </w:rPr>
        <w:t>Part 2</w:t>
      </w:r>
      <w:r>
        <w:t> — </w:t>
      </w:r>
      <w:r>
        <w:rPr>
          <w:rStyle w:val="CharPartText"/>
        </w:rPr>
        <w:t>Dispute resolution services</w:t>
      </w:r>
      <w:bookmarkEnd w:id="14"/>
      <w:bookmarkEnd w:id="15"/>
      <w:bookmarkEnd w:id="16"/>
      <w:bookmarkEnd w:id="17"/>
    </w:p>
    <w:p>
      <w:pPr>
        <w:pStyle w:val="Heading3"/>
      </w:pPr>
      <w:bookmarkStart w:id="18" w:name="_Toc378234053"/>
      <w:bookmarkStart w:id="19" w:name="_Toc378234903"/>
      <w:bookmarkStart w:id="20" w:name="_Toc416795096"/>
      <w:bookmarkStart w:id="21" w:name="_Toc416795135"/>
      <w:r>
        <w:rPr>
          <w:rStyle w:val="CharDivNo"/>
        </w:rPr>
        <w:t>Division 1</w:t>
      </w:r>
      <w:r>
        <w:t> — </w:t>
      </w:r>
      <w:r>
        <w:rPr>
          <w:rStyle w:val="CharDivText"/>
        </w:rPr>
        <w:t>Mediation</w:t>
      </w:r>
      <w:bookmarkEnd w:id="18"/>
      <w:bookmarkEnd w:id="19"/>
      <w:bookmarkEnd w:id="20"/>
      <w:bookmarkEnd w:id="21"/>
    </w:p>
    <w:p>
      <w:pPr>
        <w:pStyle w:val="Heading5"/>
      </w:pPr>
      <w:bookmarkStart w:id="22" w:name="_Toc378234904"/>
      <w:bookmarkStart w:id="23" w:name="_Toc416795136"/>
      <w:r>
        <w:rPr>
          <w:rStyle w:val="CharSectno"/>
        </w:rPr>
        <w:t>4</w:t>
      </w:r>
      <w:r>
        <w:t>.</w:t>
      </w:r>
      <w:r>
        <w:tab/>
        <w:t>Extended meaning of “employment dispute”</w:t>
      </w:r>
      <w:bookmarkEnd w:id="22"/>
      <w:bookmarkEnd w:id="23"/>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24" w:name="_Toc378234905"/>
      <w:bookmarkStart w:id="25" w:name="_Toc416795137"/>
      <w:r>
        <w:rPr>
          <w:rStyle w:val="CharSectno"/>
        </w:rPr>
        <w:t>5</w:t>
      </w:r>
      <w:r>
        <w:t>.</w:t>
      </w:r>
      <w:r>
        <w:tab/>
        <w:t>Constitution of IR Commission</w:t>
      </w:r>
      <w:bookmarkEnd w:id="24"/>
      <w:bookmarkEnd w:id="25"/>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26" w:name="_Toc378234906"/>
      <w:bookmarkStart w:id="27" w:name="_Toc416795138"/>
      <w:r>
        <w:rPr>
          <w:rStyle w:val="CharSectno"/>
        </w:rPr>
        <w:t>6</w:t>
      </w:r>
      <w:r>
        <w:t>.</w:t>
      </w:r>
      <w:r>
        <w:tab/>
        <w:t>Mediation by IR Commission</w:t>
      </w:r>
      <w:bookmarkEnd w:id="26"/>
      <w:bookmarkEnd w:id="27"/>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28" w:name="_Toc378234907"/>
      <w:bookmarkStart w:id="29" w:name="_Toc416795139"/>
      <w:r>
        <w:rPr>
          <w:rStyle w:val="CharSectno"/>
        </w:rPr>
        <w:t>7</w:t>
      </w:r>
      <w:r>
        <w:t>.</w:t>
      </w:r>
      <w:r>
        <w:tab/>
        <w:t>Request for mediation</w:t>
      </w:r>
      <w:bookmarkEnd w:id="28"/>
      <w:bookmarkEnd w:id="29"/>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30" w:name="_Toc378234908"/>
      <w:bookmarkStart w:id="31" w:name="_Toc416795140"/>
      <w:r>
        <w:rPr>
          <w:rStyle w:val="CharSectno"/>
        </w:rPr>
        <w:t>8</w:t>
      </w:r>
      <w:r>
        <w:t>.</w:t>
      </w:r>
      <w:r>
        <w:tab/>
        <w:t>Representative of group</w:t>
      </w:r>
      <w:bookmarkEnd w:id="30"/>
      <w:bookmarkEnd w:id="31"/>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32" w:name="_Toc378234909"/>
      <w:bookmarkStart w:id="33" w:name="_Toc416795141"/>
      <w:r>
        <w:rPr>
          <w:rStyle w:val="CharSectno"/>
        </w:rPr>
        <w:t>9</w:t>
      </w:r>
      <w:r>
        <w:t>.</w:t>
      </w:r>
      <w:r>
        <w:tab/>
        <w:t>IR Commission may refuse to act or suspend or discontinue mediation</w:t>
      </w:r>
      <w:bookmarkEnd w:id="32"/>
      <w:bookmarkEnd w:id="33"/>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34" w:name="_Toc378234910"/>
      <w:bookmarkStart w:id="35" w:name="_Toc416795142"/>
      <w:r>
        <w:rPr>
          <w:rStyle w:val="CharSectno"/>
        </w:rPr>
        <w:t>10</w:t>
      </w:r>
      <w:r>
        <w:t>.</w:t>
      </w:r>
      <w:r>
        <w:tab/>
        <w:t>IR Commission’s functions</w:t>
      </w:r>
      <w:bookmarkEnd w:id="34"/>
      <w:bookmarkEnd w:id="35"/>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36" w:name="_Toc378234911"/>
      <w:bookmarkStart w:id="37" w:name="_Toc416795143"/>
      <w:r>
        <w:rPr>
          <w:rStyle w:val="CharSectno"/>
        </w:rPr>
        <w:t>11</w:t>
      </w:r>
      <w:r>
        <w:t>.</w:t>
      </w:r>
      <w:r>
        <w:tab/>
        <w:t>Mediation settlement agreement</w:t>
      </w:r>
      <w:bookmarkEnd w:id="36"/>
      <w:bookmarkEnd w:id="37"/>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38" w:name="_Toc378234062"/>
      <w:bookmarkStart w:id="39" w:name="_Toc378234912"/>
      <w:bookmarkStart w:id="40" w:name="_Toc416795105"/>
      <w:bookmarkStart w:id="41" w:name="_Toc416795144"/>
      <w:r>
        <w:rPr>
          <w:rStyle w:val="CharDivNo"/>
        </w:rPr>
        <w:t>Division 2</w:t>
      </w:r>
      <w:r>
        <w:t> — </w:t>
      </w:r>
      <w:r>
        <w:rPr>
          <w:rStyle w:val="CharDivText"/>
        </w:rPr>
        <w:t>Resolution under referral agreement</w:t>
      </w:r>
      <w:bookmarkEnd w:id="38"/>
      <w:bookmarkEnd w:id="39"/>
      <w:bookmarkEnd w:id="40"/>
      <w:bookmarkEnd w:id="41"/>
    </w:p>
    <w:p>
      <w:pPr>
        <w:pStyle w:val="Heading5"/>
      </w:pPr>
      <w:bookmarkStart w:id="42" w:name="_Toc378234913"/>
      <w:bookmarkStart w:id="43" w:name="_Toc416795145"/>
      <w:r>
        <w:rPr>
          <w:rStyle w:val="CharSectno"/>
        </w:rPr>
        <w:t>12</w:t>
      </w:r>
      <w:r>
        <w:t>.</w:t>
      </w:r>
      <w:r>
        <w:tab/>
        <w:t>Referral agreements</w:t>
      </w:r>
      <w:bookmarkEnd w:id="42"/>
      <w:bookmarkEnd w:id="43"/>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44" w:name="_Toc378234914"/>
      <w:bookmarkStart w:id="45" w:name="_Toc416795146"/>
      <w:r>
        <w:rPr>
          <w:rStyle w:val="CharSectno"/>
        </w:rPr>
        <w:t>13</w:t>
      </w:r>
      <w:r>
        <w:t>.</w:t>
      </w:r>
      <w:r>
        <w:tab/>
        <w:t>Referral to IR Commission to perform certain functions in referral agreement</w:t>
      </w:r>
      <w:bookmarkEnd w:id="44"/>
      <w:bookmarkEnd w:id="45"/>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46" w:name="_Toc378234915"/>
      <w:bookmarkStart w:id="47" w:name="_Toc416795147"/>
      <w:r>
        <w:rPr>
          <w:rStyle w:val="CharSectno"/>
        </w:rPr>
        <w:t>14</w:t>
      </w:r>
      <w:r>
        <w:t>.</w:t>
      </w:r>
      <w:r>
        <w:tab/>
        <w:t>Constitution of IR Commission</w:t>
      </w:r>
      <w:bookmarkEnd w:id="46"/>
      <w:bookmarkEnd w:id="47"/>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48" w:name="_Toc378234916"/>
      <w:bookmarkStart w:id="49" w:name="_Toc416795148"/>
      <w:r>
        <w:rPr>
          <w:rStyle w:val="CharSectno"/>
        </w:rPr>
        <w:t>15</w:t>
      </w:r>
      <w:r>
        <w:t>.</w:t>
      </w:r>
      <w:r>
        <w:tab/>
        <w:t>IR Commission’s functions</w:t>
      </w:r>
      <w:bookmarkEnd w:id="48"/>
      <w:bookmarkEnd w:id="49"/>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50" w:name="_Toc378234917"/>
      <w:bookmarkStart w:id="51" w:name="_Toc416795149"/>
      <w:r>
        <w:rPr>
          <w:rStyle w:val="CharSectno"/>
        </w:rPr>
        <w:t>16</w:t>
      </w:r>
      <w:r>
        <w:t>.</w:t>
      </w:r>
      <w:r>
        <w:tab/>
        <w:t>IR Commission may determine scope of referral agreement</w:t>
      </w:r>
      <w:bookmarkEnd w:id="50"/>
      <w:bookmarkEnd w:id="51"/>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52" w:name="_Toc378234918"/>
      <w:bookmarkStart w:id="53" w:name="_Toc416795150"/>
      <w:r>
        <w:rPr>
          <w:rStyle w:val="CharSectno"/>
        </w:rPr>
        <w:t>17</w:t>
      </w:r>
      <w:r>
        <w:t>.</w:t>
      </w:r>
      <w:r>
        <w:tab/>
        <w:t>Representation</w:t>
      </w:r>
      <w:bookmarkEnd w:id="52"/>
      <w:bookmarkEnd w:id="53"/>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54" w:name="_Toc378234919"/>
      <w:bookmarkStart w:id="55" w:name="_Toc416795151"/>
      <w:r>
        <w:rPr>
          <w:rStyle w:val="CharSectno"/>
        </w:rPr>
        <w:t>18</w:t>
      </w:r>
      <w:r>
        <w:t>.</w:t>
      </w:r>
      <w:r>
        <w:tab/>
        <w:t>IR Commission may register agreement in relation to dispute</w:t>
      </w:r>
      <w:bookmarkEnd w:id="54"/>
      <w:bookmarkEnd w:id="55"/>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56" w:name="_Toc378234920"/>
      <w:bookmarkStart w:id="57" w:name="_Toc416795152"/>
      <w:r>
        <w:rPr>
          <w:rStyle w:val="CharSectno"/>
        </w:rPr>
        <w:t>19</w:t>
      </w:r>
      <w:r>
        <w:t>.</w:t>
      </w:r>
      <w:r>
        <w:tab/>
        <w:t>Decision, direction or determination of IR Commission may bind parties</w:t>
      </w:r>
      <w:bookmarkEnd w:id="56"/>
      <w:bookmarkEnd w:id="57"/>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58" w:name="_Toc378234921"/>
      <w:bookmarkStart w:id="59" w:name="_Toc416795153"/>
      <w:r>
        <w:rPr>
          <w:rStyle w:val="CharSectno"/>
        </w:rPr>
        <w:t>20</w:t>
      </w:r>
      <w:r>
        <w:t>.</w:t>
      </w:r>
      <w:r>
        <w:tab/>
        <w:t>Enforcement of decisions and directions</w:t>
      </w:r>
      <w:bookmarkEnd w:id="58"/>
      <w:bookmarkEnd w:id="59"/>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60" w:name="_Toc378234922"/>
      <w:bookmarkStart w:id="61" w:name="_Toc416795154"/>
      <w:r>
        <w:rPr>
          <w:rStyle w:val="CharSectno"/>
        </w:rPr>
        <w:t>21</w:t>
      </w:r>
      <w:r>
        <w:t>.</w:t>
      </w:r>
      <w:r>
        <w:tab/>
        <w:t>IR Commission may refuse to act or suspend or discontinue referral</w:t>
      </w:r>
      <w:bookmarkEnd w:id="60"/>
      <w:bookmarkEnd w:id="61"/>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62" w:name="_Toc378234923"/>
      <w:bookmarkStart w:id="63" w:name="_Toc416795155"/>
      <w:r>
        <w:rPr>
          <w:rStyle w:val="CharSectno"/>
        </w:rPr>
        <w:t>22</w:t>
      </w:r>
      <w:r>
        <w:t>.</w:t>
      </w:r>
      <w:r>
        <w:tab/>
        <w:t>Appeals</w:t>
      </w:r>
      <w:bookmarkEnd w:id="62"/>
      <w:bookmarkEnd w:id="63"/>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64" w:name="_Toc378234924"/>
      <w:bookmarkStart w:id="65" w:name="_Toc416795156"/>
      <w:r>
        <w:rPr>
          <w:rStyle w:val="CharSectno"/>
        </w:rPr>
        <w:t>23</w:t>
      </w:r>
      <w:r>
        <w:t>.</w:t>
      </w:r>
      <w:r>
        <w:tab/>
        <w:t>IR Commission must publish examples of dispute resolution functions</w:t>
      </w:r>
      <w:bookmarkEnd w:id="64"/>
      <w:bookmarkEnd w:id="65"/>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66" w:name="_Toc378234075"/>
      <w:bookmarkStart w:id="67" w:name="_Toc378234925"/>
      <w:bookmarkStart w:id="68" w:name="_Toc416795118"/>
      <w:bookmarkStart w:id="69" w:name="_Toc416795157"/>
      <w:r>
        <w:rPr>
          <w:rStyle w:val="CharDivNo"/>
        </w:rPr>
        <w:t>Division 3</w:t>
      </w:r>
      <w:r>
        <w:t> — </w:t>
      </w:r>
      <w:r>
        <w:rPr>
          <w:rStyle w:val="CharDivText"/>
        </w:rPr>
        <w:t>Provisions that relate to mediation and referral proceedings</w:t>
      </w:r>
      <w:bookmarkEnd w:id="66"/>
      <w:bookmarkEnd w:id="67"/>
      <w:bookmarkEnd w:id="68"/>
      <w:bookmarkEnd w:id="69"/>
    </w:p>
    <w:p>
      <w:pPr>
        <w:pStyle w:val="Heading5"/>
      </w:pPr>
      <w:bookmarkStart w:id="70" w:name="_Toc378234926"/>
      <w:bookmarkStart w:id="71" w:name="_Toc416795158"/>
      <w:r>
        <w:rPr>
          <w:rStyle w:val="CharSectno"/>
        </w:rPr>
        <w:t>24</w:t>
      </w:r>
      <w:r>
        <w:t>.</w:t>
      </w:r>
      <w:r>
        <w:tab/>
        <w:t>Privilege</w:t>
      </w:r>
      <w:bookmarkEnd w:id="70"/>
      <w:bookmarkEnd w:id="71"/>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72" w:name="_Toc378234927"/>
      <w:bookmarkStart w:id="73" w:name="_Toc416795159"/>
      <w:r>
        <w:rPr>
          <w:rStyle w:val="CharSectno"/>
        </w:rPr>
        <w:t>25</w:t>
      </w:r>
      <w:r>
        <w:t>.</w:t>
      </w:r>
      <w:r>
        <w:tab/>
        <w:t>Privacy</w:t>
      </w:r>
      <w:bookmarkEnd w:id="72"/>
      <w:bookmarkEnd w:id="73"/>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74" w:name="_Toc378234078"/>
      <w:bookmarkStart w:id="75" w:name="_Toc378234928"/>
      <w:bookmarkStart w:id="76" w:name="_Toc416795121"/>
      <w:bookmarkStart w:id="77" w:name="_Toc416795160"/>
      <w:r>
        <w:rPr>
          <w:rStyle w:val="CharDivNo"/>
        </w:rPr>
        <w:t>Division 4</w:t>
      </w:r>
      <w:r>
        <w:t> — </w:t>
      </w:r>
      <w:r>
        <w:rPr>
          <w:rStyle w:val="CharDivText"/>
        </w:rPr>
        <w:t>Resolution under Commonwealth workplace agreement or model dispute resolution process</w:t>
      </w:r>
      <w:bookmarkEnd w:id="74"/>
      <w:bookmarkEnd w:id="75"/>
      <w:bookmarkEnd w:id="76"/>
      <w:bookmarkEnd w:id="77"/>
    </w:p>
    <w:p>
      <w:pPr>
        <w:pStyle w:val="Ednotesection"/>
      </w:pPr>
      <w:r>
        <w:t>[</w:t>
      </w:r>
      <w:r>
        <w:rPr>
          <w:b/>
        </w:rPr>
        <w:t>26.</w:t>
      </w:r>
      <w:r>
        <w:tab/>
        <w:t>Deleted: No. 53 of 2011 s. 53.]</w:t>
      </w:r>
    </w:p>
    <w:p>
      <w:pPr>
        <w:pStyle w:val="Heading5"/>
      </w:pPr>
      <w:bookmarkStart w:id="78" w:name="_Toc378234929"/>
      <w:bookmarkStart w:id="79" w:name="_Toc416795161"/>
      <w:r>
        <w:rPr>
          <w:rStyle w:val="CharSectno"/>
        </w:rPr>
        <w:t>27</w:t>
      </w:r>
      <w:r>
        <w:t>.</w:t>
      </w:r>
      <w:r>
        <w:tab/>
        <w:t>Application for IR Commission to conduct dispute resolution process</w:t>
      </w:r>
      <w:bookmarkEnd w:id="78"/>
      <w:bookmarkEnd w:id="79"/>
    </w:p>
    <w:p>
      <w:pPr>
        <w:pStyle w:val="Subsection"/>
      </w:pPr>
      <w:r>
        <w:tab/>
      </w:r>
      <w:r>
        <w:tab/>
        <w:t xml:space="preserve">A party to an employment dispute may apply to the IR Commission to have a dispute resolution process conducted by the IR Commission in relation to the employment dispute if — </w:t>
      </w:r>
    </w:p>
    <w:p>
      <w:pPr>
        <w:pStyle w:val="Indenta"/>
      </w:pPr>
      <w:r>
        <w:tab/>
        <w:t>(a)</w:t>
      </w:r>
      <w:r>
        <w:tab/>
        <w:t>the parties to the employment dispute are bound by a Commonwealth enterprise agreement; and</w:t>
      </w:r>
    </w:p>
    <w:p>
      <w:pPr>
        <w:pStyle w:val="Indenta"/>
      </w:pPr>
      <w:r>
        <w:tab/>
        <w:t>(b)</w:t>
      </w:r>
      <w:r>
        <w:tab/>
        <w:t>the Commonwealth enterprise agreement authorises, permits or provides for the IR Commission, or a member of the IR Commission, to conduct a dispute resolution process under dispute settlement procedures set out in the agreement.</w:t>
      </w:r>
    </w:p>
    <w:p>
      <w:pPr>
        <w:pStyle w:val="Footnotesection"/>
      </w:pPr>
      <w:r>
        <w:tab/>
        <w:t>[Section 27 inserted: No. 53 of 2011 s. 54.]</w:t>
      </w:r>
    </w:p>
    <w:p>
      <w:pPr>
        <w:pStyle w:val="Heading5"/>
      </w:pPr>
      <w:bookmarkStart w:id="80" w:name="_Toc378234930"/>
      <w:bookmarkStart w:id="81" w:name="_Toc416795162"/>
      <w:r>
        <w:rPr>
          <w:rStyle w:val="CharSectno"/>
        </w:rPr>
        <w:t>28</w:t>
      </w:r>
      <w:r>
        <w:t>.</w:t>
      </w:r>
      <w:r>
        <w:tab/>
        <w:t>Constitution of IR Commission</w:t>
      </w:r>
      <w:bookmarkEnd w:id="80"/>
      <w:bookmarkEnd w:id="81"/>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Commonwealth enterprise agreement so require; or</w:t>
      </w:r>
    </w:p>
    <w:p>
      <w:pPr>
        <w:pStyle w:val="Indenta"/>
      </w:pPr>
      <w:r>
        <w:tab/>
        <w:t>(b)</w:t>
      </w:r>
      <w:r>
        <w:tab/>
        <w:t>the terms of the relevant Commonwealth enterprise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Commonwealth enterprise agreement when assigning or appointing a commissioner or commissioners to constitute the IR Commission for the purposes of this Division but is not obliged to comply with those terms.</w:t>
      </w:r>
    </w:p>
    <w:p>
      <w:pPr>
        <w:pStyle w:val="Footnotesection"/>
      </w:pPr>
      <w:r>
        <w:tab/>
        <w:t>[Section 28 amended: No. 53 of 2011 s. 55.]</w:t>
      </w:r>
    </w:p>
    <w:p>
      <w:pPr>
        <w:pStyle w:val="Heading5"/>
      </w:pPr>
      <w:bookmarkStart w:id="82" w:name="_Toc378234931"/>
      <w:bookmarkStart w:id="83" w:name="_Toc416795163"/>
      <w:r>
        <w:rPr>
          <w:rStyle w:val="CharSectno"/>
        </w:rPr>
        <w:t>29</w:t>
      </w:r>
      <w:r>
        <w:t>.</w:t>
      </w:r>
      <w:r>
        <w:tab/>
        <w:t>IR Commission’s functions</w:t>
      </w:r>
      <w:bookmarkEnd w:id="82"/>
      <w:bookmarkEnd w:id="83"/>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the Commonwealth enterprise agreement concerned; and</w:t>
      </w:r>
    </w:p>
    <w:p>
      <w:pPr>
        <w:pStyle w:val="Indenta"/>
      </w:pPr>
      <w:r>
        <w:tab/>
        <w:t>(b)</w:t>
      </w:r>
      <w:r>
        <w:tab/>
        <w:t xml:space="preserve">the </w:t>
      </w:r>
      <w:r>
        <w:rPr>
          <w:i/>
        </w:rPr>
        <w:t>Fair Work Act 2009</w:t>
      </w:r>
      <w:r>
        <w:t xml:space="preserve"> (Commonwealth).</w:t>
      </w:r>
    </w:p>
    <w:p>
      <w:pPr>
        <w:pStyle w:val="Subsection"/>
      </w:pPr>
      <w:r>
        <w:tab/>
        <w:t>(2)</w:t>
      </w:r>
      <w:r>
        <w:tab/>
        <w:t xml:space="preserve">The </w:t>
      </w:r>
      <w:r>
        <w:rPr>
          <w:i/>
        </w:rPr>
        <w:t>Fair Work Act 2009</w:t>
      </w:r>
      <w:r>
        <w:t xml:space="preserve"> (Commonwealth) section 740 applies to a dispute resolution process conducted under this Division.</w:t>
      </w:r>
    </w:p>
    <w:p>
      <w:pPr>
        <w:pStyle w:val="Footnotesection"/>
      </w:pPr>
      <w:r>
        <w:tab/>
        <w:t>[Section 29 amended: No. 53 of 2011 s. 56.]</w:t>
      </w:r>
    </w:p>
    <w:p>
      <w:pPr>
        <w:pStyle w:val="Heading2"/>
      </w:pPr>
      <w:bookmarkStart w:id="84" w:name="_Toc378234082"/>
      <w:bookmarkStart w:id="85" w:name="_Toc378234932"/>
      <w:bookmarkStart w:id="86" w:name="_Toc416795125"/>
      <w:bookmarkStart w:id="87" w:name="_Toc416795164"/>
      <w:r>
        <w:rPr>
          <w:rStyle w:val="CharPartNo"/>
        </w:rPr>
        <w:t>Part 3</w:t>
      </w:r>
      <w:r>
        <w:rPr>
          <w:rStyle w:val="CharDivNo"/>
        </w:rPr>
        <w:t> </w:t>
      </w:r>
      <w:r>
        <w:t>—</w:t>
      </w:r>
      <w:r>
        <w:rPr>
          <w:rStyle w:val="CharDivText"/>
        </w:rPr>
        <w:t> </w:t>
      </w:r>
      <w:r>
        <w:rPr>
          <w:rStyle w:val="CharPartText"/>
        </w:rPr>
        <w:t>Miscellaneous</w:t>
      </w:r>
      <w:bookmarkEnd w:id="84"/>
      <w:bookmarkEnd w:id="85"/>
      <w:bookmarkEnd w:id="86"/>
      <w:bookmarkEnd w:id="87"/>
    </w:p>
    <w:p>
      <w:pPr>
        <w:pStyle w:val="Heading5"/>
        <w:rPr>
          <w:i/>
          <w:iCs/>
        </w:rPr>
      </w:pPr>
      <w:bookmarkStart w:id="88" w:name="_Toc378234933"/>
      <w:bookmarkStart w:id="89" w:name="_Toc416795165"/>
      <w:r>
        <w:rPr>
          <w:rStyle w:val="CharSectno"/>
        </w:rPr>
        <w:t>30</w:t>
      </w:r>
      <w:r>
        <w:t>.</w:t>
      </w:r>
      <w:r>
        <w:tab/>
        <w:t>Application of IR Act</w:t>
      </w:r>
      <w:bookmarkEnd w:id="88"/>
      <w:bookmarkEnd w:id="89"/>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90" w:name="_Toc378234934"/>
      <w:bookmarkStart w:id="91" w:name="_Toc416795166"/>
      <w:r>
        <w:rPr>
          <w:rStyle w:val="CharSectno"/>
        </w:rPr>
        <w:t>31</w:t>
      </w:r>
      <w:r>
        <w:t>.</w:t>
      </w:r>
      <w:r>
        <w:tab/>
        <w:t>Regulations</w:t>
      </w:r>
      <w:bookmarkEnd w:id="90"/>
      <w:bookmarkEnd w:id="91"/>
    </w:p>
    <w:p>
      <w:pPr>
        <w:pStyle w:val="Subsection"/>
      </w:pPr>
      <w:r>
        <w:tab/>
        <w:t>(1)</w:t>
      </w:r>
      <w:r>
        <w:tab/>
        <w:t>Regulations may be made by the Chief Commissioner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pStyle w:val="Footnotesection"/>
      </w:pPr>
      <w:r>
        <w:tab/>
        <w:t>[Section 31 amended: No. 53 of 2011 s. 57.]</w:t>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92" w:name="_Toc378234085"/>
      <w:bookmarkStart w:id="93" w:name="_Toc378234935"/>
      <w:bookmarkStart w:id="94" w:name="_Toc416795128"/>
      <w:bookmarkStart w:id="95" w:name="_Toc416795167"/>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r>
        <w:rPr>
          <w:snapToGrid w:val="0"/>
        </w:rPr>
        <w:t xml:space="preserve"> and includes the amendments made by the other written laws referred to in the following table.</w:t>
      </w:r>
    </w:p>
    <w:p>
      <w:pPr>
        <w:pStyle w:val="nHeading3"/>
        <w:rPr>
          <w:snapToGrid w:val="0"/>
        </w:rPr>
      </w:pPr>
      <w:bookmarkStart w:id="96" w:name="_Toc378234936"/>
      <w:bookmarkStart w:id="97" w:name="_Toc416795168"/>
      <w:r>
        <w:rPr>
          <w:snapToGrid w:val="0"/>
        </w:rPr>
        <w:t>Compilation table</w:t>
      </w:r>
      <w:bookmarkEnd w:id="96"/>
      <w:bookmarkEnd w:id="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Employment Dispute Resolution Act 2008</w:t>
            </w:r>
          </w:p>
        </w:tc>
        <w:tc>
          <w:tcPr>
            <w:tcW w:w="1134" w:type="dxa"/>
            <w:tcBorders>
              <w:bottom w:val="nil"/>
            </w:tcBorders>
          </w:tcPr>
          <w:p>
            <w:pPr>
              <w:pStyle w:val="nTable"/>
              <w:spacing w:after="40"/>
            </w:pPr>
            <w:r>
              <w:t>18 of 2008</w:t>
            </w:r>
          </w:p>
        </w:tc>
        <w:tc>
          <w:tcPr>
            <w:tcW w:w="1134" w:type="dxa"/>
            <w:tcBorders>
              <w:bottom w:val="nil"/>
            </w:tcBorders>
          </w:tcPr>
          <w:p>
            <w:pPr>
              <w:pStyle w:val="nTable"/>
              <w:spacing w:after="40"/>
            </w:pPr>
            <w:r>
              <w:t>19 May 2008</w:t>
            </w:r>
          </w:p>
        </w:tc>
        <w:tc>
          <w:tcPr>
            <w:tcW w:w="2552" w:type="dxa"/>
            <w:tcBorders>
              <w:bottom w:val="nil"/>
            </w:tcBorders>
          </w:tcPr>
          <w:p>
            <w:pPr>
              <w:pStyle w:val="nTable"/>
              <w:spacing w:after="40"/>
            </w:pPr>
            <w:r>
              <w:t>s. 1 and 2: 19 May 2008 (see s. 2(a));</w:t>
            </w:r>
            <w:r>
              <w:br/>
              <w:t xml:space="preserve">Act other than s. 1 and 2: 1 Dec 2008 (see s. 2(b) and </w:t>
            </w:r>
            <w:r>
              <w:rPr>
                <w:i/>
                <w:iCs/>
              </w:rPr>
              <w:t>Gazette</w:t>
            </w:r>
            <w:r>
              <w:t xml:space="preserve"> 28 Nov 2008 p. 5029)</w:t>
            </w:r>
          </w:p>
        </w:tc>
      </w:tr>
      <w:tr>
        <w:tc>
          <w:tcPr>
            <w:tcW w:w="2268" w:type="dxa"/>
            <w:tcBorders>
              <w:top w:val="nil"/>
            </w:tcBorders>
          </w:tcPr>
          <w:p>
            <w:pPr>
              <w:pStyle w:val="nTable"/>
              <w:spacing w:after="40"/>
              <w:rPr>
                <w:i/>
                <w:snapToGrid w:val="0"/>
              </w:rPr>
            </w:pPr>
            <w:r>
              <w:rPr>
                <w:i/>
                <w:snapToGrid w:val="0"/>
              </w:rPr>
              <w:t xml:space="preserve">Industrial Legislation Amendment Act 2011 </w:t>
            </w:r>
            <w:r>
              <w:rPr>
                <w:snapToGrid w:val="0"/>
              </w:rPr>
              <w:t>Pt. 5</w:t>
            </w:r>
          </w:p>
        </w:tc>
        <w:tc>
          <w:tcPr>
            <w:tcW w:w="1134" w:type="dxa"/>
            <w:tcBorders>
              <w:top w:val="nil"/>
            </w:tcBorders>
          </w:tcPr>
          <w:p>
            <w:pPr>
              <w:pStyle w:val="nTable"/>
              <w:spacing w:after="40"/>
            </w:pPr>
            <w:r>
              <w:rPr>
                <w:snapToGrid w:val="0"/>
              </w:rPr>
              <w:t>53 of 2011</w:t>
            </w:r>
          </w:p>
        </w:tc>
        <w:tc>
          <w:tcPr>
            <w:tcW w:w="1134" w:type="dxa"/>
            <w:tcBorders>
              <w:top w:val="nil"/>
            </w:tcBorders>
          </w:tcPr>
          <w:p>
            <w:pPr>
              <w:pStyle w:val="nTable"/>
              <w:spacing w:after="40"/>
            </w:pPr>
            <w:r>
              <w:rPr>
                <w:snapToGrid w:val="0"/>
              </w:rPr>
              <w:t>11 Nov 2011</w:t>
            </w:r>
          </w:p>
        </w:tc>
        <w:tc>
          <w:tcPr>
            <w:tcW w:w="2552" w:type="dxa"/>
            <w:tcBorders>
              <w:top w:val="nil"/>
            </w:tcBorders>
          </w:tcPr>
          <w:p>
            <w:pPr>
              <w:pStyle w:val="nTable"/>
              <w:spacing w:after="40"/>
            </w:pPr>
            <w:r>
              <w:rPr>
                <w:snapToGrid w:val="0"/>
              </w:rPr>
              <w:t>1</w:t>
            </w:r>
            <w:r>
              <w:t> </w:t>
            </w:r>
            <w:r>
              <w:rPr>
                <w:snapToGrid w:val="0"/>
              </w:rPr>
              <w:t xml:space="preserve">Apr 2012 (see s. 2(b) and </w:t>
            </w:r>
            <w:r>
              <w:rPr>
                <w:i/>
                <w:snapToGrid w:val="0"/>
              </w:rPr>
              <w:t>Gazette</w:t>
            </w:r>
            <w:r>
              <w:rPr>
                <w:snapToGrid w:val="0"/>
              </w:rPr>
              <w:t xml:space="preserve"> 16 Mar 2012 p. 1246)</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9" w:name="_Toc416795169"/>
      <w:r>
        <w:rPr>
          <w:sz w:val="28"/>
        </w:rPr>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Commissioner</w:t>
      </w:r>
      <w:r>
        <w:tab/>
        <w:t>3(1)</w:t>
      </w:r>
    </w:p>
    <w:p>
      <w:pPr>
        <w:pStyle w:val="DefinedTerms"/>
      </w:pPr>
      <w:r>
        <w:t>commissioner</w:t>
      </w:r>
      <w:r>
        <w:tab/>
        <w:t>3(1)</w:t>
      </w:r>
    </w:p>
    <w:p>
      <w:pPr>
        <w:pStyle w:val="DefinedTerms"/>
      </w:pPr>
      <w:r>
        <w:t>Commonwealth enterprise agreement</w:t>
      </w:r>
      <w:r>
        <w:tab/>
        <w:t>3(1)</w:t>
      </w:r>
    </w:p>
    <w:p>
      <w:pPr>
        <w:pStyle w:val="DefinedTerms"/>
      </w:pPr>
      <w:r>
        <w:t>decision</w:t>
      </w:r>
      <w:r>
        <w:tab/>
        <w:t>3(1)</w:t>
      </w:r>
    </w:p>
    <w:p>
      <w:pPr>
        <w:pStyle w:val="DefinedTerms"/>
      </w:pPr>
      <w:r>
        <w:t>employee</w:t>
      </w:r>
      <w:r>
        <w:tab/>
        <w:t>3(1)</w:t>
      </w:r>
    </w:p>
    <w:p>
      <w:pPr>
        <w:pStyle w:val="DefinedTerms"/>
      </w:pPr>
      <w:r>
        <w:t>employer</w:t>
      </w:r>
      <w:r>
        <w:tab/>
        <w:t>3(1)</w:t>
      </w:r>
    </w:p>
    <w:p>
      <w:pPr>
        <w:pStyle w:val="DefinedTerms"/>
      </w:pPr>
      <w:r>
        <w:t>employment dispute</w:t>
      </w:r>
      <w:r>
        <w:tab/>
        <w:t>3(1), 4</w:t>
      </w:r>
    </w:p>
    <w:p>
      <w:pPr>
        <w:pStyle w:val="DefinedTerms"/>
      </w:pPr>
      <w:r>
        <w:t>industrial matter</w:t>
      </w:r>
      <w:r>
        <w:tab/>
        <w:t>3(1)</w:t>
      </w:r>
    </w:p>
    <w:p>
      <w:pPr>
        <w:pStyle w:val="DefinedTerms"/>
      </w:pPr>
      <w:r>
        <w:t>IR Act</w:t>
      </w:r>
      <w:r>
        <w:tab/>
        <w:t>3(1)</w:t>
      </w:r>
    </w:p>
    <w:p>
      <w:pPr>
        <w:pStyle w:val="DefinedTerms"/>
      </w:pPr>
      <w:r>
        <w:t>IR Commission</w:t>
      </w:r>
      <w:r>
        <w:tab/>
        <w:t>3(1)</w:t>
      </w:r>
    </w:p>
    <w:p>
      <w:pPr>
        <w:pStyle w:val="DefinedTerms"/>
      </w:pPr>
      <w:r>
        <w:t>mediation</w:t>
      </w:r>
      <w:r>
        <w:tab/>
        <w:t>3(1)</w:t>
      </w:r>
    </w:p>
    <w:p>
      <w:pPr>
        <w:pStyle w:val="DefinedTerms"/>
      </w:pPr>
      <w:r>
        <w:t>mediation settlement agreement</w:t>
      </w:r>
      <w:r>
        <w:tab/>
        <w:t>3(1)</w:t>
      </w:r>
    </w:p>
    <w:p>
      <w:pPr>
        <w:pStyle w:val="DefinedTerms"/>
      </w:pPr>
      <w:r>
        <w:t>organisation</w:t>
      </w:r>
      <w:r>
        <w:tab/>
        <w:t>3(1)</w:t>
      </w:r>
    </w:p>
    <w:p>
      <w:pPr>
        <w:pStyle w:val="DefinedTerms"/>
      </w:pPr>
      <w:r>
        <w:t>referral agreement</w:t>
      </w:r>
      <w:r>
        <w:tab/>
        <w:t>3(1), 12(1)</w:t>
      </w:r>
    </w:p>
    <w:p>
      <w:pPr>
        <w:pStyle w:val="DefinedTerms"/>
      </w:pPr>
      <w:r>
        <w:t>referral proceeding</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219"/>
    <w:docVar w:name="WAFER_20140123094233" w:val="RemoveTocBookmarks,RemoveUnusedBookmarks,RemoveLanguageTags,UsedStyles,ResetPageSize,UpdateArrangement"/>
    <w:docVar w:name="WAFER_20140123094233_GUID" w:val="d7453da2-47d0-44bc-a10c-9955b81e9f08"/>
    <w:docVar w:name="WAFER_20140123094857" w:val="RemoveTocBookmarks,RunningHeaders"/>
    <w:docVar w:name="WAFER_20140123094857_GUID" w:val="3f6bedec-fc66-4655-9944-d69ad7e74a0c"/>
    <w:docVar w:name="WAFER_20150414165708" w:val="ResetPageSize,UpdateArrangement,UpdateNTable"/>
    <w:docVar w:name="WAFER_20150414165708_GUID" w:val="15dcf5f3-be0c-49dc-849e-d0c0d79100be"/>
    <w:docVar w:name="WAFER_20151105120219" w:val="UpdateStyles,UsedStyles"/>
    <w:docVar w:name="WAFER_20151105120219_GUID" w:val="ac65e019-6723-4d18-a91c-f3e28c90e5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4238</Words>
  <Characters>20938</Characters>
  <Application>Microsoft Office Word</Application>
  <DocSecurity>0</DocSecurity>
  <Lines>598</Lines>
  <Paragraphs>364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24812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2008 - 00-e0-05</dc:title>
  <dc:subject/>
  <dc:creator/>
  <cp:keywords/>
  <dc:description/>
  <cp:lastModifiedBy>svcMRProcess</cp:lastModifiedBy>
  <cp:revision>4</cp:revision>
  <cp:lastPrinted>2008-05-19T05:24:00Z</cp:lastPrinted>
  <dcterms:created xsi:type="dcterms:W3CDTF">2019-01-21T03:33:00Z</dcterms:created>
  <dcterms:modified xsi:type="dcterms:W3CDTF">2019-01-21T03:33:00Z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20120401</vt:lpwstr>
  </property>
  <property fmtid="{D5CDD505-2E9C-101B-9397-08002B2CF9AE}" pid="4" name="OwlsUID">
    <vt:i4>146664</vt:i4>
  </property>
  <property fmtid="{D5CDD505-2E9C-101B-9397-08002B2CF9AE}" pid="5" name="DocumentType">
    <vt:lpwstr>Act</vt:lpwstr>
  </property>
  <property fmtid="{D5CDD505-2E9C-101B-9397-08002B2CF9AE}" pid="6" name="AsAtDate">
    <vt:lpwstr>01 Apr 2012</vt:lpwstr>
  </property>
  <property fmtid="{D5CDD505-2E9C-101B-9397-08002B2CF9AE}" pid="7" name="Suffix">
    <vt:lpwstr>00-e0-05</vt:lpwstr>
  </property>
</Properties>
</file>