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Code) Regulations 2009</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Fair Trading (Retirement Villages Interim Code) Regulations 2012</w:t>
      </w:r>
      <w:r>
        <w:rPr>
          <w:color w:val="000000"/>
          <w:sz w:val="22"/>
          <w:szCs w:val="22"/>
        </w:rPr>
        <w:t xml:space="preserve"> r. 5 as at 1 Oct 2012 (see </w:t>
      </w:r>
      <w:r>
        <w:rPr>
          <w:i/>
          <w:iCs/>
          <w:color w:val="000000"/>
          <w:sz w:val="22"/>
          <w:szCs w:val="22"/>
        </w:rPr>
        <w:t>Gazette</w:t>
      </w:r>
      <w:r>
        <w:rPr>
          <w:color w:val="000000"/>
          <w:sz w:val="22"/>
          <w:szCs w:val="22"/>
        </w:rPr>
        <w:t xml:space="preserve"> 26 Sep 2012 p. 4530).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_Toc435098947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_Toc435098948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_Toc435098949 \h </w:instrText>
      </w:r>
      <w:r>
        <w:fldChar w:fldCharType="separate"/>
      </w:r>
      <w:r>
        <w:t>1</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_Toc435098950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The </w:t>
      </w:r>
      <w:r>
        <w:rPr>
          <w:i/>
          <w:iCs/>
          <w:snapToGrid w:val="0"/>
        </w:rPr>
        <w:t>Fair Trading (Retirement Villages Code) Regulations 2006</w:t>
      </w:r>
      <w:r>
        <w:rPr>
          <w:snapToGrid w:val="0"/>
        </w:rPr>
        <w:t xml:space="preserve"> repealed</w:t>
      </w:r>
      <w:r>
        <w:tab/>
      </w:r>
      <w:r>
        <w:fldChar w:fldCharType="begin"/>
      </w:r>
      <w:r>
        <w:instrText xml:space="preserve"> PAGEREF _Toc435098951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iCs/>
        </w:rPr>
        <w:t>Code of Fair Practice for Retirement Villages 2009</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_Toc435098954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_Toc435098955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_Toc435098956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_Toc435098957 \h </w:instrText>
      </w:r>
      <w:r>
        <w:fldChar w:fldCharType="separate"/>
      </w:r>
      <w:r>
        <w:t>11</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_Toc435098958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_Toc435098960 \h </w:instrText>
      </w:r>
      <w:r>
        <w:fldChar w:fldCharType="separate"/>
      </w:r>
      <w:r>
        <w:t>13</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_Toc435098961 \h </w:instrText>
      </w:r>
      <w:r>
        <w:fldChar w:fldCharType="separate"/>
      </w:r>
      <w:r>
        <w:t>13</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_Toc435098962 \h </w:instrText>
      </w:r>
      <w:r>
        <w:fldChar w:fldCharType="separate"/>
      </w:r>
      <w:r>
        <w:t>13</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_Toc435098963 \h </w:instrText>
      </w:r>
      <w:r>
        <w:fldChar w:fldCharType="separate"/>
      </w:r>
      <w:r>
        <w:t>14</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_Toc435098964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_Toc435098966 \h </w:instrText>
      </w:r>
      <w:r>
        <w:fldChar w:fldCharType="separate"/>
      </w:r>
      <w:r>
        <w:t>16</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_Toc435098967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_Toc435098969 \h </w:instrText>
      </w:r>
      <w:r>
        <w:fldChar w:fldCharType="separate"/>
      </w:r>
      <w:r>
        <w:t>19</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_Toc435098970 \h </w:instrText>
      </w:r>
      <w:r>
        <w:fldChar w:fldCharType="separate"/>
      </w:r>
      <w:r>
        <w:t>20</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_Toc435098971 \h </w:instrText>
      </w:r>
      <w:r>
        <w:fldChar w:fldCharType="separate"/>
      </w:r>
      <w:r>
        <w:t>20</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_Toc435098972 \h </w:instrText>
      </w:r>
      <w:r>
        <w:fldChar w:fldCharType="separate"/>
      </w:r>
      <w:r>
        <w:t>21</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_Toc435098973 \h </w:instrText>
      </w:r>
      <w:r>
        <w:fldChar w:fldCharType="separate"/>
      </w:r>
      <w:r>
        <w:t>21</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_Toc435098974 \h </w:instrText>
      </w:r>
      <w:r>
        <w:fldChar w:fldCharType="separate"/>
      </w:r>
      <w:r>
        <w:t>22</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_Toc435098975 \h </w:instrText>
      </w:r>
      <w:r>
        <w:fldChar w:fldCharType="separate"/>
      </w:r>
      <w:r>
        <w:t>23</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_Toc435098976 \h </w:instrText>
      </w:r>
      <w:r>
        <w:fldChar w:fldCharType="separate"/>
      </w:r>
      <w:r>
        <w:t>23</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_Toc435098977 \h </w:instrText>
      </w:r>
      <w:r>
        <w:fldChar w:fldCharType="separate"/>
      </w:r>
      <w:r>
        <w:t>24</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_Toc435098978 \h </w:instrText>
      </w:r>
      <w:r>
        <w:fldChar w:fldCharType="separate"/>
      </w:r>
      <w:r>
        <w:t>24</w:t>
      </w:r>
      <w:r>
        <w:fldChar w:fldCharType="end"/>
      </w:r>
    </w:p>
    <w:p>
      <w:pPr>
        <w:pStyle w:val="TOC8"/>
        <w:rPr>
          <w:rFonts w:asciiTheme="minorHAnsi" w:eastAsiaTheme="minorEastAsia" w:hAnsiTheme="minorHAnsi" w:cstheme="minorBidi"/>
          <w:szCs w:val="22"/>
        </w:rPr>
      </w:pPr>
      <w:r>
        <w:t>4.11</w:t>
      </w:r>
      <w:r>
        <w:tab/>
        <w:t>Residence contract to refer to this Code and the Retirement Villages Act 1992</w:t>
      </w:r>
      <w:r>
        <w:tab/>
      </w:r>
      <w:r>
        <w:fldChar w:fldCharType="begin"/>
      </w:r>
      <w:r>
        <w:instrText xml:space="preserve"> PAGEREF _Toc435098979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_Toc435098981 \h </w:instrText>
      </w:r>
      <w:r>
        <w:fldChar w:fldCharType="separate"/>
      </w:r>
      <w:r>
        <w:t>27</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_Toc435098982 \h </w:instrText>
      </w:r>
      <w:r>
        <w:fldChar w:fldCharType="separate"/>
      </w:r>
      <w:r>
        <w:t>28</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_Toc435098983 \h </w:instrText>
      </w:r>
      <w:r>
        <w:fldChar w:fldCharType="separate"/>
      </w:r>
      <w:r>
        <w:t>29</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_Toc435098984 \h </w:instrText>
      </w:r>
      <w:r>
        <w:fldChar w:fldCharType="separate"/>
      </w:r>
      <w:r>
        <w:t>31</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_Toc435098985 \h </w:instrText>
      </w:r>
      <w:r>
        <w:fldChar w:fldCharType="separate"/>
      </w:r>
      <w:r>
        <w:t>31</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_Toc435098986 \h </w:instrText>
      </w:r>
      <w:r>
        <w:fldChar w:fldCharType="separate"/>
      </w:r>
      <w:r>
        <w:t>32</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_Toc435098987 \h </w:instrText>
      </w:r>
      <w:r>
        <w:fldChar w:fldCharType="separate"/>
      </w:r>
      <w:r>
        <w:t>32</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_Toc435098988 \h </w:instrText>
      </w:r>
      <w:r>
        <w:fldChar w:fldCharType="separate"/>
      </w:r>
      <w:r>
        <w:t>33</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_Toc435098989 \h </w:instrText>
      </w:r>
      <w:r>
        <w:fldChar w:fldCharType="separate"/>
      </w:r>
      <w:r>
        <w:t>34</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_Toc435098990 \h </w:instrText>
      </w:r>
      <w:r>
        <w:fldChar w:fldCharType="separate"/>
      </w:r>
      <w:r>
        <w:t>34</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_Toc435098991 \h </w:instrText>
      </w:r>
      <w:r>
        <w:fldChar w:fldCharType="separate"/>
      </w:r>
      <w:r>
        <w:t>35</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_Toc435098992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_Toc435098994 \h </w:instrText>
      </w:r>
      <w:r>
        <w:fldChar w:fldCharType="separate"/>
      </w:r>
      <w:r>
        <w:t>39</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_Toc435098995 \h </w:instrText>
      </w:r>
      <w:r>
        <w:fldChar w:fldCharType="separate"/>
      </w:r>
      <w:r>
        <w:t>39</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_Toc435098996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_Toc435098998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_Toc435099000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Appendix 1 — Checklist for prospective resident</w:t>
      </w:r>
    </w:p>
    <w:p>
      <w:pPr>
        <w:pStyle w:val="TOC2"/>
        <w:tabs>
          <w:tab w:val="right" w:leader="dot" w:pos="7077"/>
        </w:tabs>
        <w:rPr>
          <w:rFonts w:asciiTheme="minorHAnsi" w:eastAsiaTheme="minorEastAsia" w:hAnsiTheme="minorHAnsi" w:cstheme="minorBidi"/>
          <w:b w:val="0"/>
          <w:sz w:val="22"/>
          <w:szCs w:val="22"/>
        </w:rPr>
      </w:pPr>
      <w:r>
        <w:t>Appendix 2 — Model proposed operating budget form</w:t>
      </w:r>
    </w:p>
    <w:p>
      <w:pPr>
        <w:pStyle w:val="TOC2"/>
        <w:tabs>
          <w:tab w:val="right" w:leader="dot" w:pos="7077"/>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77"/>
        </w:tabs>
        <w:rPr>
          <w:rFonts w:asciiTheme="minorHAnsi" w:eastAsiaTheme="minorEastAsia" w:hAnsiTheme="minorHAnsi" w:cstheme="minorBidi"/>
          <w:b w:val="0"/>
          <w:sz w:val="22"/>
          <w:szCs w:val="22"/>
        </w:rPr>
      </w:pPr>
      <w:r>
        <w:t>Appendix 5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_Toc435099007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1987</w:t>
      </w:r>
    </w:p>
    <w:p>
      <w:pPr>
        <w:pStyle w:val="NameofActReg"/>
      </w:pPr>
      <w:r>
        <w:t>Fair Trading (Retirement Villages Code) Regulations 2009</w:t>
      </w:r>
    </w:p>
    <w:p>
      <w:pPr>
        <w:pStyle w:val="Heading5"/>
      </w:pPr>
      <w:bookmarkStart w:id="3" w:name="_Toc378248140"/>
      <w:bookmarkStart w:id="4" w:name="_Toc43509894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Fair Trading (Retirement Villages Code) Regulations 2009</w:t>
      </w:r>
      <w:r>
        <w:t>.</w:t>
      </w:r>
    </w:p>
    <w:p>
      <w:pPr>
        <w:pStyle w:val="Heading5"/>
        <w:rPr>
          <w:spacing w:val="-2"/>
        </w:rPr>
      </w:pPr>
      <w:bookmarkStart w:id="5" w:name="_Toc378248141"/>
      <w:bookmarkStart w:id="6" w:name="_Toc43509894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October 2009.</w:t>
      </w:r>
    </w:p>
    <w:p>
      <w:pPr>
        <w:pStyle w:val="Heading5"/>
        <w:rPr>
          <w:snapToGrid w:val="0"/>
        </w:rPr>
      </w:pPr>
      <w:bookmarkStart w:id="7" w:name="_Toc378248142"/>
      <w:bookmarkStart w:id="8" w:name="_Toc435098949"/>
      <w:r>
        <w:rPr>
          <w:rStyle w:val="CharSectno"/>
        </w:rPr>
        <w:t>3</w:t>
      </w:r>
      <w:r>
        <w:rPr>
          <w:snapToGrid w:val="0"/>
        </w:rPr>
        <w:t>.</w:t>
      </w:r>
      <w:r>
        <w:rPr>
          <w:snapToGrid w:val="0"/>
        </w:rPr>
        <w:tab/>
        <w:t>Code of Practice prescribed</w:t>
      </w:r>
      <w:bookmarkEnd w:id="7"/>
      <w:bookmarkEnd w:id="8"/>
    </w:p>
    <w:p>
      <w:pPr>
        <w:pStyle w:val="Subsection"/>
      </w:pPr>
      <w:r>
        <w:tab/>
      </w:r>
      <w:r>
        <w:tab/>
        <w:t xml:space="preserve">The Code of Practice set out in Schedule 1 and cited as the </w:t>
      </w:r>
      <w:r>
        <w:rPr>
          <w:i/>
          <w:iCs/>
        </w:rPr>
        <w:t>Code of Fair Practice for Retirement Villages 2009</w:t>
      </w:r>
      <w:r>
        <w:t xml:space="preserve"> is prescribed under the </w:t>
      </w:r>
      <w:r>
        <w:rPr>
          <w:i/>
        </w:rPr>
        <w:t>Fair Trading Act 2010</w:t>
      </w:r>
      <w:r>
        <w:t xml:space="preserve"> Part 4 as a code of practice that applies in relation to retirement villages as defined in the </w:t>
      </w:r>
      <w:r>
        <w:rPr>
          <w:i/>
          <w:iCs/>
        </w:rPr>
        <w:t>Retirement Villages Act 1992</w:t>
      </w:r>
      <w:r>
        <w:t>.</w:t>
      </w:r>
    </w:p>
    <w:p>
      <w:pPr>
        <w:pStyle w:val="Footnotesection"/>
      </w:pPr>
      <w:r>
        <w:tab/>
        <w:t>[Regulation 3 amended in Gazette 30 Jun 2011 p. 2641.]</w:t>
      </w:r>
    </w:p>
    <w:p>
      <w:pPr>
        <w:pStyle w:val="Heading5"/>
      </w:pPr>
      <w:bookmarkStart w:id="9" w:name="_Toc378248143"/>
      <w:bookmarkStart w:id="10" w:name="_Toc435098950"/>
      <w:r>
        <w:rPr>
          <w:rStyle w:val="CharSectno"/>
        </w:rPr>
        <w:t>4</w:t>
      </w:r>
      <w:r>
        <w:t>.</w:t>
      </w:r>
      <w:r>
        <w:tab/>
        <w:t>Interpretation</w:t>
      </w:r>
      <w:bookmarkEnd w:id="9"/>
      <w:bookmarkEnd w:id="10"/>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rPr>
          <w:snapToGrid w:val="0"/>
        </w:rPr>
      </w:pPr>
      <w:bookmarkStart w:id="11" w:name="_Toc378248144"/>
      <w:bookmarkStart w:id="12" w:name="_Toc435098951"/>
      <w:r>
        <w:rPr>
          <w:rStyle w:val="CharSectno"/>
        </w:rPr>
        <w:t>5</w:t>
      </w:r>
      <w:r>
        <w:rPr>
          <w:snapToGrid w:val="0"/>
        </w:rPr>
        <w:t>.</w:t>
      </w:r>
      <w:r>
        <w:rPr>
          <w:snapToGrid w:val="0"/>
        </w:rPr>
        <w:tab/>
        <w:t xml:space="preserve">The </w:t>
      </w:r>
      <w:r>
        <w:rPr>
          <w:i/>
          <w:iCs/>
          <w:snapToGrid w:val="0"/>
        </w:rPr>
        <w:t>Fair Trading (Retirement Villages Code) Regulations 2006</w:t>
      </w:r>
      <w:r>
        <w:rPr>
          <w:snapToGrid w:val="0"/>
        </w:rPr>
        <w:t xml:space="preserve"> repealed</w:t>
      </w:r>
      <w:bookmarkEnd w:id="11"/>
      <w:bookmarkEnd w:id="12"/>
    </w:p>
    <w:p>
      <w:pPr>
        <w:pStyle w:val="Subsection"/>
        <w:rPr>
          <w:iCs/>
        </w:rPr>
      </w:pPr>
      <w:r>
        <w:tab/>
      </w:r>
      <w:r>
        <w:tab/>
        <w:t xml:space="preserve">The </w:t>
      </w:r>
      <w:r>
        <w:rPr>
          <w:i/>
          <w:iCs/>
        </w:rPr>
        <w:t>Fair Trading (Retirement Villages Code) Regulations 2006</w:t>
      </w:r>
      <w:r>
        <w:t xml:space="preserve"> are repealed.</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ind w:left="284" w:right="424"/>
        <w:outlineLvl w:val="0"/>
      </w:pPr>
      <w:bookmarkStart w:id="13" w:name="_Toc378248145"/>
      <w:bookmarkStart w:id="14" w:name="_Toc426984206"/>
      <w:bookmarkStart w:id="15" w:name="_Toc435098952"/>
      <w:r>
        <w:rPr>
          <w:rStyle w:val="CharSchNo"/>
        </w:rPr>
        <w:t>Schedule 1</w:t>
      </w:r>
      <w:r>
        <w:rPr>
          <w:rStyle w:val="CharSDivNo"/>
        </w:rPr>
        <w:t> </w:t>
      </w:r>
      <w:r>
        <w:t>—</w:t>
      </w:r>
      <w:r>
        <w:rPr>
          <w:rStyle w:val="CharSDivText"/>
        </w:rPr>
        <w:t> </w:t>
      </w:r>
      <w:r>
        <w:rPr>
          <w:rStyle w:val="CharSchText"/>
          <w:i/>
          <w:iCs/>
        </w:rPr>
        <w:t>Code of Fair Practice for Retirement Villages 2009</w:t>
      </w:r>
      <w:bookmarkEnd w:id="13"/>
      <w:bookmarkEnd w:id="14"/>
      <w:bookmarkEnd w:id="15"/>
    </w:p>
    <w:p>
      <w:pPr>
        <w:pStyle w:val="yShoulderClause"/>
      </w:pPr>
      <w: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2009.</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pPr>
      <w:r>
        <w:t xml:space="preserve">The Code must be complied with and is enforceable by the Commissioner and the State Administrative Tribunal under the </w:t>
      </w:r>
      <w:r>
        <w:rPr>
          <w:i/>
        </w:rPr>
        <w:t>Fair Trading Act 1987</w:t>
      </w:r>
      <w: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pBdr>
          <w:top w:val="single" w:sz="4" w:space="1" w:color="auto"/>
          <w:left w:val="single" w:sz="4" w:space="0" w:color="auto"/>
          <w:bottom w:val="single" w:sz="4" w:space="1" w:color="auto"/>
          <w:right w:val="single" w:sz="4" w:space="4" w:color="auto"/>
        </w:pBdr>
        <w:shd w:val="pct15" w:color="auto" w:fill="FFFFFF"/>
        <w:tabs>
          <w:tab w:val="left" w:pos="1560"/>
        </w:tabs>
        <w:spacing w:before="80"/>
        <w:ind w:left="1560" w:hanging="426"/>
      </w:pPr>
      <w:r>
        <w:rPr>
          <w:rFonts w:ascii="Symbol" w:hAnsi="Symbol"/>
        </w:rPr>
        <w:t></w:t>
      </w:r>
      <w:r>
        <w:rPr>
          <w:rFonts w:ascii="Symbol" w:hAnsi="Symbol"/>
        </w:rPr>
        <w:tab/>
      </w:r>
      <w:r>
        <w:t>request the administering body to give a deed of undertaking to comply with the Code and/or rectify the consequences of its failure to comply; or</w:t>
      </w:r>
    </w:p>
    <w:p>
      <w:pPr>
        <w:pStyle w:val="zMiscellaneousBody"/>
        <w:pBdr>
          <w:top w:val="single" w:sz="4" w:space="1" w:color="auto"/>
          <w:left w:val="single" w:sz="4" w:space="0" w:color="auto"/>
          <w:bottom w:val="single" w:sz="4" w:space="1" w:color="auto"/>
          <w:right w:val="single" w:sz="4" w:space="4" w:color="auto"/>
        </w:pBdr>
        <w:shd w:val="pct15" w:color="auto" w:fill="FFFFFF"/>
        <w:tabs>
          <w:tab w:val="left" w:pos="1560"/>
        </w:tabs>
        <w:spacing w:before="80"/>
        <w:ind w:left="1560" w:hanging="426"/>
      </w:pPr>
      <w:r>
        <w:rPr>
          <w:rFonts w:ascii="Symbol" w:hAnsi="Symbol"/>
        </w:rPr>
        <w:t></w:t>
      </w:r>
      <w:r>
        <w:rPr>
          <w:rFonts w:ascii="Symbol" w:hAnsi="Symbol"/>
        </w:rPr>
        <w:tab/>
      </w:r>
      <w:r>
        <w:t>if the administering body does not give the requested undertaking, apply to the State Administrative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State Administrative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An administering body that fails to comply with an order made by the State Administrative Tribunal commits an offence that is punishable by a fine of up to $10,000.</w:t>
      </w:r>
    </w:p>
    <w:p>
      <w:pPr>
        <w:pStyle w:val="yHeading3"/>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Heading3"/>
      </w:pPr>
      <w:bookmarkStart w:id="17" w:name="_Toc378248146"/>
      <w:bookmarkStart w:id="18" w:name="_Toc426984207"/>
      <w:bookmarkStart w:id="19" w:name="_Toc435098953"/>
      <w:r>
        <w:rPr>
          <w:rStyle w:val="CharSDivNo"/>
        </w:rPr>
        <w:t>Division 1</w:t>
      </w:r>
      <w:r>
        <w:t> — </w:t>
      </w:r>
      <w:r>
        <w:rPr>
          <w:rStyle w:val="CharSDivText"/>
        </w:rPr>
        <w:t>Preliminary</w:t>
      </w:r>
      <w:bookmarkEnd w:id="17"/>
      <w:bookmarkEnd w:id="18"/>
      <w:bookmarkEnd w:id="19"/>
    </w:p>
    <w:p>
      <w:pPr>
        <w:pStyle w:val="yHeading5"/>
        <w:keepLines w:val="0"/>
        <w:spacing w:before="120"/>
        <w:rPr>
          <w:sz w:val="24"/>
        </w:rPr>
      </w:pPr>
      <w:bookmarkStart w:id="20" w:name="_Toc378248147"/>
      <w:bookmarkStart w:id="21" w:name="_Toc435098954"/>
      <w:r>
        <w:rPr>
          <w:rStyle w:val="CharSClsNo"/>
          <w:sz w:val="24"/>
        </w:rPr>
        <w:t>1.1</w:t>
      </w:r>
      <w:r>
        <w:rPr>
          <w:sz w:val="24"/>
        </w:rPr>
        <w:tab/>
        <w:t>Citation</w:t>
      </w:r>
      <w:bookmarkEnd w:id="20"/>
      <w:bookmarkEnd w:id="21"/>
    </w:p>
    <w:p>
      <w:pPr>
        <w:pStyle w:val="ySubsection"/>
        <w:tabs>
          <w:tab w:val="clear" w:pos="879"/>
        </w:tabs>
        <w:spacing w:before="120"/>
        <w:ind w:right="283"/>
        <w:rPr>
          <w:sz w:val="24"/>
        </w:rPr>
      </w:pPr>
      <w:r>
        <w:rPr>
          <w:sz w:val="24"/>
        </w:rPr>
        <w:tab/>
      </w:r>
      <w:r>
        <w:rPr>
          <w:sz w:val="24"/>
        </w:rPr>
        <w:tab/>
        <w:t xml:space="preserve">This Code is the </w:t>
      </w:r>
      <w:r>
        <w:rPr>
          <w:i/>
          <w:sz w:val="24"/>
        </w:rPr>
        <w:t>Code of Fair Practice for Retirement Villages 2009</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Commissioner</w:t>
      </w:r>
      <w:r>
        <w:t xml:space="preserve"> means the person for the time being designated as the Commissioner under section 7A;</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851"/>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rStyle w:val="CharDefText"/>
        </w:rPr>
        <w:t>working day</w:t>
      </w:r>
      <w:r>
        <w:t xml:space="preserve"> means a day other than a Saturday, a Sunday or a public holiday.</w:t>
      </w:r>
    </w:p>
    <w:p>
      <w:pPr>
        <w:pStyle w:val="yHeading5"/>
        <w:rPr>
          <w:sz w:val="24"/>
        </w:rPr>
      </w:pPr>
      <w:bookmarkStart w:id="22" w:name="_Toc378248148"/>
      <w:bookmarkStart w:id="23" w:name="_Toc435098955"/>
      <w:r>
        <w:rPr>
          <w:rStyle w:val="CharSClsNo"/>
          <w:sz w:val="24"/>
        </w:rPr>
        <w:t>1.2</w:t>
      </w:r>
      <w:r>
        <w:rPr>
          <w:sz w:val="24"/>
        </w:rPr>
        <w:tab/>
        <w:t>Application</w:t>
      </w:r>
      <w:bookmarkEnd w:id="22"/>
      <w:bookmarkEnd w:id="23"/>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the </w:t>
      </w:r>
      <w:r>
        <w:rPr>
          <w:rStyle w:val="CharPartNo"/>
          <w:i/>
        </w:rPr>
        <w:t>Fair Trading Act 1987</w:t>
      </w:r>
      <w:r>
        <w:rPr>
          <w:rStyle w:val="CharPartNo"/>
        </w:rPr>
        <w:t xml:space="preserve"> section 3 this Code binds the Crown.</w:t>
      </w:r>
    </w:p>
    <w:p>
      <w:pPr>
        <w:pStyle w:val="yHeading5"/>
        <w:keepLines w:val="0"/>
        <w:rPr>
          <w:sz w:val="24"/>
        </w:rPr>
      </w:pPr>
      <w:bookmarkStart w:id="24" w:name="_Toc378248149"/>
      <w:bookmarkStart w:id="25" w:name="_Toc435098956"/>
      <w:r>
        <w:rPr>
          <w:rStyle w:val="CharSClsNo"/>
          <w:sz w:val="24"/>
        </w:rPr>
        <w:t>1.3</w:t>
      </w:r>
      <w:r>
        <w:rPr>
          <w:sz w:val="24"/>
        </w:rPr>
        <w:tab/>
        <w:t>General principles</w:t>
      </w:r>
      <w:bookmarkEnd w:id="24"/>
      <w:bookmarkEnd w:id="25"/>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pageBreakBefore/>
        <w:rPr>
          <w:sz w:val="24"/>
        </w:rPr>
      </w:pPr>
      <w:bookmarkStart w:id="26" w:name="_Toc378248150"/>
      <w:bookmarkStart w:id="27" w:name="_Toc435098957"/>
      <w:r>
        <w:rPr>
          <w:rStyle w:val="CharSClsNo"/>
          <w:sz w:val="24"/>
        </w:rPr>
        <w:t>1.4</w:t>
      </w:r>
      <w:r>
        <w:rPr>
          <w:sz w:val="24"/>
        </w:rPr>
        <w:tab/>
        <w:t>Objectives of the Code</w:t>
      </w:r>
      <w:bookmarkEnd w:id="26"/>
      <w:bookmarkEnd w:id="2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28" w:name="_Toc378248151"/>
      <w:bookmarkStart w:id="29" w:name="_Toc435098958"/>
      <w:r>
        <w:rPr>
          <w:rStyle w:val="CharSClsNo"/>
          <w:sz w:val="24"/>
        </w:rPr>
        <w:t>1.5</w:t>
      </w:r>
      <w:r>
        <w:rPr>
          <w:sz w:val="24"/>
        </w:rPr>
        <w:tab/>
        <w:t>Resident’s basic rights</w:t>
      </w:r>
      <w:bookmarkEnd w:id="28"/>
      <w:bookmarkEnd w:id="29"/>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Heading3"/>
      </w:pPr>
      <w:bookmarkStart w:id="30" w:name="_Toc378248152"/>
      <w:bookmarkStart w:id="31" w:name="_Toc426984213"/>
      <w:bookmarkStart w:id="32" w:name="_Toc435098959"/>
      <w:r>
        <w:rPr>
          <w:rStyle w:val="CharSDivNo"/>
        </w:rPr>
        <w:t>Division 2</w:t>
      </w:r>
      <w:r>
        <w:t> — </w:t>
      </w:r>
      <w:r>
        <w:rPr>
          <w:rStyle w:val="CharSDivText"/>
        </w:rPr>
        <w:t xml:space="preserve">Advertising and promotion of retirement </w:t>
      </w:r>
      <w:r>
        <w:t>villages</w:t>
      </w:r>
      <w:bookmarkEnd w:id="30"/>
      <w:bookmarkEnd w:id="31"/>
      <w:bookmarkEnd w:id="32"/>
    </w:p>
    <w:p>
      <w:pPr>
        <w:pStyle w:val="yHeading5"/>
        <w:rPr>
          <w:sz w:val="24"/>
        </w:rPr>
      </w:pPr>
      <w:bookmarkStart w:id="33" w:name="_Toc378248153"/>
      <w:bookmarkStart w:id="34" w:name="_Toc435098960"/>
      <w:r>
        <w:rPr>
          <w:rStyle w:val="CharSClsNo"/>
          <w:sz w:val="24"/>
        </w:rPr>
        <w:t>2.1</w:t>
      </w:r>
      <w:r>
        <w:rPr>
          <w:sz w:val="24"/>
        </w:rPr>
        <w:tab/>
        <w:t>General</w:t>
      </w:r>
      <w:bookmarkEnd w:id="33"/>
      <w:bookmarkEnd w:id="34"/>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35" w:name="_Toc378248154"/>
      <w:bookmarkStart w:id="36" w:name="_Toc435098961"/>
      <w:r>
        <w:rPr>
          <w:rStyle w:val="CharSClsNo"/>
          <w:sz w:val="24"/>
        </w:rPr>
        <w:t>2.2</w:t>
      </w:r>
      <w:r>
        <w:rPr>
          <w:sz w:val="24"/>
        </w:rPr>
        <w:tab/>
        <w:t>Retirement village developments</w:t>
      </w:r>
      <w:bookmarkEnd w:id="35"/>
      <w:bookmarkEnd w:id="36"/>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37" w:name="_Toc378248155"/>
      <w:bookmarkStart w:id="38" w:name="_Toc435098962"/>
      <w:r>
        <w:rPr>
          <w:rStyle w:val="CharSClsNo"/>
          <w:sz w:val="24"/>
        </w:rPr>
        <w:t>2.3</w:t>
      </w:r>
      <w:r>
        <w:rPr>
          <w:sz w:val="24"/>
        </w:rPr>
        <w:tab/>
        <w:t>Proposed amenities and services</w:t>
      </w:r>
      <w:bookmarkEnd w:id="37"/>
      <w:bookmarkEnd w:id="38"/>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39" w:name="_Toc378248156"/>
      <w:bookmarkStart w:id="40" w:name="_Toc435098963"/>
      <w:r>
        <w:rPr>
          <w:rStyle w:val="CharSClsNo"/>
          <w:sz w:val="24"/>
        </w:rPr>
        <w:t>2.4</w:t>
      </w:r>
      <w:r>
        <w:rPr>
          <w:sz w:val="24"/>
        </w:rPr>
        <w:tab/>
        <w:t>Approvals for facilities that provide residential aged care services</w:t>
      </w:r>
      <w:bookmarkEnd w:id="39"/>
      <w:bookmarkEnd w:id="40"/>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41" w:name="_Toc378248157"/>
      <w:bookmarkStart w:id="42" w:name="_Toc435098964"/>
      <w:r>
        <w:rPr>
          <w:rStyle w:val="CharSClsNo"/>
          <w:sz w:val="24"/>
        </w:rPr>
        <w:t>2.5</w:t>
      </w:r>
      <w:r>
        <w:tab/>
      </w:r>
      <w:r>
        <w:rPr>
          <w:sz w:val="24"/>
        </w:rPr>
        <w:t>Access to residential aged care services</w:t>
      </w:r>
      <w:bookmarkEnd w:id="41"/>
      <w:bookmarkEnd w:id="42"/>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yHeading3"/>
      </w:pPr>
      <w:bookmarkStart w:id="43" w:name="_Toc378248158"/>
      <w:bookmarkStart w:id="44" w:name="_Toc426984219"/>
      <w:bookmarkStart w:id="45" w:name="_Toc435098965"/>
      <w:r>
        <w:rPr>
          <w:rStyle w:val="CharSDivNo"/>
        </w:rPr>
        <w:t>Division 3</w:t>
      </w:r>
      <w:r>
        <w:t> — </w:t>
      </w:r>
      <w:r>
        <w:rPr>
          <w:rStyle w:val="CharSDivText"/>
        </w:rPr>
        <w:t>Prospective resident’s right to information before entering into a residence contract or service contract</w:t>
      </w:r>
      <w:bookmarkEnd w:id="43"/>
      <w:bookmarkEnd w:id="44"/>
      <w:bookmarkEnd w:id="45"/>
    </w:p>
    <w:p>
      <w:pPr>
        <w:pStyle w:val="yHeading5"/>
        <w:spacing w:before="160"/>
        <w:rPr>
          <w:sz w:val="24"/>
        </w:rPr>
      </w:pPr>
      <w:bookmarkStart w:id="46" w:name="_Toc378248159"/>
      <w:bookmarkStart w:id="47" w:name="_Toc435098966"/>
      <w:r>
        <w:rPr>
          <w:rStyle w:val="CharSClsNo"/>
          <w:sz w:val="24"/>
        </w:rPr>
        <w:t>3.1</w:t>
      </w:r>
      <w:r>
        <w:tab/>
      </w:r>
      <w:r>
        <w:rPr>
          <w:sz w:val="24"/>
        </w:rPr>
        <w:t>Before entering into a residence contract</w:t>
      </w:r>
      <w:bookmarkEnd w:id="46"/>
      <w:bookmarkEnd w:id="4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13(2)(c)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the </w:t>
      </w:r>
      <w:r>
        <w:rPr>
          <w:i/>
        </w:rPr>
        <w:t xml:space="preserve">Retirement Villages Regulations 1992 </w:t>
      </w:r>
      <w:r>
        <w:rPr>
          <w:iCs/>
        </w:rPr>
        <w:t>Schedule 1 Form 2</w:t>
      </w:r>
      <w:r>
        <w: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13(2)(a), an owner is required to provide a prospective resident with written answers to the questions set out in the </w:t>
      </w:r>
      <w:r>
        <w:rPr>
          <w:i/>
        </w:rPr>
        <w:t xml:space="preserve">Retirement Villages Regulations 1992 </w:t>
      </w:r>
      <w:r>
        <w:rPr>
          <w:iCs/>
        </w:rPr>
        <w:t>Schedule 1 Form 1</w:t>
      </w:r>
      <w:r>
        <w:t xml:space="preserve">. </w:t>
      </w:r>
      <w:r>
        <w:rPr>
          <w:rStyle w:val="CharPartNo"/>
        </w:rPr>
        <w:t xml:space="preserve"> The questions </w:t>
      </w:r>
      <w:r>
        <w:t>require the owner to disclose such things as —</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rPr>
          <w:iCs/>
        </w:rPr>
      </w:pPr>
      <w:r>
        <w:rPr>
          <w:rFonts w:ascii="Symbol" w:hAnsi="Symbol"/>
          <w:iCs/>
        </w:rPr>
        <w:t></w:t>
      </w:r>
      <w:r>
        <w:rPr>
          <w:rFonts w:ascii="Symbol" w:hAnsi="Symbol"/>
          <w:iCs/>
        </w:rPr>
        <w:tab/>
      </w:r>
      <w:r>
        <w:rPr>
          <w:iCs/>
        </w:rPr>
        <w:t>the premium (i.e. the ingoing contribution) and other costs payable by the resident to enter the retirement village;</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rPr>
          <w:iCs/>
        </w:rPr>
      </w:pPr>
      <w:r>
        <w:rPr>
          <w:rFonts w:ascii="Symbol" w:hAnsi="Symbol"/>
          <w:iCs/>
        </w:rPr>
        <w:t></w:t>
      </w:r>
      <w:r>
        <w:rPr>
          <w:rFonts w:ascii="Symbol" w:hAnsi="Symbol"/>
          <w:iCs/>
        </w:rPr>
        <w:tab/>
      </w:r>
      <w:r>
        <w:rPr>
          <w:iCs/>
        </w:rPr>
        <w:t>the village operating costs payable by the resident and the method or calculation used to determine and vary those costs;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rPr>
          <w:iCs/>
        </w:rPr>
      </w:pPr>
      <w:r>
        <w:rPr>
          <w:rFonts w:ascii="Symbol" w:hAnsi="Symbol"/>
          <w:iCs/>
        </w:rPr>
        <w:t></w:t>
      </w:r>
      <w:r>
        <w:rPr>
          <w:rFonts w:ascii="Symbol" w:hAnsi="Symbol"/>
          <w:iCs/>
        </w:rPr>
        <w:tab/>
      </w:r>
      <w:r>
        <w:rPr>
          <w:iCs/>
        </w:rPr>
        <w:t>the amenities and services that are provided or made available to the resident and the charges or fees payable by the resident to access or use those amenities and services;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rPr>
          <w:iCs/>
        </w:rPr>
      </w:pPr>
      <w:r>
        <w:rPr>
          <w:rFonts w:ascii="Symbol" w:hAnsi="Symbol"/>
          <w:iCs/>
        </w:rPr>
        <w:t></w:t>
      </w:r>
      <w:r>
        <w:rPr>
          <w:rFonts w:ascii="Symbol" w:hAnsi="Symbol"/>
          <w:iCs/>
        </w:rPr>
        <w:tab/>
      </w:r>
      <w:r>
        <w:rPr>
          <w:iCs/>
        </w:rPr>
        <w:t>details of costs associated with moving to and living in alternative accommodation within the retirement village; and</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tabs>
          <w:tab w:val="left" w:pos="1418"/>
        </w:tabs>
        <w:spacing w:before="120"/>
        <w:ind w:left="1418" w:hanging="567"/>
        <w:rPr>
          <w:iCs/>
        </w:rPr>
      </w:pPr>
      <w:r>
        <w:rPr>
          <w:rFonts w:ascii="Symbol" w:hAnsi="Symbol"/>
          <w:iCs/>
        </w:rPr>
        <w:t></w:t>
      </w:r>
      <w:r>
        <w:rPr>
          <w:rFonts w:ascii="Symbol" w:hAnsi="Symbol"/>
          <w:iCs/>
        </w:rPr>
        <w:tab/>
      </w:r>
      <w:r>
        <w:rPr>
          <w:iCs/>
        </w:rP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spacing w:before="360"/>
        <w:rPr>
          <w:sz w:val="24"/>
        </w:rPr>
      </w:pPr>
      <w:bookmarkStart w:id="48" w:name="_Toc378248160"/>
      <w:bookmarkStart w:id="49" w:name="_Toc435098967"/>
      <w:r>
        <w:rPr>
          <w:rStyle w:val="CharSClsNo"/>
          <w:sz w:val="24"/>
        </w:rPr>
        <w:t>3.2</w:t>
      </w:r>
      <w:r>
        <w:rPr>
          <w:sz w:val="24"/>
        </w:rPr>
        <w:tab/>
        <w:t>Before entering into a service contract</w:t>
      </w:r>
      <w:bookmarkEnd w:id="48"/>
      <w:bookmarkEnd w:id="49"/>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Heading3"/>
      </w:pPr>
      <w:bookmarkStart w:id="50" w:name="_Toc378248161"/>
      <w:bookmarkStart w:id="51" w:name="_Toc426984222"/>
      <w:bookmarkStart w:id="52" w:name="_Toc435098968"/>
      <w:r>
        <w:rPr>
          <w:rStyle w:val="CharSDivNo"/>
        </w:rPr>
        <w:t>Division 4</w:t>
      </w:r>
      <w:r>
        <w:t> — </w:t>
      </w:r>
      <w:r>
        <w:rPr>
          <w:rStyle w:val="CharSDivText"/>
        </w:rPr>
        <w:t>Residence contract and service contract</w:t>
      </w:r>
      <w:bookmarkEnd w:id="50"/>
      <w:bookmarkEnd w:id="51"/>
      <w:bookmarkEnd w:id="52"/>
    </w:p>
    <w:p>
      <w:pPr>
        <w:pStyle w:val="yHeading5"/>
        <w:rPr>
          <w:sz w:val="24"/>
        </w:rPr>
      </w:pPr>
      <w:bookmarkStart w:id="53" w:name="_Toc378248162"/>
      <w:bookmarkStart w:id="54" w:name="_Toc435098969"/>
      <w:r>
        <w:rPr>
          <w:rStyle w:val="CharSClsNo"/>
          <w:sz w:val="24"/>
        </w:rPr>
        <w:t>4.1</w:t>
      </w:r>
      <w:r>
        <w:rPr>
          <w:sz w:val="24"/>
        </w:rPr>
        <w:tab/>
        <w:t>Legibility and presentation requirements</w:t>
      </w:r>
      <w:bookmarkEnd w:id="53"/>
      <w:bookmarkEnd w:id="54"/>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the </w:t>
      </w:r>
      <w:r>
        <w:rPr>
          <w:i/>
        </w:rPr>
        <w:t>Retirement Villages Act 1992</w:t>
      </w:r>
      <w:r>
        <w:t xml:space="preserve"> section 14,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the </w:t>
      </w:r>
      <w:r>
        <w:rPr>
          <w:i/>
          <w:spacing w:val="-4"/>
        </w:rPr>
        <w:t>Retirement Villages Act 1992</w:t>
      </w:r>
      <w:r>
        <w:rPr>
          <w:spacing w:val="-4"/>
        </w:rPr>
        <w:t xml:space="preserve"> sections 14(2) and 75,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55" w:name="_Toc378248163"/>
      <w:bookmarkStart w:id="56" w:name="_Toc435098970"/>
      <w:r>
        <w:rPr>
          <w:rStyle w:val="CharSClsNo"/>
          <w:sz w:val="24"/>
        </w:rPr>
        <w:t>4.2</w:t>
      </w:r>
      <w:r>
        <w:rPr>
          <w:sz w:val="24"/>
        </w:rPr>
        <w:tab/>
        <w:t>Title and tenure</w:t>
      </w:r>
      <w:bookmarkEnd w:id="55"/>
      <w:bookmarkEnd w:id="56"/>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57" w:name="_Toc378248164"/>
      <w:bookmarkStart w:id="58" w:name="_Toc435098971"/>
      <w:r>
        <w:rPr>
          <w:rStyle w:val="CharSClsNo"/>
          <w:sz w:val="24"/>
        </w:rPr>
        <w:t>4.3</w:t>
      </w:r>
      <w:r>
        <w:tab/>
      </w:r>
      <w:r>
        <w:rPr>
          <w:sz w:val="24"/>
        </w:rPr>
        <w:t>Residential premises</w:t>
      </w:r>
      <w:bookmarkEnd w:id="57"/>
      <w:bookmarkEnd w:id="58"/>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59" w:name="_Toc378248165"/>
      <w:bookmarkStart w:id="60" w:name="_Toc435098972"/>
      <w:r>
        <w:rPr>
          <w:rStyle w:val="CharSClsNo"/>
          <w:sz w:val="24"/>
        </w:rPr>
        <w:t>4.4</w:t>
      </w:r>
      <w:r>
        <w:tab/>
      </w:r>
      <w:r>
        <w:rPr>
          <w:sz w:val="24"/>
        </w:rPr>
        <w:t>Amenities</w:t>
      </w:r>
      <w:bookmarkEnd w:id="59"/>
      <w:bookmarkEnd w:id="60"/>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61" w:name="_Toc378248166"/>
      <w:bookmarkStart w:id="62" w:name="_Toc435098973"/>
      <w:r>
        <w:rPr>
          <w:rStyle w:val="CharSClsNo"/>
          <w:sz w:val="24"/>
        </w:rPr>
        <w:t>4.5</w:t>
      </w:r>
      <w:r>
        <w:tab/>
      </w:r>
      <w:r>
        <w:rPr>
          <w:sz w:val="24"/>
        </w:rPr>
        <w:t>Services</w:t>
      </w:r>
      <w:bookmarkEnd w:id="61"/>
      <w:bookmarkEnd w:id="62"/>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pPr>
      <w:bookmarkStart w:id="63" w:name="_Toc378248167"/>
      <w:bookmarkStart w:id="64" w:name="_Toc435098974"/>
      <w:r>
        <w:rPr>
          <w:rStyle w:val="CharSClsNo"/>
          <w:sz w:val="24"/>
        </w:rPr>
        <w:t>4.6</w:t>
      </w:r>
      <w:r>
        <w:tab/>
      </w:r>
      <w:r>
        <w:rPr>
          <w:sz w:val="24"/>
        </w:rPr>
        <w:t>Payment of premium and refund entitlement</w:t>
      </w:r>
      <w:bookmarkEnd w:id="63"/>
      <w:bookmarkEnd w:id="64"/>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An example of a cost referred to in paragraph (b)(iii) above is the cost of any repair or refurbishment of the residential premises.</w:t>
      </w:r>
    </w:p>
    <w:p>
      <w:pPr>
        <w:pStyle w:val="yHeading5"/>
      </w:pPr>
      <w:bookmarkStart w:id="65" w:name="_Toc378248168"/>
      <w:bookmarkStart w:id="66" w:name="_Toc435098975"/>
      <w:r>
        <w:rPr>
          <w:rStyle w:val="CharSClsNo"/>
          <w:sz w:val="24"/>
        </w:rPr>
        <w:t>4.7</w:t>
      </w:r>
      <w:r>
        <w:tab/>
      </w:r>
      <w:r>
        <w:rPr>
          <w:sz w:val="24"/>
        </w:rPr>
        <w:t>Charges for village operating costs</w:t>
      </w:r>
      <w:bookmarkEnd w:id="65"/>
      <w:bookmarkEnd w:id="66"/>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67" w:name="_Toc378248169"/>
      <w:bookmarkStart w:id="68" w:name="_Toc435098976"/>
      <w:r>
        <w:rPr>
          <w:rStyle w:val="CharSClsNo"/>
          <w:sz w:val="24"/>
        </w:rPr>
        <w:t>4.8</w:t>
      </w:r>
      <w:r>
        <w:tab/>
      </w:r>
      <w:r>
        <w:rPr>
          <w:sz w:val="24"/>
        </w:rPr>
        <w:t>Reserve funds</w:t>
      </w:r>
      <w:bookmarkEnd w:id="67"/>
      <w:bookmarkEnd w:id="68"/>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69" w:name="_Toc378248170"/>
      <w:bookmarkStart w:id="70" w:name="_Toc435098977"/>
      <w:r>
        <w:rPr>
          <w:rStyle w:val="CharSClsNo"/>
          <w:sz w:val="24"/>
        </w:rPr>
        <w:t>4.9</w:t>
      </w:r>
      <w:r>
        <w:tab/>
      </w:r>
      <w:r>
        <w:rPr>
          <w:sz w:val="24"/>
        </w:rPr>
        <w:t>Relocation</w:t>
      </w:r>
      <w:bookmarkEnd w:id="69"/>
      <w:bookmarkEnd w:id="70"/>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71" w:name="_Toc378248171"/>
      <w:bookmarkStart w:id="72" w:name="_Toc435098978"/>
      <w:r>
        <w:rPr>
          <w:rStyle w:val="CharSClsNo"/>
          <w:sz w:val="24"/>
        </w:rPr>
        <w:t>4.10</w:t>
      </w:r>
      <w:r>
        <w:tab/>
      </w:r>
      <w:r>
        <w:rPr>
          <w:sz w:val="24"/>
        </w:rPr>
        <w:t>Termination of residence contract and fees payable on termination</w:t>
      </w:r>
      <w:bookmarkEnd w:id="71"/>
      <w:bookmarkEnd w:id="72"/>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73" w:name="_Toc378248172"/>
      <w:bookmarkStart w:id="74" w:name="_Toc435098979"/>
      <w:r>
        <w:rPr>
          <w:rStyle w:val="CharSClsNo"/>
          <w:sz w:val="24"/>
        </w:rPr>
        <w:t>4.11</w:t>
      </w:r>
      <w:r>
        <w:rPr>
          <w:sz w:val="24"/>
        </w:rPr>
        <w:tab/>
        <w:t>Residence contract to refer to this Code and the Retirement Villages Act 1992</w:t>
      </w:r>
      <w:bookmarkEnd w:id="73"/>
      <w:bookmarkEnd w:id="74"/>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yHeading3"/>
      </w:pPr>
      <w:bookmarkStart w:id="75" w:name="_Toc378248173"/>
      <w:bookmarkStart w:id="76" w:name="_Toc426984234"/>
      <w:bookmarkStart w:id="77" w:name="_Toc435098980"/>
      <w:r>
        <w:rPr>
          <w:rStyle w:val="CharSDivNo"/>
        </w:rPr>
        <w:t>Division 5</w:t>
      </w:r>
      <w:r>
        <w:t> — </w:t>
      </w:r>
      <w:r>
        <w:rPr>
          <w:rStyle w:val="CharSDivText"/>
        </w:rPr>
        <w:t>Village management</w:t>
      </w:r>
      <w:bookmarkEnd w:id="75"/>
      <w:bookmarkEnd w:id="76"/>
      <w:bookmarkEnd w:id="77"/>
    </w:p>
    <w:p>
      <w:pPr>
        <w:pStyle w:val="yHeading5"/>
      </w:pPr>
      <w:bookmarkStart w:id="78" w:name="_Toc378248174"/>
      <w:bookmarkStart w:id="79" w:name="_Toc435098981"/>
      <w:r>
        <w:rPr>
          <w:rStyle w:val="CharSClsNo"/>
          <w:sz w:val="24"/>
        </w:rPr>
        <w:t>5.1</w:t>
      </w:r>
      <w:r>
        <w:tab/>
      </w:r>
      <w:r>
        <w:rPr>
          <w:sz w:val="24"/>
        </w:rPr>
        <w:t>Interpretation</w:t>
      </w:r>
      <w:bookmarkEnd w:id="78"/>
      <w:bookmarkEnd w:id="79"/>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pPr>
      <w:bookmarkStart w:id="80" w:name="_Toc378248175"/>
      <w:bookmarkStart w:id="81" w:name="_Toc435098982"/>
      <w:r>
        <w:rPr>
          <w:rStyle w:val="CharSClsNo"/>
          <w:sz w:val="24"/>
        </w:rPr>
        <w:t>5.2</w:t>
      </w:r>
      <w:r>
        <w:tab/>
      </w:r>
      <w:r>
        <w:rPr>
          <w:sz w:val="24"/>
        </w:rPr>
        <w:t>Management procedures and resident consultation</w:t>
      </w:r>
      <w:bookmarkEnd w:id="80"/>
      <w:bookmarkEnd w:id="81"/>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pPr>
      <w:bookmarkStart w:id="82" w:name="_Toc378248176"/>
      <w:bookmarkStart w:id="83" w:name="_Toc435098983"/>
      <w:r>
        <w:rPr>
          <w:rStyle w:val="CharSClsNo"/>
          <w:sz w:val="24"/>
        </w:rPr>
        <w:t>5.3</w:t>
      </w:r>
      <w:r>
        <w:tab/>
      </w:r>
      <w:r>
        <w:rPr>
          <w:sz w:val="24"/>
        </w:rPr>
        <w:t>Village operating budget</w:t>
      </w:r>
      <w:bookmarkEnd w:id="82"/>
      <w:bookmarkEnd w:id="83"/>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84" w:name="_Toc378248177"/>
      <w:bookmarkStart w:id="85" w:name="_Toc435098984"/>
      <w:r>
        <w:rPr>
          <w:rStyle w:val="CharSClsNo"/>
          <w:sz w:val="24"/>
        </w:rPr>
        <w:t>5.4</w:t>
      </w:r>
      <w:r>
        <w:tab/>
      </w:r>
      <w:r>
        <w:rPr>
          <w:sz w:val="24"/>
        </w:rPr>
        <w:t>Quarterly operating income and expenditure statements</w:t>
      </w:r>
      <w:bookmarkEnd w:id="84"/>
      <w:bookmarkEnd w:id="85"/>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86" w:name="_Toc378248178"/>
      <w:bookmarkStart w:id="87" w:name="_Toc435098985"/>
      <w:r>
        <w:rPr>
          <w:rStyle w:val="CharSClsNo"/>
          <w:sz w:val="24"/>
        </w:rPr>
        <w:t>5.5</w:t>
      </w:r>
      <w:r>
        <w:tab/>
      </w:r>
      <w:r>
        <w:rPr>
          <w:sz w:val="24"/>
        </w:rPr>
        <w:t>Annual accounts</w:t>
      </w:r>
      <w:bookmarkEnd w:id="86"/>
      <w:bookmarkEnd w:id="87"/>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88" w:name="_Toc378248179"/>
      <w:bookmarkStart w:id="89" w:name="_Toc435098986"/>
      <w:r>
        <w:rPr>
          <w:rStyle w:val="CharSClsNo"/>
          <w:sz w:val="24"/>
        </w:rPr>
        <w:t>5.6</w:t>
      </w:r>
      <w:r>
        <w:tab/>
      </w:r>
      <w:r>
        <w:rPr>
          <w:sz w:val="24"/>
        </w:rPr>
        <w:t>Budget surplus</w:t>
      </w:r>
      <w:bookmarkEnd w:id="88"/>
      <w:bookmarkEnd w:id="89"/>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90" w:name="_Toc378248180"/>
      <w:bookmarkStart w:id="91" w:name="_Toc435098987"/>
      <w:r>
        <w:rPr>
          <w:rStyle w:val="CharSClsNo"/>
          <w:sz w:val="24"/>
        </w:rPr>
        <w:t>5.7</w:t>
      </w:r>
      <w:r>
        <w:tab/>
      </w:r>
      <w:r>
        <w:rPr>
          <w:sz w:val="24"/>
        </w:rPr>
        <w:t>Marketing of residential premises</w:t>
      </w:r>
      <w:bookmarkEnd w:id="90"/>
      <w:bookmarkEnd w:id="91"/>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92" w:name="_Toc378248181"/>
      <w:bookmarkStart w:id="93" w:name="_Toc435098988"/>
      <w:r>
        <w:rPr>
          <w:rStyle w:val="CharSClsNo"/>
          <w:sz w:val="24"/>
        </w:rPr>
        <w:t>5.8</w:t>
      </w:r>
      <w:r>
        <w:tab/>
      </w:r>
      <w:r>
        <w:rPr>
          <w:sz w:val="24"/>
        </w:rPr>
        <w:t>Repair and refurbishment of residential premises</w:t>
      </w:r>
      <w:bookmarkEnd w:id="92"/>
      <w:bookmarkEnd w:id="93"/>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94" w:name="_Toc378248182"/>
      <w:bookmarkStart w:id="95" w:name="_Toc435098989"/>
      <w:r>
        <w:rPr>
          <w:rStyle w:val="CharSClsNo"/>
          <w:sz w:val="24"/>
        </w:rPr>
        <w:t>5.9</w:t>
      </w:r>
      <w:r>
        <w:tab/>
      </w:r>
      <w:r>
        <w:rPr>
          <w:sz w:val="24"/>
        </w:rPr>
        <w:t>Residence rules</w:t>
      </w:r>
      <w:bookmarkEnd w:id="94"/>
      <w:bookmarkEnd w:id="95"/>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96" w:name="_Toc378248183"/>
      <w:bookmarkStart w:id="97" w:name="_Toc435098990"/>
      <w:r>
        <w:rPr>
          <w:rStyle w:val="CharSClsNo"/>
          <w:sz w:val="24"/>
        </w:rPr>
        <w:t>5.10</w:t>
      </w:r>
      <w:r>
        <w:tab/>
      </w:r>
      <w:r>
        <w:rPr>
          <w:sz w:val="24"/>
        </w:rPr>
        <w:t>Residents’ committee</w:t>
      </w:r>
      <w:bookmarkEnd w:id="96"/>
      <w:bookmarkEnd w:id="97"/>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98" w:name="_Toc378248184"/>
      <w:bookmarkStart w:id="99" w:name="_Toc435098991"/>
      <w:r>
        <w:rPr>
          <w:rStyle w:val="CharSClsNo"/>
          <w:sz w:val="24"/>
        </w:rPr>
        <w:t>5.11</w:t>
      </w:r>
      <w:r>
        <w:tab/>
      </w:r>
      <w:r>
        <w:rPr>
          <w:sz w:val="24"/>
        </w:rPr>
        <w:t>Residents’ meetings</w:t>
      </w:r>
      <w:bookmarkEnd w:id="98"/>
      <w:bookmarkEnd w:id="99"/>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100" w:name="_Toc378248185"/>
      <w:bookmarkStart w:id="101" w:name="_Toc435098992"/>
      <w:r>
        <w:rPr>
          <w:rStyle w:val="CharSClsNo"/>
          <w:sz w:val="24"/>
        </w:rPr>
        <w:t>5.12</w:t>
      </w:r>
      <w:r>
        <w:tab/>
      </w:r>
      <w:r>
        <w:rPr>
          <w:sz w:val="24"/>
        </w:rPr>
        <w:t>Proxy voting</w:t>
      </w:r>
      <w:bookmarkEnd w:id="100"/>
      <w:bookmarkEnd w:id="101"/>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p>
    <w:p>
      <w:pPr>
        <w:pStyle w:val="yHeading3"/>
      </w:pPr>
      <w:bookmarkStart w:id="102" w:name="_Toc378248186"/>
      <w:bookmarkStart w:id="103" w:name="_Toc426984247"/>
      <w:bookmarkStart w:id="104" w:name="_Toc435098993"/>
      <w:r>
        <w:rPr>
          <w:rStyle w:val="CharSDivNo"/>
        </w:rPr>
        <w:t>Division 6</w:t>
      </w:r>
      <w:r>
        <w:t> — </w:t>
      </w:r>
      <w:r>
        <w:rPr>
          <w:rStyle w:val="CharSDivText"/>
        </w:rPr>
        <w:t>Dispute resolution</w:t>
      </w:r>
      <w:bookmarkEnd w:id="102"/>
      <w:bookmarkEnd w:id="103"/>
      <w:bookmarkEnd w:id="104"/>
    </w:p>
    <w:p>
      <w:pPr>
        <w:pStyle w:val="yHeading5"/>
        <w:spacing w:before="160"/>
      </w:pPr>
      <w:bookmarkStart w:id="105" w:name="_Toc378248187"/>
      <w:bookmarkStart w:id="106" w:name="_Toc435098994"/>
      <w:r>
        <w:rPr>
          <w:rStyle w:val="CharSClsNo"/>
          <w:sz w:val="24"/>
        </w:rPr>
        <w:t>6.1</w:t>
      </w:r>
      <w:r>
        <w:tab/>
      </w:r>
      <w:r>
        <w:rPr>
          <w:sz w:val="24"/>
        </w:rPr>
        <w:t>Interpretation</w:t>
      </w:r>
      <w:bookmarkEnd w:id="105"/>
      <w:bookmarkEnd w:id="106"/>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107" w:name="_Toc378248188"/>
      <w:bookmarkStart w:id="108" w:name="_Toc435098995"/>
      <w:r>
        <w:rPr>
          <w:rStyle w:val="CharSClsNo"/>
          <w:sz w:val="24"/>
        </w:rPr>
        <w:t>6.2</w:t>
      </w:r>
      <w:r>
        <w:tab/>
      </w:r>
      <w:r>
        <w:rPr>
          <w:sz w:val="24"/>
        </w:rPr>
        <w:t>Village dispute process</w:t>
      </w:r>
      <w:bookmarkEnd w:id="107"/>
      <w:bookmarkEnd w:id="108"/>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109" w:name="_Toc378248189"/>
      <w:bookmarkStart w:id="110" w:name="_Toc435098996"/>
      <w:r>
        <w:rPr>
          <w:rStyle w:val="CharSClsNo"/>
          <w:sz w:val="24"/>
        </w:rPr>
        <w:t>6.3</w:t>
      </w:r>
      <w:r>
        <w:tab/>
      </w:r>
      <w:r>
        <w:rPr>
          <w:sz w:val="24"/>
        </w:rPr>
        <w:t>Mediation of dispute</w:t>
      </w:r>
      <w:bookmarkEnd w:id="109"/>
      <w:bookmarkEnd w:id="110"/>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keepLines/>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State Administrative Tribunal for a hearing if the dispute is one in which the State Administrative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State Administrative Tribunal’s powers can be found in the </w:t>
      </w:r>
      <w:r>
        <w:rPr>
          <w:i/>
        </w:rPr>
        <w:t>Retirement Villages Act 1992</w:t>
      </w:r>
      <w:r>
        <w:t>, and any associated Act referred to in that Act.</w:t>
      </w:r>
    </w:p>
    <w:p>
      <w:pPr>
        <w:pStyle w:val="yHeading3"/>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Heading3"/>
      </w:pPr>
      <w:bookmarkStart w:id="111" w:name="_Toc378248190"/>
      <w:bookmarkStart w:id="112" w:name="_Toc426984251"/>
      <w:bookmarkStart w:id="113" w:name="_Toc435098997"/>
      <w:r>
        <w:rPr>
          <w:rStyle w:val="CharSDivNo"/>
        </w:rPr>
        <w:t>Division 7</w:t>
      </w:r>
      <w:r>
        <w:t> — </w:t>
      </w:r>
      <w:r>
        <w:rPr>
          <w:rStyle w:val="CharSDivText"/>
        </w:rPr>
        <w:t>Termination of residence contracts</w:t>
      </w:r>
      <w:bookmarkEnd w:id="111"/>
      <w:bookmarkEnd w:id="112"/>
      <w:bookmarkEnd w:id="113"/>
    </w:p>
    <w:p>
      <w:pPr>
        <w:pStyle w:val="yHeading5"/>
        <w:spacing w:before="160"/>
        <w:rPr>
          <w:sz w:val="24"/>
        </w:rPr>
      </w:pPr>
      <w:bookmarkStart w:id="114" w:name="_Toc378248191"/>
      <w:bookmarkStart w:id="115" w:name="_Toc435098998"/>
      <w:r>
        <w:rPr>
          <w:rStyle w:val="CharSClsNo"/>
          <w:sz w:val="24"/>
        </w:rPr>
        <w:t>7.1</w:t>
      </w:r>
      <w:r>
        <w:rPr>
          <w:sz w:val="24"/>
        </w:rPr>
        <w:tab/>
        <w:t>Notice of intention to terminate</w:t>
      </w:r>
      <w:bookmarkEnd w:id="114"/>
      <w:bookmarkEnd w:id="115"/>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State Administrative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State Administrative Tribunal to terminate a residence contract on the grounds that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120"/>
        <w:ind w:left="1560" w:hanging="426"/>
      </w:pPr>
      <w:r>
        <w:rPr>
          <w:rFonts w:ascii="Symbol" w:hAnsi="Symbol"/>
        </w:rPr>
        <w:t></w:t>
      </w:r>
      <w:r>
        <w:rPr>
          <w:rFonts w:ascii="Symbol" w:hAnsi="Symbol"/>
        </w:rPr>
        <w:tab/>
      </w:r>
      <w:r>
        <w:t>the resident’s physical or mental health is such as to make the residential premises unsuitable for occupation by the resident (section 58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120"/>
        <w:ind w:left="1560" w:hanging="426"/>
      </w:pPr>
      <w:r>
        <w:rPr>
          <w:rFonts w:ascii="Symbol" w:hAnsi="Symbol"/>
        </w:rPr>
        <w:t></w:t>
      </w:r>
      <w:r>
        <w:rPr>
          <w:rFonts w:ascii="Symbol" w:hAnsi="Symbol"/>
        </w:rPr>
        <w:tab/>
      </w:r>
      <w:r>
        <w:t>the resident has breached the residence contract or the residence rules and has failed to rectify that breach (section 59 of the 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120"/>
        <w:ind w:left="1560" w:hanging="426"/>
      </w:pPr>
      <w:r>
        <w:rPr>
          <w:rFonts w:ascii="Symbol" w:hAnsi="Symbol"/>
        </w:rPr>
        <w:t></w:t>
      </w:r>
      <w:r>
        <w:rPr>
          <w:rFonts w:ascii="Symbol" w:hAnsi="Symbol"/>
        </w:rPr>
        <w:tab/>
      </w: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120"/>
        <w:ind w:left="1560" w:hanging="426"/>
      </w:pPr>
      <w:r>
        <w:rPr>
          <w:rFonts w:ascii="Symbol" w:hAnsi="Symbol"/>
        </w:rPr>
        <w:t></w:t>
      </w:r>
      <w:r>
        <w:rPr>
          <w:rFonts w:ascii="Symbol" w:hAnsi="Symbol"/>
        </w:rPr>
        <w:tab/>
      </w: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80"/>
        <w:ind w:left="1560" w:hanging="567"/>
        <w:rPr>
          <w:spacing w:val="-4"/>
        </w:rPr>
      </w:pPr>
      <w:r>
        <w:rPr>
          <w:rFonts w:ascii="Symbol" w:hAnsi="Symbol"/>
          <w:spacing w:val="-4"/>
        </w:rPr>
        <w:t></w:t>
      </w:r>
      <w:r>
        <w:rPr>
          <w:rFonts w:ascii="Symbol" w:hAnsi="Symbol"/>
          <w:spacing w:val="-4"/>
        </w:rPr>
        <w:tab/>
      </w:r>
      <w:r>
        <w:rPr>
          <w:spacing w:val="-4"/>
        </w:rPr>
        <w:t>restrains the administering body from transferring the resident to another kind of accommodation in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80"/>
        <w:ind w:left="1560" w:hanging="567"/>
      </w:pPr>
      <w:r>
        <w:rPr>
          <w:rFonts w:ascii="Symbol" w:hAnsi="Symbol"/>
        </w:rPr>
        <w:t></w:t>
      </w:r>
      <w:r>
        <w:rPr>
          <w:rFonts w:ascii="Symbol" w:hAnsi="Symbol"/>
        </w:rPr>
        <w:tab/>
      </w:r>
      <w:r>
        <w:t>requires the resident to transfer, or the administering body to transfer the resident, to another kind of accommodation in the village;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560"/>
        </w:tabs>
        <w:spacing w:before="80"/>
        <w:ind w:left="1560" w:hanging="567"/>
        <w:rPr>
          <w:b/>
        </w:rPr>
      </w:pPr>
      <w:r>
        <w:rPr>
          <w:rFonts w:ascii="Symbol" w:hAnsi="Symbol"/>
        </w:rPr>
        <w:t></w:t>
      </w:r>
      <w:r>
        <w:rPr>
          <w:rFonts w:ascii="Symbol" w:hAnsi="Symbol"/>
        </w:rPr>
        <w:tab/>
      </w: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the </w:t>
      </w:r>
      <w:r>
        <w:rPr>
          <w:i/>
        </w:rPr>
        <w:t>Retirement Villages Act 1992</w:t>
      </w:r>
      <w: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State Administrative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360"/>
        </w:tabs>
        <w:spacing w:before="80"/>
        <w:ind w:left="1208" w:hanging="357"/>
      </w:pPr>
      <w:r>
        <w:rPr>
          <w:rFonts w:ascii="Symbol" w:hAnsi="Symbol"/>
        </w:rPr>
        <w:t></w:t>
      </w:r>
      <w:r>
        <w:rPr>
          <w:rFonts w:ascii="Symbol" w:hAnsi="Symbol"/>
        </w:rPr>
        <w:tab/>
      </w:r>
      <w:r>
        <w:t>within 7 days of the succeeding resident taking occupation of the residential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360"/>
        </w:tabs>
        <w:spacing w:before="80"/>
        <w:ind w:left="1208" w:hanging="357"/>
      </w:pPr>
      <w:r>
        <w:rPr>
          <w:rFonts w:ascii="Symbol" w:hAnsi="Symbol"/>
        </w:rPr>
        <w:t></w:t>
      </w:r>
      <w:r>
        <w:rPr>
          <w:rFonts w:ascii="Symbol" w:hAnsi="Symbol"/>
        </w:rPr>
        <w:tab/>
      </w: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State Administrative Tribunal has terminated a residence contract, the State Administrative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State Administrative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yHeading3"/>
      </w:pPr>
      <w:bookmarkStart w:id="116" w:name="_Toc378248192"/>
      <w:bookmarkStart w:id="117" w:name="_Toc426984253"/>
      <w:bookmarkStart w:id="118" w:name="_Toc435098999"/>
      <w:r>
        <w:rPr>
          <w:rStyle w:val="CharSDivNo"/>
        </w:rPr>
        <w:t>Division 8</w:t>
      </w:r>
      <w:r>
        <w:t> — </w:t>
      </w:r>
      <w:r>
        <w:rPr>
          <w:rStyle w:val="CharSDivText"/>
        </w:rPr>
        <w:t>Miscellaneous</w:t>
      </w:r>
      <w:bookmarkEnd w:id="116"/>
      <w:bookmarkEnd w:id="117"/>
      <w:bookmarkEnd w:id="118"/>
    </w:p>
    <w:p>
      <w:pPr>
        <w:pStyle w:val="yHeading5"/>
        <w:spacing w:before="160"/>
        <w:rPr>
          <w:sz w:val="24"/>
        </w:rPr>
      </w:pPr>
      <w:bookmarkStart w:id="119" w:name="_Toc378248193"/>
      <w:bookmarkStart w:id="120" w:name="_Toc435099000"/>
      <w:r>
        <w:rPr>
          <w:rStyle w:val="CharSClsNo"/>
          <w:sz w:val="24"/>
        </w:rPr>
        <w:t>8.1</w:t>
      </w:r>
      <w:r>
        <w:rPr>
          <w:sz w:val="24"/>
        </w:rPr>
        <w:tab/>
        <w:t>Service of documents</w:t>
      </w:r>
      <w:bookmarkEnd w:id="119"/>
      <w:bookmarkEnd w:id="120"/>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cheduleHeading"/>
        <w:pageBreakBefore w:val="0"/>
        <w:sectPr>
          <w:headerReference w:type="even" r:id="rId42"/>
          <w:headerReference w:type="default" r:id="rId43"/>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121" w:name="_Toc378248194"/>
      <w:bookmarkStart w:id="122" w:name="_Toc426984255"/>
      <w:bookmarkStart w:id="123" w:name="_Toc435099001"/>
      <w:r>
        <w:rPr>
          <w:rStyle w:val="CharSchNo"/>
        </w:rPr>
        <w:t xml:space="preserve">Appendix 1 </w:t>
      </w:r>
      <w:r>
        <w:t>—</w:t>
      </w:r>
      <w:r>
        <w:rPr>
          <w:rStyle w:val="CharPartText"/>
        </w:rPr>
        <w:t xml:space="preserve"> </w:t>
      </w:r>
      <w:r>
        <w:rPr>
          <w:rStyle w:val="CharSchText"/>
        </w:rPr>
        <w:t>Checklist for prospective resident</w:t>
      </w:r>
      <w:bookmarkEnd w:id="121"/>
      <w:bookmarkEnd w:id="122"/>
      <w:bookmarkEnd w:id="12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2009</w:t>
      </w:r>
      <w:r>
        <w:t xml:space="preserve"> and the </w:t>
      </w:r>
      <w:r>
        <w:rPr>
          <w:i/>
        </w:rPr>
        <w:t>Retirement Villages Act 1992</w:t>
      </w:r>
      <w:r>
        <w:t>?</w:t>
      </w:r>
    </w:p>
    <w:p>
      <w:pPr>
        <w:pStyle w:val="yHeading2"/>
        <w:pageBreakBefore/>
        <w:spacing w:before="0"/>
      </w:pPr>
      <w:bookmarkStart w:id="124" w:name="_Toc378248195"/>
      <w:bookmarkStart w:id="125" w:name="_Toc426984256"/>
      <w:bookmarkStart w:id="126" w:name="_Toc435099002"/>
      <w:r>
        <w:rPr>
          <w:rStyle w:val="CharSchNo"/>
        </w:rPr>
        <w:t>Appendix 2</w:t>
      </w:r>
      <w:r>
        <w:rPr>
          <w:rStyle w:val="CharPartText"/>
        </w:rPr>
        <w:t> — </w:t>
      </w:r>
      <w:r>
        <w:rPr>
          <w:rStyle w:val="CharSchText"/>
        </w:rPr>
        <w:t>Model proposed operating budget form</w:t>
      </w:r>
      <w:bookmarkEnd w:id="124"/>
      <w:bookmarkEnd w:id="125"/>
      <w:bookmarkEnd w:id="126"/>
    </w:p>
    <w:p>
      <w:pPr>
        <w:pStyle w:val="yShoulderClause"/>
      </w:pPr>
      <w:r>
        <w:t>[cl. 5.3(4)]</w:t>
      </w:r>
    </w:p>
    <w:p>
      <w:pPr>
        <w:pStyle w:val="yMiscellaneousHeading"/>
        <w:rPr>
          <w:i/>
        </w:rPr>
      </w:pPr>
      <w:r>
        <w:t xml:space="preserve">.................................................. </w:t>
      </w:r>
      <w:r>
        <w:rPr>
          <w:i/>
        </w:rPr>
        <w:t>(insert name of village)</w:t>
      </w:r>
    </w:p>
    <w:p>
      <w:pPr>
        <w:pStyle w:val="yMiscellaneousHeading"/>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i/>
                <w:sz w:val="20"/>
              </w:rPr>
              <w:t>(insert current year)</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i/>
                <w:sz w:val="20"/>
              </w:rPr>
              <w:t>(insert next year)</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pPr>
      <w:r>
        <w:rPr>
          <w:b/>
        </w:rPr>
        <w:br w:type="page"/>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127" w:name="_Toc378248196"/>
      <w:bookmarkStart w:id="128" w:name="_Toc426984257"/>
      <w:bookmarkStart w:id="129" w:name="_Toc435099003"/>
      <w:r>
        <w:rPr>
          <w:rStyle w:val="CharSchNo"/>
        </w:rPr>
        <w:t>Appendix 3</w:t>
      </w:r>
      <w:r>
        <w:t> — </w:t>
      </w:r>
      <w:r>
        <w:rPr>
          <w:rStyle w:val="CharSchText"/>
        </w:rPr>
        <w:t>Model quarterly income and expenditure statement</w:t>
      </w:r>
      <w:bookmarkEnd w:id="127"/>
      <w:bookmarkEnd w:id="128"/>
      <w:bookmarkEnd w:id="129"/>
    </w:p>
    <w:p>
      <w:pPr>
        <w:pStyle w:val="yShoulderClause"/>
      </w:pPr>
      <w:r>
        <w:t>[cl. 5.4(2)]</w:t>
      </w:r>
    </w:p>
    <w:p>
      <w:pPr>
        <w:pStyle w:val="yMiscellaneousHeading"/>
        <w:keepNext w:val="0"/>
        <w:rPr>
          <w:b/>
          <w:i/>
        </w:rPr>
      </w:pPr>
      <w:r>
        <w:rPr>
          <w:b/>
        </w:rPr>
        <w:t>..................................................</w:t>
      </w:r>
      <w:r>
        <w:t xml:space="preserve"> </w:t>
      </w:r>
      <w:r>
        <w:rPr>
          <w:i/>
        </w:rPr>
        <w:t>(insert name of village)</w:t>
      </w:r>
    </w:p>
    <w:p>
      <w:pPr>
        <w:pStyle w:val="yMiscellaneousHeading"/>
        <w:keepNext w:val="0"/>
        <w:rPr>
          <w:b/>
          <w:i/>
        </w:rPr>
      </w:pPr>
      <w:r>
        <w:rPr>
          <w:b/>
        </w:rPr>
        <w:t xml:space="preserve">INCOME AND EXPENDITURE STATEMENT FOR QUARTER ENDED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Heading2"/>
        <w:keepLines/>
        <w:pageBreakBefore/>
        <w:spacing w:before="0"/>
      </w:pPr>
      <w:bookmarkStart w:id="130" w:name="_Toc378248197"/>
      <w:bookmarkStart w:id="131" w:name="_Toc426984258"/>
      <w:bookmarkStart w:id="132" w:name="_Toc435099004"/>
      <w:r>
        <w:rPr>
          <w:rStyle w:val="CharSchNo"/>
        </w:rPr>
        <w:t>Appendix 4</w:t>
      </w:r>
      <w:r>
        <w:rPr>
          <w:rStyle w:val="CharPartText"/>
        </w:rPr>
        <w:t> — </w:t>
      </w:r>
      <w:r>
        <w:rPr>
          <w:rStyle w:val="CharSchText"/>
        </w:rPr>
        <w:t>Model reserve fund quarterly income and expenditure statement</w:t>
      </w:r>
      <w:bookmarkEnd w:id="130"/>
      <w:bookmarkEnd w:id="131"/>
      <w:bookmarkEnd w:id="132"/>
    </w:p>
    <w:p>
      <w:pPr>
        <w:pStyle w:val="yShoulderClause"/>
        <w:keepNext/>
        <w:keepLines/>
      </w:pPr>
      <w:r>
        <w:t>[cl. 5.4(2)]</w:t>
      </w:r>
    </w:p>
    <w:p>
      <w:pPr>
        <w:pStyle w:val="yMiscellaneousHeading"/>
        <w:rPr>
          <w:b/>
          <w:i/>
        </w:rPr>
      </w:pPr>
      <w:r>
        <w:rPr>
          <w:b/>
        </w:rPr>
        <w:t xml:space="preserve">.................................................. </w:t>
      </w:r>
      <w:r>
        <w:rPr>
          <w:i/>
        </w:rPr>
        <w:t>(insert name of village)</w:t>
      </w:r>
    </w:p>
    <w:p>
      <w:pPr>
        <w:pStyle w:val="yMiscellaneousHeading"/>
        <w:spacing w:after="120"/>
        <w:rPr>
          <w:b/>
          <w:i/>
        </w:rPr>
      </w:pPr>
      <w:r>
        <w:rPr>
          <w:b/>
        </w:rPr>
        <w:t xml:space="preserve">RESERVE FUND INCOME AND EXPENDITURE STATEMENT FOR QUARTER ENDED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 xml:space="preserve">Other </w:t>
            </w:r>
            <w:r>
              <w:rPr>
                <w:i/>
              </w:rPr>
              <w:t>(insert as appropriate)</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(specify)</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NAm"/>
              <w:spacing w:before="60"/>
            </w:pPr>
          </w:p>
        </w:tc>
      </w:tr>
    </w:tbl>
    <w:p>
      <w:pPr>
        <w:pStyle w:val="yHeading2"/>
        <w:pageBreakBefore/>
        <w:spacing w:before="0"/>
      </w:pPr>
      <w:bookmarkStart w:id="133" w:name="_Toc378248198"/>
      <w:bookmarkStart w:id="134" w:name="_Toc426984259"/>
      <w:bookmarkStart w:id="135" w:name="_Toc435099005"/>
      <w:r>
        <w:rPr>
          <w:rStyle w:val="CharSchNo"/>
        </w:rPr>
        <w:t>Appendix 5</w:t>
      </w:r>
      <w:r>
        <w:t> — </w:t>
      </w:r>
      <w:r>
        <w:rPr>
          <w:rStyle w:val="CharSchText"/>
        </w:rPr>
        <w:t>Form of appointment of proxy</w:t>
      </w:r>
      <w:bookmarkEnd w:id="133"/>
      <w:bookmarkEnd w:id="134"/>
      <w:bookmarkEnd w:id="135"/>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tabs>
          <w:tab w:val="left" w:pos="360"/>
        </w:tabs>
        <w:spacing w:before="120"/>
        <w:ind w:left="360" w:hanging="360"/>
      </w:pPr>
      <w:r>
        <w:rPr>
          <w:rFonts w:ascii="Symbol" w:hAnsi="Symbol"/>
        </w:rPr>
        <w:t></w:t>
      </w:r>
      <w:r>
        <w:rPr>
          <w:rFonts w:ascii="Symbol" w:hAnsi="Symbol"/>
        </w:rPr>
        <w:tab/>
      </w:r>
      <w:r>
        <w:t>All matters raised at the meeting that require, or provide for, a vote of the residents, at my proxy’s discretion.</w:t>
      </w:r>
    </w:p>
    <w:p>
      <w:pPr>
        <w:pStyle w:val="yMiscellaneousBody"/>
        <w:tabs>
          <w:tab w:val="left" w:pos="360"/>
        </w:tabs>
        <w:spacing w:before="120"/>
        <w:ind w:left="357" w:hanging="357"/>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360"/>
        </w:tabs>
        <w:spacing w:before="120"/>
        <w:ind w:left="357" w:hanging="357"/>
      </w:pPr>
      <w:r>
        <w:t>1.</w:t>
      </w:r>
      <w:r>
        <w:tab/>
        <w:t>A person who may be appointed as a proxy includes a spouse, another resident, a relative, friend or other person, but no person may hold more than 5 proxies at the same time.</w:t>
      </w:r>
    </w:p>
    <w:p>
      <w:pPr>
        <w:pStyle w:val="yMiscellaneousBody"/>
        <w:tabs>
          <w:tab w:val="left" w:pos="360"/>
        </w:tabs>
        <w:spacing w:before="120"/>
        <w:ind w:left="357" w:hanging="357"/>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360"/>
        </w:tabs>
        <w:spacing w:before="120"/>
        <w:ind w:left="357" w:hanging="357"/>
      </w:pPr>
      <w:r>
        <w:t>3.</w:t>
      </w:r>
      <w:r>
        <w:tab/>
        <w:t>This appointment is effective only if this form is completed and given to the chairperson of the meeting at which the proxy is to vote before any vote is taken.</w:t>
      </w:r>
    </w:p>
    <w:p>
      <w:pPr>
        <w:pStyle w:val="yMiscellaneousBody"/>
        <w:tabs>
          <w:tab w:val="left" w:pos="360"/>
        </w:tabs>
        <w:spacing w:before="120"/>
        <w:ind w:left="357" w:hanging="357"/>
      </w:pPr>
      <w:r>
        <w:t>4.</w:t>
      </w:r>
      <w:r>
        <w:tab/>
        <w:t>This form does not authorise voting on a matter if the person appointing the proxy is present at the relevant meeting and personally votes on the matter.</w:t>
      </w:r>
    </w:p>
    <w:p>
      <w:pPr>
        <w:pStyle w:val="yMiscellaneousBody"/>
        <w:tabs>
          <w:tab w:val="left" w:pos="360"/>
        </w:tabs>
        <w:spacing w:before="120"/>
        <w:ind w:left="357" w:hanging="357"/>
      </w:pPr>
      <w:r>
        <w:t>5.</w:t>
      </w:r>
      <w:r>
        <w:tab/>
        <w:t>This appointment terminates after the meeting at which the proxy is authorised to vote.</w:t>
      </w:r>
    </w:p>
    <w:p>
      <w:pPr>
        <w:pStyle w:val="yMiscellaneousBody"/>
        <w:tabs>
          <w:tab w:val="left" w:pos="360"/>
        </w:tabs>
        <w:spacing w:before="120"/>
        <w:ind w:left="357" w:hanging="357"/>
      </w:pPr>
      <w:r>
        <w:t>6.</w:t>
      </w:r>
      <w:r>
        <w:tab/>
        <w:t xml:space="preserve">The person who made this appointment may, at any time prior to the exercise of a proxy vote, revoke the appointment by giving written notice to — </w:t>
      </w:r>
    </w:p>
    <w:p>
      <w:pPr>
        <w:pStyle w:val="yMiscellaneousBody"/>
        <w:tabs>
          <w:tab w:val="left" w:pos="360"/>
        </w:tabs>
        <w:ind w:left="786" w:hanging="360"/>
      </w:pPr>
      <w:r>
        <w:rPr>
          <w:rFonts w:ascii="Symbol" w:hAnsi="Symbol"/>
        </w:rPr>
        <w:t></w:t>
      </w:r>
      <w:r>
        <w:rPr>
          <w:rFonts w:ascii="Symbol" w:hAnsi="Symbol"/>
        </w:rPr>
        <w:tab/>
      </w:r>
      <w:r>
        <w:t>the person appointed as the resident’s proxy; and</w:t>
      </w:r>
    </w:p>
    <w:p>
      <w:pPr>
        <w:pStyle w:val="yMiscellaneousBody"/>
        <w:tabs>
          <w:tab w:val="left" w:pos="360"/>
        </w:tabs>
        <w:ind w:left="786" w:hanging="360"/>
        <w:sectPr>
          <w:headerReference w:type="even" r:id="rId44"/>
          <w:headerReference w:type="default" r:id="rId45"/>
          <w:endnotePr>
            <w:numFmt w:val="decimal"/>
          </w:endnotePr>
          <w:pgSz w:w="11907" w:h="16840" w:code="9"/>
          <w:pgMar w:top="2381" w:right="2410" w:bottom="3544" w:left="2410" w:header="720" w:footer="3380" w:gutter="0"/>
          <w:cols w:space="720"/>
          <w:docGrid w:linePitch="326"/>
        </w:sectPr>
      </w:pPr>
      <w:r>
        <w:rPr>
          <w:rFonts w:ascii="Symbol" w:hAnsi="Symbol"/>
        </w:rPr>
        <w:t></w:t>
      </w:r>
      <w:r>
        <w:rPr>
          <w:rFonts w:ascii="Symbol" w:hAnsi="Symbol"/>
        </w:rPr>
        <w:tab/>
      </w:r>
      <w:r>
        <w:t>the chairperson of the meeting at which the proxy was to vote.</w:t>
      </w:r>
    </w:p>
    <w:p>
      <w:pPr>
        <w:pStyle w:val="nHeading2"/>
      </w:pPr>
      <w:bookmarkStart w:id="136" w:name="_Toc378248199"/>
      <w:bookmarkStart w:id="137" w:name="_Toc426984260"/>
      <w:bookmarkStart w:id="138" w:name="_Toc435099006"/>
      <w:r>
        <w:t>Notes</w:t>
      </w:r>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Code) Regulations 2009</w:t>
      </w:r>
      <w:r>
        <w:rPr>
          <w:snapToGrid w:val="0"/>
        </w:rPr>
        <w:t xml:space="preserve">.  The following table contains information about those regulations. </w:t>
      </w:r>
    </w:p>
    <w:p>
      <w:pPr>
        <w:pStyle w:val="nHeading3"/>
      </w:pPr>
      <w:bookmarkStart w:id="139" w:name="_Toc378248200"/>
      <w:bookmarkStart w:id="140" w:name="_Toc435099007"/>
      <w:r>
        <w:t>Compilation table</w:t>
      </w:r>
      <w:bookmarkEnd w:id="139"/>
      <w:bookmarkEnd w:id="1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Fair Trading (Retirement Villages Code) Regulations 2009</w:t>
            </w:r>
          </w:p>
        </w:tc>
        <w:tc>
          <w:tcPr>
            <w:tcW w:w="1276" w:type="dxa"/>
            <w:tcBorders>
              <w:bottom w:val="nil"/>
            </w:tcBorders>
          </w:tcPr>
          <w:p>
            <w:pPr>
              <w:pStyle w:val="nTable"/>
              <w:spacing w:after="40"/>
            </w:pPr>
            <w:r>
              <w:t>21 Sep 2009 p. 3645</w:t>
            </w:r>
            <w:r>
              <w:noBreakHyphen/>
              <w:t>706</w:t>
            </w:r>
          </w:p>
        </w:tc>
        <w:tc>
          <w:tcPr>
            <w:tcW w:w="2693" w:type="dxa"/>
            <w:tcBorders>
              <w:bottom w:val="nil"/>
            </w:tcBorders>
          </w:tcPr>
          <w:p>
            <w:pPr>
              <w:pStyle w:val="nTable"/>
              <w:spacing w:after="40"/>
            </w:pPr>
            <w:r>
              <w:rPr>
                <w:snapToGrid w:val="0"/>
                <w:spacing w:val="-2"/>
              </w:rPr>
              <w:t>r. 1 and 2: 21 Sep 2009 (see r. 2(a));</w:t>
            </w:r>
            <w:r>
              <w:rPr>
                <w:snapToGrid w:val="0"/>
                <w:spacing w:val="-2"/>
              </w:rPr>
              <w:br/>
              <w:t>Regulations other than r. 1 and 2: 1 Oct 2009 (see r. 2(b))</w:t>
            </w:r>
          </w:p>
        </w:tc>
      </w:tr>
      <w:tr>
        <w:tc>
          <w:tcPr>
            <w:tcW w:w="3118" w:type="dxa"/>
            <w:tcBorders>
              <w:top w:val="nil"/>
              <w:bottom w:val="nil"/>
            </w:tcBorders>
          </w:tcPr>
          <w:p>
            <w:pPr>
              <w:pStyle w:val="nTable"/>
              <w:spacing w:after="40"/>
              <w:rPr>
                <w:i/>
              </w:rPr>
            </w:pPr>
            <w:r>
              <w:rPr>
                <w:i/>
              </w:rPr>
              <w:t>Fair Trading (Retirement Villages Code) Amendment Regulations 2011</w:t>
            </w:r>
          </w:p>
        </w:tc>
        <w:tc>
          <w:tcPr>
            <w:tcW w:w="1276" w:type="dxa"/>
            <w:tcBorders>
              <w:top w:val="nil"/>
              <w:bottom w:val="nil"/>
            </w:tcBorders>
          </w:tcPr>
          <w:p>
            <w:pPr>
              <w:pStyle w:val="nTable"/>
              <w:spacing w:after="40"/>
            </w:pPr>
            <w:r>
              <w:t>30 Jun 2011 p. 2641</w:t>
            </w:r>
          </w:p>
        </w:tc>
        <w:tc>
          <w:tcPr>
            <w:tcW w:w="2693" w:type="dxa"/>
            <w:tcBorders>
              <w:top w:val="nil"/>
              <w:bottom w:val="nil"/>
            </w:tcBorders>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c>
          <w:tcPr>
            <w:tcW w:w="7087" w:type="dxa"/>
            <w:gridSpan w:val="3"/>
            <w:tcBorders>
              <w:top w:val="nil"/>
              <w:bottom w:val="single" w:sz="4" w:space="0" w:color="auto"/>
            </w:tcBorders>
          </w:tcPr>
          <w:p>
            <w:pPr>
              <w:pStyle w:val="nTable"/>
              <w:spacing w:after="40"/>
              <w:rPr>
                <w:b/>
                <w:i/>
                <w:color w:val="FF0000"/>
              </w:rPr>
            </w:pPr>
            <w:r>
              <w:rPr>
                <w:b/>
                <w:color w:val="FF0000"/>
              </w:rPr>
              <w:t>These regulations were repealed by the</w:t>
            </w:r>
            <w:r>
              <w:rPr>
                <w:b/>
                <w:i/>
                <w:color w:val="FF0000"/>
              </w:rPr>
              <w:t xml:space="preserve"> Fair Trading (Retirement Villages Interim Code) Regulations 2012</w:t>
            </w:r>
            <w:r>
              <w:rPr>
                <w:b/>
                <w:color w:val="FF0000"/>
              </w:rPr>
              <w:t xml:space="preserve"> r. 5 as at 1 Oct 2012 (see </w:t>
            </w:r>
            <w:r>
              <w:rPr>
                <w:b/>
                <w:i/>
                <w:color w:val="FF0000"/>
              </w:rPr>
              <w:t>Gazette</w:t>
            </w:r>
            <w:r>
              <w:rPr>
                <w:b/>
                <w:color w:val="FF0000"/>
              </w:rPr>
              <w:t xml:space="preserve"> 26 Sep 2012 p. 4530)</w:t>
            </w:r>
          </w:p>
        </w:tc>
      </w:tr>
    </w:tbl>
    <w:p/>
    <w:p>
      <w:pPr>
        <w:sectPr>
          <w:headerReference w:type="even" r:id="rId46"/>
          <w:headerReference w:type="default" r:id="rId47"/>
          <w:headerReference w:type="first" r:id="rId48"/>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Cwlth</w:t>
      </w:r>
      <w:r>
        <w:tab/>
        <w:t>Sch. 1 cl. 1(2)</w:t>
      </w:r>
    </w:p>
    <w:p>
      <w:pPr>
        <w:pStyle w:val="DefinedTerms"/>
      </w:pPr>
      <w:r>
        <w:t>first party</w:t>
      </w:r>
      <w:r>
        <w:tab/>
        <w:t>Sch. 1 cl. 6(1)</w:t>
      </w:r>
    </w:p>
    <w:p>
      <w:pPr>
        <w:pStyle w:val="DefinedTerms"/>
      </w:pPr>
      <w:r>
        <w:t>operating statements</w:t>
      </w:r>
      <w:r>
        <w:tab/>
        <w:t>Sch. 1 cl. 5(1)</w:t>
      </w:r>
    </w:p>
    <w:p>
      <w:pPr>
        <w:pStyle w:val="DefinedTerms"/>
      </w:pPr>
      <w:r>
        <w:t>personal representative</w:t>
      </w:r>
      <w:r>
        <w:tab/>
        <w:t>Sch. 1 cl. 5(1), Sch. 1 cl. 8(4)</w:t>
      </w:r>
    </w:p>
    <w:p>
      <w:pPr>
        <w:pStyle w:val="DefinedTerms"/>
      </w:pPr>
      <w:r>
        <w:t>personal services</w:t>
      </w:r>
      <w:r>
        <w:tab/>
        <w:t>Sch. 1 cl. 4(3)</w:t>
      </w:r>
    </w:p>
    <w:p>
      <w:pPr>
        <w:pStyle w:val="DefinedTerms"/>
      </w:pPr>
      <w:r>
        <w:t>proxy</w:t>
      </w:r>
      <w:r>
        <w:tab/>
        <w:t>Sch. 1 cl. 5(2)</w:t>
      </w:r>
    </w:p>
    <w:p>
      <w:pPr>
        <w:pStyle w:val="DefinedTerms"/>
      </w:pPr>
      <w:r>
        <w:t>proxy notice</w:t>
      </w:r>
      <w:r>
        <w:tab/>
        <w:t>Sch. 1 cl. 5(2)</w:t>
      </w:r>
    </w:p>
    <w:p>
      <w:pPr>
        <w:pStyle w:val="DefinedTerms"/>
      </w:pPr>
      <w:r>
        <w:t>registered company auditor</w:t>
      </w:r>
      <w:r>
        <w:tab/>
        <w:t>Sch. 1 cl. 5(1)</w:t>
      </w:r>
    </w:p>
    <w:p>
      <w:pPr>
        <w:pStyle w:val="DefinedTerms"/>
      </w:pPr>
      <w:r>
        <w:t>residential care</w:t>
      </w:r>
      <w:r>
        <w:tab/>
        <w:t>Sch. 1 cl. 1(2)</w:t>
      </w:r>
    </w:p>
    <w:p>
      <w:pPr>
        <w:pStyle w:val="DefinedTerms"/>
      </w:pPr>
      <w:r>
        <w:t>residential care subsidy</w:t>
      </w:r>
      <w:r>
        <w:tab/>
        <w:t>Sch. 1 cl. 1(2)</w:t>
      </w:r>
    </w:p>
    <w:p>
      <w:pPr>
        <w:pStyle w:val="DefinedTerms"/>
      </w:pPr>
      <w:r>
        <w:t>second party</w:t>
      </w:r>
      <w:r>
        <w:tab/>
        <w:t>Sch. 1 cl. 6(1)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
      <w:pPr>
        <w:sectPr>
          <w:headerReference w:type="even" r:id="rId49"/>
          <w:headerReference w:type="default" r:id="rId50"/>
          <w:pgSz w:w="11907" w:h="16840" w:code="9"/>
          <w:pgMar w:top="2381" w:right="2409" w:bottom="3543" w:left="2409" w:header="720" w:footer="3380" w:gutter="0"/>
          <w:cols w:space="720"/>
          <w:noEndnote/>
          <w:docGrid w:linePitch="326"/>
        </w:sectPr>
      </w:pPr>
    </w:p>
    <w:p/>
    <w:sectPr>
      <w:headerReference w:type="even" r:id="rId51"/>
      <w:headerReference w:type="default" r:id="rId52"/>
      <w:footerReference w:type="even" r:id="rId53"/>
      <w:footerReference w:type="default" r:id="rId54"/>
      <w:headerReference w:type="first" r:id="rId55"/>
      <w:footerReference w:type="first" r:id="rId56"/>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 CHARFORMAT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Advertising and promotion of retirement</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2.5</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Advertising and promotion of retirement</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2.5</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Prospective resident’s right to information before entering into a residence contract or service contract</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3.2</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Prospective resident’s right to information before entering into a residence contract or service contract</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Residence contract and service contract</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4.11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Residence contract and service contract</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4.11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Village management</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5.12</w:t>
          </w:r>
          <w:r>
            <w:rPr>
              <w:b/>
            </w:rPr>
            <w:fldChar w:fldCharType="end"/>
          </w:r>
        </w:p>
      </w:tc>
      <w:tc>
        <w:tcPr>
          <w:tcW w:w="5715" w:type="dxa"/>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Village management</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5</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5.12</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Dispute resolution</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6.3</w:t>
          </w:r>
          <w:r>
            <w:rPr>
              <w:b/>
            </w:rPr>
            <w:fldChar w:fldCharType="end"/>
          </w:r>
        </w:p>
      </w:tc>
      <w:tc>
        <w:tcPr>
          <w:tcW w:w="5715" w:type="dxa"/>
        </w:tcPr>
        <w:p>
          <w:pPr>
            <w:pStyle w:val="Header"/>
            <w:spacing w:before="40"/>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Dispute resolution</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6.3</w:t>
          </w:r>
          <w:r>
            <w:rPr>
              <w:b/>
            </w:rP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Termination of residence contracts</w: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7.1</w:t>
          </w:r>
          <w:r>
            <w:rPr>
              <w:b/>
            </w:rPr>
            <w:fldChar w:fldCharType="end"/>
          </w:r>
        </w:p>
      </w:tc>
      <w:tc>
        <w:tcPr>
          <w:tcW w:w="5715" w:type="dxa"/>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Termination of residence contracts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7.1</w:t>
          </w:r>
          <w:r>
            <w:rPr>
              <w:b/>
            </w:rPr>
            <w:fldChar w:fldCharType="end"/>
          </w: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2009</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2009</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 w:name="DefinedTerms"/>
    <w:bookmarkEnd w:id="142"/>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 w:name="Coversheet"/>
    <w:bookmarkEnd w:id="143"/>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1">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2">
    <w:nsid w:val="3F1D7FC5"/>
    <w:multiLevelType w:val="singleLevel"/>
    <w:tmpl w:val="0C09000F"/>
    <w:lvl w:ilvl="0">
      <w:start w:val="1"/>
      <w:numFmt w:val="decimal"/>
      <w:lvlText w:val="%1."/>
      <w:lvlJc w:val="left"/>
      <w:pPr>
        <w:tabs>
          <w:tab w:val="num" w:pos="360"/>
        </w:tabs>
        <w:ind w:left="360" w:hanging="360"/>
      </w:p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DEA5FBF"/>
    <w:multiLevelType w:val="hybridMultilevel"/>
    <w:tmpl w:val="CC8A7C88"/>
    <w:lvl w:ilvl="0" w:tplc="37C041B4">
      <w:start w:val="1"/>
      <w:numFmt w:val="bullet"/>
      <w:lvlText w:val=""/>
      <w:lvlJc w:val="left"/>
      <w:pPr>
        <w:tabs>
          <w:tab w:val="num" w:pos="2280"/>
        </w:tabs>
        <w:ind w:left="2280" w:hanging="360"/>
      </w:pPr>
      <w:rPr>
        <w:rFonts w:ascii="Symbol" w:hAnsi="Symbol" w:hint="default"/>
        <w:sz w:val="24"/>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5"/>
  </w:num>
  <w:num w:numId="16">
    <w:abstractNumId w:val="10"/>
  </w:num>
  <w:num w:numId="17">
    <w:abstractNumId w:val="16"/>
  </w:num>
  <w:num w:numId="18">
    <w:abstractNumId w:val="24"/>
  </w:num>
  <w:num w:numId="19">
    <w:abstractNumId w:val="22"/>
  </w:num>
  <w:num w:numId="20">
    <w:abstractNumId w:val="12"/>
  </w:num>
  <w:num w:numId="21">
    <w:abstractNumId w:val="19"/>
  </w:num>
  <w:num w:numId="22">
    <w:abstractNumId w:val="27"/>
  </w:num>
  <w:num w:numId="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459"/>
    <w:docVar w:name="WAFER_20140123132824" w:val="RemoveTocBookmarks,RemoveUnusedBookmarks,RemoveLanguageTags,UsedStyles,ResetPageSize,UpdateArrangement"/>
    <w:docVar w:name="WAFER_20140123132824_GUID" w:val="64a014b2-1d28-428b-ab56-5330ad592ca8"/>
    <w:docVar w:name="WAFER_20140123134327" w:val="RemoveTocBookmarks,RunningHeaders"/>
    <w:docVar w:name="WAFER_20140123134327_GUID" w:val="5d68e0e1-4062-45a6-8499-c55c89ca1da7"/>
    <w:docVar w:name="WAFER_20150810153031" w:val="ResetPageSize,UpdateArrangement,UpdateNTable"/>
    <w:docVar w:name="WAFER_20150810153031_GUID" w:val="446391d3-7ae4-4ae3-9202-bf654da17dee"/>
    <w:docVar w:name="WAFER_20151112110925" w:val="UpdateStyles,UsedStyles"/>
    <w:docVar w:name="WAFER_20151112110925_GUID" w:val="8f02452e-2d5a-4bc5-b51a-c7e5779bcaa4"/>
    <w:docVar w:name="WAFER_20151201120459" w:val="RemoveTrackChanges"/>
    <w:docVar w:name="WAFER_20151201120459_GUID" w:val="6dc31c18-3b97-4a43-a1e1-c93b5d1b9c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5.xml"/><Relationship Id="rId54"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eader" Target="header3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12783</Words>
  <Characters>67498</Characters>
  <Application>Microsoft Office Word</Application>
  <DocSecurity>0</DocSecurity>
  <Lines>2109</Lines>
  <Paragraphs>979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Schedule 1 — Code of Fair Practice for Retirement Villages 2009</vt:lpstr>
      <vt:lpstr>        </vt:lpstr>
      <vt:lpstr>        Division 1 — Preliminary</vt:lpstr>
      <vt:lpstr>        </vt:lpstr>
      <vt:lpstr>        Division 2 — Advertising and promotion of retirement villages</vt:lpstr>
      <vt:lpstr>        </vt:lpstr>
      <vt:lpstr>        Division 3 — Prospective resident’s right to information before entering into a </vt:lpstr>
      <vt:lpstr>        </vt:lpstr>
      <vt:lpstr>        Division 4 — Residence contract and service contract</vt:lpstr>
      <vt:lpstr>        </vt:lpstr>
      <vt:lpstr>        Division 5 — Village management</vt:lpstr>
      <vt:lpstr>        </vt:lpstr>
      <vt:lpstr>        Division 6 — Dispute resolution</vt:lpstr>
      <vt:lpstr>        </vt:lpstr>
      <vt:lpstr>        Division 7 — Termination of residence contracts</vt:lpstr>
      <vt:lpstr>        </vt:lpstr>
      <vt:lpstr>        Division 8 — Miscellaneous</vt:lpstr>
      <vt:lpstr>    </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2009 - 00-c0-07</dc:title>
  <dc:subject/>
  <dc:creator/>
  <cp:keywords/>
  <dc:description/>
  <cp:lastModifiedBy>svcMRProcess</cp:lastModifiedBy>
  <cp:revision>4</cp:revision>
  <cp:lastPrinted>2009-08-18T04:30:00Z</cp:lastPrinted>
  <dcterms:created xsi:type="dcterms:W3CDTF">2018-09-18T04:23:00Z</dcterms:created>
  <dcterms:modified xsi:type="dcterms:W3CDTF">2018-09-18T04:23:00Z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20121001</vt:lpwstr>
  </property>
  <property fmtid="{D5CDD505-2E9C-101B-9397-08002B2CF9AE}" pid="3" name="ID">
    <vt:lpwstr>21 Sep 2009 p 3645-706</vt:lpwstr>
  </property>
  <property fmtid="{D5CDD505-2E9C-101B-9397-08002B2CF9AE}" pid="4" name="OwlsUID">
    <vt:i4>42007</vt:i4>
  </property>
  <property fmtid="{D5CDD505-2E9C-101B-9397-08002B2CF9AE}" pid="5" name="DocumentType">
    <vt:lpwstr>Reg</vt:lpwstr>
  </property>
  <property fmtid="{D5CDD505-2E9C-101B-9397-08002B2CF9AE}" pid="6" name="AsAtDate">
    <vt:lpwstr>01 Oct 2012</vt:lpwstr>
  </property>
  <property fmtid="{D5CDD505-2E9C-101B-9397-08002B2CF9AE}" pid="7" name="Suffix">
    <vt:lpwstr>00-c0-07</vt:lpwstr>
  </property>
  <property fmtid="{D5CDD505-2E9C-101B-9397-08002B2CF9AE}" pid="8" name="Status">
    <vt:lpwstr>NIF</vt:lpwstr>
  </property>
</Properties>
</file>