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College of Teaching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snapToGrid w:val="0"/>
          <w:sz w:val="22"/>
          <w:szCs w:val="22"/>
        </w:rPr>
        <w:t>Teacher Registration Act 2012</w:t>
      </w:r>
      <w:r>
        <w:rPr>
          <w:color w:val="000000"/>
          <w:sz w:val="22"/>
          <w:szCs w:val="22"/>
        </w:rPr>
        <w:t xml:space="preserve"> s. 133 (No. 16 of 2012) as at 7 Dec 2012 (see s. 2(b) and </w:t>
      </w:r>
      <w:r>
        <w:rPr>
          <w:i/>
          <w:iCs/>
          <w:color w:val="000000"/>
          <w:sz w:val="22"/>
          <w:szCs w:val="22"/>
        </w:rPr>
        <w:t>Gazette</w:t>
      </w:r>
      <w:r>
        <w:rPr>
          <w:color w:val="000000"/>
          <w:sz w:val="22"/>
          <w:szCs w:val="22"/>
        </w:rPr>
        <w:t xml:space="preserve"> 16 Nov 2012 p. 5637).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_Toc426121973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_Toc426121974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_Toc426121975 \h </w:instrText>
      </w:r>
      <w:r>
        <w:fldChar w:fldCharType="separate"/>
      </w:r>
      <w:r>
        <w:t>1</w:t>
      </w:r>
      <w:r>
        <w:fldChar w:fldCharType="end"/>
      </w:r>
    </w:p>
    <w:p>
      <w:pPr>
        <w:pStyle w:val="TOC8"/>
        <w:rPr>
          <w:rFonts w:asciiTheme="minorHAnsi" w:eastAsiaTheme="minorEastAsia" w:hAnsiTheme="minorHAnsi" w:cstheme="minorBidi"/>
          <w:szCs w:val="22"/>
        </w:rPr>
      </w:pPr>
      <w:r>
        <w:t>4.</w:t>
      </w:r>
      <w:r>
        <w:tab/>
        <w:t>Criminal record check</w:t>
      </w:r>
      <w:r>
        <w:tab/>
      </w:r>
      <w:r>
        <w:fldChar w:fldCharType="begin"/>
      </w:r>
      <w:r>
        <w:instrText xml:space="preserve"> PAGEREF _Toc426121976 \h </w:instrText>
      </w:r>
      <w:r>
        <w:fldChar w:fldCharType="separate"/>
      </w:r>
      <w:r>
        <w:t>2</w:t>
      </w:r>
      <w:r>
        <w:fldChar w:fldCharType="end"/>
      </w:r>
    </w:p>
    <w:p>
      <w:pPr>
        <w:pStyle w:val="TOC8"/>
        <w:rPr>
          <w:rFonts w:asciiTheme="minorHAnsi" w:eastAsiaTheme="minorEastAsia" w:hAnsiTheme="minorHAnsi" w:cstheme="minorBidi"/>
          <w:szCs w:val="22"/>
        </w:rPr>
      </w:pPr>
      <w:r>
        <w:t>5.</w:t>
      </w:r>
      <w:r>
        <w:tab/>
        <w:t>Fee for copy of minutes of Board meeting (section 12(5))</w:t>
      </w:r>
      <w:r>
        <w:tab/>
      </w:r>
      <w:r>
        <w:fldChar w:fldCharType="begin"/>
      </w:r>
      <w:r>
        <w:instrText xml:space="preserve"> PAGEREF _Toc426121977 \h </w:instrText>
      </w:r>
      <w:r>
        <w:fldChar w:fldCharType="separate"/>
      </w:r>
      <w:r>
        <w:t>2</w:t>
      </w:r>
      <w:r>
        <w:fldChar w:fldCharType="end"/>
      </w:r>
    </w:p>
    <w:p>
      <w:pPr>
        <w:pStyle w:val="TOC8"/>
        <w:rPr>
          <w:rFonts w:asciiTheme="minorHAnsi" w:eastAsiaTheme="minorEastAsia" w:hAnsiTheme="minorHAnsi" w:cstheme="minorBidi"/>
          <w:szCs w:val="22"/>
        </w:rPr>
      </w:pPr>
      <w:r>
        <w:t>6.</w:t>
      </w:r>
      <w:r>
        <w:tab/>
        <w:t>When unpaid volunteers are “teaching”</w:t>
      </w:r>
      <w:r>
        <w:tab/>
      </w:r>
      <w:r>
        <w:fldChar w:fldCharType="begin"/>
      </w:r>
      <w:r>
        <w:instrText xml:space="preserve"> PAGEREF _Toc426121978 \h </w:instrText>
      </w:r>
      <w:r>
        <w:fldChar w:fldCharType="separate"/>
      </w:r>
      <w:r>
        <w:t>3</w:t>
      </w:r>
      <w:r>
        <w:fldChar w:fldCharType="end"/>
      </w:r>
    </w:p>
    <w:p>
      <w:pPr>
        <w:pStyle w:val="TOC8"/>
        <w:rPr>
          <w:rFonts w:asciiTheme="minorHAnsi" w:eastAsiaTheme="minorEastAsia" w:hAnsiTheme="minorHAnsi" w:cstheme="minorBidi"/>
          <w:szCs w:val="22"/>
        </w:rPr>
      </w:pPr>
      <w:r>
        <w:t>7.</w:t>
      </w:r>
      <w:r>
        <w:tab/>
        <w:t>Other requirements for provisional registration (section 33(d))</w:t>
      </w:r>
      <w:r>
        <w:tab/>
      </w:r>
      <w:r>
        <w:fldChar w:fldCharType="begin"/>
      </w:r>
      <w:r>
        <w:instrText xml:space="preserve"> PAGEREF _Toc426121979 \h </w:instrText>
      </w:r>
      <w:r>
        <w:fldChar w:fldCharType="separate"/>
      </w:r>
      <w:r>
        <w:t>3</w:t>
      </w:r>
      <w:r>
        <w:fldChar w:fldCharType="end"/>
      </w:r>
    </w:p>
    <w:p>
      <w:pPr>
        <w:pStyle w:val="TOC8"/>
        <w:rPr>
          <w:rFonts w:asciiTheme="minorHAnsi" w:eastAsiaTheme="minorEastAsia" w:hAnsiTheme="minorHAnsi" w:cstheme="minorBidi"/>
          <w:szCs w:val="22"/>
        </w:rPr>
      </w:pPr>
      <w:r>
        <w:t>8.</w:t>
      </w:r>
      <w:r>
        <w:tab/>
        <w:t>Fee for provisional registration (section 32(1)(b))</w:t>
      </w:r>
      <w:r>
        <w:tab/>
      </w:r>
      <w:r>
        <w:fldChar w:fldCharType="begin"/>
      </w:r>
      <w:r>
        <w:instrText xml:space="preserve"> PAGEREF _Toc426121980 \h </w:instrText>
      </w:r>
      <w:r>
        <w:fldChar w:fldCharType="separate"/>
      </w:r>
      <w:r>
        <w:t>3</w:t>
      </w:r>
      <w:r>
        <w:fldChar w:fldCharType="end"/>
      </w:r>
    </w:p>
    <w:p>
      <w:pPr>
        <w:pStyle w:val="TOC8"/>
        <w:rPr>
          <w:rFonts w:asciiTheme="minorHAnsi" w:eastAsiaTheme="minorEastAsia" w:hAnsiTheme="minorHAnsi" w:cstheme="minorBidi"/>
          <w:szCs w:val="22"/>
        </w:rPr>
      </w:pPr>
      <w:r>
        <w:t>9.</w:t>
      </w:r>
      <w:r>
        <w:tab/>
        <w:t>Registration of teachers not working in schools (section 35(f)(ii))</w:t>
      </w:r>
      <w:r>
        <w:tab/>
      </w:r>
      <w:r>
        <w:fldChar w:fldCharType="begin"/>
      </w:r>
      <w:r>
        <w:instrText xml:space="preserve"> PAGEREF _Toc426121981 \h </w:instrText>
      </w:r>
      <w:r>
        <w:fldChar w:fldCharType="separate"/>
      </w:r>
      <w:r>
        <w:t>3</w:t>
      </w:r>
      <w:r>
        <w:fldChar w:fldCharType="end"/>
      </w:r>
    </w:p>
    <w:p>
      <w:pPr>
        <w:pStyle w:val="TOC8"/>
        <w:rPr>
          <w:rFonts w:asciiTheme="minorHAnsi" w:eastAsiaTheme="minorEastAsia" w:hAnsiTheme="minorHAnsi" w:cstheme="minorBidi"/>
          <w:szCs w:val="22"/>
        </w:rPr>
      </w:pPr>
      <w:r>
        <w:t>10.</w:t>
      </w:r>
      <w:r>
        <w:tab/>
        <w:t>Registration of teachers from another jurisdiction (section 35(f)(ii))</w:t>
      </w:r>
      <w:r>
        <w:tab/>
      </w:r>
      <w:r>
        <w:fldChar w:fldCharType="begin"/>
      </w:r>
      <w:r>
        <w:instrText xml:space="preserve"> PAGEREF _Toc426121982 \h </w:instrText>
      </w:r>
      <w:r>
        <w:fldChar w:fldCharType="separate"/>
      </w:r>
      <w:r>
        <w:t>4</w:t>
      </w:r>
      <w:r>
        <w:fldChar w:fldCharType="end"/>
      </w:r>
    </w:p>
    <w:p>
      <w:pPr>
        <w:pStyle w:val="TOC8"/>
        <w:rPr>
          <w:rFonts w:asciiTheme="minorHAnsi" w:eastAsiaTheme="minorEastAsia" w:hAnsiTheme="minorHAnsi" w:cstheme="minorBidi"/>
          <w:szCs w:val="22"/>
        </w:rPr>
      </w:pPr>
      <w:r>
        <w:t>11.</w:t>
      </w:r>
      <w:r>
        <w:tab/>
        <w:t>Other registration requirements (section 35(g))</w:t>
      </w:r>
      <w:r>
        <w:tab/>
      </w:r>
      <w:r>
        <w:fldChar w:fldCharType="begin"/>
      </w:r>
      <w:r>
        <w:instrText xml:space="preserve"> PAGEREF _Toc426121983 \h </w:instrText>
      </w:r>
      <w:r>
        <w:fldChar w:fldCharType="separate"/>
      </w:r>
      <w:r>
        <w:t>6</w:t>
      </w:r>
      <w:r>
        <w:fldChar w:fldCharType="end"/>
      </w:r>
    </w:p>
    <w:p>
      <w:pPr>
        <w:pStyle w:val="TOC8"/>
        <w:rPr>
          <w:rFonts w:asciiTheme="minorHAnsi" w:eastAsiaTheme="minorEastAsia" w:hAnsiTheme="minorHAnsi" w:cstheme="minorBidi"/>
          <w:szCs w:val="22"/>
        </w:rPr>
      </w:pPr>
      <w:r>
        <w:t>12.</w:t>
      </w:r>
      <w:r>
        <w:tab/>
        <w:t>Registration fee (section 34(1)(b))</w:t>
      </w:r>
      <w:r>
        <w:tab/>
      </w:r>
      <w:r>
        <w:fldChar w:fldCharType="begin"/>
      </w:r>
      <w:r>
        <w:instrText xml:space="preserve"> PAGEREF _Toc426121984 \h </w:instrText>
      </w:r>
      <w:r>
        <w:fldChar w:fldCharType="separate"/>
      </w:r>
      <w:r>
        <w:t>6</w:t>
      </w:r>
      <w:r>
        <w:fldChar w:fldCharType="end"/>
      </w:r>
    </w:p>
    <w:p>
      <w:pPr>
        <w:pStyle w:val="TOC8"/>
        <w:rPr>
          <w:rFonts w:asciiTheme="minorHAnsi" w:eastAsiaTheme="minorEastAsia" w:hAnsiTheme="minorHAnsi" w:cstheme="minorBidi"/>
          <w:szCs w:val="22"/>
        </w:rPr>
      </w:pPr>
      <w:r>
        <w:t>13.</w:t>
      </w:r>
      <w:r>
        <w:tab/>
        <w:t>Requirements for limited authority to teach (section 37(1)(e))</w:t>
      </w:r>
      <w:r>
        <w:tab/>
      </w:r>
      <w:r>
        <w:fldChar w:fldCharType="begin"/>
      </w:r>
      <w:r>
        <w:instrText xml:space="preserve"> PAGEREF _Toc426121985 \h </w:instrText>
      </w:r>
      <w:r>
        <w:fldChar w:fldCharType="separate"/>
      </w:r>
      <w:r>
        <w:t>6</w:t>
      </w:r>
      <w:r>
        <w:fldChar w:fldCharType="end"/>
      </w:r>
    </w:p>
    <w:p>
      <w:pPr>
        <w:pStyle w:val="TOC8"/>
        <w:rPr>
          <w:rFonts w:asciiTheme="minorHAnsi" w:eastAsiaTheme="minorEastAsia" w:hAnsiTheme="minorHAnsi" w:cstheme="minorBidi"/>
          <w:szCs w:val="22"/>
        </w:rPr>
      </w:pPr>
      <w:r>
        <w:t>14.</w:t>
      </w:r>
      <w:r>
        <w:tab/>
        <w:t>Fee for limited authority to teach (section 36(1)(b))</w:t>
      </w:r>
      <w:r>
        <w:tab/>
      </w:r>
      <w:r>
        <w:fldChar w:fldCharType="begin"/>
      </w:r>
      <w:r>
        <w:instrText xml:space="preserve"> PAGEREF _Toc426121986 \h </w:instrText>
      </w:r>
      <w:r>
        <w:fldChar w:fldCharType="separate"/>
      </w:r>
      <w:r>
        <w:t>6</w:t>
      </w:r>
      <w:r>
        <w:fldChar w:fldCharType="end"/>
      </w:r>
    </w:p>
    <w:p>
      <w:pPr>
        <w:pStyle w:val="TOC8"/>
        <w:rPr>
          <w:rFonts w:asciiTheme="minorHAnsi" w:eastAsiaTheme="minorEastAsia" w:hAnsiTheme="minorHAnsi" w:cstheme="minorBidi"/>
          <w:szCs w:val="22"/>
        </w:rPr>
      </w:pPr>
      <w:r>
        <w:t>15.</w:t>
      </w:r>
      <w:r>
        <w:tab/>
        <w:t>Associate membership fee (section 38(1)(b))</w:t>
      </w:r>
      <w:r>
        <w:tab/>
      </w:r>
      <w:r>
        <w:fldChar w:fldCharType="begin"/>
      </w:r>
      <w:r>
        <w:instrText xml:space="preserve"> PAGEREF _Toc426121987 \h </w:instrText>
      </w:r>
      <w:r>
        <w:fldChar w:fldCharType="separate"/>
      </w:r>
      <w:r>
        <w:t>6</w:t>
      </w:r>
      <w:r>
        <w:fldChar w:fldCharType="end"/>
      </w:r>
    </w:p>
    <w:p>
      <w:pPr>
        <w:pStyle w:val="TOC8"/>
        <w:rPr>
          <w:rFonts w:asciiTheme="minorHAnsi" w:eastAsiaTheme="minorEastAsia" w:hAnsiTheme="minorHAnsi" w:cstheme="minorBidi"/>
          <w:szCs w:val="22"/>
        </w:rPr>
      </w:pPr>
      <w:r>
        <w:t>16.</w:t>
      </w:r>
      <w:r>
        <w:tab/>
        <w:t>Fee for membership applications (section 40(2)(d))</w:t>
      </w:r>
      <w:r>
        <w:tab/>
      </w:r>
      <w:r>
        <w:fldChar w:fldCharType="begin"/>
      </w:r>
      <w:r>
        <w:instrText xml:space="preserve"> PAGEREF _Toc426121988 \h </w:instrText>
      </w:r>
      <w:r>
        <w:fldChar w:fldCharType="separate"/>
      </w:r>
      <w:r>
        <w:t>7</w:t>
      </w:r>
      <w:r>
        <w:fldChar w:fldCharType="end"/>
      </w:r>
    </w:p>
    <w:p>
      <w:pPr>
        <w:pStyle w:val="TOC8"/>
        <w:rPr>
          <w:rFonts w:asciiTheme="minorHAnsi" w:eastAsiaTheme="minorEastAsia" w:hAnsiTheme="minorHAnsi" w:cstheme="minorBidi"/>
          <w:szCs w:val="22"/>
        </w:rPr>
      </w:pPr>
      <w:r>
        <w:t>17.</w:t>
      </w:r>
      <w:r>
        <w:tab/>
        <w:t>Annual fees (section 46(1))</w:t>
      </w:r>
      <w:r>
        <w:tab/>
      </w:r>
      <w:r>
        <w:fldChar w:fldCharType="begin"/>
      </w:r>
      <w:r>
        <w:instrText xml:space="preserve"> PAGEREF _Toc426121989 \h </w:instrText>
      </w:r>
      <w:r>
        <w:fldChar w:fldCharType="separate"/>
      </w:r>
      <w:r>
        <w:t>7</w:t>
      </w:r>
      <w:r>
        <w:fldChar w:fldCharType="end"/>
      </w:r>
    </w:p>
    <w:p>
      <w:pPr>
        <w:pStyle w:val="TOC8"/>
        <w:rPr>
          <w:rFonts w:asciiTheme="minorHAnsi" w:eastAsiaTheme="minorEastAsia" w:hAnsiTheme="minorHAnsi" w:cstheme="minorBidi"/>
          <w:szCs w:val="22"/>
        </w:rPr>
      </w:pPr>
      <w:r>
        <w:t>18.</w:t>
      </w:r>
      <w:r>
        <w:tab/>
        <w:t>Professional education and development (section 41(3)(c))</w:t>
      </w:r>
      <w:r>
        <w:tab/>
      </w:r>
      <w:r>
        <w:fldChar w:fldCharType="begin"/>
      </w:r>
      <w:r>
        <w:instrText xml:space="preserve"> PAGEREF _Toc426121990 \h </w:instrText>
      </w:r>
      <w:r>
        <w:fldChar w:fldCharType="separate"/>
      </w:r>
      <w:r>
        <w:t>8</w:t>
      </w:r>
      <w:r>
        <w:fldChar w:fldCharType="end"/>
      </w:r>
    </w:p>
    <w:p>
      <w:pPr>
        <w:pStyle w:val="TOC8"/>
        <w:rPr>
          <w:rFonts w:asciiTheme="minorHAnsi" w:eastAsiaTheme="minorEastAsia" w:hAnsiTheme="minorHAnsi" w:cstheme="minorBidi"/>
          <w:szCs w:val="22"/>
        </w:rPr>
      </w:pPr>
      <w:r>
        <w:t>19.</w:t>
      </w:r>
      <w:r>
        <w:tab/>
        <w:t>Fee for copy of register or entry in register (section 48(3))</w:t>
      </w:r>
      <w:r>
        <w:tab/>
      </w:r>
      <w:r>
        <w:fldChar w:fldCharType="begin"/>
      </w:r>
      <w:r>
        <w:instrText xml:space="preserve"> PAGEREF _Toc426121991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tab/>
        <w:t>Further notice to consent to criminal record check (section 53(3))</w:t>
      </w:r>
      <w:r>
        <w:tab/>
      </w:r>
      <w:r>
        <w:fldChar w:fldCharType="begin"/>
      </w:r>
      <w:r>
        <w:instrText xml:space="preserve"> PAGEREF _Toc426121992 \h </w:instrText>
      </w:r>
      <w:r>
        <w:fldChar w:fldCharType="separate"/>
      </w:r>
      <w:r>
        <w:t>10</w:t>
      </w:r>
      <w:r>
        <w:fldChar w:fldCharType="end"/>
      </w:r>
    </w:p>
    <w:p>
      <w:pPr>
        <w:pStyle w:val="TOC8"/>
        <w:rPr>
          <w:rFonts w:asciiTheme="minorHAnsi" w:eastAsiaTheme="minorEastAsia" w:hAnsiTheme="minorHAnsi" w:cstheme="minorBidi"/>
          <w:szCs w:val="22"/>
        </w:rPr>
      </w:pPr>
      <w:r>
        <w:t>21.</w:t>
      </w:r>
      <w:r>
        <w:tab/>
        <w:t>Unprofessional conduct (section 63(2))</w:t>
      </w:r>
      <w:r>
        <w:tab/>
      </w:r>
      <w:r>
        <w:fldChar w:fldCharType="begin"/>
      </w:r>
      <w:r>
        <w:instrText xml:space="preserve"> PAGEREF _Toc426121993 \h </w:instrText>
      </w:r>
      <w:r>
        <w:fldChar w:fldCharType="separate"/>
      </w:r>
      <w:r>
        <w:t>10</w:t>
      </w:r>
      <w:r>
        <w:fldChar w:fldCharType="end"/>
      </w:r>
    </w:p>
    <w:p>
      <w:pPr>
        <w:pStyle w:val="TOC8"/>
        <w:rPr>
          <w:rFonts w:asciiTheme="minorHAnsi" w:eastAsiaTheme="minorEastAsia" w:hAnsiTheme="minorHAnsi" w:cstheme="minorBidi"/>
          <w:szCs w:val="22"/>
        </w:rPr>
      </w:pPr>
      <w:r>
        <w:t>22.</w:t>
      </w:r>
      <w:r>
        <w:tab/>
        <w:t>Notice of disciplinary inquiry (section 66)</w:t>
      </w:r>
      <w:r>
        <w:tab/>
      </w:r>
      <w:r>
        <w:fldChar w:fldCharType="begin"/>
      </w:r>
      <w:r>
        <w:instrText xml:space="preserve"> PAGEREF _Toc426121994 \h </w:instrText>
      </w:r>
      <w:r>
        <w:fldChar w:fldCharType="separate"/>
      </w:r>
      <w:r>
        <w:t>11</w:t>
      </w:r>
      <w:r>
        <w:fldChar w:fldCharType="end"/>
      </w:r>
    </w:p>
    <w:p>
      <w:pPr>
        <w:pStyle w:val="TOC8"/>
        <w:rPr>
          <w:rFonts w:asciiTheme="minorHAnsi" w:eastAsiaTheme="minorEastAsia" w:hAnsiTheme="minorHAnsi" w:cstheme="minorBidi"/>
          <w:szCs w:val="22"/>
        </w:rPr>
      </w:pPr>
      <w:r>
        <w:t>23.</w:t>
      </w:r>
      <w:r>
        <w:tab/>
        <w:t>Publication of adverse findings (section 75(1))</w:t>
      </w:r>
      <w:r>
        <w:tab/>
      </w:r>
      <w:r>
        <w:fldChar w:fldCharType="begin"/>
      </w:r>
      <w:r>
        <w:instrText xml:space="preserve"> PAGEREF _Toc426121995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_Toc426121998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3" w:name="_Toc377569487"/>
      <w:bookmarkStart w:id="4" w:name="_Toc42612197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5" w:name="_Toc377569488"/>
      <w:bookmarkStart w:id="6" w:name="_Toc42612197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7" w:name="_Toc377569489"/>
      <w:bookmarkStart w:id="8" w:name="_Toc426121975"/>
      <w:r>
        <w:rPr>
          <w:rStyle w:val="CharSectno"/>
        </w:rPr>
        <w:t>3</w:t>
      </w:r>
      <w:r>
        <w:t>.</w:t>
      </w:r>
      <w:r>
        <w:tab/>
        <w:t>Definitions</w:t>
      </w:r>
      <w:bookmarkEnd w:id="7"/>
      <w:bookmarkEnd w:id="8"/>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9" w:name="_Toc377569490"/>
      <w:bookmarkStart w:id="10" w:name="_Toc426121976"/>
      <w:r>
        <w:rPr>
          <w:rStyle w:val="CharSectno"/>
        </w:rPr>
        <w:t>4</w:t>
      </w:r>
      <w:r>
        <w:t>.</w:t>
      </w:r>
      <w:r>
        <w:tab/>
        <w:t>Criminal record check</w:t>
      </w:r>
      <w:bookmarkEnd w:id="9"/>
      <w:bookmarkEnd w:id="10"/>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11" w:name="_Toc377569491"/>
      <w:bookmarkStart w:id="12" w:name="_Toc426121977"/>
      <w:r>
        <w:rPr>
          <w:rStyle w:val="CharSectno"/>
        </w:rPr>
        <w:t>5</w:t>
      </w:r>
      <w:r>
        <w:t>.</w:t>
      </w:r>
      <w:r>
        <w:tab/>
        <w:t>Fee for copy of minutes of Board meeting (section 12(5))</w:t>
      </w:r>
      <w:bookmarkEnd w:id="11"/>
      <w:bookmarkEnd w:id="12"/>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Lines w:val="0"/>
      </w:pPr>
      <w:bookmarkStart w:id="13" w:name="_Toc377569492"/>
      <w:bookmarkStart w:id="14" w:name="_Toc426121978"/>
      <w:r>
        <w:rPr>
          <w:rStyle w:val="CharSectno"/>
        </w:rPr>
        <w:t>6</w:t>
      </w:r>
      <w:r>
        <w:t>.</w:t>
      </w:r>
      <w:r>
        <w:tab/>
        <w:t>When unpaid volunteers are “teaching”</w:t>
      </w:r>
      <w:bookmarkEnd w:id="13"/>
      <w:bookmarkEnd w:id="14"/>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outline of curriculum and assessment in schools established by the School Curriculum and Standards Authority under the </w:t>
      </w:r>
      <w:r>
        <w:rPr>
          <w:i/>
        </w:rPr>
        <w:t>School Curriculum and Standards Authority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Footnotesection"/>
      </w:pPr>
      <w:r>
        <w:tab/>
        <w:t>[Regulation 6 amended in Gazette 14 Aug 2012 p. 3829.]</w:t>
      </w:r>
    </w:p>
    <w:p>
      <w:pPr>
        <w:pStyle w:val="Heading5"/>
      </w:pPr>
      <w:bookmarkStart w:id="15" w:name="_Toc377569493"/>
      <w:bookmarkStart w:id="16" w:name="_Toc426121979"/>
      <w:r>
        <w:rPr>
          <w:rStyle w:val="CharSectno"/>
        </w:rPr>
        <w:t>7</w:t>
      </w:r>
      <w:r>
        <w:t>.</w:t>
      </w:r>
      <w:r>
        <w:tab/>
        <w:t>Other requirements for provisional registration (section 33(d))</w:t>
      </w:r>
      <w:bookmarkEnd w:id="15"/>
      <w:bookmarkEnd w:id="16"/>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17" w:name="_Toc377569494"/>
      <w:bookmarkStart w:id="18" w:name="_Toc426121980"/>
      <w:r>
        <w:rPr>
          <w:rStyle w:val="CharSectno"/>
        </w:rPr>
        <w:t>8</w:t>
      </w:r>
      <w:r>
        <w:t>.</w:t>
      </w:r>
      <w:r>
        <w:tab/>
        <w:t>Fee for provisional registration (section 32(1)(b))</w:t>
      </w:r>
      <w:bookmarkEnd w:id="17"/>
      <w:bookmarkEnd w:id="18"/>
    </w:p>
    <w:p>
      <w:pPr>
        <w:pStyle w:val="Subsection"/>
      </w:pPr>
      <w:r>
        <w:tab/>
      </w:r>
      <w:r>
        <w:tab/>
        <w:t>The provisional registration fee is $70.00.</w:t>
      </w:r>
    </w:p>
    <w:p>
      <w:pPr>
        <w:pStyle w:val="Footnotesection"/>
      </w:pPr>
      <w:r>
        <w:tab/>
        <w:t>[Regulation 8 amended in Gazette 2 Dec 2011 p. 5058.]</w:t>
      </w:r>
    </w:p>
    <w:p>
      <w:pPr>
        <w:pStyle w:val="Heading5"/>
      </w:pPr>
      <w:bookmarkStart w:id="19" w:name="_Toc377569495"/>
      <w:bookmarkStart w:id="20" w:name="_Toc426121981"/>
      <w:r>
        <w:rPr>
          <w:rStyle w:val="CharSectno"/>
        </w:rPr>
        <w:t>9</w:t>
      </w:r>
      <w:r>
        <w:t>.</w:t>
      </w:r>
      <w:r>
        <w:tab/>
        <w:t>Registration of teachers not working in schools (section 35(f)(ii))</w:t>
      </w:r>
      <w:bookmarkEnd w:id="19"/>
      <w:bookmarkEnd w:id="20"/>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outline of curriculum and assessment in schools established by the School Curriculum and Standards Authority under the </w:t>
      </w:r>
      <w:r>
        <w:rPr>
          <w:i/>
        </w:rPr>
        <w:t>School Curriculum and Standards Authority Act 1997</w:t>
      </w:r>
      <w:r>
        <w:t>;</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Footnotesection"/>
      </w:pPr>
      <w:r>
        <w:tab/>
        <w:t>[Regulation 9 amended in Gazette 14 Aug 2012 p. 3829.]</w:t>
      </w:r>
    </w:p>
    <w:p>
      <w:pPr>
        <w:pStyle w:val="Heading5"/>
      </w:pPr>
      <w:bookmarkStart w:id="21" w:name="_Toc377569496"/>
      <w:bookmarkStart w:id="22" w:name="_Toc426121982"/>
      <w:r>
        <w:rPr>
          <w:rStyle w:val="CharSectno"/>
        </w:rPr>
        <w:t>10</w:t>
      </w:r>
      <w:r>
        <w:t>.</w:t>
      </w:r>
      <w:r>
        <w:tab/>
        <w:t>Registration of teachers from another jurisdiction (section 35(f)(ii))</w:t>
      </w:r>
      <w:bookmarkEnd w:id="21"/>
      <w:bookmarkEnd w:id="22"/>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an outline of curriculum and assessment in schools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an outline of curriculum and assessment in schools, means a law of the Commonwealth, another State, or a Territory that corresponds to the </w:t>
      </w:r>
      <w:r>
        <w:rPr>
          <w:i/>
        </w:rPr>
        <w:t>School Curriculum and Standards Authority Act 1997</w:t>
      </w:r>
      <w:r>
        <w:t>.</w:t>
      </w:r>
    </w:p>
    <w:p>
      <w:pPr>
        <w:pStyle w:val="Footnotesection"/>
      </w:pPr>
      <w:r>
        <w:tab/>
        <w:t>[Regulation 10 amended in Gazette 14 Aug 2012 p. 3830.]</w:t>
      </w:r>
    </w:p>
    <w:p>
      <w:pPr>
        <w:pStyle w:val="Heading5"/>
      </w:pPr>
      <w:bookmarkStart w:id="23" w:name="_Toc377569497"/>
      <w:bookmarkStart w:id="24" w:name="_Toc426121983"/>
      <w:r>
        <w:rPr>
          <w:rStyle w:val="CharSectno"/>
        </w:rPr>
        <w:t>11</w:t>
      </w:r>
      <w:r>
        <w:t>.</w:t>
      </w:r>
      <w:r>
        <w:tab/>
        <w:t>Other registration requirements (section 35(g))</w:t>
      </w:r>
      <w:bookmarkEnd w:id="23"/>
      <w:bookmarkEnd w:id="24"/>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25" w:name="_Toc377569498"/>
      <w:bookmarkStart w:id="26" w:name="_Toc426121984"/>
      <w:r>
        <w:rPr>
          <w:rStyle w:val="CharSectno"/>
        </w:rPr>
        <w:t>12</w:t>
      </w:r>
      <w:r>
        <w:t>.</w:t>
      </w:r>
      <w:r>
        <w:tab/>
        <w:t>Registration fee (section 34(1)(b))</w:t>
      </w:r>
      <w:bookmarkEnd w:id="25"/>
      <w:bookmarkEnd w:id="26"/>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27" w:name="_Toc377569499"/>
      <w:bookmarkStart w:id="28" w:name="_Toc426121985"/>
      <w:r>
        <w:rPr>
          <w:rStyle w:val="CharSectno"/>
        </w:rPr>
        <w:t>13</w:t>
      </w:r>
      <w:r>
        <w:t>.</w:t>
      </w:r>
      <w:r>
        <w:tab/>
        <w:t>Requirements for limited authority to teach (section 37(1)(e))</w:t>
      </w:r>
      <w:bookmarkEnd w:id="27"/>
      <w:bookmarkEnd w:id="28"/>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29" w:name="_Toc377569500"/>
      <w:bookmarkStart w:id="30" w:name="_Toc426121986"/>
      <w:r>
        <w:rPr>
          <w:rStyle w:val="CharSectno"/>
        </w:rPr>
        <w:t>14</w:t>
      </w:r>
      <w:r>
        <w:t>.</w:t>
      </w:r>
      <w:r>
        <w:tab/>
        <w:t>Fee for limited authority to teach (section 36(1)(b))</w:t>
      </w:r>
      <w:bookmarkEnd w:id="29"/>
      <w:bookmarkEnd w:id="30"/>
    </w:p>
    <w:p>
      <w:pPr>
        <w:pStyle w:val="Subsection"/>
      </w:pPr>
      <w:r>
        <w:tab/>
      </w:r>
      <w:r>
        <w:tab/>
        <w:t>The fee for a limited authority to teach is $150.00.</w:t>
      </w:r>
    </w:p>
    <w:p>
      <w:pPr>
        <w:pStyle w:val="Footnotesection"/>
      </w:pPr>
      <w:r>
        <w:tab/>
        <w:t>[Regulation 14 amended in Gazette 2 Dec 2011 p. 5058.]</w:t>
      </w:r>
    </w:p>
    <w:p>
      <w:pPr>
        <w:pStyle w:val="Heading5"/>
      </w:pPr>
      <w:bookmarkStart w:id="31" w:name="_Toc377569501"/>
      <w:bookmarkStart w:id="32" w:name="_Toc426121987"/>
      <w:r>
        <w:rPr>
          <w:rStyle w:val="CharSectno"/>
        </w:rPr>
        <w:t>15</w:t>
      </w:r>
      <w:r>
        <w:t>.</w:t>
      </w:r>
      <w:r>
        <w:tab/>
        <w:t>Associate membership fee (section 38(1)(b))</w:t>
      </w:r>
      <w:bookmarkEnd w:id="31"/>
      <w:bookmarkEnd w:id="32"/>
    </w:p>
    <w:p>
      <w:pPr>
        <w:pStyle w:val="Subsection"/>
      </w:pPr>
      <w:r>
        <w:tab/>
      </w:r>
      <w:r>
        <w:tab/>
        <w:t>The fee for associate membership of the College is $20.00.</w:t>
      </w:r>
    </w:p>
    <w:p>
      <w:pPr>
        <w:pStyle w:val="Heading5"/>
      </w:pPr>
      <w:bookmarkStart w:id="33" w:name="_Toc377569502"/>
      <w:bookmarkStart w:id="34" w:name="_Toc426121988"/>
      <w:r>
        <w:rPr>
          <w:rStyle w:val="CharSectno"/>
        </w:rPr>
        <w:t>16</w:t>
      </w:r>
      <w:r>
        <w:t>.</w:t>
      </w:r>
      <w:r>
        <w:tab/>
        <w:t>Fee for membership applications (section 40(2)(d))</w:t>
      </w:r>
      <w:bookmarkEnd w:id="33"/>
      <w:bookmarkEnd w:id="34"/>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r>
        <w:tab/>
        <w:t>[Regulation 16 amended in Gazette 2 Dec 2011 p. 5058; 20 Dec 2011 p. 5374.]</w:t>
      </w:r>
    </w:p>
    <w:p>
      <w:pPr>
        <w:pStyle w:val="Heading5"/>
      </w:pPr>
      <w:bookmarkStart w:id="35" w:name="_Toc377569503"/>
      <w:bookmarkStart w:id="36" w:name="_Toc426121989"/>
      <w:r>
        <w:rPr>
          <w:rStyle w:val="CharSectno"/>
        </w:rPr>
        <w:t>17</w:t>
      </w:r>
      <w:r>
        <w:t>.</w:t>
      </w:r>
      <w:r>
        <w:tab/>
        <w:t>Annual fees (section 46(1))</w:t>
      </w:r>
      <w:bookmarkEnd w:id="35"/>
      <w:bookmarkEnd w:id="36"/>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37" w:name="_Toc377569504"/>
      <w:bookmarkStart w:id="38" w:name="_Toc426121990"/>
      <w:r>
        <w:rPr>
          <w:rStyle w:val="CharSectno"/>
        </w:rPr>
        <w:t>18</w:t>
      </w:r>
      <w:r>
        <w:t>.</w:t>
      </w:r>
      <w:r>
        <w:tab/>
        <w:t>Professional education and development (section 41(3)(c))</w:t>
      </w:r>
      <w:bookmarkEnd w:id="37"/>
      <w:bookmarkEnd w:id="38"/>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39" w:name="_Toc377569505"/>
      <w:bookmarkStart w:id="40" w:name="_Toc426121991"/>
      <w:r>
        <w:rPr>
          <w:rStyle w:val="CharSectno"/>
        </w:rPr>
        <w:t>19</w:t>
      </w:r>
      <w:r>
        <w:t>.</w:t>
      </w:r>
      <w:r>
        <w:tab/>
        <w:t>Fee for copy of register or entry in register (section 48(3))</w:t>
      </w:r>
      <w:bookmarkEnd w:id="39"/>
      <w:bookmarkEnd w:id="40"/>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41" w:name="_Toc377569506"/>
      <w:bookmarkStart w:id="42" w:name="_Toc426121992"/>
      <w:r>
        <w:rPr>
          <w:rStyle w:val="CharSectno"/>
        </w:rPr>
        <w:t>20</w:t>
      </w:r>
      <w:r>
        <w:t>.</w:t>
      </w:r>
      <w:r>
        <w:tab/>
        <w:t>Further notice to consent to criminal record check (section 53(3))</w:t>
      </w:r>
      <w:bookmarkEnd w:id="41"/>
      <w:bookmarkEnd w:id="42"/>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43" w:name="_Toc377569507"/>
      <w:bookmarkStart w:id="44" w:name="_Toc426121993"/>
      <w:r>
        <w:rPr>
          <w:rStyle w:val="CharSectno"/>
        </w:rPr>
        <w:t>21</w:t>
      </w:r>
      <w:r>
        <w:t>.</w:t>
      </w:r>
      <w:r>
        <w:tab/>
        <w:t>Unprofessional conduct (section 63(2))</w:t>
      </w:r>
      <w:bookmarkEnd w:id="43"/>
      <w:bookmarkEnd w:id="44"/>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45" w:name="_Toc377569508"/>
      <w:bookmarkStart w:id="46" w:name="_Toc426121994"/>
      <w:r>
        <w:rPr>
          <w:rStyle w:val="CharSectno"/>
        </w:rPr>
        <w:t>22</w:t>
      </w:r>
      <w:r>
        <w:t>.</w:t>
      </w:r>
      <w:r>
        <w:tab/>
        <w:t>Notice of disciplinary inquiry (section 66)</w:t>
      </w:r>
      <w:bookmarkEnd w:id="45"/>
      <w:bookmarkEnd w:id="46"/>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47" w:name="_Toc377569509"/>
      <w:bookmarkStart w:id="48" w:name="_Toc426121995"/>
      <w:r>
        <w:rPr>
          <w:rStyle w:val="CharSectno"/>
        </w:rPr>
        <w:t>23</w:t>
      </w:r>
      <w:r>
        <w:t>.</w:t>
      </w:r>
      <w:r>
        <w:tab/>
        <w:t>Publication of adverse findings (section 75(1))</w:t>
      </w:r>
      <w:bookmarkEnd w:id="47"/>
      <w:bookmarkEnd w:id="48"/>
    </w:p>
    <w:p>
      <w:pPr>
        <w:pStyle w:val="Subsection"/>
      </w:pPr>
      <w:r>
        <w:tab/>
      </w:r>
      <w:r>
        <w:tab/>
        <w:t xml:space="preserve">Publication in the </w:t>
      </w:r>
      <w:r>
        <w:rPr>
          <w:i/>
          <w:iCs/>
        </w:rPr>
        <w:t>Gazette</w:t>
      </w:r>
      <w:r>
        <w:t xml:space="preserve"> is required for the purposes of section 75(1)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 w:name="_Toc377569510"/>
      <w:bookmarkStart w:id="50" w:name="_Toc426121996"/>
      <w:r>
        <w:rPr>
          <w:rStyle w:val="CharSchNo"/>
        </w:rPr>
        <w:t>Schedule 1</w:t>
      </w:r>
      <w:r>
        <w:t> — </w:t>
      </w:r>
      <w:r>
        <w:rPr>
          <w:rStyle w:val="CharSchText"/>
        </w:rPr>
        <w:t>Form of notice</w:t>
      </w:r>
      <w:bookmarkEnd w:id="49"/>
      <w:bookmarkEnd w:id="50"/>
    </w:p>
    <w:p>
      <w:pPr>
        <w:pStyle w:val="yShoulderClause"/>
      </w:pPr>
      <w:r>
        <w:t>[r. 20]</w:t>
      </w:r>
    </w:p>
    <w:p>
      <w:pPr>
        <w:pStyle w:val="yMiscellaneousBody"/>
        <w:jc w:val="center"/>
        <w:rPr>
          <w:i/>
          <w:iCs/>
        </w:rPr>
      </w:pPr>
      <w:r>
        <w:rPr>
          <w:i/>
          <w:iC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pPr>
      <w:r>
        <w:t xml:space="preserve">Your membership of 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may be cancelled under section 57 of the </w:t>
      </w:r>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r>
        <w:rPr>
          <w:i/>
        </w:rPr>
        <w:t xml:space="preserve"> of Teaching Act 2004</w:t>
      </w:r>
      <w:r>
        <w:t xml:space="preserve"> unless you provide written consent for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to obtain a criminal record check about you. </w:t>
      </w:r>
    </w:p>
    <w:p>
      <w:pPr>
        <w:pStyle w:val="yMiscellaneousBody"/>
        <w:spacing w:before="360"/>
        <w:rPr>
          <w:b/>
          <w:bCs/>
        </w:rPr>
      </w:pPr>
      <w:r>
        <w:rPr>
          <w:b/>
          <w:bCs/>
        </w:rPr>
        <w:t>CRIMINAL RECORD CHECK</w:t>
      </w:r>
    </w:p>
    <w:p>
      <w:pPr>
        <w:pStyle w:val="yMiscellaneousBody"/>
      </w:pPr>
      <w:r>
        <w:t xml:space="preserve">A </w:t>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w:t>
      </w:r>
    </w:p>
    <w:p>
      <w:pPr>
        <w:pStyle w:val="yMiscellaneousBody"/>
        <w:spacing w:before="360"/>
        <w:rPr>
          <w:b/>
          <w:bCs/>
        </w:rPr>
      </w:pPr>
      <w:r>
        <w:rPr>
          <w:b/>
          <w:bCs/>
        </w:rPr>
        <w:t>TIME WITHIN WHICH CONSENT TO UNDERTAKE THE CRIMINAL RECORD CHECK IS TO BE GIVEN</w:t>
      </w:r>
    </w:p>
    <w:p>
      <w:pPr>
        <w:pStyle w:val="yMiscellaneousBody"/>
      </w:pPr>
      <w:r>
        <w:t xml:space="preserve">To comply with this notice you must give your written consent to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by …………… 20</w:t>
      </w:r>
    </w:p>
    <w:p>
      <w:pPr>
        <w:pStyle w:val="yMiscellaneousBody"/>
      </w:pPr>
      <w:r>
        <w:t>If a time is not specified in this notice, the consent is to be provided to the College within 7 days of receiving this notice.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2" w:name="_Toc377569511"/>
      <w:bookmarkStart w:id="53" w:name="_Toc426121997"/>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p>
    <w:p>
      <w:pPr>
        <w:pStyle w:val="nHeading3"/>
      </w:pPr>
      <w:bookmarkStart w:id="54" w:name="_Toc377569512"/>
      <w:bookmarkStart w:id="55" w:name="_Toc426121998"/>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Regulations 2004</w:t>
            </w:r>
          </w:p>
        </w:tc>
        <w:tc>
          <w:tcPr>
            <w:tcW w:w="1276" w:type="dxa"/>
            <w:tcBorders>
              <w:top w:val="single" w:sz="8" w:space="0" w:color="auto"/>
            </w:tcBorders>
          </w:tcPr>
          <w:p>
            <w:pPr>
              <w:pStyle w:val="nTable"/>
            </w:pPr>
            <w:r>
              <w:t>3 Sep 2004 p. 3863-78</w:t>
            </w:r>
          </w:p>
        </w:tc>
        <w:tc>
          <w:tcPr>
            <w:tcW w:w="2693" w:type="dxa"/>
            <w:tcBorders>
              <w:top w:val="single" w:sz="8" w:space="0" w:color="auto"/>
            </w:tcBorders>
          </w:tcPr>
          <w:p>
            <w:pPr>
              <w:pStyle w:val="nTable"/>
            </w:pPr>
            <w:r>
              <w:t xml:space="preserve">15 Sep 2004 (see r. 2 and </w:t>
            </w:r>
            <w:r>
              <w:rPr>
                <w:i/>
                <w:iCs/>
              </w:rPr>
              <w:t>Gazette</w:t>
            </w:r>
            <w:r>
              <w:t xml:space="preserve"> 3 Sep 2004 p. 3849)</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2010</w:t>
            </w:r>
          </w:p>
        </w:tc>
        <w:tc>
          <w:tcPr>
            <w:tcW w:w="1276" w:type="dxa"/>
          </w:tcPr>
          <w:p>
            <w:pPr>
              <w:pStyle w:val="nTable"/>
            </w:pPr>
            <w:r>
              <w:t>3 Dec 2010 p. 6087</w:t>
            </w:r>
            <w:r>
              <w:noBreakHyphen/>
              <w:t>8</w:t>
            </w:r>
          </w:p>
        </w:tc>
        <w:tc>
          <w:tcPr>
            <w:tcW w:w="2693" w:type="dxa"/>
          </w:tcPr>
          <w:p>
            <w:pPr>
              <w:pStyle w:val="nTable"/>
            </w:pPr>
            <w:r>
              <w:rPr>
                <w:snapToGrid w:val="0"/>
              </w:rPr>
              <w:t>r. 1 and 2: 3 Dec 2010 (see r. 2(a));</w:t>
            </w:r>
            <w:r>
              <w:rPr>
                <w:snapToGrid w:val="0"/>
              </w:rPr>
              <w:br/>
              <w:t>Regulations other than r. 1 and 2: 4 Dec 2010 (see r. 2(b))</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2011</w:t>
            </w:r>
          </w:p>
        </w:tc>
        <w:tc>
          <w:tcPr>
            <w:tcW w:w="1276" w:type="dxa"/>
          </w:tcPr>
          <w:p>
            <w:pPr>
              <w:pStyle w:val="nTable"/>
            </w:pPr>
            <w:r>
              <w:t>2 Dec 2011 p. 5057</w:t>
            </w:r>
            <w:r>
              <w:noBreakHyphen/>
              <w:t>9</w:t>
            </w:r>
          </w:p>
        </w:tc>
        <w:tc>
          <w:tcPr>
            <w:tcW w:w="2693" w:type="dxa"/>
          </w:tcPr>
          <w:p>
            <w:pPr>
              <w:pStyle w:val="nTable"/>
              <w:rPr>
                <w:snapToGrid w:val="0"/>
              </w:rPr>
            </w:pPr>
            <w:r>
              <w:rPr>
                <w:snapToGrid w:val="0"/>
              </w:rPr>
              <w:t>r. 1 and 2: 2 Dec 2011 (see r. 2(a));</w:t>
            </w:r>
            <w:r>
              <w:rPr>
                <w:snapToGrid w:val="0"/>
              </w:rPr>
              <w:br/>
              <w:t>Regulations other than r. 1 and 2: 1 Jan 2012 (see r. 2(b))</w:t>
            </w:r>
          </w:p>
        </w:tc>
      </w:tr>
      <w:tr>
        <w:tc>
          <w:tcPr>
            <w:tcW w:w="3118" w:type="dxa"/>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(No. 2) 2011</w:t>
            </w:r>
          </w:p>
        </w:tc>
        <w:tc>
          <w:tcPr>
            <w:tcW w:w="1276" w:type="dxa"/>
          </w:tcPr>
          <w:p>
            <w:pPr>
              <w:pStyle w:val="nTable"/>
            </w:pPr>
            <w:r>
              <w:t>20 Dec 2011 p. 5373</w:t>
            </w:r>
            <w:r>
              <w:noBreakHyphen/>
              <w:t>4</w:t>
            </w:r>
          </w:p>
        </w:tc>
        <w:tc>
          <w:tcPr>
            <w:tcW w:w="2693" w:type="dxa"/>
          </w:tcPr>
          <w:p>
            <w:pPr>
              <w:pStyle w:val="nTable"/>
              <w:rPr>
                <w:snapToGrid w:val="0"/>
              </w:rPr>
            </w:pPr>
            <w:r>
              <w:rPr>
                <w:snapToGrid w:val="0"/>
              </w:rPr>
              <w:t>r. 1 and 2: 20 Dec 2011 (see r. 2(a));</w:t>
            </w:r>
            <w:r>
              <w:rPr>
                <w:snapToGrid w:val="0"/>
              </w:rPr>
              <w:br/>
              <w:t xml:space="preserve">Regulations other than r. 1 and 2: 1 Jan 2012 (see r. 2(b) and </w:t>
            </w:r>
            <w:r>
              <w:rPr>
                <w:i/>
                <w:snapToGrid w:val="0"/>
              </w:rPr>
              <w:t>Gazette</w:t>
            </w:r>
            <w:r>
              <w:rPr>
                <w:snapToGrid w:val="0"/>
              </w:rPr>
              <w:t xml:space="preserve"> 2 Dec 2011 p. 5057-9)</w:t>
            </w:r>
          </w:p>
        </w:tc>
      </w:tr>
      <w:tr>
        <w:tc>
          <w:tcPr>
            <w:tcW w:w="3118" w:type="dxa"/>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2012</w:t>
            </w:r>
          </w:p>
        </w:tc>
        <w:tc>
          <w:tcPr>
            <w:tcW w:w="1276" w:type="dxa"/>
          </w:tcPr>
          <w:p>
            <w:pPr>
              <w:pStyle w:val="nTable"/>
            </w:pPr>
            <w:r>
              <w:t>22 May 2012 p. 2162-3</w:t>
            </w:r>
          </w:p>
        </w:tc>
        <w:tc>
          <w:tcPr>
            <w:tcW w:w="2693" w:type="dxa"/>
          </w:tcPr>
          <w:p>
            <w:pPr>
              <w:pStyle w:val="nTable"/>
              <w:rPr>
                <w:snapToGrid w:val="0"/>
              </w:rPr>
            </w:pPr>
            <w:r>
              <w:rPr>
                <w:snapToGrid w:val="0"/>
              </w:rPr>
              <w:t>r. 1 and 2: 22 May 2012 (see r. 2(a));</w:t>
            </w:r>
            <w:r>
              <w:rPr>
                <w:snapToGrid w:val="0"/>
              </w:rPr>
              <w:br/>
              <w:t>Regulations other than r. 1 and 2: 23 May 2012 (see r. 2(b))</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(No. 2) 2012</w:t>
            </w:r>
          </w:p>
        </w:tc>
        <w:tc>
          <w:tcPr>
            <w:tcW w:w="1276" w:type="dxa"/>
          </w:tcPr>
          <w:p>
            <w:pPr>
              <w:pStyle w:val="nTable"/>
            </w:pPr>
            <w:r>
              <w:t>14 Aug 2012 p. 3829-30</w:t>
            </w:r>
          </w:p>
        </w:tc>
        <w:tc>
          <w:tcPr>
            <w:tcW w:w="2693" w:type="dxa"/>
          </w:tcPr>
          <w:p>
            <w:pPr>
              <w:pStyle w:val="nTable"/>
              <w:rPr>
                <w:snapToGrid w:val="0"/>
              </w:rPr>
            </w:pPr>
            <w:r>
              <w:rPr>
                <w:snapToGrid w:val="0"/>
              </w:rPr>
              <w:t>r. 1 and 2: 14 Aug 2012 (see r. 2(a));</w:t>
            </w:r>
            <w:r>
              <w:rPr>
                <w:snapToGrid w:val="0"/>
              </w:rPr>
              <w:br/>
              <w:t>Regulations other than r. 1 and 2: 15 Aug 2012 (see r. 2(b))</w:t>
            </w:r>
          </w:p>
        </w:tc>
      </w:tr>
      <w:tr>
        <w:trPr>
          <w:cantSplit/>
        </w:trPr>
        <w:tc>
          <w:tcPr>
            <w:tcW w:w="7087" w:type="dxa"/>
            <w:gridSpan w:val="3"/>
            <w:tcBorders>
              <w:bottom w:val="single" w:sz="4" w:space="0" w:color="auto"/>
            </w:tcBorders>
          </w:tcPr>
          <w:p>
            <w:pPr>
              <w:pStyle w:val="nTable"/>
              <w:rPr>
                <w:b/>
                <w:bCs/>
                <w:snapToGrid w:val="0"/>
                <w:color w:val="FF0000"/>
              </w:rPr>
            </w:pPr>
            <w:r>
              <w:rPr>
                <w:b/>
                <w:bCs/>
                <w:snapToGrid w:val="0"/>
                <w:color w:val="FF0000"/>
              </w:rPr>
              <w:t xml:space="preserve">These regulations were repealed by </w:t>
            </w:r>
            <w:r>
              <w:rPr>
                <w:b/>
                <w:color w:val="FF0000"/>
              </w:rPr>
              <w:t xml:space="preserve">the </w:t>
            </w:r>
            <w:r>
              <w:rPr>
                <w:b/>
                <w:i/>
                <w:snapToGrid w:val="0"/>
                <w:color w:val="FF0000"/>
              </w:rPr>
              <w:t>Teacher Registration Act 2012</w:t>
            </w:r>
            <w:r>
              <w:rPr>
                <w:b/>
                <w:color w:val="FF0000"/>
              </w:rPr>
              <w:t xml:space="preserve"> s. 133 (No. 16 of 2012) as at 7 Dec 2012 (see s. 2(b) and </w:t>
            </w:r>
            <w:r>
              <w:rPr>
                <w:b/>
                <w:i/>
                <w:iCs/>
                <w:color w:val="FF0000"/>
              </w:rPr>
              <w:t>Gazette</w:t>
            </w:r>
            <w:r>
              <w:rPr>
                <w:b/>
                <w:color w:val="FF0000"/>
              </w:rPr>
              <w:t xml:space="preserve"> 16 Nov 2012 p. 5637)</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corresponding law</w:t>
      </w:r>
      <w:r>
        <w:tab/>
        <w:t>10(5)</w:t>
      </w:r>
    </w:p>
    <w:p>
      <w:pPr>
        <w:pStyle w:val="DefinedTerms"/>
      </w:pPr>
      <w:r>
        <w:t>criminal record check</w:t>
      </w:r>
      <w:r>
        <w:tab/>
        <w:t>Sch. 1</w:t>
      </w:r>
    </w:p>
    <w:p>
      <w:pPr>
        <w:pStyle w:val="DefinedTerms"/>
      </w:pPr>
      <w:r>
        <w:t>membership year</w:t>
      </w:r>
      <w:r>
        <w:tab/>
        <w:t>3</w:t>
      </w:r>
    </w:p>
    <w:p>
      <w:pPr>
        <w:pStyle w:val="DefinedTerms"/>
      </w:pPr>
      <w:r>
        <w:t>mutual recognition principle</w:t>
      </w:r>
      <w:r>
        <w:tab/>
        <w:t>3</w:t>
      </w:r>
    </w:p>
    <w:p>
      <w:pPr>
        <w:pStyle w:val="DefinedTerms"/>
      </w:pPr>
      <w:r>
        <w:t>quarter</w:t>
      </w:r>
      <w:r>
        <w:tab/>
        <w:t>3</w:t>
      </w:r>
    </w:p>
    <w:p>
      <w:pPr>
        <w:pStyle w:val="DefinedTerms"/>
      </w:pPr>
      <w:r>
        <w:t>serious misconduct the nature of which renders the person unfit to be a teacher</w:t>
      </w:r>
      <w:r>
        <w:tab/>
        <w:t>21(2)</w:t>
      </w:r>
    </w:p>
    <w:p>
      <w:pPr>
        <w:pStyle w:val="DefinedTerms"/>
      </w:pPr>
      <w:r>
        <w:t>seriously incompetent as a teacher</w:t>
      </w:r>
      <w:r>
        <w:tab/>
        <w:t>21(1)</w:t>
      </w:r>
    </w:p>
    <w:p>
      <w:pPr>
        <w:pStyle w:val="DefinedTerms"/>
      </w:pPr>
      <w:r>
        <w:t>Trans</w:t>
      </w:r>
      <w:r>
        <w:noBreakHyphen/>
        <w:t>Tasman mutual recognition principle</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Western Australian College of Teaching Regulations 2004</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tc>
            <w:tc>
              <w:tcPr>
                <w:tcW w:w="5715" w:type="dxa"/>
              </w:tcPr>
              <w:p/>
            </w:tc>
          </w:tr>
          <w:tr>
            <w:tc>
              <w:tcPr>
                <w:tcW w:w="1548" w:type="dxa"/>
              </w:tcPr>
              <w:p/>
            </w:tc>
            <w:tc>
              <w:tcPr>
                <w:tcW w:w="5715" w:type="dxa"/>
              </w:tcPr>
              <w:p/>
            </w:tc>
          </w:tr>
        </w:tbl>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B88C7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24"/>
    <w:docVar w:name="WAFER_20140115170414" w:val="RemoveTocBookmarks,RemoveUnusedBookmarks,RemoveLanguageTags,UsedStyles,ResetPageSize,UpdateArrangement"/>
    <w:docVar w:name="WAFER_20140115170414_GUID" w:val="dfdc17fa-b77c-497a-b722-cf6115a50549"/>
    <w:docVar w:name="WAFER_20140115171345" w:val="RemoveTocBookmarks,RunningHeaders"/>
    <w:docVar w:name="WAFER_20140115171345_GUID" w:val="a68fde7b-9cc5-4e43-bf15-24d2722d0c4e"/>
    <w:docVar w:name="WAFER_20150731125128" w:val="ResetPageSize,UpdateArrangement,UpdateNTable"/>
    <w:docVar w:name="WAFER_20150731125128_GUID" w:val="053e897b-d0d1-4f7c-8ca0-914f416eaa8e"/>
    <w:docVar w:name="WAFER_20151117144939" w:val="UpdateStyles,UsedStyles"/>
    <w:docVar w:name="WAFER_20151117144939_GUID" w:val="22583788-4969-431b-9f4d-a43768350b3b"/>
    <w:docVar w:name="WAFER_20151201142724" w:val="RemoveTrackChanges"/>
    <w:docVar w:name="WAFER_20151201142724_GUID" w:val="8be59b84-3efa-43e2-8329-691deda7c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3603</Words>
  <Characters>18592</Characters>
  <Application>Microsoft Office Word</Application>
  <DocSecurity>0</DocSecurity>
  <Lines>516</Lines>
  <Paragraphs>274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2004 - 00-i0-05</dc:title>
  <dc:subject/>
  <dc:creator/>
  <cp:keywords/>
  <dc:description/>
  <cp:lastModifiedBy>svcMRProcess</cp:lastModifiedBy>
  <cp:revision>4</cp:revision>
  <cp:lastPrinted>2004-09-15T03:41:00Z</cp:lastPrinted>
  <dcterms:created xsi:type="dcterms:W3CDTF">2015-12-01T07:39:00Z</dcterms:created>
  <dcterms:modified xsi:type="dcterms:W3CDTF">2015-12-01T07:39:00Z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20121207</vt:lpwstr>
  </property>
  <property fmtid="{D5CDD505-2E9C-101B-9397-08002B2CF9AE}" pid="4" name="OwlsUID">
    <vt:i4>34844</vt:i4>
  </property>
  <property fmtid="{D5CDD505-2E9C-101B-9397-08002B2CF9AE}" pid="5" name="DocumentType">
    <vt:lpwstr>Reg</vt:lpwstr>
  </property>
  <property fmtid="{D5CDD505-2E9C-101B-9397-08002B2CF9AE}" pid="6" name="AsAtDate">
    <vt:lpwstr>07 Dec 2012</vt:lpwstr>
  </property>
  <property fmtid="{D5CDD505-2E9C-101B-9397-08002B2CF9AE}" pid="7" name="Suffix">
    <vt:lpwstr>00-i0-05</vt:lpwstr>
  </property>
  <property fmtid="{D5CDD505-2E9C-101B-9397-08002B2CF9AE}" pid="8" name="Status">
    <vt:lpwstr>NIF</vt:lpwstr>
  </property>
</Properties>
</file>