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ind w:left="570" w:right="59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Interest Disclosure Act 2003</w:t>
      </w:r>
      <w:r>
        <w:rPr>
          <w:sz w:val="48"/>
        </w:rPr>
        <w:fldChar w:fldCharType="end"/>
      </w:r>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 February 2013</w:t>
            </w:r>
            <w:r>
              <w:rPr>
                <w:b/>
                <w:sz w:val="22"/>
              </w:rPr>
              <w:fldChar w:fldCharType="end"/>
            </w:r>
          </w:p>
        </w:tc>
      </w:tr>
    </w:tbl>
    <w:p>
      <w:pPr>
        <w:pStyle w:val="WA"/>
        <w:spacing w:before="120"/>
        <w:outlineLvl w:val="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Public Interest Disclosure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_Toc381880583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_Toc381880584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_Toc381880585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_Toc381880586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2 — Public interest disclosures</w:t>
      </w:r>
    </w:p>
    <w:p>
      <w:pPr>
        <w:pStyle w:val="TOC4"/>
        <w:tabs>
          <w:tab w:val="right" w:leader="dot" w:pos="7086"/>
        </w:tabs>
        <w:rPr>
          <w:rFonts w:asciiTheme="minorHAnsi" w:eastAsiaTheme="minorEastAsia" w:hAnsiTheme="minorHAnsi" w:cstheme="minorBidi"/>
          <w:b w:val="0"/>
          <w:szCs w:val="22"/>
        </w:rPr>
      </w:pPr>
      <w:r>
        <w:t>Division 1 — Disclosures</w:t>
      </w:r>
    </w:p>
    <w:p>
      <w:pPr>
        <w:pStyle w:val="TOC8"/>
        <w:rPr>
          <w:rFonts w:asciiTheme="minorHAnsi" w:eastAsiaTheme="minorEastAsia" w:hAnsiTheme="minorHAnsi" w:cstheme="minorBidi"/>
          <w:szCs w:val="22"/>
        </w:rPr>
      </w:pPr>
      <w:r>
        <w:t>5.</w:t>
      </w:r>
      <w:r>
        <w:tab/>
        <w:t>Appropriate disclosure of public interest information, making</w:t>
      </w:r>
      <w:r>
        <w:tab/>
      </w:r>
      <w:r>
        <w:fldChar w:fldCharType="begin"/>
      </w:r>
      <w:r>
        <w:instrText xml:space="preserve"> PAGEREF _Toc381880589 \h </w:instrText>
      </w:r>
      <w:r>
        <w:fldChar w:fldCharType="separate"/>
      </w:r>
      <w:r>
        <w:t>6</w:t>
      </w:r>
      <w:r>
        <w:fldChar w:fldCharType="end"/>
      </w:r>
    </w:p>
    <w:p>
      <w:pPr>
        <w:pStyle w:val="TOC8"/>
        <w:rPr>
          <w:rFonts w:asciiTheme="minorHAnsi" w:eastAsiaTheme="minorEastAsia" w:hAnsiTheme="minorHAnsi" w:cstheme="minorBidi"/>
          <w:szCs w:val="22"/>
        </w:rPr>
      </w:pPr>
      <w:r>
        <w:t>6.</w:t>
      </w:r>
      <w:r>
        <w:tab/>
        <w:t>Liability of person disclosing unaffected</w:t>
      </w:r>
      <w:r>
        <w:tab/>
      </w:r>
      <w:r>
        <w:fldChar w:fldCharType="begin"/>
      </w:r>
      <w:r>
        <w:instrText xml:space="preserve"> PAGEREF _Toc381880590 \h </w:instrText>
      </w:r>
      <w:r>
        <w:fldChar w:fldCharType="separate"/>
      </w:r>
      <w:r>
        <w:t>8</w:t>
      </w:r>
      <w:r>
        <w:fldChar w:fldCharType="end"/>
      </w:r>
    </w:p>
    <w:p>
      <w:pPr>
        <w:pStyle w:val="TOC8"/>
        <w:rPr>
          <w:rFonts w:asciiTheme="minorHAnsi" w:eastAsiaTheme="minorEastAsia" w:hAnsiTheme="minorHAnsi" w:cstheme="minorBidi"/>
          <w:szCs w:val="22"/>
        </w:rPr>
      </w:pPr>
      <w:r>
        <w:t>7A.</w:t>
      </w:r>
      <w:r>
        <w:tab/>
        <w:t>Disclosure of public interest information to journalist, when may be made</w:t>
      </w:r>
      <w:r>
        <w:tab/>
      </w:r>
      <w:r>
        <w:fldChar w:fldCharType="begin"/>
      </w:r>
      <w:r>
        <w:instrText xml:space="preserve"> PAGEREF _Toc381880591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Obligations of a person to whom a disclosure is made</w:t>
      </w:r>
    </w:p>
    <w:p>
      <w:pPr>
        <w:pStyle w:val="TOC8"/>
        <w:rPr>
          <w:rFonts w:asciiTheme="minorHAnsi" w:eastAsiaTheme="minorEastAsia" w:hAnsiTheme="minorHAnsi" w:cstheme="minorBidi"/>
          <w:szCs w:val="22"/>
        </w:rPr>
      </w:pPr>
      <w:r>
        <w:t>7.</w:t>
      </w:r>
      <w:r>
        <w:tab/>
        <w:t>Term used: proper authority</w:t>
      </w:r>
      <w:r>
        <w:tab/>
      </w:r>
      <w:r>
        <w:fldChar w:fldCharType="begin"/>
      </w:r>
      <w:r>
        <w:instrText xml:space="preserve"> PAGEREF _Toc381880593 \h </w:instrText>
      </w:r>
      <w:r>
        <w:fldChar w:fldCharType="separate"/>
      </w:r>
      <w:r>
        <w:t>9</w:t>
      </w:r>
      <w:r>
        <w:fldChar w:fldCharType="end"/>
      </w:r>
    </w:p>
    <w:p>
      <w:pPr>
        <w:pStyle w:val="TOC8"/>
        <w:rPr>
          <w:rFonts w:asciiTheme="minorHAnsi" w:eastAsiaTheme="minorEastAsia" w:hAnsiTheme="minorHAnsi" w:cstheme="minorBidi"/>
          <w:szCs w:val="22"/>
        </w:rPr>
      </w:pPr>
      <w:r>
        <w:t>8.</w:t>
      </w:r>
      <w:r>
        <w:tab/>
        <w:t>Proper authority’s functions as to disclosed information</w:t>
      </w:r>
      <w:r>
        <w:tab/>
      </w:r>
      <w:r>
        <w:fldChar w:fldCharType="begin"/>
      </w:r>
      <w:r>
        <w:instrText xml:space="preserve"> PAGEREF _Toc381880594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Proper authority’s duties as to matter that might be disclosed</w:t>
      </w:r>
      <w:r>
        <w:tab/>
      </w:r>
      <w:r>
        <w:fldChar w:fldCharType="begin"/>
      </w:r>
      <w:r>
        <w:instrText xml:space="preserve"> PAGEREF _Toc381880595 \h </w:instrText>
      </w:r>
      <w:r>
        <w:fldChar w:fldCharType="separate"/>
      </w:r>
      <w:r>
        <w:t>10</w:t>
      </w:r>
      <w:r>
        <w:fldChar w:fldCharType="end"/>
      </w:r>
    </w:p>
    <w:p>
      <w:pPr>
        <w:pStyle w:val="TOC8"/>
        <w:rPr>
          <w:rFonts w:asciiTheme="minorHAnsi" w:eastAsiaTheme="minorEastAsia" w:hAnsiTheme="minorHAnsi" w:cstheme="minorBidi"/>
          <w:szCs w:val="22"/>
        </w:rPr>
      </w:pPr>
      <w:r>
        <w:t>10.</w:t>
      </w:r>
      <w:r>
        <w:tab/>
        <w:t>Proper authority to notify informant of action taken</w:t>
      </w:r>
      <w:r>
        <w:tab/>
      </w:r>
      <w:r>
        <w:fldChar w:fldCharType="begin"/>
      </w:r>
      <w:r>
        <w:instrText xml:space="preserve"> PAGEREF _Toc381880596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Notice under s. 10 not to disclose certain matters</w:t>
      </w:r>
      <w:r>
        <w:tab/>
      </w:r>
      <w:r>
        <w:fldChar w:fldCharType="begin"/>
      </w:r>
      <w:r>
        <w:instrText xml:space="preserve"> PAGEREF _Toc381880597 \h </w:instrText>
      </w:r>
      <w:r>
        <w:fldChar w:fldCharType="separate"/>
      </w:r>
      <w:r>
        <w:t>11</w:t>
      </w:r>
      <w:r>
        <w:fldChar w:fldCharType="end"/>
      </w:r>
    </w:p>
    <w:p>
      <w:pPr>
        <w:pStyle w:val="TOC8"/>
        <w:rPr>
          <w:rFonts w:asciiTheme="minorHAnsi" w:eastAsiaTheme="minorEastAsia" w:hAnsiTheme="minorHAnsi" w:cstheme="minorBidi"/>
          <w:szCs w:val="22"/>
        </w:rPr>
      </w:pPr>
      <w:r>
        <w:t>12.</w:t>
      </w:r>
      <w:r>
        <w:tab/>
        <w:t>Duties under this Act of certain persons limited</w:t>
      </w:r>
      <w:r>
        <w:tab/>
      </w:r>
      <w:r>
        <w:fldChar w:fldCharType="begin"/>
      </w:r>
      <w:r>
        <w:instrText xml:space="preserve"> PAGEREF _Toc381880598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3 — Protection</w:t>
      </w:r>
    </w:p>
    <w:p>
      <w:pPr>
        <w:pStyle w:val="TOC8"/>
        <w:rPr>
          <w:rFonts w:asciiTheme="minorHAnsi" w:eastAsiaTheme="minorEastAsia" w:hAnsiTheme="minorHAnsi" w:cstheme="minorBidi"/>
          <w:szCs w:val="22"/>
        </w:rPr>
      </w:pPr>
      <w:r>
        <w:t>13.</w:t>
      </w:r>
      <w:r>
        <w:tab/>
        <w:t>Immunity for person making appropriate disclosure of public interest information</w:t>
      </w:r>
      <w:r>
        <w:tab/>
      </w:r>
      <w:r>
        <w:fldChar w:fldCharType="begin"/>
      </w:r>
      <w:r>
        <w:instrText xml:space="preserve"> PAGEREF _Toc381880600 \h </w:instrText>
      </w:r>
      <w:r>
        <w:fldChar w:fldCharType="separate"/>
      </w:r>
      <w:r>
        <w:t>14</w:t>
      </w:r>
      <w:r>
        <w:fldChar w:fldCharType="end"/>
      </w:r>
    </w:p>
    <w:p>
      <w:pPr>
        <w:pStyle w:val="TOC8"/>
        <w:rPr>
          <w:rFonts w:asciiTheme="minorHAnsi" w:eastAsiaTheme="minorEastAsia" w:hAnsiTheme="minorHAnsi" w:cstheme="minorBidi"/>
          <w:szCs w:val="22"/>
        </w:rPr>
      </w:pPr>
      <w:r>
        <w:t>14.</w:t>
      </w:r>
      <w:r>
        <w:tab/>
        <w:t>Detrimental action against informant etc., offence</w:t>
      </w:r>
      <w:r>
        <w:tab/>
      </w:r>
      <w:r>
        <w:fldChar w:fldCharType="begin"/>
      </w:r>
      <w:r>
        <w:instrText xml:space="preserve"> PAGEREF _Toc381880601 \h </w:instrText>
      </w:r>
      <w:r>
        <w:fldChar w:fldCharType="separate"/>
      </w:r>
      <w:r>
        <w:t>14</w:t>
      </w:r>
      <w:r>
        <w:fldChar w:fldCharType="end"/>
      </w:r>
    </w:p>
    <w:p>
      <w:pPr>
        <w:pStyle w:val="TOC8"/>
        <w:rPr>
          <w:rFonts w:asciiTheme="minorHAnsi" w:eastAsiaTheme="minorEastAsia" w:hAnsiTheme="minorHAnsi" w:cstheme="minorBidi"/>
          <w:szCs w:val="22"/>
        </w:rPr>
      </w:pPr>
      <w:r>
        <w:t>15A.</w:t>
      </w:r>
      <w:r>
        <w:tab/>
        <w:t>Injunction etc. as to detrimental action</w:t>
      </w:r>
      <w:r>
        <w:tab/>
      </w:r>
      <w:r>
        <w:fldChar w:fldCharType="begin"/>
      </w:r>
      <w:r>
        <w:instrText xml:space="preserve"> PAGEREF _Toc381880602 \h </w:instrText>
      </w:r>
      <w:r>
        <w:fldChar w:fldCharType="separate"/>
      </w:r>
      <w:r>
        <w:t>15</w:t>
      </w:r>
      <w:r>
        <w:fldChar w:fldCharType="end"/>
      </w:r>
    </w:p>
    <w:p>
      <w:pPr>
        <w:pStyle w:val="TOC8"/>
        <w:rPr>
          <w:rFonts w:asciiTheme="minorHAnsi" w:eastAsiaTheme="minorEastAsia" w:hAnsiTheme="minorHAnsi" w:cstheme="minorBidi"/>
          <w:szCs w:val="22"/>
        </w:rPr>
      </w:pPr>
      <w:r>
        <w:t>15B.</w:t>
      </w:r>
      <w:r>
        <w:tab/>
        <w:t>Public service employee, relocating to prevent etc. reprisal</w:t>
      </w:r>
      <w:r>
        <w:tab/>
      </w:r>
      <w:r>
        <w:fldChar w:fldCharType="begin"/>
      </w:r>
      <w:r>
        <w:instrText xml:space="preserve"> PAGEREF _Toc381880603 \h </w:instrText>
      </w:r>
      <w:r>
        <w:fldChar w:fldCharType="separate"/>
      </w:r>
      <w:r>
        <w:t>15</w:t>
      </w:r>
      <w:r>
        <w:fldChar w:fldCharType="end"/>
      </w:r>
    </w:p>
    <w:p>
      <w:pPr>
        <w:pStyle w:val="TOC8"/>
        <w:rPr>
          <w:rFonts w:asciiTheme="minorHAnsi" w:eastAsiaTheme="minorEastAsia" w:hAnsiTheme="minorHAnsi" w:cstheme="minorBidi"/>
          <w:szCs w:val="22"/>
        </w:rPr>
      </w:pPr>
      <w:r>
        <w:t>15.</w:t>
      </w:r>
      <w:r>
        <w:tab/>
        <w:t>Act of victimisation defined; remedies for</w:t>
      </w:r>
      <w:r>
        <w:tab/>
      </w:r>
      <w:r>
        <w:fldChar w:fldCharType="begin"/>
      </w:r>
      <w:r>
        <w:instrText xml:space="preserve"> PAGEREF _Toc381880604 \h </w:instrText>
      </w:r>
      <w:r>
        <w:fldChar w:fldCharType="separate"/>
      </w:r>
      <w:r>
        <w:t>16</w:t>
      </w:r>
      <w:r>
        <w:fldChar w:fldCharType="end"/>
      </w:r>
    </w:p>
    <w:p>
      <w:pPr>
        <w:pStyle w:val="TOC8"/>
        <w:rPr>
          <w:rFonts w:asciiTheme="minorHAnsi" w:eastAsiaTheme="minorEastAsia" w:hAnsiTheme="minorHAnsi" w:cstheme="minorBidi"/>
          <w:szCs w:val="22"/>
        </w:rPr>
      </w:pPr>
      <w:r>
        <w:t>16.</w:t>
      </w:r>
      <w:r>
        <w:tab/>
        <w:t>Disclosure of identity of informant etc. restricted</w:t>
      </w:r>
      <w:r>
        <w:tab/>
      </w:r>
      <w:r>
        <w:fldChar w:fldCharType="begin"/>
      </w:r>
      <w:r>
        <w:instrText xml:space="preserve"> PAGEREF _Toc381880605 \h </w:instrText>
      </w:r>
      <w:r>
        <w:fldChar w:fldCharType="separate"/>
      </w:r>
      <w:r>
        <w:t>17</w:t>
      </w:r>
      <w:r>
        <w:fldChar w:fldCharType="end"/>
      </w:r>
    </w:p>
    <w:p>
      <w:pPr>
        <w:pStyle w:val="TOC8"/>
        <w:rPr>
          <w:rFonts w:asciiTheme="minorHAnsi" w:eastAsiaTheme="minorEastAsia" w:hAnsiTheme="minorHAnsi" w:cstheme="minorBidi"/>
          <w:szCs w:val="22"/>
        </w:rPr>
      </w:pPr>
      <w:r>
        <w:t>17.</w:t>
      </w:r>
      <w:r>
        <w:tab/>
        <w:t>Protection of s. 13 forfeited in some cases etc.</w:t>
      </w:r>
      <w:r>
        <w:tab/>
      </w:r>
      <w:r>
        <w:fldChar w:fldCharType="begin"/>
      </w:r>
      <w:r>
        <w:instrText xml:space="preserve"> PAGEREF _Toc381880606 \h </w:instrText>
      </w:r>
      <w:r>
        <w:fldChar w:fldCharType="separate"/>
      </w:r>
      <w:r>
        <w:t>19</w:t>
      </w:r>
      <w:r>
        <w:fldChar w:fldCharType="end"/>
      </w:r>
    </w:p>
    <w:p>
      <w:pPr>
        <w:pStyle w:val="TOC8"/>
        <w:rPr>
          <w:rFonts w:asciiTheme="minorHAnsi" w:eastAsiaTheme="minorEastAsia" w:hAnsiTheme="minorHAnsi" w:cstheme="minorBidi"/>
          <w:szCs w:val="22"/>
        </w:rPr>
      </w:pPr>
      <w:r>
        <w:t>18A.</w:t>
      </w:r>
      <w:r>
        <w:tab/>
        <w:t>Disclosure under s. 7A(2) to journalist, application of Part to</w:t>
      </w:r>
      <w:r>
        <w:tab/>
      </w:r>
      <w:r>
        <w:fldChar w:fldCharType="begin"/>
      </w:r>
      <w:r>
        <w:instrText xml:space="preserve"> PAGEREF _Toc381880607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4 — Role of Public Sector Commissioner</w:t>
      </w:r>
    </w:p>
    <w:p>
      <w:pPr>
        <w:pStyle w:val="TOC8"/>
        <w:rPr>
          <w:rFonts w:asciiTheme="minorHAnsi" w:eastAsiaTheme="minorEastAsia" w:hAnsiTheme="minorHAnsi" w:cstheme="minorBidi"/>
          <w:szCs w:val="22"/>
        </w:rPr>
      </w:pPr>
      <w:r>
        <w:t>18.</w:t>
      </w:r>
      <w:r>
        <w:tab/>
        <w:t>Term used: proper authority</w:t>
      </w:r>
      <w:r>
        <w:tab/>
      </w:r>
      <w:r>
        <w:fldChar w:fldCharType="begin"/>
      </w:r>
      <w:r>
        <w:instrText xml:space="preserve"> PAGEREF _Toc381880609 \h </w:instrText>
      </w:r>
      <w:r>
        <w:fldChar w:fldCharType="separate"/>
      </w:r>
      <w:r>
        <w:t>21</w:t>
      </w:r>
      <w:r>
        <w:fldChar w:fldCharType="end"/>
      </w:r>
    </w:p>
    <w:p>
      <w:pPr>
        <w:pStyle w:val="TOC8"/>
        <w:rPr>
          <w:rFonts w:asciiTheme="minorHAnsi" w:eastAsiaTheme="minorEastAsia" w:hAnsiTheme="minorHAnsi" w:cstheme="minorBidi"/>
          <w:szCs w:val="22"/>
        </w:rPr>
      </w:pPr>
      <w:r>
        <w:t>19.</w:t>
      </w:r>
      <w:r>
        <w:tab/>
        <w:t>Commissioner’s functions</w:t>
      </w:r>
      <w:r>
        <w:tab/>
      </w:r>
      <w:r>
        <w:fldChar w:fldCharType="begin"/>
      </w:r>
      <w:r>
        <w:instrText xml:space="preserve"> PAGEREF _Toc381880610 \h </w:instrText>
      </w:r>
      <w:r>
        <w:fldChar w:fldCharType="separate"/>
      </w:r>
      <w:r>
        <w:t>21</w:t>
      </w:r>
      <w:r>
        <w:fldChar w:fldCharType="end"/>
      </w:r>
    </w:p>
    <w:p>
      <w:pPr>
        <w:pStyle w:val="TOC8"/>
        <w:rPr>
          <w:rFonts w:asciiTheme="minorHAnsi" w:eastAsiaTheme="minorEastAsia" w:hAnsiTheme="minorHAnsi" w:cstheme="minorBidi"/>
          <w:szCs w:val="22"/>
        </w:rPr>
      </w:pPr>
      <w:r>
        <w:t>20.</w:t>
      </w:r>
      <w:r>
        <w:tab/>
        <w:t>Code of minimum standards of conduct etc., establishing etc.</w:t>
      </w:r>
      <w:r>
        <w:tab/>
      </w:r>
      <w:r>
        <w:fldChar w:fldCharType="begin"/>
      </w:r>
      <w:r>
        <w:instrText xml:space="preserve"> PAGEREF _Toc381880611 \h </w:instrText>
      </w:r>
      <w:r>
        <w:fldChar w:fldCharType="separate"/>
      </w:r>
      <w:r>
        <w:t>21</w:t>
      </w:r>
      <w:r>
        <w:fldChar w:fldCharType="end"/>
      </w:r>
    </w:p>
    <w:p>
      <w:pPr>
        <w:pStyle w:val="TOC8"/>
        <w:rPr>
          <w:rFonts w:asciiTheme="minorHAnsi" w:eastAsiaTheme="minorEastAsia" w:hAnsiTheme="minorHAnsi" w:cstheme="minorBidi"/>
          <w:szCs w:val="22"/>
        </w:rPr>
      </w:pPr>
      <w:r>
        <w:t>21.</w:t>
      </w:r>
      <w:r>
        <w:tab/>
        <w:t>Guidelines, Commissioner’s duties as to</w:t>
      </w:r>
      <w:r>
        <w:tab/>
      </w:r>
      <w:r>
        <w:fldChar w:fldCharType="begin"/>
      </w:r>
      <w:r>
        <w:instrText xml:space="preserve"> PAGEREF _Toc381880612 \h </w:instrText>
      </w:r>
      <w:r>
        <w:fldChar w:fldCharType="separate"/>
      </w:r>
      <w:r>
        <w:t>22</w:t>
      </w:r>
      <w:r>
        <w:fldChar w:fldCharType="end"/>
      </w:r>
    </w:p>
    <w:p>
      <w:pPr>
        <w:pStyle w:val="TOC8"/>
        <w:rPr>
          <w:rFonts w:asciiTheme="minorHAnsi" w:eastAsiaTheme="minorEastAsia" w:hAnsiTheme="minorHAnsi" w:cstheme="minorBidi"/>
          <w:szCs w:val="22"/>
        </w:rPr>
      </w:pPr>
      <w:r>
        <w:t>22.</w:t>
      </w:r>
      <w:r>
        <w:tab/>
        <w:t>Annual report and other reports to Parliament</w:t>
      </w:r>
      <w:r>
        <w:tab/>
      </w:r>
      <w:r>
        <w:fldChar w:fldCharType="begin"/>
      </w:r>
      <w:r>
        <w:instrText xml:space="preserve"> PAGEREF _Toc381880613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23.</w:t>
      </w:r>
      <w:r>
        <w:tab/>
        <w:t>Principal executive officer of public authority, duties of</w:t>
      </w:r>
      <w:r>
        <w:tab/>
      </w:r>
      <w:r>
        <w:fldChar w:fldCharType="begin"/>
      </w:r>
      <w:r>
        <w:instrText xml:space="preserve"> PAGEREF _Toc381880615 \h </w:instrText>
      </w:r>
      <w:r>
        <w:fldChar w:fldCharType="separate"/>
      </w:r>
      <w:r>
        <w:t>23</w:t>
      </w:r>
      <w:r>
        <w:fldChar w:fldCharType="end"/>
      </w:r>
    </w:p>
    <w:p>
      <w:pPr>
        <w:pStyle w:val="TOC8"/>
        <w:rPr>
          <w:rFonts w:asciiTheme="minorHAnsi" w:eastAsiaTheme="minorEastAsia" w:hAnsiTheme="minorHAnsi" w:cstheme="minorBidi"/>
          <w:szCs w:val="22"/>
        </w:rPr>
      </w:pPr>
      <w:r>
        <w:t>24.</w:t>
      </w:r>
      <w:r>
        <w:tab/>
        <w:t>False or misleading disclosure, offence</w:t>
      </w:r>
      <w:r>
        <w:tab/>
      </w:r>
      <w:r>
        <w:fldChar w:fldCharType="begin"/>
      </w:r>
      <w:r>
        <w:instrText xml:space="preserve"> PAGEREF _Toc381880616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Other laws not excluded</w:t>
      </w:r>
      <w:r>
        <w:tab/>
      </w:r>
      <w:r>
        <w:fldChar w:fldCharType="begin"/>
      </w:r>
      <w:r>
        <w:instrText xml:space="preserve"> PAGEREF _Toc381880617 \h </w:instrText>
      </w:r>
      <w:r>
        <w:fldChar w:fldCharType="separate"/>
      </w:r>
      <w:r>
        <w:t>24</w:t>
      </w:r>
      <w:r>
        <w:fldChar w:fldCharType="end"/>
      </w:r>
    </w:p>
    <w:p>
      <w:pPr>
        <w:pStyle w:val="TOC8"/>
        <w:rPr>
          <w:rFonts w:asciiTheme="minorHAnsi" w:eastAsiaTheme="minorEastAsia" w:hAnsiTheme="minorHAnsi" w:cstheme="minorBidi"/>
          <w:szCs w:val="22"/>
        </w:rPr>
      </w:pPr>
      <w:r>
        <w:t>26.</w:t>
      </w:r>
      <w:r>
        <w:tab/>
        <w:t>Regulations</w:t>
      </w:r>
      <w:r>
        <w:tab/>
      </w:r>
      <w:r>
        <w:fldChar w:fldCharType="begin"/>
      </w:r>
      <w:r>
        <w:instrText xml:space="preserve"> PAGEREF _Toc381880618 \h </w:instrText>
      </w:r>
      <w:r>
        <w:fldChar w:fldCharType="separate"/>
      </w:r>
      <w:r>
        <w:t>24</w:t>
      </w:r>
      <w:r>
        <w:fldChar w:fldCharType="end"/>
      </w:r>
    </w:p>
    <w:p>
      <w:pPr>
        <w:pStyle w:val="TOC8"/>
        <w:rPr>
          <w:rFonts w:asciiTheme="minorHAnsi" w:eastAsiaTheme="minorEastAsia" w:hAnsiTheme="minorHAnsi" w:cstheme="minorBidi"/>
          <w:szCs w:val="22"/>
        </w:rPr>
      </w:pPr>
      <w:r>
        <w:t>27.</w:t>
      </w:r>
      <w:r>
        <w:tab/>
        <w:t>Review of Act</w:t>
      </w:r>
      <w:r>
        <w:tab/>
      </w:r>
      <w:r>
        <w:fldChar w:fldCharType="begin"/>
      </w:r>
      <w:r>
        <w:instrText xml:space="preserve"> PAGEREF _Toc381880619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_Toc381880621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2765" cy="469265"/>
                  <wp:effectExtent l="0" t="0" r="635" b="698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w:t>
            </w:r>
            <w:r>
              <w:rPr>
                <w:b/>
                <w:snapToGrid w:val="0"/>
                <w:sz w:val="22"/>
              </w:rPr>
              <w:t xml:space="preserve"> February 2013</w:t>
            </w:r>
            <w:r>
              <w:rPr>
                <w:b/>
                <w:sz w:val="22"/>
              </w:rPr>
              <w:fldChar w:fldCharType="end"/>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spacing w:before="520" w:after="1000"/>
      </w:pPr>
      <w:r>
        <w:t>Public Interest Disclosure Act 2003</w:t>
      </w:r>
    </w:p>
    <w:p>
      <w:pPr>
        <w:pStyle w:val="LongTitle"/>
        <w:suppressLineNumbers/>
        <w:rPr>
          <w:snapToGrid w:val="0"/>
        </w:rPr>
      </w:pPr>
      <w:r>
        <w:rPr>
          <w:snapToGrid w:val="0"/>
        </w:rPr>
        <w:t>An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1" w:name="_Toc381880541"/>
      <w:bookmarkStart w:id="2" w:name="_Toc38188058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p>
    <w:p>
      <w:pPr>
        <w:pStyle w:val="Heading5"/>
        <w:rPr>
          <w:snapToGrid w:val="0"/>
        </w:rPr>
      </w:pPr>
      <w:bookmarkStart w:id="3" w:name="_Toc381880583"/>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Public Interest Disclosure Act 2003</w:t>
      </w:r>
      <w:r>
        <w:rPr>
          <w:iCs/>
          <w:snapToGrid w:val="0"/>
          <w:vertAlign w:val="superscript"/>
        </w:rPr>
        <w:t> 1</w:t>
      </w:r>
      <w:r>
        <w:rPr>
          <w:snapToGrid w:val="0"/>
        </w:rPr>
        <w:t>.</w:t>
      </w:r>
    </w:p>
    <w:p>
      <w:pPr>
        <w:pStyle w:val="Heading5"/>
        <w:rPr>
          <w:snapToGrid w:val="0"/>
        </w:rPr>
      </w:pPr>
      <w:bookmarkStart w:id="4" w:name="_Toc381880584"/>
      <w:r>
        <w:rPr>
          <w:rStyle w:val="CharSectno"/>
        </w:rPr>
        <w:t>2</w:t>
      </w:r>
      <w:r>
        <w:rPr>
          <w:snapToGrid w:val="0"/>
        </w:rPr>
        <w:t>.</w:t>
      </w:r>
      <w:r>
        <w:rPr>
          <w:snapToGrid w:val="0"/>
        </w:rPr>
        <w:tab/>
        <w:t>Commencement</w:t>
      </w:r>
      <w:bookmarkEnd w:id="4"/>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5" w:name="_Toc381880585"/>
      <w:r>
        <w:rPr>
          <w:rStyle w:val="CharSectno"/>
        </w:rPr>
        <w:t>3</w:t>
      </w:r>
      <w:r>
        <w:t>.</w:t>
      </w:r>
      <w:r>
        <w:tab/>
        <w:t>Terms used</w:t>
      </w:r>
      <w:bookmarkEnd w:id="5"/>
    </w:p>
    <w:p>
      <w:pPr>
        <w:pStyle w:val="Subsection"/>
        <w:ind w:right="709"/>
      </w:pPr>
      <w:r>
        <w:tab/>
        <w:t>(1)</w:t>
      </w:r>
      <w:r>
        <w:tab/>
        <w:t>In this Act, unless the contrary intention appears —</w:t>
      </w:r>
    </w:p>
    <w:p>
      <w:pPr>
        <w:pStyle w:val="Defstart"/>
        <w:spacing w:before="100"/>
      </w:pPr>
      <w:r>
        <w:tab/>
      </w:r>
      <w:r>
        <w:rPr>
          <w:rStyle w:val="CharDefText"/>
        </w:rPr>
        <w:t>Commissioner</w:t>
      </w:r>
      <w:r>
        <w:t xml:space="preserve"> means the person holding the office of Public Sector Commissioner established by the </w:t>
      </w:r>
      <w:r>
        <w:rPr>
          <w:i/>
        </w:rPr>
        <w:t>Public Sector Management Act 1994</w:t>
      </w:r>
      <w:r>
        <w:t xml:space="preserve"> section 16;</w:t>
      </w:r>
    </w:p>
    <w:p>
      <w:pPr>
        <w:pStyle w:val="Defstart"/>
        <w:tabs>
          <w:tab w:val="left" w:pos="2520"/>
        </w:tabs>
        <w:spacing w:before="100"/>
      </w:pPr>
      <w:r>
        <w:tab/>
      </w:r>
      <w:r>
        <w:rPr>
          <w:rStyle w:val="CharDefText"/>
        </w:rPr>
        <w:t>Commissioner of Police</w:t>
      </w:r>
      <w:r>
        <w:t xml:space="preserve"> means the person holding the office of Commissioner of Police under the </w:t>
      </w:r>
      <w:r>
        <w:rPr>
          <w:i/>
        </w:rPr>
        <w:t>Police Act 1892</w:t>
      </w:r>
      <w:r>
        <w:t>;</w:t>
      </w:r>
    </w:p>
    <w:p>
      <w:pPr>
        <w:pStyle w:val="Defstart"/>
        <w:tabs>
          <w:tab w:val="left" w:pos="2520"/>
        </w:tabs>
        <w:spacing w:before="100"/>
      </w:pPr>
      <w:r>
        <w:rPr>
          <w:b/>
        </w:rPr>
        <w:tab/>
      </w:r>
      <w:r>
        <w:rPr>
          <w:rStyle w:val="CharDefText"/>
        </w:rPr>
        <w:t>Corruption and Crime Commission</w:t>
      </w:r>
      <w:r>
        <w:t xml:space="preserve"> has the meaning given to </w:t>
      </w:r>
      <w:r>
        <w:rPr>
          <w:b/>
          <w:i/>
        </w:rPr>
        <w:t>Commission</w:t>
      </w:r>
      <w:r>
        <w:t xml:space="preserve"> in section 3 of the </w:t>
      </w:r>
      <w:r>
        <w:rPr>
          <w:i/>
        </w:rPr>
        <w:t>Corruption and Crime Commission Act 2003</w:t>
      </w:r>
      <w:r>
        <w:t>;</w:t>
      </w:r>
    </w:p>
    <w:p>
      <w:pPr>
        <w:pStyle w:val="Defstart"/>
        <w:tabs>
          <w:tab w:val="left" w:pos="2520"/>
        </w:tabs>
        <w:spacing w:before="100"/>
      </w:pPr>
      <w:r>
        <w:rPr>
          <w:b/>
        </w:rPr>
        <w:tab/>
      </w:r>
      <w:r>
        <w:rPr>
          <w:rStyle w:val="CharDefText"/>
        </w:rPr>
        <w:t>detrimental action</w:t>
      </w:r>
      <w:r>
        <w:t xml:space="preserve"> includes action causing, comprising, or involving — </w:t>
      </w:r>
    </w:p>
    <w:p>
      <w:pPr>
        <w:pStyle w:val="Defpara"/>
        <w:tabs>
          <w:tab w:val="left" w:pos="2520"/>
        </w:tabs>
        <w:spacing w:before="100"/>
      </w:pPr>
      <w:r>
        <w:tab/>
        <w:t>(a)</w:t>
      </w:r>
      <w:r>
        <w:tab/>
        <w:t>injury, damage, or loss; or</w:t>
      </w:r>
    </w:p>
    <w:p>
      <w:pPr>
        <w:pStyle w:val="Defpara"/>
        <w:tabs>
          <w:tab w:val="left" w:pos="2520"/>
        </w:tabs>
        <w:spacing w:before="100"/>
      </w:pPr>
      <w:r>
        <w:tab/>
        <w:t>(b)</w:t>
      </w:r>
      <w:r>
        <w:tab/>
        <w:t>intimidation or harassment; or</w:t>
      </w:r>
    </w:p>
    <w:p>
      <w:pPr>
        <w:pStyle w:val="Defpara"/>
        <w:keepNext/>
        <w:tabs>
          <w:tab w:val="left" w:pos="2520"/>
        </w:tabs>
        <w:spacing w:before="100"/>
      </w:pPr>
      <w:r>
        <w:tab/>
        <w:t>(c)</w:t>
      </w:r>
      <w:r>
        <w:tab/>
        <w:t>adverse discrimination, disadvantage, or adverse treatment in relation to a person’s career, profession, employment, trade, or business; or</w:t>
      </w:r>
    </w:p>
    <w:p>
      <w:pPr>
        <w:pStyle w:val="Defpara"/>
        <w:tabs>
          <w:tab w:val="left" w:pos="2520"/>
        </w:tabs>
        <w:spacing w:before="100"/>
      </w:pPr>
      <w:r>
        <w:tab/>
        <w:t>(d)</w:t>
      </w:r>
      <w:r>
        <w:tab/>
        <w:t>a reprisal;</w:t>
      </w:r>
    </w:p>
    <w:p>
      <w:pPr>
        <w:pStyle w:val="Defstart"/>
        <w:tabs>
          <w:tab w:val="left" w:pos="2520"/>
        </w:tabs>
        <w:spacing w:before="100"/>
      </w:pPr>
      <w:r>
        <w:tab/>
      </w:r>
      <w:r>
        <w:rPr>
          <w:rStyle w:val="CharDefText"/>
        </w:rPr>
        <w:t>environment</w:t>
      </w:r>
      <w:r>
        <w:t xml:space="preserve"> has the same meaning as in the </w:t>
      </w:r>
      <w:r>
        <w:rPr>
          <w:i/>
        </w:rPr>
        <w:t>Environmental Protection Act 1986</w:t>
      </w:r>
      <w:r>
        <w:t>;</w:t>
      </w:r>
    </w:p>
    <w:p>
      <w:pPr>
        <w:pStyle w:val="Defstart"/>
        <w:tabs>
          <w:tab w:val="left" w:pos="2520"/>
        </w:tabs>
      </w:pPr>
      <w:r>
        <w:tab/>
      </w:r>
      <w:r>
        <w:rPr>
          <w:rStyle w:val="CharDefText"/>
        </w:rPr>
        <w:t>Parliamentary Commissioner</w:t>
      </w:r>
      <w:r>
        <w:t xml:space="preserve"> means a person for the time being holding the office of the Parliamentary Commissioner for Administrative Investigations under the </w:t>
      </w:r>
      <w:r>
        <w:rPr>
          <w:i/>
        </w:rPr>
        <w:t>Parliamentary Commissioner Act 1971</w:t>
      </w:r>
      <w:r>
        <w:t>;</w:t>
      </w:r>
    </w:p>
    <w:p>
      <w:pPr>
        <w:pStyle w:val="Defstart"/>
      </w:pPr>
      <w:r>
        <w:tab/>
      </w:r>
      <w:r>
        <w:rPr>
          <w:rStyle w:val="CharDefText"/>
        </w:rPr>
        <w:t>public authority</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r>
      <w:r>
        <w:rPr>
          <w:rStyle w:val="CharDefText"/>
        </w:rPr>
        <w:t>public interest information</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improper conduct; or</w:t>
      </w:r>
    </w:p>
    <w:p>
      <w:pPr>
        <w:pStyle w:val="Defpara"/>
      </w:pPr>
      <w:r>
        <w:tab/>
        <w:t>(b)</w:t>
      </w:r>
      <w:r>
        <w:tab/>
        <w:t>an act or omission that constitutes an offence under a written law; or</w:t>
      </w:r>
    </w:p>
    <w:p>
      <w:pPr>
        <w:pStyle w:val="Defpara"/>
      </w:pPr>
      <w:r>
        <w:tab/>
        <w:t>(c)</w:t>
      </w:r>
      <w:r>
        <w:tab/>
        <w:t>a substantial unauthorised or irregular use of, or substantial mismanagement of, public resources; or</w:t>
      </w:r>
    </w:p>
    <w:p>
      <w:pPr>
        <w:pStyle w:val="Defpara"/>
      </w:pPr>
      <w:r>
        <w:tab/>
        <w:t>(d)</w:t>
      </w:r>
      <w:r>
        <w:tab/>
        <w:t>an act done or omission that involves a substantial and specific risk of —</w:t>
      </w:r>
    </w:p>
    <w:p>
      <w:pPr>
        <w:pStyle w:val="Defsubpara"/>
      </w:pPr>
      <w:r>
        <w:tab/>
        <w:t>(i)</w:t>
      </w:r>
      <w:r>
        <w:tab/>
        <w:t>injury to public health; or</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rStyle w:val="CharDefText"/>
        </w:rPr>
        <w:t>public officer</w:t>
      </w:r>
      <w:r>
        <w:t xml:space="preserve"> means —</w:t>
      </w:r>
    </w:p>
    <w:p>
      <w:pPr>
        <w:pStyle w:val="Defpara"/>
      </w:pPr>
      <w:r>
        <w:tab/>
        <w:t>(a)</w:t>
      </w:r>
      <w:r>
        <w:tab/>
        <w:t>a Minister of the Crown; or</w:t>
      </w:r>
    </w:p>
    <w:p>
      <w:pPr>
        <w:pStyle w:val="Defpara"/>
      </w:pPr>
      <w:r>
        <w:tab/>
        <w:t>(b)</w:t>
      </w:r>
      <w:r>
        <w:tab/>
        <w:t xml:space="preserve">a Parliamentary Secretary appointed under section 44A of the </w:t>
      </w:r>
      <w:r>
        <w:rPr>
          <w:i/>
        </w:rPr>
        <w:t>Constitution Acts Amendment Act 1899</w:t>
      </w:r>
      <w:r>
        <w:t>; or</w:t>
      </w:r>
    </w:p>
    <w:p>
      <w:pPr>
        <w:pStyle w:val="Defpara"/>
      </w:pPr>
      <w:r>
        <w:tab/>
        <w:t>(c)</w:t>
      </w:r>
      <w:r>
        <w:tab/>
        <w:t>a member of either House of Parliament; or</w:t>
      </w:r>
    </w:p>
    <w:p>
      <w:pPr>
        <w:pStyle w:val="Defpara"/>
      </w:pPr>
      <w:r>
        <w:tab/>
        <w:t>(d)</w:t>
      </w:r>
      <w:r>
        <w:tab/>
        <w:t>a judicial officer; or</w:t>
      </w:r>
    </w:p>
    <w:p>
      <w:pPr>
        <w:pStyle w:val="Defpara"/>
      </w:pPr>
      <w:r>
        <w:tab/>
        <w:t>(e)</w:t>
      </w:r>
      <w:r>
        <w:tab/>
        <w:t xml:space="preserve">a person who holds an appointment made under the </w:t>
      </w:r>
      <w:r>
        <w:rPr>
          <w:i/>
        </w:rPr>
        <w:t>Police Act 1892</w:t>
      </w:r>
      <w:r>
        <w:t xml:space="preserve"> Part I, III, IIIA or IIIB; or</w:t>
      </w:r>
    </w:p>
    <w:p>
      <w:pPr>
        <w:pStyle w:val="Defpara"/>
      </w:pPr>
      <w:r>
        <w:tab/>
        <w:t>(f)</w:t>
      </w:r>
      <w:r>
        <w:tab/>
        <w:t>a person authorised under a written law to execute or serve any process of a court or tribunal for remuneration; or</w:t>
      </w:r>
    </w:p>
    <w:p>
      <w:pPr>
        <w:pStyle w:val="Defpara"/>
      </w:pPr>
      <w:r>
        <w:tab/>
        <w:t>(g)</w:t>
      </w:r>
      <w:r>
        <w:tab/>
        <w:t xml:space="preserve">a public service officer within the meaning of the </w:t>
      </w:r>
      <w:r>
        <w:rPr>
          <w:i/>
        </w:rPr>
        <w:t>Public Sector Management Act 1994</w:t>
      </w:r>
      <w:r>
        <w:t>; or</w:t>
      </w:r>
    </w:p>
    <w:p>
      <w:pPr>
        <w:pStyle w:val="Defpara"/>
      </w:pPr>
      <w:r>
        <w:tab/>
        <w:t>(h)</w:t>
      </w:r>
      <w:r>
        <w:tab/>
        <w:t>a member, officer, or employee of a public authority; or</w:t>
      </w:r>
    </w:p>
    <w:p>
      <w:pPr>
        <w:pStyle w:val="Defpara"/>
        <w:keepNext/>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r>
      <w:r>
        <w:tab/>
        <w:t>or</w:t>
      </w:r>
    </w:p>
    <w:p>
      <w:pPr>
        <w:pStyle w:val="Defpara"/>
      </w:pPr>
      <w:r>
        <w:tab/>
        <w:t>(j)</w:t>
      </w:r>
      <w:r>
        <w:tab/>
        <w:t>an officer of the Commonwealth who exercises or discharges on behalf of this State a function under a written law; or</w:t>
      </w:r>
    </w:p>
    <w:p>
      <w:pPr>
        <w:pStyle w:val="Defpara"/>
      </w:pPr>
      <w:r>
        <w:tab/>
        <w:t>(k)</w:t>
      </w:r>
      <w:r>
        <w:tab/>
        <w:t xml:space="preserve">any other person holding office under the State of </w:t>
      </w:r>
      <w:smartTag w:uri="urn:schemas-microsoft-com:office:smarttags" w:element="place">
        <w:smartTag w:uri="urn:schemas-microsoft-com:office:smarttags" w:element="State">
          <w:r>
            <w:t>Western Australia</w:t>
          </w:r>
        </w:smartTag>
      </w:smartTag>
      <w:r>
        <w:t>;</w:t>
      </w:r>
    </w:p>
    <w:p>
      <w:pPr>
        <w:pStyle w:val="Defstart"/>
        <w:keepNext/>
      </w:pPr>
      <w:r>
        <w:tab/>
      </w:r>
      <w:r>
        <w:rPr>
          <w:rStyle w:val="CharDefText"/>
        </w:rPr>
        <w:t>public sector contractor</w:t>
      </w:r>
      <w:r>
        <w:t xml:space="preserve"> means —</w:t>
      </w:r>
    </w:p>
    <w:p>
      <w:pPr>
        <w:pStyle w:val="Defpara"/>
      </w:pPr>
      <w:r>
        <w:tab/>
        <w:t>(a)</w:t>
      </w:r>
      <w:r>
        <w:tab/>
        <w:t>a person who, other than as an employee, contracts with a public authority or the State of Western Australia to supply goods or services to or on behalf of the authority or the State or as directed in accordance with the contract; or</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 xml:space="preserve">The regulations made for the purpose of paragraph (g) of the definition of </w:t>
      </w:r>
      <w:r>
        <w:rPr>
          <w:b/>
          <w:i/>
        </w:rPr>
        <w:t>public authority</w:t>
      </w:r>
      <w:r>
        <w:t xml:space="preserve">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keepNext/>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 or</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ind w:left="890" w:hanging="890"/>
      </w:pPr>
      <w:r>
        <w:tab/>
        <w:t>[Section 3 amended by No. 48 of 2003 s. 62; No. 78 of 2003 s. 74(2); No. 59 of 2006 s. 73; No. 77 of 2006 Sch. 1 cl. 136; No. 8 of 2008 s. 18; No. 42 of 2009 s. 22(2) and (3); No. 39 of 2010 s. 82(2).]</w:t>
      </w:r>
    </w:p>
    <w:p>
      <w:pPr>
        <w:pStyle w:val="Heading5"/>
      </w:pPr>
      <w:bookmarkStart w:id="6" w:name="_Toc381880586"/>
      <w:r>
        <w:rPr>
          <w:rStyle w:val="CharSectno"/>
        </w:rPr>
        <w:t>4</w:t>
      </w:r>
      <w:r>
        <w:t>.</w:t>
      </w:r>
      <w:r>
        <w:tab/>
        <w:t>Crown bound</w:t>
      </w:r>
      <w:bookmarkEnd w:id="6"/>
    </w:p>
    <w:p>
      <w:pPr>
        <w:pStyle w:val="Subsection"/>
      </w:pPr>
      <w:r>
        <w:tab/>
      </w:r>
      <w:r>
        <w:tab/>
        <w:t>This Act binds the Crown in right of the State.</w:t>
      </w:r>
    </w:p>
    <w:p>
      <w:pPr>
        <w:pStyle w:val="Heading2"/>
      </w:pPr>
      <w:bookmarkStart w:id="7" w:name="_Toc381880546"/>
      <w:bookmarkStart w:id="8" w:name="_Toc381880587"/>
      <w:r>
        <w:rPr>
          <w:rStyle w:val="CharPartNo"/>
        </w:rPr>
        <w:t>Part 2</w:t>
      </w:r>
      <w:r>
        <w:t xml:space="preserve"> — </w:t>
      </w:r>
      <w:r>
        <w:rPr>
          <w:rStyle w:val="CharPartText"/>
        </w:rPr>
        <w:t>Public interest disclosures</w:t>
      </w:r>
      <w:bookmarkEnd w:id="7"/>
      <w:bookmarkEnd w:id="8"/>
    </w:p>
    <w:p>
      <w:pPr>
        <w:pStyle w:val="Heading3"/>
      </w:pPr>
      <w:bookmarkStart w:id="9" w:name="_Toc381880547"/>
      <w:bookmarkStart w:id="10" w:name="_Toc381880588"/>
      <w:r>
        <w:rPr>
          <w:rStyle w:val="CharDivNo"/>
        </w:rPr>
        <w:t>Division 1</w:t>
      </w:r>
      <w:r>
        <w:t xml:space="preserve"> — </w:t>
      </w:r>
      <w:r>
        <w:rPr>
          <w:rStyle w:val="CharDivText"/>
        </w:rPr>
        <w:t>Disclosures</w:t>
      </w:r>
      <w:bookmarkEnd w:id="9"/>
      <w:bookmarkEnd w:id="10"/>
    </w:p>
    <w:p>
      <w:pPr>
        <w:pStyle w:val="Heading5"/>
      </w:pPr>
      <w:bookmarkStart w:id="11" w:name="_Toc381880589"/>
      <w:r>
        <w:rPr>
          <w:rStyle w:val="CharSectno"/>
        </w:rPr>
        <w:t>5</w:t>
      </w:r>
      <w:r>
        <w:t>.</w:t>
      </w:r>
      <w:r>
        <w:tab/>
        <w:t>Appropriate disclosure of public interest information, making</w:t>
      </w:r>
      <w:bookmarkEnd w:id="11"/>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 or</w:t>
      </w:r>
    </w:p>
    <w:p>
      <w:pPr>
        <w:pStyle w:val="Indenta"/>
      </w:pPr>
      <w:r>
        <w:tab/>
        <w:t>(b)</w:t>
      </w:r>
      <w:r>
        <w:tab/>
        <w:t>where the information relates to a substantial unauthorised or irregular use of, or substantial mismanagement of, public resources — it is made to the Auditor General; or</w:t>
      </w:r>
    </w:p>
    <w:p>
      <w:pPr>
        <w:pStyle w:val="Indenta"/>
      </w:pPr>
      <w:r>
        <w:tab/>
        <w:t>(c)</w:t>
      </w:r>
      <w:r>
        <w:tab/>
        <w:t xml:space="preserve">where the information relates to a matter of administration that can be investigated under section 14 of the </w:t>
      </w:r>
      <w:r>
        <w:rPr>
          <w:i/>
        </w:rPr>
        <w:t>Parliamentary Commissioner Act 1971</w:t>
      </w:r>
      <w:r>
        <w:rPr>
          <w:iCs/>
        </w:rPr>
        <w:t> </w:t>
      </w:r>
      <w:r>
        <w:rPr>
          <w:i/>
        </w:rPr>
        <w:t>— </w:t>
      </w:r>
      <w:r>
        <w:t>it is made to the Parliamentary Commissioner or to a person who occupies a position specified under section 23(1)(a) in relation to the public authority concerned; or</w:t>
      </w:r>
    </w:p>
    <w:p>
      <w:pPr>
        <w:pStyle w:val="Indenta"/>
      </w:pPr>
      <w:r>
        <w:tab/>
        <w:t>(d)</w:t>
      </w:r>
      <w:r>
        <w:tab/>
        <w:t xml:space="preserve">where the information relates to a person who holds an appointment made under the </w:t>
      </w:r>
      <w:r>
        <w:rPr>
          <w:i/>
        </w:rPr>
        <w:t>Police Act 1892</w:t>
      </w:r>
      <w:r>
        <w:t xml:space="preserve"> Part I, III, IIIA or IIIB — it is made to the Commissioner of Police or to the Corruption and Crime Commission; or</w:t>
      </w:r>
    </w:p>
    <w:p>
      <w:pPr>
        <w:pStyle w:val="Indenta"/>
      </w:pPr>
      <w:r>
        <w:tab/>
        <w:t>(e)</w:t>
      </w:r>
      <w:r>
        <w:tab/>
        <w:t>where the information relates to a judicial officer — it is made to the Chief Justice; or</w:t>
      </w:r>
    </w:p>
    <w:p>
      <w:pPr>
        <w:pStyle w:val="Indenta"/>
      </w:pPr>
      <w:r>
        <w:tab/>
        <w:t>(f)</w:t>
      </w:r>
      <w:r>
        <w:tab/>
        <w:t>where the information relates to a member of either House of Parliament — it is made to the Presiding Officer of the House of Parliament to which the member belongs; or</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 or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spacing w:before="120"/>
      </w:pPr>
      <w:r>
        <w:tab/>
        <w:t>(4)</w:t>
      </w:r>
      <w:r>
        <w:tab/>
        <w:t>Where a public interest disclosure falls within 2 or more paragraphs of subsection (3), then it is made to a proper authority if made to any or all of the authorities contemplated by the applicable paragraphs.</w:t>
      </w:r>
    </w:p>
    <w:p>
      <w:pPr>
        <w:pStyle w:val="Subsection"/>
        <w:spacing w:before="120"/>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(6A)</w:t>
      </w:r>
      <w:r>
        <w:tab/>
        <w:t>A person may make a disclosure of public interest information anonymously.</w:t>
      </w:r>
    </w:p>
    <w:p>
      <w:pPr>
        <w:pStyle w:val="Subsection"/>
      </w:pPr>
      <w:r>
        <w:tab/>
        <w:t>(6)</w:t>
      </w:r>
      <w:r>
        <w:tab/>
        <w:t>Nothing in this Act entitles a person to disclose information that would otherwise be the subject of legal professional privilege.</w:t>
      </w:r>
    </w:p>
    <w:p>
      <w:pPr>
        <w:pStyle w:val="Footnotesection"/>
        <w:spacing w:before="100"/>
        <w:ind w:left="890" w:hanging="890"/>
      </w:pPr>
      <w:r>
        <w:tab/>
        <w:t>[Section 5 amended by No. 48 of 2003 s. 62; No. 78 of 2003 s. 74(2); No. 42 of 2009 s. 22(4); No. 31 of 2012 s. 9.]</w:t>
      </w:r>
    </w:p>
    <w:p>
      <w:pPr>
        <w:pStyle w:val="Heading5"/>
      </w:pPr>
      <w:bookmarkStart w:id="12" w:name="_Toc381880590"/>
      <w:r>
        <w:rPr>
          <w:rStyle w:val="CharSectno"/>
        </w:rPr>
        <w:t>6</w:t>
      </w:r>
      <w:r>
        <w:t>.</w:t>
      </w:r>
      <w:r>
        <w:tab/>
        <w:t>Liability of person disclosing unaffected</w:t>
      </w:r>
      <w:bookmarkEnd w:id="12"/>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5"/>
      </w:pPr>
      <w:bookmarkStart w:id="13" w:name="_Toc381880591"/>
      <w:r>
        <w:rPr>
          <w:rStyle w:val="CharSectno"/>
        </w:rPr>
        <w:t>7A</w:t>
      </w:r>
      <w:r>
        <w:t>.</w:t>
      </w:r>
      <w:r>
        <w:tab/>
        <w:t>Disclosure of public interest information to journalist, when may be made</w:t>
      </w:r>
      <w:bookmarkEnd w:id="13"/>
    </w:p>
    <w:p>
      <w:pPr>
        <w:pStyle w:val="Subsection"/>
      </w:pPr>
      <w:r>
        <w:tab/>
        <w:t>(1)</w:t>
      </w:r>
      <w:r>
        <w:tab/>
        <w:t xml:space="preserve">In this section — </w:t>
      </w:r>
    </w:p>
    <w:p>
      <w:pPr>
        <w:pStyle w:val="Defstart"/>
      </w:pPr>
      <w:r>
        <w:tab/>
      </w:r>
      <w:r>
        <w:rPr>
          <w:rStyle w:val="CharDefText"/>
        </w:rPr>
        <w:t>journalist</w:t>
      </w:r>
      <w:r>
        <w:t xml:space="preserve"> means a person engaged in the profession or occupation of journalism in connection with the publication of information in a medium for the dissemination to the public or a section of the public of news and observations on news.</w:t>
      </w:r>
    </w:p>
    <w:p>
      <w:pPr>
        <w:pStyle w:val="Subsection"/>
      </w:pPr>
      <w:r>
        <w:tab/>
        <w:t>(2)</w:t>
      </w:r>
      <w:r>
        <w:tab/>
        <w:t xml:space="preserve">A person may make a disclosure to a journalist of substantially the same information that was the subject of a disclosure of public interest information that the person has already made under this Act if the proper authority to which the disclosure was made, or the person to whom a matter raised by the disclosure was referred under section 9(1)(b) — </w:t>
      </w:r>
    </w:p>
    <w:p>
      <w:pPr>
        <w:pStyle w:val="Indenta"/>
      </w:pPr>
      <w:r>
        <w:tab/>
        <w:t>(a)</w:t>
      </w:r>
      <w:r>
        <w:tab/>
        <w:t>has refused to investigate, or has discontinued the investigation of, a matter raised by the disclosure; or</w:t>
      </w:r>
    </w:p>
    <w:p>
      <w:pPr>
        <w:pStyle w:val="Indenta"/>
      </w:pPr>
      <w:r>
        <w:tab/>
        <w:t>(b)</w:t>
      </w:r>
      <w:r>
        <w:tab/>
        <w:t>has not completed an investigation of a matter raised by the disclosure within the period ending 6 months after the disclosure was made; or</w:t>
      </w:r>
    </w:p>
    <w:p>
      <w:pPr>
        <w:pStyle w:val="Indenta"/>
      </w:pPr>
      <w:r>
        <w:tab/>
        <w:t>(c)</w:t>
      </w:r>
      <w:r>
        <w:tab/>
        <w:t>has completed an investigation of a matter raised by the disclosure but has not recommended the taking of action in respect of the matter; or</w:t>
      </w:r>
    </w:p>
    <w:p>
      <w:pPr>
        <w:pStyle w:val="Indenta"/>
      </w:pPr>
      <w:r>
        <w:tab/>
        <w:t>(d)</w:t>
      </w:r>
      <w:r>
        <w:tab/>
        <w:t>has not complied with section 10(1) or (4), if applicable, in relation to the disclosure.</w:t>
      </w:r>
    </w:p>
    <w:p>
      <w:pPr>
        <w:pStyle w:val="Footnotesection"/>
      </w:pPr>
      <w:r>
        <w:tab/>
        <w:t>[Section 7A inserted by No. 31 of 2012 s. 15.]</w:t>
      </w:r>
    </w:p>
    <w:p>
      <w:pPr>
        <w:pStyle w:val="Heading3"/>
      </w:pPr>
      <w:bookmarkStart w:id="14" w:name="_Toc381880551"/>
      <w:bookmarkStart w:id="15" w:name="_Toc381880592"/>
      <w:r>
        <w:rPr>
          <w:rStyle w:val="CharDivNo"/>
        </w:rPr>
        <w:t>Division 2</w:t>
      </w:r>
      <w:r>
        <w:t xml:space="preserve"> — </w:t>
      </w:r>
      <w:r>
        <w:rPr>
          <w:rStyle w:val="CharDivText"/>
        </w:rPr>
        <w:t>Obligations of a person to whom a disclosure is made</w:t>
      </w:r>
      <w:bookmarkEnd w:id="14"/>
      <w:bookmarkEnd w:id="15"/>
    </w:p>
    <w:p>
      <w:pPr>
        <w:pStyle w:val="Heading5"/>
      </w:pPr>
      <w:bookmarkStart w:id="16" w:name="_Toc381880593"/>
      <w:r>
        <w:rPr>
          <w:rStyle w:val="CharSectno"/>
        </w:rPr>
        <w:t>7</w:t>
      </w:r>
      <w:r>
        <w:t>.</w:t>
      </w:r>
      <w:r>
        <w:tab/>
        <w:t>Term used: proper authority</w:t>
      </w:r>
      <w:bookmarkEnd w:id="16"/>
    </w:p>
    <w:p>
      <w:pPr>
        <w:pStyle w:val="Subsection"/>
      </w:pPr>
      <w:r>
        <w:tab/>
      </w:r>
      <w:r>
        <w:tab/>
        <w:t xml:space="preserve">In sections 8, 9 and 10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7" w:name="_Toc381880594"/>
      <w:r>
        <w:rPr>
          <w:rStyle w:val="CharSectno"/>
        </w:rPr>
        <w:t>8</w:t>
      </w:r>
      <w:r>
        <w:t>.</w:t>
      </w:r>
      <w:r>
        <w:tab/>
        <w:t>Proper authority’s functions as to disclosed information</w:t>
      </w:r>
      <w:bookmarkEnd w:id="17"/>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 or</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 or</w:t>
      </w:r>
    </w:p>
    <w:p>
      <w:pPr>
        <w:pStyle w:val="Indenta"/>
      </w:pPr>
      <w:r>
        <w:tab/>
        <w:t>(b)</w:t>
      </w:r>
      <w:r>
        <w:tab/>
        <w:t>the disclosure is vexatious or frivolous; or</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Subsection"/>
      </w:pPr>
      <w:r>
        <w:tab/>
        <w:t>(4)</w:t>
      </w:r>
      <w:r>
        <w:tab/>
        <w:t>Subsection (3) does not apply in respect of a person who made an anonymous disclosure.</w:t>
      </w:r>
    </w:p>
    <w:p>
      <w:pPr>
        <w:pStyle w:val="Footnotesection"/>
      </w:pPr>
      <w:r>
        <w:tab/>
        <w:t>[Section 8 amended by No. 31 of 2012 s. 10.]</w:t>
      </w:r>
    </w:p>
    <w:p>
      <w:pPr>
        <w:pStyle w:val="Heading5"/>
        <w:rPr>
          <w:snapToGrid w:val="0"/>
        </w:rPr>
      </w:pPr>
      <w:bookmarkStart w:id="18" w:name="_Toc381880595"/>
      <w:r>
        <w:rPr>
          <w:rStyle w:val="CharSectno"/>
        </w:rPr>
        <w:t>9</w:t>
      </w:r>
      <w:r>
        <w:rPr>
          <w:snapToGrid w:val="0"/>
        </w:rPr>
        <w:t>.</w:t>
      </w:r>
      <w:r>
        <w:rPr>
          <w:snapToGrid w:val="0"/>
        </w:rPr>
        <w:tab/>
        <w:t>Proper authority’s duties as to matter that might be disclosed</w:t>
      </w:r>
      <w:bookmarkEnd w:id="18"/>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 or</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19" w:name="_Toc381880596"/>
      <w:r>
        <w:rPr>
          <w:rStyle w:val="CharSectno"/>
        </w:rPr>
        <w:t>10</w:t>
      </w:r>
      <w:r>
        <w:t>.</w:t>
      </w:r>
      <w:r>
        <w:tab/>
        <w:t>Proper authority to notify informant of action taken</w:t>
      </w:r>
      <w:bookmarkEnd w:id="19"/>
    </w:p>
    <w:p>
      <w:pPr>
        <w:pStyle w:val="Subsection"/>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pPr>
      <w:r>
        <w:tab/>
        <w:t>(a)</w:t>
      </w:r>
      <w:r>
        <w:tab/>
      </w:r>
      <w:r>
        <w:rPr>
          <w:snapToGrid w:val="0"/>
        </w:rPr>
        <w:t>the outcome of the investigation and any action the proper authority has taken or proposes to take as a result of the investigation; and</w:t>
      </w:r>
    </w:p>
    <w:p>
      <w:pPr>
        <w:pStyle w:val="Indenta"/>
        <w:rPr>
          <w:snapToGrid w:val="0"/>
        </w:rPr>
      </w:pPr>
      <w:r>
        <w:tab/>
        <w:t>(b)</w:t>
      </w:r>
      <w:r>
        <w:tab/>
      </w:r>
      <w:r>
        <w:rPr>
          <w:snapToGrid w:val="0"/>
        </w:rPr>
        <w:t>the reason for taking the action that has been taken or that is proposed to be taken.</w:t>
      </w:r>
    </w:p>
    <w:p>
      <w:pPr>
        <w:pStyle w:val="Subsection"/>
      </w:pPr>
      <w:r>
        <w:tab/>
        <w:t>(5)</w:t>
      </w:r>
      <w:r>
        <w:tab/>
        <w:t>Subsections (1), (2), (3) and (4) do not apply in respect of a person who made an anonymous disclosure.</w:t>
      </w:r>
    </w:p>
    <w:p>
      <w:pPr>
        <w:pStyle w:val="Footnotesection"/>
      </w:pPr>
      <w:r>
        <w:tab/>
        <w:t>[Section 10 amended by No. 31 of 2012 s. 11.]</w:t>
      </w:r>
    </w:p>
    <w:p>
      <w:pPr>
        <w:pStyle w:val="Heading5"/>
        <w:rPr>
          <w:snapToGrid w:val="0"/>
        </w:rPr>
      </w:pPr>
      <w:bookmarkStart w:id="20" w:name="_Toc381880597"/>
      <w:r>
        <w:rPr>
          <w:rStyle w:val="CharSectno"/>
        </w:rPr>
        <w:t>11</w:t>
      </w:r>
      <w:r>
        <w:rPr>
          <w:snapToGrid w:val="0"/>
        </w:rPr>
        <w:t>.</w:t>
      </w:r>
      <w:r>
        <w:rPr>
          <w:snapToGrid w:val="0"/>
        </w:rPr>
        <w:tab/>
        <w:t>Notice under s. 10 not to disclose certain matters</w:t>
      </w:r>
      <w:bookmarkEnd w:id="20"/>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 or</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deleted]</w:t>
      </w:r>
    </w:p>
    <w:p>
      <w:pPr>
        <w:pStyle w:val="Subsection"/>
        <w:keepLines/>
      </w:pPr>
      <w:r>
        <w:tab/>
        <w:t>(3)</w:t>
      </w:r>
      <w:r>
        <w:tab/>
        <w:t xml:space="preserve">To </w:t>
      </w:r>
      <w:r>
        <w:rPr>
          <w:snapToGrid w:val="0"/>
        </w:rPr>
        <w:t>avoid</w:t>
      </w:r>
      <w:r>
        <w:t xml:space="preserve"> doubt, it is declared that information that section 151, 152 or 153 of the </w:t>
      </w:r>
      <w:r>
        <w:rPr>
          <w:i/>
        </w:rPr>
        <w:t>Corruption and Crime Commission Act 2003</w:t>
      </w:r>
      <w:r>
        <w:t xml:space="preserve"> prevents a person from disclosing is not to be given or disclosed under section 10.</w:t>
      </w:r>
    </w:p>
    <w:p>
      <w:pPr>
        <w:pStyle w:val="Footnotesection"/>
      </w:pPr>
      <w:r>
        <w:tab/>
        <w:t>[Section 11 amended by No. 48 of 2003 s. 62 (as amended by No. 78 of 2003 s. 35(13)); No. 78 of 2003 s. 74(2).]</w:t>
      </w:r>
    </w:p>
    <w:p>
      <w:pPr>
        <w:pStyle w:val="Heading5"/>
      </w:pPr>
      <w:bookmarkStart w:id="21" w:name="_Toc381880598"/>
      <w:r>
        <w:rPr>
          <w:rStyle w:val="CharSectno"/>
        </w:rPr>
        <w:t>12</w:t>
      </w:r>
      <w:r>
        <w:t>.</w:t>
      </w:r>
      <w:r>
        <w:tab/>
        <w:t>Duties under this Act of certain persons limited</w:t>
      </w:r>
      <w:bookmarkEnd w:id="21"/>
    </w:p>
    <w:p>
      <w:pPr>
        <w:pStyle w:val="Subsection"/>
      </w:pPr>
      <w:r>
        <w:tab/>
        <w:t>(1)</w:t>
      </w:r>
      <w:r>
        <w:tab/>
        <w:t>The Corruption and Crime Commission and the Parliamentary Commissioner are not required to comply with sections 8(1), 9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pPr>
      <w:r>
        <w:tab/>
        <w:t>(2)</w:t>
      </w:r>
      <w:r>
        <w:tab/>
        <w:t xml:space="preserve">If a person makes a disclosure of public interest information under this Act to the Parliamentary Commissioner, the </w:t>
      </w:r>
      <w:r>
        <w:rPr>
          <w:i/>
          <w:iCs/>
        </w:rPr>
        <w:t>Parliamentary Commissioner Act 1971</w:t>
      </w:r>
      <w:r>
        <w:t xml:space="preserve"> section 26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(5A)</w:t>
      </w:r>
      <w:r>
        <w:tab/>
        <w:t>Subsection (4)(b) does not apply in respect of a person who made an anonymous disclosure.</w:t>
      </w:r>
    </w:p>
    <w:p>
      <w:pPr>
        <w:pStyle w:val="Subsection"/>
      </w:pPr>
      <w:r>
        <w:tab/>
        <w:t>(5)</w:t>
      </w:r>
      <w:r>
        <w:tab/>
        <w:t>In this section —</w:t>
      </w:r>
    </w:p>
    <w:p>
      <w:pPr>
        <w:pStyle w:val="Defstart"/>
      </w:pPr>
      <w:r>
        <w:tab/>
      </w:r>
      <w:r>
        <w:rPr>
          <w:rStyle w:val="CharDefText"/>
        </w:rPr>
        <w:t>complaint</w:t>
      </w:r>
      <w:r>
        <w:t xml:space="preserve"> includes an allegation, application, charge, motion, objection, petition, report, request or summons;</w:t>
      </w:r>
    </w:p>
    <w:p>
      <w:pPr>
        <w:pStyle w:val="Defstart"/>
      </w:pPr>
      <w:r>
        <w:tab/>
      </w:r>
      <w:r>
        <w:rPr>
          <w:rStyle w:val="CharDefText"/>
        </w:rPr>
        <w:t>declared person</w:t>
      </w:r>
      <w:r>
        <w:t xml:space="preserve"> means a person declared in regulations made for the purposes of paragraph (g) of the definition of </w:t>
      </w:r>
      <w:r>
        <w:rPr>
          <w:b/>
          <w:i/>
        </w:rPr>
        <w:t>public authority</w:t>
      </w:r>
      <w:r>
        <w:t xml:space="preserve"> to be a public authority.</w:t>
      </w:r>
    </w:p>
    <w:p>
      <w:pPr>
        <w:pStyle w:val="Footnotesection"/>
      </w:pPr>
      <w:r>
        <w:tab/>
        <w:t>[Section 12 amended by No. 48 of 2003 s. 62; No. 78 of 2003 s. 74(2); No. 8 of 2009 s. 104(2); No. 31 of 2012 s. 12.]</w:t>
      </w:r>
    </w:p>
    <w:p>
      <w:pPr>
        <w:pStyle w:val="Heading2"/>
      </w:pPr>
      <w:bookmarkStart w:id="22" w:name="_Toc381880558"/>
      <w:bookmarkStart w:id="23" w:name="_Toc381880599"/>
      <w:r>
        <w:rPr>
          <w:rStyle w:val="CharPartNo"/>
        </w:rPr>
        <w:t>Part 3</w:t>
      </w:r>
      <w:r>
        <w:rPr>
          <w:rStyle w:val="CharDivNo"/>
        </w:rPr>
        <w:t xml:space="preserve"> </w:t>
      </w:r>
      <w:r>
        <w:t>—</w:t>
      </w:r>
      <w:r>
        <w:rPr>
          <w:rStyle w:val="CharDivText"/>
        </w:rPr>
        <w:t xml:space="preserve"> </w:t>
      </w:r>
      <w:r>
        <w:rPr>
          <w:rStyle w:val="CharPartText"/>
        </w:rPr>
        <w:t>Protection</w:t>
      </w:r>
      <w:bookmarkEnd w:id="22"/>
      <w:bookmarkEnd w:id="23"/>
    </w:p>
    <w:p>
      <w:pPr>
        <w:pStyle w:val="Heading5"/>
      </w:pPr>
      <w:bookmarkStart w:id="24" w:name="_Toc381880600"/>
      <w:r>
        <w:rPr>
          <w:rStyle w:val="CharSectno"/>
        </w:rPr>
        <w:t>13</w:t>
      </w:r>
      <w:r>
        <w:t>.</w:t>
      </w:r>
      <w:r>
        <w:tab/>
        <w:t>Immunity for person making appropriate disclosure of public interest information</w:t>
      </w:r>
      <w:bookmarkEnd w:id="24"/>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 or</w:t>
      </w:r>
    </w:p>
    <w:p>
      <w:pPr>
        <w:pStyle w:val="Indenti"/>
        <w:rPr>
          <w:snapToGrid w:val="0"/>
        </w:rPr>
      </w:pPr>
      <w:r>
        <w:rPr>
          <w:snapToGrid w:val="0"/>
        </w:rPr>
        <w:tab/>
        <w:t>(ii)</w:t>
      </w:r>
      <w:r>
        <w:rPr>
          <w:snapToGrid w:val="0"/>
        </w:rPr>
        <w:tab/>
        <w:t>to be dismissed; or</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25" w:name="_Toc381880601"/>
      <w:r>
        <w:rPr>
          <w:rStyle w:val="CharSectno"/>
        </w:rPr>
        <w:t>14</w:t>
      </w:r>
      <w:r>
        <w:t>.</w:t>
      </w:r>
      <w:r>
        <w:tab/>
        <w:t>Detrimental action against informant etc., offence</w:t>
      </w:r>
      <w:bookmarkEnd w:id="25"/>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26" w:name="_Toc381880602"/>
      <w:r>
        <w:rPr>
          <w:rStyle w:val="CharSectno"/>
        </w:rPr>
        <w:t>15A</w:t>
      </w:r>
      <w:r>
        <w:t>.</w:t>
      </w:r>
      <w:r>
        <w:tab/>
        <w:t>Injunction etc. as to detrimental action</w:t>
      </w:r>
      <w:bookmarkEnd w:id="26"/>
    </w:p>
    <w:p>
      <w:pPr>
        <w:pStyle w:val="Subsection"/>
      </w:pPr>
      <w:r>
        <w:tab/>
        <w:t>(1)</w:t>
      </w:r>
      <w:r>
        <w:tab/>
        <w:t>A person who believes that detrimental action has been taken or may be taken against him or her in reprisal for a disclosure of public interest information under this Act may apply to the Supreme Court for an order or injunction under this section.</w:t>
      </w:r>
    </w:p>
    <w:p>
      <w:pPr>
        <w:pStyle w:val="Subsection"/>
      </w:pPr>
      <w:r>
        <w:tab/>
        <w:t>(2)</w:t>
      </w:r>
      <w:r>
        <w:tab/>
        <w:t xml:space="preserve">If the Supreme Court, on an application under subsection (1), is satisfied that a person has taken or intends to take detrimental action against the applicant in reprisal for a disclosure of public interest information under this Act, the Court may — </w:t>
      </w:r>
    </w:p>
    <w:p>
      <w:pPr>
        <w:pStyle w:val="Indenta"/>
      </w:pPr>
      <w:r>
        <w:tab/>
        <w:t>(a)</w:t>
      </w:r>
      <w:r>
        <w:tab/>
        <w:t>order the person who took the detrimental action to remedy that action; or</w:t>
      </w:r>
    </w:p>
    <w:p>
      <w:pPr>
        <w:pStyle w:val="Indenta"/>
      </w:pPr>
      <w:r>
        <w:tab/>
        <w:t>(b)</w:t>
      </w:r>
      <w:r>
        <w:tab/>
        <w:t>grant an injunction in any terms the Court considers appropriate.</w:t>
      </w:r>
    </w:p>
    <w:p>
      <w:pPr>
        <w:pStyle w:val="Subsection"/>
      </w:pPr>
      <w:r>
        <w:tab/>
        <w:t>(3)</w:t>
      </w:r>
      <w:r>
        <w:tab/>
        <w:t xml:space="preserve">The Supreme Court, pending the final determination of an application under subsection (1), may — </w:t>
      </w:r>
    </w:p>
    <w:p>
      <w:pPr>
        <w:pStyle w:val="Indenta"/>
      </w:pPr>
      <w:r>
        <w:tab/>
        <w:t>(a)</w:t>
      </w:r>
      <w:r>
        <w:tab/>
        <w:t>make an interim order in the terms of subsection (2)(a); or</w:t>
      </w:r>
    </w:p>
    <w:p>
      <w:pPr>
        <w:pStyle w:val="Indenta"/>
      </w:pPr>
      <w:r>
        <w:tab/>
        <w:t>(b)</w:t>
      </w:r>
      <w:r>
        <w:tab/>
        <w:t>grant an interim injunction.</w:t>
      </w:r>
    </w:p>
    <w:p>
      <w:pPr>
        <w:pStyle w:val="Footnotesection"/>
      </w:pPr>
      <w:r>
        <w:tab/>
        <w:t>[Section 15A inserted by No. 31 of 2012 s. 7.]</w:t>
      </w:r>
    </w:p>
    <w:p>
      <w:pPr>
        <w:pStyle w:val="Heading5"/>
      </w:pPr>
      <w:bookmarkStart w:id="27" w:name="_Toc381880603"/>
      <w:r>
        <w:rPr>
          <w:rStyle w:val="CharSectno"/>
        </w:rPr>
        <w:t>15B</w:t>
      </w:r>
      <w:r>
        <w:t>.</w:t>
      </w:r>
      <w:r>
        <w:tab/>
        <w:t>Public service employee, relocating to prevent etc. reprisal</w:t>
      </w:r>
      <w:bookmarkEnd w:id="27"/>
    </w:p>
    <w:p>
      <w:pPr>
        <w:pStyle w:val="Subsection"/>
      </w:pPr>
      <w:r>
        <w:tab/>
        <w:t>(1)</w:t>
      </w:r>
      <w:r>
        <w:tab/>
        <w:t xml:space="preserve">In this section — </w:t>
      </w:r>
    </w:p>
    <w:p>
      <w:pPr>
        <w:pStyle w:val="Defstart"/>
      </w:pPr>
      <w:r>
        <w:tab/>
      </w:r>
      <w:r>
        <w:rPr>
          <w:rStyle w:val="CharDefText"/>
        </w:rPr>
        <w:t>employing authority</w:t>
      </w:r>
      <w:r>
        <w:t xml:space="preserve">, in relation to a public service employee, means that person’s employing authority under the </w:t>
      </w:r>
      <w:r>
        <w:rPr>
          <w:i/>
        </w:rPr>
        <w:t>Public Sector Management Act 1994</w:t>
      </w:r>
      <w:r>
        <w:t xml:space="preserve"> section 5;</w:t>
      </w:r>
    </w:p>
    <w:p>
      <w:pPr>
        <w:pStyle w:val="Defstart"/>
      </w:pPr>
      <w:r>
        <w:tab/>
      </w:r>
      <w:r>
        <w:rPr>
          <w:rStyle w:val="CharDefText"/>
        </w:rPr>
        <w:t>organisation</w:t>
      </w:r>
      <w:r>
        <w:t xml:space="preserve"> means an organisation as defined in the </w:t>
      </w:r>
      <w:r>
        <w:rPr>
          <w:i/>
        </w:rPr>
        <w:t>Public Sector Management Act 1994</w:t>
      </w:r>
      <w:r>
        <w:t xml:space="preserve"> section 3(1);</w:t>
      </w:r>
    </w:p>
    <w:p>
      <w:pPr>
        <w:pStyle w:val="Defstart"/>
      </w:pPr>
      <w:r>
        <w:tab/>
      </w:r>
      <w:r>
        <w:rPr>
          <w:rStyle w:val="CharDefText"/>
        </w:rPr>
        <w:t>public service employee</w:t>
      </w:r>
      <w:r>
        <w:t xml:space="preserve"> means — </w:t>
      </w:r>
    </w:p>
    <w:p>
      <w:pPr>
        <w:pStyle w:val="Defpara"/>
      </w:pPr>
      <w:r>
        <w:tab/>
        <w:t>(a)</w:t>
      </w:r>
      <w:r>
        <w:tab/>
        <w:t>a public service officer; or</w:t>
      </w:r>
    </w:p>
    <w:p>
      <w:pPr>
        <w:pStyle w:val="Defpara"/>
      </w:pPr>
      <w:r>
        <w:tab/>
        <w:t>(b)</w:t>
      </w:r>
      <w:r>
        <w:tab/>
        <w:t>an employee employed in an organisation.</w:t>
      </w:r>
    </w:p>
    <w:p>
      <w:pPr>
        <w:pStyle w:val="Subsection"/>
      </w:pPr>
      <w:r>
        <w:tab/>
        <w:t>(2)</w:t>
      </w:r>
      <w:r>
        <w:tab/>
        <w:t xml:space="preserve">A public service employee may apply in writing to his or her employing authority for relocation on the grounds that — </w:t>
      </w:r>
    </w:p>
    <w:p>
      <w:pPr>
        <w:pStyle w:val="Indenta"/>
      </w:pPr>
      <w:r>
        <w:tab/>
        <w:t>(a)</w:t>
      </w:r>
      <w:r>
        <w:tab/>
        <w:t>detrimental action has been taken or may be taken against the employee in reprisal for a disclosure of public interest information under this Act; and</w:t>
      </w:r>
    </w:p>
    <w:p>
      <w:pPr>
        <w:pStyle w:val="Indenta"/>
      </w:pPr>
      <w:r>
        <w:tab/>
        <w:t>(b)</w:t>
      </w:r>
      <w:r>
        <w:tab/>
        <w:t>the only practical means of removing or substantially removing the danger of a reprisal is to relocate the employee.</w:t>
      </w:r>
    </w:p>
    <w:p>
      <w:pPr>
        <w:pStyle w:val="Subsection"/>
      </w:pPr>
      <w:r>
        <w:tab/>
        <w:t>(3)</w:t>
      </w:r>
      <w:r>
        <w:tab/>
        <w:t>If the employing authority is satisfied that the grounds are established it must, as far as practicable, make arrangements to relocate the employee away from the employee’s existing work location whether within the employee’s current department or organisation or to another department or organisation.</w:t>
      </w:r>
    </w:p>
    <w:p>
      <w:pPr>
        <w:pStyle w:val="Subsection"/>
      </w:pPr>
      <w:r>
        <w:tab/>
        <w:t>(4)</w:t>
      </w:r>
      <w:r>
        <w:tab/>
        <w:t>Subsection (3) does not authorise the relocation of a public service employee unless the employee consents to the specific arrangements proposed by the employing authority.</w:t>
      </w:r>
    </w:p>
    <w:p>
      <w:pPr>
        <w:pStyle w:val="Footnotesection"/>
      </w:pPr>
      <w:r>
        <w:tab/>
        <w:t>[Section 15B inserted by No. 31 of 2012 s. 8.]</w:t>
      </w:r>
    </w:p>
    <w:p>
      <w:pPr>
        <w:pStyle w:val="Heading5"/>
      </w:pPr>
      <w:bookmarkStart w:id="28" w:name="_Toc381880604"/>
      <w:r>
        <w:rPr>
          <w:rStyle w:val="CharSectno"/>
        </w:rPr>
        <w:t>15</w:t>
      </w:r>
      <w:r>
        <w:t>.</w:t>
      </w:r>
      <w:r>
        <w:tab/>
        <w:t>Act of victimisation defined; remedies for</w:t>
      </w:r>
      <w:bookmarkEnd w:id="28"/>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 and</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spacing w:before="240"/>
      </w:pPr>
      <w:bookmarkStart w:id="29" w:name="_Toc381880605"/>
      <w:r>
        <w:rPr>
          <w:rStyle w:val="CharSectno"/>
        </w:rPr>
        <w:t>16</w:t>
      </w:r>
      <w:r>
        <w:t>.</w:t>
      </w:r>
      <w:r>
        <w:tab/>
        <w:t>Disclosure of identity of informant etc. restricted</w:t>
      </w:r>
      <w:bookmarkEnd w:id="29"/>
    </w:p>
    <w:p>
      <w:pPr>
        <w:pStyle w:val="Subsection"/>
        <w:spacing w:before="180"/>
        <w:rPr>
          <w:snapToGrid w:val="0"/>
        </w:rPr>
      </w:pPr>
      <w:r>
        <w:rPr>
          <w:snapToGrid w:val="0"/>
        </w:rPr>
        <w:tab/>
        <w:t>(1)</w:t>
      </w:r>
      <w:r>
        <w:rPr>
          <w:snapToGrid w:val="0"/>
        </w:rPr>
        <w:tab/>
        <w:t xml:space="preserve">A person must not make a disclosure (an </w:t>
      </w:r>
      <w:r>
        <w:rPr>
          <w:rStyle w:val="CharDefText"/>
        </w:rPr>
        <w:t>identifying disclosure</w:t>
      </w:r>
      <w:r>
        <w:rPr>
          <w:snapToGrid w:val="0"/>
        </w:rPr>
        <w:t>) of information that might identify or tend to identify anyone as a person who has made an appropriate disclosure of public interest information under this Act unless — </w:t>
      </w:r>
    </w:p>
    <w:p>
      <w:pPr>
        <w:pStyle w:val="Indenta"/>
        <w:spacing w:before="100"/>
        <w:rPr>
          <w:snapToGrid w:val="0"/>
        </w:rPr>
      </w:pPr>
      <w:r>
        <w:rPr>
          <w:snapToGrid w:val="0"/>
        </w:rPr>
        <w:tab/>
        <w:t>(a)</w:t>
      </w:r>
      <w:r>
        <w:rPr>
          <w:snapToGrid w:val="0"/>
        </w:rPr>
        <w:tab/>
        <w:t>the person who made the disclosure of public interest information consents to the disclosure of information that might identify or tend to identify him or her; or</w:t>
      </w:r>
    </w:p>
    <w:p>
      <w:pPr>
        <w:pStyle w:val="Indenta"/>
        <w:spacing w:before="100"/>
        <w:rPr>
          <w:snapToGrid w:val="0"/>
        </w:rPr>
      </w:pPr>
      <w:r>
        <w:rPr>
          <w:snapToGrid w:val="0"/>
        </w:rPr>
        <w:tab/>
        <w:t>(b)</w:t>
      </w:r>
      <w:r>
        <w:rPr>
          <w:snapToGrid w:val="0"/>
        </w:rPr>
        <w:tab/>
        <w:t>it is necessary to do so having regard to the rules of natural justice; or</w:t>
      </w:r>
    </w:p>
    <w:p>
      <w:pPr>
        <w:pStyle w:val="Indenta"/>
        <w:spacing w:before="100"/>
        <w:rPr>
          <w:snapToGrid w:val="0"/>
        </w:rPr>
      </w:pPr>
      <w:r>
        <w:rPr>
          <w:snapToGrid w:val="0"/>
        </w:rPr>
        <w:tab/>
        <w:t>(c)</w:t>
      </w:r>
      <w:r>
        <w:rPr>
          <w:snapToGrid w:val="0"/>
        </w:rPr>
        <w:tab/>
        <w:t>it is necessary to do so to enable the matter to be investigated effectively; or</w:t>
      </w:r>
    </w:p>
    <w:p>
      <w:pPr>
        <w:pStyle w:val="Indenta"/>
      </w:pPr>
      <w:r>
        <w:tab/>
        <w:t>(d)</w:t>
      </w:r>
      <w:r>
        <w:tab/>
        <w:t>the disclosure is made in accordance with an order of a court or any other person or body having authority to hear, receive and examine evidence; or</w:t>
      </w:r>
    </w:p>
    <w:p>
      <w:pPr>
        <w:pStyle w:val="Ednotepara"/>
        <w:spacing w:before="80"/>
      </w:pPr>
      <w:r>
        <w:tab/>
        <w:t>[(e)</w:t>
      </w:r>
      <w:r>
        <w:tab/>
        <w:t>deleted]</w:t>
      </w:r>
    </w:p>
    <w:p>
      <w:pPr>
        <w:pStyle w:val="Indenta"/>
        <w:spacing w:before="100"/>
      </w:pPr>
      <w:r>
        <w:tab/>
        <w:t>(f)</w:t>
      </w:r>
      <w:r>
        <w:tab/>
        <w:t xml:space="preserve">the </w:t>
      </w:r>
      <w:r>
        <w:rPr>
          <w:snapToGrid w:val="0"/>
        </w:rPr>
        <w:t>identifying</w:t>
      </w:r>
      <w:r>
        <w:t xml:space="preserve"> disclosure is made in accordance with section 152 or 153 of the </w:t>
      </w:r>
      <w:r>
        <w:rPr>
          <w:i/>
        </w:rPr>
        <w:t xml:space="preserve">Corruption and Crime Commission </w:t>
      </w:r>
      <w:r>
        <w:rPr>
          <w:i/>
          <w:iCs/>
        </w:rPr>
        <w:t>Act 2003</w:t>
      </w:r>
      <w:r>
        <w:t>.</w:t>
      </w:r>
    </w:p>
    <w:p>
      <w:pPr>
        <w:pStyle w:val="Penstart"/>
        <w:spacing w:before="120"/>
        <w:rPr>
          <w:snapToGrid w:val="0"/>
        </w:rPr>
      </w:pPr>
      <w:r>
        <w:rPr>
          <w:snapToGrid w:val="0"/>
        </w:rPr>
        <w:tab/>
        <w:t>Penalty: $24 000 or imprisonment for 2 years.</w:t>
      </w:r>
    </w:p>
    <w:p>
      <w:pPr>
        <w:pStyle w:val="Subsection"/>
        <w:spacing w:before="180"/>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spacing w:before="100"/>
      </w:pPr>
      <w:r>
        <w:tab/>
        <w:t>(a)</w:t>
      </w:r>
      <w:r>
        <w:tab/>
        <w:t>that the disclosure is to be made; and</w:t>
      </w:r>
    </w:p>
    <w:p>
      <w:pPr>
        <w:pStyle w:val="Indenta"/>
        <w:spacing w:before="100"/>
      </w:pPr>
      <w:r>
        <w:tab/>
        <w:t>(b)</w:t>
      </w:r>
      <w:r>
        <w:tab/>
        <w:t>the reason for the disclosure being made.</w:t>
      </w:r>
    </w:p>
    <w:p>
      <w:pPr>
        <w:pStyle w:val="Subsection"/>
      </w:pPr>
      <w:r>
        <w:tab/>
        <w:t>(3A)</w:t>
      </w:r>
      <w:r>
        <w:tab/>
        <w:t>Subsection (2) does not apply in respect of a person who made an anonymous disclosure.</w:t>
      </w:r>
    </w:p>
    <w:p>
      <w:pPr>
        <w:pStyle w:val="Subsection"/>
        <w:spacing w:before="180"/>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rStyle w:val="CharDefText"/>
        </w:rPr>
        <w:t>identifying information</w:t>
      </w:r>
      <w:r>
        <w:t xml:space="preserve">) unless — </w:t>
      </w:r>
    </w:p>
    <w:p>
      <w:pPr>
        <w:pStyle w:val="Indenta"/>
        <w:widowControl w:val="0"/>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 or</w:t>
      </w:r>
    </w:p>
    <w:p>
      <w:pPr>
        <w:pStyle w:val="Indenta"/>
        <w:rPr>
          <w:snapToGrid w:val="0"/>
        </w:rPr>
      </w:pPr>
      <w:r>
        <w:tab/>
        <w:t>(b)</w:t>
      </w:r>
      <w:r>
        <w:tab/>
      </w:r>
      <w:r>
        <w:rPr>
          <w:snapToGrid w:val="0"/>
        </w:rPr>
        <w:t>it is necessary to do so to enable the matter to be investigated effectively; or</w:t>
      </w:r>
    </w:p>
    <w:p>
      <w:pPr>
        <w:pStyle w:val="Indenta"/>
      </w:pPr>
      <w:r>
        <w:rPr>
          <w:snapToGrid w:val="0"/>
        </w:rPr>
        <w:tab/>
        <w:t>(c)</w:t>
      </w:r>
      <w:r>
        <w:rPr>
          <w:snapToGrid w:val="0"/>
        </w:rPr>
        <w:tab/>
      </w:r>
      <w:r>
        <w:t>it is necessary to do so in the course of taking action under section 9(1)(a) to (c); or</w:t>
      </w:r>
    </w:p>
    <w:p>
      <w:pPr>
        <w:pStyle w:val="Indenta"/>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Indenta"/>
      </w:pPr>
      <w:r>
        <w:tab/>
        <w:t>(e)</w:t>
      </w:r>
      <w:r>
        <w:tab/>
        <w:t>the disclosure is made in accordance with an order of a court or any other person or body having authority to hear, receive and examine evidence; or</w:t>
      </w:r>
    </w:p>
    <w:p>
      <w:pPr>
        <w:pStyle w:val="Ednotepara"/>
        <w:spacing w:before="80"/>
      </w:pPr>
      <w:r>
        <w:tab/>
        <w:t>[(f)</w:t>
      </w:r>
      <w:r>
        <w:tab/>
        <w:t>deleted]</w:t>
      </w:r>
    </w:p>
    <w:p>
      <w:pPr>
        <w:pStyle w:val="Indenta"/>
      </w:pPr>
      <w:r>
        <w:tab/>
        <w:t>(g)</w:t>
      </w:r>
      <w:r>
        <w:tab/>
        <w:t xml:space="preserve">the disclosure is made in accordance with section 152 or 153 of the </w:t>
      </w:r>
      <w:r>
        <w:rPr>
          <w:i/>
        </w:rPr>
        <w:t>Corruption and Crime Commission Act 2003</w:t>
      </w:r>
      <w:r>
        <w:t>.</w:t>
      </w:r>
    </w:p>
    <w:p>
      <w:pPr>
        <w:pStyle w:val="Penstart"/>
        <w:rPr>
          <w:snapToGrid w:val="0"/>
        </w:rPr>
      </w:pPr>
      <w:r>
        <w:rPr>
          <w:snapToGrid w:val="0"/>
        </w:rPr>
        <w:tab/>
        <w:t>Penalty: $24 000 or imprisonment for 2 years.</w:t>
      </w:r>
    </w:p>
    <w:p>
      <w:pPr>
        <w:pStyle w:val="Footnotesection"/>
        <w:ind w:left="890" w:hanging="890"/>
      </w:pPr>
      <w:r>
        <w:tab/>
        <w:t>[Section 16 amended by No. 48 of 2003 s. 62 (as amended by No. 78 of 2003 s. 35(13)); No. 78 of 2003 s. 74(2); No. 8 of 2009 s. 104(3); No. 31 of 2012 s. 13 and 16.]</w:t>
      </w:r>
    </w:p>
    <w:p>
      <w:pPr>
        <w:pStyle w:val="Heading5"/>
      </w:pPr>
      <w:bookmarkStart w:id="30" w:name="_Toc381880606"/>
      <w:r>
        <w:rPr>
          <w:rStyle w:val="CharSectno"/>
        </w:rPr>
        <w:t>17</w:t>
      </w:r>
      <w:r>
        <w:t>.</w:t>
      </w:r>
      <w:r>
        <w:tab/>
        <w:t>Protection of s. 13 forfeited in some cases etc.</w:t>
      </w:r>
      <w:bookmarkEnd w:id="30"/>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spacing w:before="120"/>
      </w:pPr>
      <w:r>
        <w:tab/>
      </w:r>
      <w:r>
        <w:tab/>
        <w:t>forfeits the protection given by section 13.</w:t>
      </w:r>
    </w:p>
    <w:p>
      <w:pPr>
        <w:pStyle w:val="Subsection"/>
      </w:pPr>
      <w:r>
        <w:tab/>
        <w:t>(2A)</w:t>
      </w:r>
      <w:r>
        <w:tab/>
        <w:t>Subsection (1)(a) does not apply in respect of a person who made an anonymous disclosure.</w:t>
      </w:r>
    </w:p>
    <w:p>
      <w:pPr>
        <w:pStyle w:val="Subsection"/>
        <w:spacing w:before="120"/>
      </w:pPr>
      <w:r>
        <w:tab/>
        <w:t>(2)</w:t>
      </w:r>
      <w:r>
        <w:tab/>
        <w:t>Where a court is considering whether a person has pursuant to subsection (1) forfeited the protection of section 13 and forms the view that the failure or disclosure —</w:t>
      </w:r>
    </w:p>
    <w:p>
      <w:pPr>
        <w:pStyle w:val="Indenta"/>
        <w:spacing w:before="60"/>
      </w:pPr>
      <w:r>
        <w:tab/>
        <w:t>(a)</w:t>
      </w:r>
      <w:r>
        <w:tab/>
        <w:t>has not materially prejudiced the public interest served by the appropriate disclosure; and</w:t>
      </w:r>
    </w:p>
    <w:p>
      <w:pPr>
        <w:pStyle w:val="Indenta"/>
        <w:keepNext/>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Footnotesection"/>
        <w:ind w:left="890" w:hanging="890"/>
      </w:pPr>
      <w:r>
        <w:tab/>
        <w:t>[Section 17 amended by No. 31 of 2012 s. 14.]</w:t>
      </w:r>
    </w:p>
    <w:p>
      <w:pPr>
        <w:pStyle w:val="Heading5"/>
      </w:pPr>
      <w:bookmarkStart w:id="31" w:name="_Toc381880607"/>
      <w:r>
        <w:rPr>
          <w:rStyle w:val="CharSectno"/>
        </w:rPr>
        <w:t>18A</w:t>
      </w:r>
      <w:r>
        <w:t>.</w:t>
      </w:r>
      <w:r>
        <w:tab/>
        <w:t>Disclosure under s. 7A(2) to journalist, application of Part to</w:t>
      </w:r>
      <w:bookmarkEnd w:id="31"/>
    </w:p>
    <w:p>
      <w:pPr>
        <w:pStyle w:val="Subsection"/>
      </w:pPr>
      <w:r>
        <w:tab/>
      </w:r>
      <w:r>
        <w:tab/>
        <w:t>A person who makes a disclosure to a journalist in accordance with section 7A(2) is, for the purposes of this Part, to be taken to be a person who makes a disclosure of public interest information.</w:t>
      </w:r>
    </w:p>
    <w:p>
      <w:pPr>
        <w:pStyle w:val="Footnotesection"/>
      </w:pPr>
      <w:r>
        <w:tab/>
        <w:t>[Section 18A inserted by No. 31 of 2012 s. 17.]</w:t>
      </w:r>
    </w:p>
    <w:p>
      <w:pPr>
        <w:pStyle w:val="Heading2"/>
      </w:pPr>
      <w:bookmarkStart w:id="32" w:name="_Toc381880567"/>
      <w:bookmarkStart w:id="33" w:name="_Toc381880608"/>
      <w:r>
        <w:rPr>
          <w:rStyle w:val="CharPartNo"/>
        </w:rPr>
        <w:t>Part 4</w:t>
      </w:r>
      <w:r>
        <w:rPr>
          <w:rStyle w:val="CharDivNo"/>
        </w:rPr>
        <w:t> </w:t>
      </w:r>
      <w:r>
        <w:t>—</w:t>
      </w:r>
      <w:r>
        <w:rPr>
          <w:rStyle w:val="CharDivText"/>
        </w:rPr>
        <w:t> </w:t>
      </w:r>
      <w:r>
        <w:rPr>
          <w:rStyle w:val="CharPartText"/>
        </w:rPr>
        <w:t>Role of Public Sector Commissioner</w:t>
      </w:r>
      <w:bookmarkEnd w:id="32"/>
      <w:bookmarkEnd w:id="33"/>
    </w:p>
    <w:p>
      <w:pPr>
        <w:pStyle w:val="Footnoteheading"/>
      </w:pPr>
      <w:r>
        <w:tab/>
        <w:t>[Heading inserted by No. 39 of 2010 s. 82(3).]</w:t>
      </w:r>
    </w:p>
    <w:p>
      <w:pPr>
        <w:pStyle w:val="Heading5"/>
      </w:pPr>
      <w:bookmarkStart w:id="34" w:name="_Toc381880609"/>
      <w:r>
        <w:rPr>
          <w:rStyle w:val="CharSectno"/>
        </w:rPr>
        <w:t>18</w:t>
      </w:r>
      <w:r>
        <w:t>.</w:t>
      </w:r>
      <w:r>
        <w:tab/>
        <w:t>Term used: proper authority</w:t>
      </w:r>
      <w:bookmarkEnd w:id="34"/>
    </w:p>
    <w:p>
      <w:pPr>
        <w:pStyle w:val="Subsection"/>
      </w:pPr>
      <w:r>
        <w:tab/>
      </w:r>
      <w:r>
        <w:tab/>
        <w:t xml:space="preserve">In this Part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35" w:name="_Toc381880610"/>
      <w:r>
        <w:rPr>
          <w:rStyle w:val="CharSectno"/>
        </w:rPr>
        <w:t>19</w:t>
      </w:r>
      <w:r>
        <w:t>.</w:t>
      </w:r>
      <w:r>
        <w:tab/>
        <w:t>Commissioner’s functions</w:t>
      </w:r>
      <w:bookmarkEnd w:id="35"/>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20.</w:t>
      </w:r>
    </w:p>
    <w:p>
      <w:pPr>
        <w:pStyle w:val="Subsection"/>
      </w:pPr>
      <w:r>
        <w:tab/>
        <w:t>(2)</w:t>
      </w:r>
      <w:r>
        <w:tab/>
        <w:t>The Commissioner is to assist public authorities and public officers to comply with this Act and the code established under section 20.</w:t>
      </w:r>
    </w:p>
    <w:p>
      <w:pPr>
        <w:pStyle w:val="Heading5"/>
      </w:pPr>
      <w:bookmarkStart w:id="36" w:name="_Toc381880611"/>
      <w:r>
        <w:rPr>
          <w:rStyle w:val="CharSectno"/>
        </w:rPr>
        <w:t>20</w:t>
      </w:r>
      <w:r>
        <w:t>.</w:t>
      </w:r>
      <w:r>
        <w:tab/>
        <w:t>Code of minimum standards of conduct etc., establishing etc.</w:t>
      </w:r>
      <w:bookmarkEnd w:id="36"/>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37" w:name="_Toc381880612"/>
      <w:r>
        <w:rPr>
          <w:rStyle w:val="CharSectno"/>
        </w:rPr>
        <w:t>21</w:t>
      </w:r>
      <w:r>
        <w:t>.</w:t>
      </w:r>
      <w:r>
        <w:tab/>
        <w:t>Guidelines, Commissioner’s duties as to</w:t>
      </w:r>
      <w:bookmarkEnd w:id="37"/>
    </w:p>
    <w:p>
      <w:pPr>
        <w:pStyle w:val="Subsection"/>
      </w:pPr>
      <w:r>
        <w:tab/>
      </w:r>
      <w:r>
        <w:tab/>
        <w:t xml:space="preserve">The Commissioner must — </w:t>
      </w:r>
    </w:p>
    <w:p>
      <w:pPr>
        <w:pStyle w:val="Indenta"/>
        <w:spacing w:before="60"/>
      </w:pPr>
      <w:r>
        <w:tab/>
        <w:t>(a)</w:t>
      </w:r>
      <w:r>
        <w:tab/>
        <w:t>prepare guidelines on internal procedures relating to the functions of a proper authority under this Act; and</w:t>
      </w:r>
    </w:p>
    <w:p>
      <w:pPr>
        <w:pStyle w:val="Indenta"/>
        <w:spacing w:before="60"/>
      </w:pPr>
      <w:r>
        <w:tab/>
        <w:t>(b)</w:t>
      </w:r>
      <w:r>
        <w:tab/>
        <w:t>ensure that all proper authorities have copies of the guidelines.</w:t>
      </w:r>
    </w:p>
    <w:p>
      <w:pPr>
        <w:pStyle w:val="Heading5"/>
      </w:pPr>
      <w:bookmarkStart w:id="38" w:name="_Toc381880613"/>
      <w:r>
        <w:rPr>
          <w:rStyle w:val="CharSectno"/>
        </w:rPr>
        <w:t>22</w:t>
      </w:r>
      <w:r>
        <w:t>.</w:t>
      </w:r>
      <w:r>
        <w:tab/>
        <w:t>Annual report and other reports to Parliament</w:t>
      </w:r>
      <w:bookmarkEnd w:id="38"/>
    </w:p>
    <w:p>
      <w:pPr>
        <w:pStyle w:val="Subsection"/>
      </w:pPr>
      <w:r>
        <w:tab/>
        <w:t>(1)</w:t>
      </w:r>
      <w:r>
        <w:tab/>
        <w:t xml:space="preserve">The Commissioner must report annually to each House of Parliament on — </w:t>
      </w:r>
    </w:p>
    <w:p>
      <w:pPr>
        <w:pStyle w:val="Indenta"/>
        <w:spacing w:before="60"/>
      </w:pPr>
      <w:r>
        <w:tab/>
        <w:t>(a)</w:t>
      </w:r>
      <w:r>
        <w:tab/>
        <w:t>the performance of the Commissioner’s obligations under this Act; and</w:t>
      </w:r>
    </w:p>
    <w:p>
      <w:pPr>
        <w:pStyle w:val="Indenta"/>
        <w:spacing w:before="60"/>
      </w:pPr>
      <w:r>
        <w:tab/>
        <w:t>(b)</w:t>
      </w:r>
      <w:r>
        <w:tab/>
        <w:t>compliance or non</w:t>
      </w:r>
      <w:r>
        <w:noBreakHyphen/>
        <w:t>compliance with the Act; and</w:t>
      </w:r>
    </w:p>
    <w:p>
      <w:pPr>
        <w:pStyle w:val="Indenta"/>
        <w:spacing w:before="60"/>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spacing w:before="60"/>
      </w:pPr>
      <w:r>
        <w:tab/>
        <w:t>(a)</w:t>
      </w:r>
      <w:r>
        <w:tab/>
        <w:t>send copies of the report to the Clerk of that House; and</w:t>
      </w:r>
    </w:p>
    <w:p>
      <w:pPr>
        <w:pStyle w:val="Indenta"/>
        <w:spacing w:before="60"/>
      </w:pPr>
      <w:r>
        <w:tab/>
        <w:t>(b)</w:t>
      </w:r>
      <w:r>
        <w:tab/>
        <w:t>make the report available to the public.</w:t>
      </w:r>
    </w:p>
    <w:p>
      <w:pPr>
        <w:pStyle w:val="Heading2"/>
      </w:pPr>
      <w:bookmarkStart w:id="39" w:name="_Toc381880573"/>
      <w:bookmarkStart w:id="40" w:name="_Toc381880614"/>
      <w:r>
        <w:rPr>
          <w:rStyle w:val="CharPartNo"/>
        </w:rPr>
        <w:t>Part 5</w:t>
      </w:r>
      <w:r>
        <w:rPr>
          <w:rStyle w:val="CharDivNo"/>
        </w:rPr>
        <w:t xml:space="preserve"> </w:t>
      </w:r>
      <w:r>
        <w:t>—</w:t>
      </w:r>
      <w:r>
        <w:rPr>
          <w:rStyle w:val="CharDivText"/>
        </w:rPr>
        <w:t xml:space="preserve"> </w:t>
      </w:r>
      <w:r>
        <w:rPr>
          <w:rStyle w:val="CharPartText"/>
        </w:rPr>
        <w:t>Miscellaneous</w:t>
      </w:r>
      <w:bookmarkEnd w:id="39"/>
      <w:bookmarkEnd w:id="40"/>
    </w:p>
    <w:p>
      <w:pPr>
        <w:pStyle w:val="Heading5"/>
      </w:pPr>
      <w:bookmarkStart w:id="41" w:name="_Toc381880615"/>
      <w:r>
        <w:rPr>
          <w:rStyle w:val="CharSectno"/>
        </w:rPr>
        <w:t>23</w:t>
      </w:r>
      <w:r>
        <w:t>.</w:t>
      </w:r>
      <w:r>
        <w:tab/>
        <w:t>Principal executive officer of public authority, duties of</w:t>
      </w:r>
      <w:bookmarkEnd w:id="41"/>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 and</w:t>
      </w:r>
    </w:p>
    <w:p>
      <w:pPr>
        <w:pStyle w:val="Indenta"/>
      </w:pPr>
      <w:r>
        <w:tab/>
        <w:t>(b)</w:t>
      </w:r>
      <w:r>
        <w:tab/>
        <w:t>provide protection from detrimental action or the threat of detrimental action for any employee of the public authority who makes an appropriate disclosure of public interest information; and</w:t>
      </w:r>
    </w:p>
    <w:p>
      <w:pPr>
        <w:pStyle w:val="Indenta"/>
      </w:pPr>
      <w:r>
        <w:tab/>
        <w:t>(c)</w:t>
      </w:r>
      <w:r>
        <w:tab/>
        <w:t>ensure that his or her public authority complies with this Act; and</w:t>
      </w:r>
    </w:p>
    <w:p>
      <w:pPr>
        <w:pStyle w:val="Indenta"/>
      </w:pPr>
      <w:r>
        <w:tab/>
        <w:t>(d)</w:t>
      </w:r>
      <w:r>
        <w:tab/>
        <w:t>ensure that his or her public authority complies with the code established by the Commissioner under section 20; and</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 and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42" w:name="_Toc381880616"/>
      <w:r>
        <w:rPr>
          <w:rStyle w:val="CharSectno"/>
        </w:rPr>
        <w:t>24</w:t>
      </w:r>
      <w:r>
        <w:t>.</w:t>
      </w:r>
      <w:r>
        <w:tab/>
        <w:t>False or misleading disclosure, offence</w:t>
      </w:r>
      <w:bookmarkEnd w:id="42"/>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r>
        <w:tab/>
        <w:t>[Section 24 amended by No. 48 of 2003 s. 62.]</w:t>
      </w:r>
    </w:p>
    <w:p>
      <w:pPr>
        <w:pStyle w:val="Heading5"/>
        <w:rPr>
          <w:snapToGrid w:val="0"/>
        </w:rPr>
      </w:pPr>
      <w:bookmarkStart w:id="43" w:name="_Toc381880617"/>
      <w:r>
        <w:rPr>
          <w:rStyle w:val="CharSectno"/>
        </w:rPr>
        <w:t>25</w:t>
      </w:r>
      <w:r>
        <w:rPr>
          <w:snapToGrid w:val="0"/>
        </w:rPr>
        <w:t>.</w:t>
      </w:r>
      <w:r>
        <w:rPr>
          <w:snapToGrid w:val="0"/>
        </w:rPr>
        <w:tab/>
        <w:t>Other laws not excluded</w:t>
      </w:r>
      <w:bookmarkEnd w:id="43"/>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44" w:name="_Toc381880618"/>
      <w:r>
        <w:rPr>
          <w:rStyle w:val="CharSectno"/>
        </w:rPr>
        <w:t>26</w:t>
      </w:r>
      <w:r>
        <w:t>.</w:t>
      </w:r>
      <w:r>
        <w:tab/>
        <w:t>Regulations</w:t>
      </w:r>
      <w:bookmarkEnd w:id="4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5" w:name="_Toc381880619"/>
      <w:r>
        <w:rPr>
          <w:rStyle w:val="CharSectno"/>
        </w:rPr>
        <w:t>27</w:t>
      </w:r>
      <w:r>
        <w:t>.</w:t>
      </w:r>
      <w:r>
        <w:tab/>
        <w:t>Review of Act</w:t>
      </w:r>
      <w:bookmarkEnd w:id="45"/>
    </w:p>
    <w:p>
      <w:pPr>
        <w:pStyle w:val="Subsection"/>
      </w:pPr>
      <w:r>
        <w:tab/>
        <w:t>(1)</w:t>
      </w:r>
      <w:r>
        <w:tab/>
        <w:t>The Minister shall carry out a review of the operation of this Act 3 years after the Act and all of its provisions have been fully proclaimed, and in the course of such review the Minister shall consider and have regard to —</w:t>
      </w:r>
    </w:p>
    <w:p>
      <w:pPr>
        <w:pStyle w:val="Indenta"/>
      </w:pPr>
      <w:r>
        <w:tab/>
        <w:t>(a)</w:t>
      </w:r>
      <w:r>
        <w:tab/>
        <w:t>the attainment of the purposes of this Act; and</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Ednotesection"/>
      </w:pPr>
      <w:r>
        <w:t>[</w:t>
      </w:r>
      <w:r>
        <w:rPr>
          <w:b/>
          <w:bCs/>
        </w:rPr>
        <w:t>28.</w:t>
      </w:r>
      <w:r>
        <w:tab/>
        <w:t>Omitted under the Reprints Act 1984 s. 7(4)(e).]</w:t>
      </w:r>
    </w:p>
    <w:p>
      <w:pPr>
        <w:pStyle w:val="yEdnoteschedule"/>
        <w:rPr>
          <w:sz w:val="24"/>
          <w:szCs w:val="24"/>
        </w:rPr>
      </w:pPr>
      <w:r>
        <w:rPr>
          <w:sz w:val="24"/>
          <w:szCs w:val="24"/>
        </w:rPr>
        <w:t>[Schedule 1 omitted under the Reprints Act 1984 s. 7(4)(e).]</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4" w:bottom="3544" w:left="2404" w:header="709" w:footer="3380" w:gutter="0"/>
          <w:pgNumType w:start="1"/>
          <w:cols w:space="720"/>
          <w:noEndnote/>
          <w:titlePg/>
          <w:docGrid w:linePitch="326"/>
        </w:sectPr>
      </w:pPr>
    </w:p>
    <w:p>
      <w:pPr>
        <w:pStyle w:val="nHeading2"/>
      </w:pPr>
      <w:bookmarkStart w:id="46" w:name="_Toc381880579"/>
      <w:bookmarkStart w:id="47" w:name="_Toc381880620"/>
      <w:r>
        <w:t>Notes</w:t>
      </w:r>
      <w:bookmarkEnd w:id="46"/>
      <w:bookmarkEnd w:id="47"/>
    </w:p>
    <w:p>
      <w:pPr>
        <w:pStyle w:val="nSubsection"/>
        <w:rPr>
          <w:snapToGrid w:val="0"/>
        </w:rPr>
      </w:pPr>
      <w:r>
        <w:rPr>
          <w:snapToGrid w:val="0"/>
          <w:vertAlign w:val="superscript"/>
        </w:rPr>
        <w:t>1</w:t>
      </w:r>
      <w:r>
        <w:rPr>
          <w:snapToGrid w:val="0"/>
        </w:rPr>
        <w:tab/>
        <w:t xml:space="preserve">This reprint is a compilation as at 1 February 2013 of the </w:t>
      </w:r>
      <w:r>
        <w:rPr>
          <w:i/>
          <w:noProof/>
          <w:snapToGrid w:val="0"/>
        </w:rPr>
        <w:t>Public Interest Disclosure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8" w:name="_Toc381880621"/>
      <w:r>
        <w:rPr>
          <w:snapToGrid w:val="0"/>
        </w:rPr>
        <w:t>Compilation table</w:t>
      </w:r>
      <w:bookmarkEnd w:id="4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Public Interest Disclosure Act 2003</w:t>
            </w:r>
          </w:p>
        </w:tc>
        <w:tc>
          <w:tcPr>
            <w:tcW w:w="1134" w:type="dxa"/>
            <w:tcBorders>
              <w:top w:val="single" w:sz="8" w:space="0" w:color="auto"/>
            </w:tcBorders>
          </w:tcPr>
          <w:p>
            <w:pPr>
              <w:pStyle w:val="nTable"/>
              <w:spacing w:after="40"/>
              <w:rPr>
                <w:sz w:val="19"/>
              </w:rPr>
            </w:pPr>
            <w:r>
              <w:rPr>
                <w:sz w:val="19"/>
              </w:rPr>
              <w:t>29 of 2003</w:t>
            </w:r>
          </w:p>
        </w:tc>
        <w:tc>
          <w:tcPr>
            <w:tcW w:w="1134" w:type="dxa"/>
            <w:tcBorders>
              <w:top w:val="single" w:sz="8" w:space="0" w:color="auto"/>
            </w:tcBorders>
          </w:tcPr>
          <w:p>
            <w:pPr>
              <w:pStyle w:val="nTable"/>
              <w:spacing w:after="40"/>
              <w:rPr>
                <w:sz w:val="19"/>
              </w:rPr>
            </w:pPr>
            <w:r>
              <w:rPr>
                <w:sz w:val="19"/>
              </w:rPr>
              <w:t>22 May 2003</w:t>
            </w:r>
          </w:p>
        </w:tc>
        <w:tc>
          <w:tcPr>
            <w:tcW w:w="2551" w:type="dxa"/>
            <w:tcBorders>
              <w:top w:val="single" w:sz="8" w:space="0" w:color="auto"/>
            </w:tcBorders>
          </w:tcPr>
          <w:p>
            <w:pPr>
              <w:pStyle w:val="nTable"/>
              <w:spacing w:after="40"/>
              <w:rPr>
                <w:sz w:val="19"/>
              </w:rPr>
            </w:pPr>
            <w:r>
              <w:rPr>
                <w:sz w:val="19"/>
              </w:rPr>
              <w:t>s. 1 and 2: 22 May 2003;</w:t>
            </w:r>
            <w:r>
              <w:rPr>
                <w:sz w:val="19"/>
              </w:rPr>
              <w:br/>
              <w:t xml:space="preserve">Act other than s. 1 and 2: 1 Jul 2003 (see s. 2 and </w:t>
            </w:r>
            <w:r>
              <w:rPr>
                <w:i/>
                <w:sz w:val="19"/>
              </w:rPr>
              <w:t>Gazette</w:t>
            </w:r>
            <w:r>
              <w:rPr>
                <w:sz w:val="19"/>
              </w:rPr>
              <w:t xml:space="preserve"> 27 Jun 2003 p. 2383)</w:t>
            </w:r>
          </w:p>
        </w:tc>
      </w:tr>
      <w:tr>
        <w:tc>
          <w:tcPr>
            <w:tcW w:w="2268" w:type="dxa"/>
          </w:tcPr>
          <w:p>
            <w:pPr>
              <w:pStyle w:val="nTable"/>
              <w:spacing w:after="40"/>
              <w:rPr>
                <w:noProof/>
                <w:snapToGrid w:val="0"/>
                <w:sz w:val="19"/>
                <w:vertAlign w:val="superscript"/>
              </w:rPr>
            </w:pPr>
            <w:r>
              <w:rPr>
                <w:i/>
                <w:noProof/>
                <w:snapToGrid w:val="0"/>
                <w:sz w:val="19"/>
              </w:rPr>
              <w:t>Corruption and Crime Commission Act 2003</w:t>
            </w:r>
            <w:r>
              <w:rPr>
                <w:noProof/>
                <w:snapToGrid w:val="0"/>
                <w:sz w:val="19"/>
              </w:rPr>
              <w:t xml:space="preserve"> s. 62</w:t>
            </w:r>
            <w:r>
              <w:rPr>
                <w:noProof/>
                <w:snapToGrid w:val="0"/>
                <w:sz w:val="19"/>
                <w:vertAlign w:val="superscript"/>
              </w:rPr>
              <w:t> 2</w:t>
            </w:r>
          </w:p>
        </w:tc>
        <w:tc>
          <w:tcPr>
            <w:tcW w:w="1134" w:type="dxa"/>
          </w:tcPr>
          <w:p>
            <w:pPr>
              <w:pStyle w:val="nTable"/>
              <w:spacing w:after="40"/>
              <w:rPr>
                <w:sz w:val="19"/>
              </w:rPr>
            </w:pPr>
            <w:r>
              <w:rPr>
                <w:sz w:val="19"/>
              </w:rPr>
              <w:t>48 of 2003</w:t>
            </w:r>
            <w:r>
              <w:rPr>
                <w:sz w:val="19"/>
              </w:rPr>
              <w:br/>
              <w:t>(as amended by No. 78 of 2003 s. 35(13))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13"/>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Cs/>
                <w:snapToGrid w:val="0"/>
                <w:sz w:val="19"/>
              </w:rPr>
            </w:pPr>
            <w:r>
              <w:rPr>
                <w:i/>
                <w:snapToGrid w:val="0"/>
                <w:sz w:val="19"/>
              </w:rPr>
              <w:t>Criminal Investigation (Consequential Provisions) Act 2006</w:t>
            </w:r>
            <w:r>
              <w:rPr>
                <w:iCs/>
                <w:snapToGrid w:val="0"/>
                <w:sz w:val="19"/>
              </w:rPr>
              <w:t xml:space="preserve"> s. 73</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51"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8" w:type="dxa"/>
          </w:tcPr>
          <w:p>
            <w:pPr>
              <w:pStyle w:val="nTable"/>
              <w:spacing w:after="40"/>
              <w:ind w:right="113"/>
              <w:rPr>
                <w:i/>
                <w:sz w:val="19"/>
              </w:rPr>
            </w:pPr>
            <w:r>
              <w:rPr>
                <w:i/>
                <w:snapToGrid w:val="0"/>
                <w:sz w:val="19"/>
              </w:rPr>
              <w:t xml:space="preserve">Financial Legislation Amendment and Repeal Act 2006 </w:t>
            </w:r>
            <w:r>
              <w:rPr>
                <w:iCs/>
                <w:snapToGrid w:val="0"/>
                <w:sz w:val="19"/>
              </w:rPr>
              <w:t>Sch. 1 cl. 136</w:t>
            </w:r>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1" w:type="dxa"/>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7087" w:type="dxa"/>
            <w:gridSpan w:val="4"/>
          </w:tcPr>
          <w:p>
            <w:pPr>
              <w:pStyle w:val="nTable"/>
              <w:spacing w:after="40"/>
              <w:rPr>
                <w:snapToGrid w:val="0"/>
                <w:sz w:val="19"/>
              </w:rPr>
            </w:pPr>
            <w:r>
              <w:rPr>
                <w:b/>
                <w:bCs/>
                <w:snapToGrid w:val="0"/>
                <w:sz w:val="19"/>
              </w:rPr>
              <w:t xml:space="preserve">Reprint 1:  The </w:t>
            </w:r>
            <w:r>
              <w:rPr>
                <w:b/>
                <w:bCs/>
                <w:i/>
                <w:noProof/>
                <w:snapToGrid w:val="0"/>
                <w:sz w:val="19"/>
              </w:rPr>
              <w:t>Public Interest Disclosure Act 2003</w:t>
            </w:r>
            <w:r>
              <w:rPr>
                <w:b/>
                <w:bCs/>
                <w:snapToGrid w:val="0"/>
                <w:sz w:val="19"/>
              </w:rPr>
              <w:t xml:space="preserve"> as at 12 Oct 2007</w:t>
            </w:r>
            <w:r>
              <w:rPr>
                <w:snapToGrid w:val="0"/>
                <w:sz w:val="19"/>
              </w:rPr>
              <w:t xml:space="preserve"> (includes amendments listed above)</w:t>
            </w:r>
          </w:p>
        </w:tc>
      </w:tr>
      <w:tr>
        <w:trPr>
          <w:cantSplit/>
        </w:trPr>
        <w:tc>
          <w:tcPr>
            <w:tcW w:w="2268" w:type="dxa"/>
          </w:tcPr>
          <w:p>
            <w:pPr>
              <w:pStyle w:val="nTable"/>
              <w:spacing w:after="40"/>
              <w:ind w:right="170"/>
              <w:rPr>
                <w:iCs/>
                <w:sz w:val="19"/>
              </w:rPr>
            </w:pPr>
            <w:bookmarkStart w:id="49" w:name="AutoSch"/>
            <w:bookmarkEnd w:id="49"/>
            <w:r>
              <w:rPr>
                <w:i/>
                <w:sz w:val="19"/>
              </w:rPr>
              <w:t xml:space="preserve">Police Amendment Act 2008 </w:t>
            </w:r>
            <w:r>
              <w:rPr>
                <w:iCs/>
                <w:sz w:val="19"/>
              </w:rPr>
              <w:t>s. 18</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keepNext/>
              <w:keepLines/>
              <w:spacing w:after="40"/>
              <w:rPr>
                <w:sz w:val="19"/>
              </w:rPr>
            </w:pPr>
            <w:r>
              <w:rPr>
                <w:sz w:val="19"/>
              </w:rPr>
              <w:t>1 Apr 2008 (see s. 2(1))</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22</w:t>
            </w:r>
          </w:p>
        </w:tc>
        <w:tc>
          <w:tcPr>
            <w:tcW w:w="1134" w:type="dxa"/>
          </w:tcPr>
          <w:p>
            <w:pPr>
              <w:pStyle w:val="nTable"/>
              <w:spacing w:after="40"/>
              <w:rPr>
                <w:sz w:val="19"/>
              </w:rPr>
            </w:pPr>
            <w:r>
              <w:rPr>
                <w:snapToGrid w:val="0"/>
                <w:sz w:val="19"/>
              </w:rPr>
              <w:t>42 of 2009</w:t>
            </w:r>
          </w:p>
        </w:tc>
        <w:tc>
          <w:tcPr>
            <w:tcW w:w="1134" w:type="dxa"/>
          </w:tcPr>
          <w:p>
            <w:pPr>
              <w:pStyle w:val="nTable"/>
              <w:spacing w:after="40"/>
              <w:rPr>
                <w:sz w:val="19"/>
              </w:rPr>
            </w:pPr>
            <w:r>
              <w:rPr>
                <w:snapToGrid w:val="0"/>
                <w:sz w:val="19"/>
              </w:rPr>
              <w:t>3 Dec 2009</w:t>
            </w:r>
          </w:p>
        </w:tc>
        <w:tc>
          <w:tcPr>
            <w:tcW w:w="2551" w:type="dxa"/>
          </w:tcPr>
          <w:p>
            <w:pPr>
              <w:pStyle w:val="nTable"/>
              <w:spacing w:after="40"/>
              <w:rPr>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cantSplit/>
        </w:trPr>
        <w:tc>
          <w:tcPr>
            <w:tcW w:w="2268" w:type="dxa"/>
          </w:tcPr>
          <w:p>
            <w:pPr>
              <w:pStyle w:val="nTable"/>
              <w:spacing w:after="40"/>
              <w:ind w:right="113"/>
              <w:rPr>
                <w:i/>
                <w:snapToGrid w:val="0"/>
                <w:sz w:val="19"/>
              </w:rPr>
            </w:pPr>
            <w:r>
              <w:rPr>
                <w:i/>
                <w:snapToGrid w:val="0"/>
                <w:sz w:val="19"/>
              </w:rPr>
              <w:t>Public Sector Reform Act 2010</w:t>
            </w:r>
            <w:r>
              <w:rPr>
                <w:iCs/>
                <w:snapToGrid w:val="0"/>
                <w:sz w:val="19"/>
              </w:rPr>
              <w:t xml:space="preserve"> s. 82</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shd w:val="clear" w:color="auto" w:fill="auto"/>
          </w:tcPr>
          <w:p>
            <w:pPr>
              <w:pStyle w:val="nTable"/>
              <w:spacing w:after="40"/>
              <w:ind w:right="113"/>
              <w:rPr>
                <w:snapToGrid w:val="0"/>
                <w:sz w:val="19"/>
              </w:rPr>
            </w:pPr>
            <w:r>
              <w:rPr>
                <w:i/>
                <w:snapToGrid w:val="0"/>
                <w:sz w:val="19"/>
              </w:rPr>
              <w:t>Evidence and Public Interest Disclosure Legislation Amendment Act 2012</w:t>
            </w:r>
            <w:r>
              <w:rPr>
                <w:snapToGrid w:val="0"/>
                <w:sz w:val="19"/>
              </w:rPr>
              <w:t xml:space="preserve"> Pt. 3</w:t>
            </w:r>
          </w:p>
        </w:tc>
        <w:tc>
          <w:tcPr>
            <w:tcW w:w="1134" w:type="dxa"/>
            <w:shd w:val="clear" w:color="auto" w:fill="auto"/>
          </w:tcPr>
          <w:p>
            <w:pPr>
              <w:pStyle w:val="nTable"/>
              <w:spacing w:after="40"/>
              <w:rPr>
                <w:snapToGrid w:val="0"/>
                <w:sz w:val="19"/>
              </w:rPr>
            </w:pPr>
            <w:r>
              <w:rPr>
                <w:snapToGrid w:val="0"/>
                <w:sz w:val="19"/>
              </w:rPr>
              <w:t>31 of 2012</w:t>
            </w:r>
          </w:p>
        </w:tc>
        <w:tc>
          <w:tcPr>
            <w:tcW w:w="1134" w:type="dxa"/>
            <w:shd w:val="clear" w:color="auto" w:fill="auto"/>
          </w:tcPr>
          <w:p>
            <w:pPr>
              <w:pStyle w:val="nTable"/>
              <w:spacing w:after="40"/>
              <w:rPr>
                <w:sz w:val="19"/>
              </w:rPr>
            </w:pPr>
            <w:r>
              <w:rPr>
                <w:sz w:val="19"/>
              </w:rPr>
              <w:t>2 Oct 2012</w:t>
            </w:r>
          </w:p>
        </w:tc>
        <w:tc>
          <w:tcPr>
            <w:tcW w:w="2551" w:type="dxa"/>
            <w:shd w:val="clear" w:color="auto" w:fill="auto"/>
          </w:tcPr>
          <w:p>
            <w:pPr>
              <w:pStyle w:val="nTable"/>
              <w:spacing w:after="40"/>
              <w:rPr>
                <w:snapToGrid w:val="0"/>
                <w:sz w:val="19"/>
              </w:rPr>
            </w:pPr>
            <w:r>
              <w:rPr>
                <w:snapToGrid w:val="0"/>
                <w:sz w:val="19"/>
              </w:rPr>
              <w:t xml:space="preserve">21 Nov 2012 (see s. 2(b) and </w:t>
            </w:r>
            <w:r>
              <w:rPr>
                <w:i/>
                <w:snapToGrid w:val="0"/>
                <w:sz w:val="19"/>
              </w:rPr>
              <w:t>Gazette</w:t>
            </w:r>
            <w:r>
              <w:rPr>
                <w:snapToGrid w:val="0"/>
                <w:sz w:val="19"/>
              </w:rPr>
              <w:t xml:space="preserve"> 20 Nov 2012 p. 5685)</w:t>
            </w:r>
          </w:p>
        </w:tc>
      </w:tr>
      <w:tr>
        <w:trPr>
          <w:cantSplit/>
        </w:trPr>
        <w:tc>
          <w:tcPr>
            <w:tcW w:w="7087" w:type="dxa"/>
            <w:gridSpan w:val="4"/>
            <w:tcBorders>
              <w:bottom w:val="single" w:sz="8" w:space="0" w:color="auto"/>
            </w:tcBorders>
            <w:shd w:val="clear" w:color="auto" w:fill="auto"/>
          </w:tcPr>
          <w:p>
            <w:pPr>
              <w:pStyle w:val="nTable"/>
              <w:spacing w:after="40"/>
              <w:rPr>
                <w:snapToGrid w:val="0"/>
                <w:sz w:val="19"/>
              </w:rPr>
            </w:pPr>
            <w:r>
              <w:rPr>
                <w:b/>
                <w:bCs/>
                <w:snapToGrid w:val="0"/>
                <w:sz w:val="19"/>
              </w:rPr>
              <w:t xml:space="preserve">Reprint 2:  The </w:t>
            </w:r>
            <w:r>
              <w:rPr>
                <w:b/>
                <w:bCs/>
                <w:i/>
                <w:noProof/>
                <w:snapToGrid w:val="0"/>
                <w:sz w:val="19"/>
              </w:rPr>
              <w:t>Public Interest Disclosure Act 2003</w:t>
            </w:r>
            <w:r>
              <w:rPr>
                <w:b/>
                <w:bCs/>
                <w:snapToGrid w:val="0"/>
                <w:sz w:val="19"/>
              </w:rPr>
              <w:t xml:space="preserve"> as at 1 Feb 2013</w:t>
            </w:r>
            <w:r>
              <w:rPr>
                <w:snapToGrid w:val="0"/>
                <w:sz w:val="19"/>
              </w:rPr>
              <w:t xml:space="preserve"> (includes amendments listed above)</w:t>
            </w:r>
          </w:p>
        </w:tc>
      </w:tr>
    </w:tbl>
    <w:p>
      <w:pPr>
        <w:pStyle w:val="nSubsection"/>
        <w:spacing w:before="120"/>
        <w:rPr>
          <w:snapToGrid w:val="0"/>
        </w:rPr>
      </w:pPr>
      <w:r>
        <w:rPr>
          <w:snapToGrid w:val="0"/>
          <w:vertAlign w:val="superscript"/>
        </w:rPr>
        <w:t>2</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50" w:name="_Toc381880581"/>
      <w:bookmarkStart w:id="51" w:name="_Toc381880622"/>
      <w:r>
        <w:rPr>
          <w:sz w:val="28"/>
        </w:rPr>
        <w:t>Defined terms</w:t>
      </w:r>
      <w:bookmarkEnd w:id="50"/>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2" w:name="DefinedTerms"/>
      <w:bookmarkEnd w:id="52"/>
      <w:r>
        <w:t>Commissioner</w:t>
      </w:r>
      <w:r>
        <w:tab/>
        <w:t>3(1)</w:t>
      </w:r>
    </w:p>
    <w:p>
      <w:pPr>
        <w:pStyle w:val="DefinedTerms"/>
      </w:pPr>
      <w:r>
        <w:t>Commissioner of Police</w:t>
      </w:r>
      <w:r>
        <w:tab/>
        <w:t>3(1)</w:t>
      </w:r>
    </w:p>
    <w:p>
      <w:pPr>
        <w:pStyle w:val="DefinedTerms"/>
      </w:pPr>
      <w:r>
        <w:t>complaint</w:t>
      </w:r>
      <w:r>
        <w:tab/>
        <w:t>12(5)</w:t>
      </w:r>
    </w:p>
    <w:p>
      <w:pPr>
        <w:pStyle w:val="DefinedTerms"/>
      </w:pPr>
      <w:r>
        <w:t>Corruption and Crime Commission</w:t>
      </w:r>
      <w:r>
        <w:tab/>
        <w:t>3(1)</w:t>
      </w:r>
    </w:p>
    <w:p>
      <w:pPr>
        <w:pStyle w:val="DefinedTerms"/>
      </w:pPr>
      <w:r>
        <w:t>declared person</w:t>
      </w:r>
      <w:r>
        <w:tab/>
        <w:t>12(5)</w:t>
      </w:r>
    </w:p>
    <w:p>
      <w:pPr>
        <w:pStyle w:val="DefinedTerms"/>
      </w:pPr>
      <w:r>
        <w:t>detrimental action</w:t>
      </w:r>
      <w:r>
        <w:tab/>
        <w:t>3(1)</w:t>
      </w:r>
    </w:p>
    <w:p>
      <w:pPr>
        <w:pStyle w:val="DefinedTerms"/>
      </w:pPr>
      <w:r>
        <w:t>employing authority</w:t>
      </w:r>
      <w:r>
        <w:tab/>
        <w:t>15B(1)</w:t>
      </w:r>
    </w:p>
    <w:p>
      <w:pPr>
        <w:pStyle w:val="DefinedTerms"/>
      </w:pPr>
      <w:r>
        <w:t>environment</w:t>
      </w:r>
      <w:r>
        <w:tab/>
        <w:t>3(1)</w:t>
      </w:r>
    </w:p>
    <w:p>
      <w:pPr>
        <w:pStyle w:val="DefinedTerms"/>
      </w:pPr>
      <w:r>
        <w:t>identifying disclosure</w:t>
      </w:r>
      <w:r>
        <w:tab/>
        <w:t>16(1)</w:t>
      </w:r>
    </w:p>
    <w:p>
      <w:pPr>
        <w:pStyle w:val="DefinedTerms"/>
      </w:pPr>
      <w:r>
        <w:t>identifying information</w:t>
      </w:r>
      <w:r>
        <w:tab/>
        <w:t>16(3)</w:t>
      </w:r>
    </w:p>
    <w:p>
      <w:pPr>
        <w:pStyle w:val="DefinedTerms"/>
      </w:pPr>
      <w:r>
        <w:t>journalist</w:t>
      </w:r>
      <w:r>
        <w:tab/>
        <w:t>7A(1)</w:t>
      </w:r>
    </w:p>
    <w:p>
      <w:pPr>
        <w:pStyle w:val="DefinedTerms"/>
      </w:pPr>
      <w:r>
        <w:t>organisation</w:t>
      </w:r>
      <w:r>
        <w:tab/>
        <w:t>15B(1)</w:t>
      </w:r>
    </w:p>
    <w:p>
      <w:pPr>
        <w:pStyle w:val="DefinedTerms"/>
      </w:pPr>
      <w:r>
        <w:t>Parliamentary Commissioner</w:t>
      </w:r>
      <w:r>
        <w:tab/>
        <w:t>3(1)</w:t>
      </w:r>
    </w:p>
    <w:p>
      <w:pPr>
        <w:pStyle w:val="DefinedTerms"/>
      </w:pPr>
      <w:r>
        <w:t>proper authority</w:t>
      </w:r>
      <w:r>
        <w:tab/>
        <w:t>7, 18</w:t>
      </w:r>
    </w:p>
    <w:p>
      <w:pPr>
        <w:pStyle w:val="DefinedTerms"/>
      </w:pPr>
      <w:r>
        <w:t>public authority</w:t>
      </w:r>
      <w:r>
        <w:tab/>
        <w:t>3(1)</w:t>
      </w:r>
    </w:p>
    <w:p>
      <w:pPr>
        <w:pStyle w:val="DefinedTerms"/>
      </w:pPr>
      <w:r>
        <w:t>public interest information</w:t>
      </w:r>
      <w:r>
        <w:tab/>
        <w:t>3(1)</w:t>
      </w:r>
    </w:p>
    <w:p>
      <w:pPr>
        <w:pStyle w:val="DefinedTerms"/>
      </w:pPr>
      <w:r>
        <w:t>public officer</w:t>
      </w:r>
      <w:r>
        <w:tab/>
        <w:t>3(1)</w:t>
      </w:r>
    </w:p>
    <w:p>
      <w:pPr>
        <w:pStyle w:val="DefinedTerms"/>
      </w:pPr>
      <w:r>
        <w:t>public sector contractor</w:t>
      </w:r>
      <w:r>
        <w:tab/>
        <w:t>3(1)</w:t>
      </w:r>
    </w:p>
    <w:p>
      <w:pPr>
        <w:pStyle w:val="DefinedTerms"/>
      </w:pPr>
      <w:r>
        <w:t>public service employee</w:t>
      </w:r>
      <w:r>
        <w:tab/>
        <w:t>15B(1)</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Interest Disclosure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Interest Disclosure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Interest Disclosure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r>
            <w:t xml:space="preserve">s. </w:t>
          </w:r>
          <w:fldSimple w:instr=" styleref CharSectno ">
            <w:r>
              <w:rPr>
                <w:noProof/>
              </w:rPr>
              <w:t>1</w:t>
            </w:r>
          </w:fldSimple>
        </w:p>
      </w:tc>
      <w:tc>
        <w:tcPr>
          <w:tcW w:w="5715" w:type="dxa"/>
        </w:tcPr>
        <w:p>
          <w:pPr>
            <w:pStyle w:val="HeaderTextLeft"/>
          </w:pPr>
        </w:p>
      </w:tc>
    </w:tr>
  </w:tbl>
  <w:p>
    <w:pPr>
      <w:pStyle w:val="Header"/>
      <w:pBdr>
        <w:top w:val="single" w:sz="8"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6"/>
  </w:num>
  <w:num w:numId="28">
    <w:abstractNumId w:val="13"/>
  </w:num>
  <w:num w:numId="2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40904"/>
    <w:docVar w:name="WAFER_20140109165420" w:val="RemoveTocBookmarks,RemoveUnusedBookmarks,RemoveLanguageTags,UsedStyles,ResetPageSize,UpdateArrangement"/>
    <w:docVar w:name="WAFER_20140109165420_GUID" w:val="afd5cf4f-0c40-40ab-9d9b-53cf28ded26d"/>
    <w:docVar w:name="WAFER_20140306140132" w:val="RemoveTocBookmarks,RemoveUnusedBookmarks,RemoveLanguageTags,UsedStyles,ResetPageSize"/>
    <w:docVar w:name="WAFER_20140306140132_GUID" w:val="0efc8bf0-b4cf-499f-8214-56defdd1d03a"/>
    <w:docVar w:name="WAFER_20140306140904" w:val="RemoveTocBookmarks,RunningHeaders"/>
    <w:docVar w:name="WAFER_20140306140904_GUID" w:val="bfa08be8-b95e-4cd0-91c1-6475e0b7fc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E313B-DD83-4BC5-8960-1317A6E8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6887</Words>
  <Characters>33404</Characters>
  <Application>Microsoft Office Word</Application>
  <DocSecurity>0</DocSecurity>
  <Lines>954</Lines>
  <Paragraphs>544</Paragraphs>
  <ScaleCrop>false</ScaleCrop>
  <HeadingPairs>
    <vt:vector size="2" baseType="variant">
      <vt:variant>
        <vt:lpstr>Title</vt:lpstr>
      </vt:variant>
      <vt:variant>
        <vt:i4>1</vt:i4>
      </vt:variant>
    </vt:vector>
  </HeadingPairs>
  <TitlesOfParts>
    <vt:vector size="1" baseType="lpstr">
      <vt:lpstr>Public Interest Disclosure Act 2003</vt:lpstr>
    </vt:vector>
  </TitlesOfParts>
  <Manager/>
  <Company/>
  <LinksUpToDate>false</LinksUpToDate>
  <CharactersWithSpaces>39747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2003 - 02-a0-04</dc:title>
  <dc:subject/>
  <dc:creator/>
  <cp:keywords/>
  <dc:description/>
  <cp:lastModifiedBy>svcMRProcess</cp:lastModifiedBy>
  <cp:revision>4</cp:revision>
  <cp:lastPrinted>2013-02-05T00:20:00Z</cp:lastPrinted>
  <dcterms:created xsi:type="dcterms:W3CDTF">2018-09-07T15:17:00Z</dcterms:created>
  <dcterms:modified xsi:type="dcterms:W3CDTF">2018-09-07T15:17:00Z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CommencementDate">
    <vt:lpwstr>20130201</vt:lpwstr>
  </property>
  <property fmtid="{D5CDD505-2E9C-101B-9397-08002B2CF9AE}" pid="4" name="DocumentType">
    <vt:lpwstr>Act</vt:lpwstr>
  </property>
  <property fmtid="{D5CDD505-2E9C-101B-9397-08002B2CF9AE}" pid="5" name="OwlsUID">
    <vt:i4>6372</vt:i4>
  </property>
  <property fmtid="{D5CDD505-2E9C-101B-9397-08002B2CF9AE}" pid="6" name="AsAtDate">
    <vt:lpwstr>01 Feb 2013</vt:lpwstr>
  </property>
  <property fmtid="{D5CDD505-2E9C-101B-9397-08002B2CF9AE}" pid="7" name="Suffix">
    <vt:lpwstr>02-a0-04</vt:lpwstr>
  </property>
  <property fmtid="{D5CDD505-2E9C-101B-9397-08002B2CF9AE}" pid="8" name="ReprintNo">
    <vt:lpwstr>2</vt:lpwstr>
  </property>
  <property fmtid="{D5CDD505-2E9C-101B-9397-08002B2CF9AE}" pid="9" name="ReprintedAsAt">
    <vt:filetime>2013-01-31T16:00:00Z</vt:filetime>
  </property>
</Properties>
</file>