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Corporations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Corporations (Transitional)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(Transitional)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_Toc416794247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_Toc416794248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annual reporting provisions</w:t>
      </w:r>
      <w:r>
        <w:tab/>
      </w:r>
      <w:r>
        <w:fldChar w:fldCharType="begin"/>
      </w:r>
      <w:r>
        <w:instrText xml:space="preserve"> PAGEREF _Toc416794249 \h </w:instrText>
      </w:r>
      <w:r>
        <w:fldChar w:fldCharType="separate"/>
      </w:r>
      <w:r>
        <w:t>1</w:t>
      </w:r>
      <w:r>
        <w:fldChar w:fldCharType="end"/>
      </w:r>
    </w:p>
    <w:p>
      <w:pPr>
        <w:pStyle w:val="TOC8"/>
        <w:rPr>
          <w:rFonts w:asciiTheme="minorHAnsi" w:eastAsiaTheme="minorEastAsia" w:hAnsiTheme="minorHAnsi" w:cstheme="minorBidi"/>
          <w:szCs w:val="22"/>
        </w:rPr>
      </w:pPr>
      <w:r>
        <w:t>4.</w:t>
      </w:r>
      <w:r>
        <w:tab/>
        <w:t>Objective</w:t>
      </w:r>
      <w:r>
        <w:tab/>
      </w:r>
      <w:r>
        <w:fldChar w:fldCharType="begin"/>
      </w:r>
      <w:r>
        <w:instrText xml:space="preserve"> PAGEREF _Toc416794250 \h </w:instrText>
      </w:r>
      <w:r>
        <w:fldChar w:fldCharType="separate"/>
      </w:r>
      <w:r>
        <w:t>1</w:t>
      </w:r>
      <w:r>
        <w:fldChar w:fldCharType="end"/>
      </w:r>
    </w:p>
    <w:p>
      <w:pPr>
        <w:pStyle w:val="TOC8"/>
        <w:rPr>
          <w:rFonts w:asciiTheme="minorHAnsi" w:eastAsiaTheme="minorEastAsia" w:hAnsiTheme="minorHAnsi" w:cstheme="minorBidi"/>
          <w:szCs w:val="22"/>
        </w:rPr>
      </w:pPr>
      <w:r>
        <w:t>5.</w:t>
      </w:r>
      <w:r>
        <w:tab/>
        <w:t>Modified annual reporting provisions apply in relation to requirement in section 211(2) of Act</w:t>
      </w:r>
      <w:r>
        <w:tab/>
      </w:r>
      <w:r>
        <w:fldChar w:fldCharType="begin"/>
      </w:r>
      <w:r>
        <w:instrText xml:space="preserve"> PAGEREF _Toc416794251 \h </w:instrText>
      </w:r>
      <w:r>
        <w:fldChar w:fldCharType="separate"/>
      </w:r>
      <w:r>
        <w:t>2</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w:t>
      </w:r>
      <w:r>
        <w:rPr>
          <w:b w:val="0"/>
          <w:noProof/>
        </w:rPr>
        <w:t> — </w:t>
      </w:r>
      <w:r>
        <w:rPr>
          <w:noProof/>
        </w:rPr>
        <w:t>Financial reports</w:t>
      </w:r>
    </w:p>
    <w:p>
      <w:pPr>
        <w:pStyle w:val="TOC9"/>
        <w:rPr>
          <w:rFonts w:asciiTheme="minorHAnsi" w:eastAsiaTheme="minorEastAsia" w:hAnsiTheme="minorHAnsi" w:cstheme="minorBidi"/>
          <w:noProof/>
          <w:sz w:val="22"/>
          <w:szCs w:val="22"/>
        </w:rPr>
      </w:pPr>
      <w:r>
        <w:rPr>
          <w:noProof/>
        </w:rPr>
        <w:t>6.</w:t>
      </w:r>
      <w:r>
        <w:rPr>
          <w:noProof/>
        </w:rPr>
        <w:tab/>
        <w:t>Preparation of financial reports</w:t>
      </w:r>
      <w:r>
        <w:rPr>
          <w:noProof/>
        </w:rPr>
        <w:tab/>
      </w:r>
      <w:r>
        <w:rPr>
          <w:noProof/>
        </w:rPr>
        <w:fldChar w:fldCharType="begin"/>
      </w:r>
      <w:r>
        <w:rPr>
          <w:noProof/>
        </w:rPr>
        <w:instrText xml:space="preserve"> PAGEREF _Toc416794253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No requirement for audit</w:t>
      </w:r>
      <w:r>
        <w:rPr>
          <w:noProof/>
        </w:rPr>
        <w:tab/>
      </w:r>
      <w:r>
        <w:rPr>
          <w:noProof/>
        </w:rPr>
        <w:fldChar w:fldCharType="begin"/>
      </w:r>
      <w:r>
        <w:rPr>
          <w:noProof/>
        </w:rPr>
        <w:instrText xml:space="preserve"> PAGEREF _Toc416794254 \h </w:instrText>
      </w:r>
      <w:r>
        <w:rPr>
          <w:noProof/>
        </w:rPr>
      </w:r>
      <w:r>
        <w:rPr>
          <w:noProof/>
        </w:rPr>
        <w:fldChar w:fldCharType="separate"/>
      </w:r>
      <w:r>
        <w:rPr>
          <w:noProof/>
        </w:rPr>
        <w:t>2</w:t>
      </w:r>
      <w:r>
        <w:rPr>
          <w:noProof/>
        </w:rPr>
        <w:fldChar w:fldCharType="end"/>
      </w:r>
    </w:p>
    <w:p>
      <w:pPr>
        <w:pStyle w:val="TOC9"/>
        <w:rPr>
          <w:rFonts w:asciiTheme="minorHAnsi" w:eastAsiaTheme="minorEastAsia" w:hAnsiTheme="minorHAnsi" w:cstheme="minorBidi"/>
          <w:noProof/>
          <w:sz w:val="22"/>
          <w:szCs w:val="22"/>
        </w:rPr>
      </w:pPr>
      <w:r>
        <w:rPr>
          <w:noProof/>
        </w:rPr>
        <w:t>32.</w:t>
      </w:r>
      <w:r>
        <w:rPr>
          <w:noProof/>
        </w:rPr>
        <w:tab/>
        <w:t>Deadline for reporting to Minister</w:t>
      </w:r>
      <w:r>
        <w:rPr>
          <w:noProof/>
        </w:rPr>
        <w:tab/>
      </w:r>
      <w:r>
        <w:rPr>
          <w:noProof/>
        </w:rPr>
        <w:fldChar w:fldCharType="begin"/>
      </w:r>
      <w:r>
        <w:rPr>
          <w:noProof/>
        </w:rPr>
        <w:instrText xml:space="preserve"> PAGEREF _Toc416794255 \h </w:instrText>
      </w:r>
      <w:r>
        <w:rPr>
          <w:noProof/>
        </w:rPr>
      </w:r>
      <w:r>
        <w:rPr>
          <w:noProof/>
        </w:rPr>
        <w:fldChar w:fldCharType="separate"/>
      </w:r>
      <w:r>
        <w:rPr>
          <w:noProof/>
        </w:rPr>
        <w:t>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_Toc416794257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Corporations Act 2005</w:t>
      </w:r>
    </w:p>
    <w:p>
      <w:pPr>
        <w:pStyle w:val="NameofActReg"/>
      </w:pPr>
      <w:r>
        <w:t>Electricity Corporations (Transitional) Regulations 2013</w:t>
      </w:r>
    </w:p>
    <w:p>
      <w:pPr>
        <w:pStyle w:val="Heading5"/>
      </w:pPr>
      <w:bookmarkStart w:id="3" w:name="_Toc376185452"/>
      <w:bookmarkStart w:id="4" w:name="_Toc416794247"/>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Electricity Corporations (Transitional) Regulations 2013</w:t>
      </w:r>
      <w:r>
        <w:t>.</w:t>
      </w:r>
    </w:p>
    <w:p>
      <w:pPr>
        <w:pStyle w:val="Heading5"/>
        <w:rPr>
          <w:spacing w:val="-2"/>
        </w:rPr>
      </w:pPr>
      <w:bookmarkStart w:id="6" w:name="_Toc376185453"/>
      <w:bookmarkStart w:id="7" w:name="_Toc41679424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Electricity Corporations Amendment Act 2013</w:t>
      </w:r>
      <w:r>
        <w:t xml:space="preserve"> section 6 comes into operation.</w:t>
      </w:r>
    </w:p>
    <w:p>
      <w:pPr>
        <w:pStyle w:val="Heading5"/>
      </w:pPr>
      <w:bookmarkStart w:id="8" w:name="_Toc376185454"/>
      <w:bookmarkStart w:id="9" w:name="_Toc416794249"/>
      <w:r>
        <w:rPr>
          <w:rStyle w:val="CharSectno"/>
        </w:rPr>
        <w:t>3</w:t>
      </w:r>
      <w:r>
        <w:t>.</w:t>
      </w:r>
      <w:r>
        <w:tab/>
        <w:t>Term used: annual reporting provisions</w:t>
      </w:r>
      <w:bookmarkEnd w:id="8"/>
      <w:bookmarkEnd w:id="9"/>
    </w:p>
    <w:p>
      <w:pPr>
        <w:pStyle w:val="Subsection"/>
      </w:pPr>
      <w:r>
        <w:tab/>
      </w:r>
      <w:r>
        <w:tab/>
        <w:t xml:space="preserve">In these regulations — </w:t>
      </w:r>
    </w:p>
    <w:p>
      <w:pPr>
        <w:pStyle w:val="Defstart"/>
      </w:pPr>
      <w:r>
        <w:tab/>
      </w:r>
      <w:r>
        <w:rPr>
          <w:rStyle w:val="CharDefText"/>
        </w:rPr>
        <w:t>annual reporting provisions</w:t>
      </w:r>
      <w:r>
        <w:t xml:space="preserve"> has the meaning given in section 210(1) of the Act.</w:t>
      </w:r>
    </w:p>
    <w:p>
      <w:pPr>
        <w:pStyle w:val="Heading5"/>
      </w:pPr>
      <w:bookmarkStart w:id="10" w:name="_Toc376185455"/>
      <w:bookmarkStart w:id="11" w:name="_Toc416794250"/>
      <w:r>
        <w:rPr>
          <w:rStyle w:val="CharSectno"/>
        </w:rPr>
        <w:t>4</w:t>
      </w:r>
      <w:r>
        <w:t>.</w:t>
      </w:r>
      <w:r>
        <w:tab/>
        <w:t>Objective</w:t>
      </w:r>
      <w:bookmarkEnd w:id="10"/>
      <w:bookmarkEnd w:id="11"/>
    </w:p>
    <w:p>
      <w:pPr>
        <w:pStyle w:val="Subsection"/>
      </w:pPr>
      <w:r>
        <w:tab/>
      </w:r>
      <w:r>
        <w:tab/>
        <w:t>The objective of these regulations is to prescribe modifications to the annual reporting provisions for the purposes of section 211(3) of the Act.</w:t>
      </w:r>
    </w:p>
    <w:p>
      <w:pPr>
        <w:pStyle w:val="Heading5"/>
      </w:pPr>
      <w:bookmarkStart w:id="12" w:name="_Toc376185456"/>
      <w:bookmarkStart w:id="13" w:name="_Toc416794251"/>
      <w:r>
        <w:rPr>
          <w:rStyle w:val="CharSectno"/>
        </w:rPr>
        <w:t>5</w:t>
      </w:r>
      <w:r>
        <w:t>.</w:t>
      </w:r>
      <w:r>
        <w:tab/>
        <w:t>Modified annual reporting provisions apply in relation to requirement in section 211(2) of Act</w:t>
      </w:r>
      <w:bookmarkEnd w:id="12"/>
      <w:bookmarkEnd w:id="13"/>
    </w:p>
    <w:p>
      <w:pPr>
        <w:pStyle w:val="Subsection"/>
      </w:pPr>
      <w:r>
        <w:tab/>
        <w:t>(1)</w:t>
      </w:r>
      <w:r>
        <w:tab/>
        <w:t>The annual reporting provisions apply as if amended as set out in this regulation in relation to the requirement in section 211(2) of the Act that the EGRC comply with those provisions as if each of the periods referred to in section 211(2) of the Act were a financial year.</w:t>
      </w:r>
    </w:p>
    <w:p>
      <w:pPr>
        <w:pStyle w:val="Subsection"/>
      </w:pPr>
      <w:r>
        <w:tab/>
        <w:t>(2)</w:t>
      </w:r>
      <w:r>
        <w:tab/>
        <w:t>Delete Schedule 4 Division 3 Subdivision 1 of the Act and insert:</w:t>
      </w:r>
    </w:p>
    <w:p>
      <w:pPr>
        <w:pStyle w:val="BlankOpen"/>
      </w:pPr>
    </w:p>
    <w:p>
      <w:pPr>
        <w:pStyle w:val="zyHeading4"/>
      </w:pPr>
      <w:bookmarkStart w:id="14" w:name="_Toc375919889"/>
      <w:bookmarkStart w:id="15" w:name="_Toc375920264"/>
      <w:bookmarkStart w:id="16" w:name="_Toc376185457"/>
      <w:bookmarkStart w:id="17" w:name="_Toc416794230"/>
      <w:bookmarkStart w:id="18" w:name="_Toc416794252"/>
      <w:r>
        <w:t>Subdivision 1</w:t>
      </w:r>
      <w:r>
        <w:rPr>
          <w:b w:val="0"/>
        </w:rPr>
        <w:t> — </w:t>
      </w:r>
      <w:r>
        <w:t>Financial reports</w:t>
      </w:r>
      <w:bookmarkEnd w:id="14"/>
      <w:bookmarkEnd w:id="15"/>
      <w:bookmarkEnd w:id="16"/>
      <w:bookmarkEnd w:id="17"/>
      <w:bookmarkEnd w:id="18"/>
    </w:p>
    <w:p>
      <w:pPr>
        <w:pStyle w:val="zyHeading5"/>
      </w:pPr>
      <w:bookmarkStart w:id="19" w:name="_Toc416794253"/>
      <w:r>
        <w:t>6.</w:t>
      </w:r>
      <w:r>
        <w:tab/>
        <w:t>Preparation of financial reports</w:t>
      </w:r>
      <w:bookmarkEnd w:id="19"/>
    </w:p>
    <w:p>
      <w:pPr>
        <w:pStyle w:val="zySubsection"/>
      </w:pPr>
      <w:r>
        <w:tab/>
        <w:t>(1)</w:t>
      </w:r>
      <w:r>
        <w:tab/>
        <w:t xml:space="preserve">The EGRC must prepare — </w:t>
      </w:r>
    </w:p>
    <w:p>
      <w:pPr>
        <w:pStyle w:val="zyIndenta"/>
      </w:pPr>
      <w:r>
        <w:tab/>
        <w:t>(a)</w:t>
      </w:r>
      <w:r>
        <w:tab/>
        <w:t>a financial report for the period referred to in section 211(2)(a); and</w:t>
      </w:r>
    </w:p>
    <w:p>
      <w:pPr>
        <w:pStyle w:val="zyIndenta"/>
      </w:pPr>
      <w:r>
        <w:tab/>
        <w:t>(b)</w:t>
      </w:r>
      <w:r>
        <w:tab/>
        <w:t>a financial report for the period referred to in section 211(2)(b).</w:t>
      </w:r>
    </w:p>
    <w:p>
      <w:pPr>
        <w:pStyle w:val="zySubsection"/>
      </w:pPr>
      <w:r>
        <w:tab/>
        <w:t>(2)</w:t>
      </w:r>
      <w:r>
        <w:tab/>
        <w:t xml:space="preserve">Each financial report must be prepared — </w:t>
      </w:r>
    </w:p>
    <w:p>
      <w:pPr>
        <w:pStyle w:val="zyIndenta"/>
      </w:pPr>
      <w:r>
        <w:tab/>
        <w:t>(a)</w:t>
      </w:r>
      <w:r>
        <w:tab/>
        <w:t>before 30 September 2014; and</w:t>
      </w:r>
    </w:p>
    <w:p>
      <w:pPr>
        <w:pStyle w:val="zyIndenta"/>
      </w:pPr>
      <w:r>
        <w:tab/>
        <w:t>(b)</w:t>
      </w:r>
      <w:r>
        <w:tab/>
        <w:t xml:space="preserve">in accordance with Accounting Standard AASB 134 </w:t>
      </w:r>
      <w:r>
        <w:rPr>
          <w:i/>
        </w:rPr>
        <w:t>Interim Financial Reporting</w:t>
      </w:r>
      <w:r>
        <w:t xml:space="preserve"> made under the Corporations Act section 334.</w:t>
      </w:r>
    </w:p>
    <w:p>
      <w:pPr>
        <w:pStyle w:val="zyHeading5"/>
      </w:pPr>
      <w:bookmarkStart w:id="20" w:name="_Toc416794254"/>
      <w:r>
        <w:t>7.</w:t>
      </w:r>
      <w:r>
        <w:tab/>
        <w:t>No requirement for audit</w:t>
      </w:r>
      <w:bookmarkEnd w:id="20"/>
    </w:p>
    <w:p>
      <w:pPr>
        <w:pStyle w:val="zySubsection"/>
      </w:pPr>
      <w:r>
        <w:tab/>
      </w:r>
      <w:r>
        <w:tab/>
        <w:t>The EGRC is not required to have either financial report audited by the Auditor General.</w:t>
      </w:r>
    </w:p>
    <w:p>
      <w:pPr>
        <w:pStyle w:val="BlankClose"/>
      </w:pPr>
    </w:p>
    <w:p>
      <w:pPr>
        <w:pStyle w:val="Subsection"/>
      </w:pPr>
      <w:r>
        <w:tab/>
        <w:t>(3)</w:t>
      </w:r>
      <w:r>
        <w:tab/>
        <w:t>Delete Schedule 4 clause 32 of the Act and insert:</w:t>
      </w:r>
    </w:p>
    <w:p>
      <w:pPr>
        <w:pStyle w:val="BlankOpen"/>
      </w:pPr>
    </w:p>
    <w:p>
      <w:pPr>
        <w:pStyle w:val="zyHeading5"/>
      </w:pPr>
      <w:bookmarkStart w:id="21" w:name="_Toc416794255"/>
      <w:r>
        <w:t>32.</w:t>
      </w:r>
      <w:r>
        <w:tab/>
        <w:t>Deadline for reporting to Minister</w:t>
      </w:r>
      <w:bookmarkEnd w:id="21"/>
    </w:p>
    <w:p>
      <w:pPr>
        <w:pStyle w:val="zySubsection"/>
      </w:pPr>
      <w:r>
        <w:tab/>
        <w:t>(1)</w:t>
      </w:r>
      <w:r>
        <w:tab/>
        <w:t xml:space="preserve">In subclause (2) — </w:t>
      </w:r>
    </w:p>
    <w:p>
      <w:pPr>
        <w:pStyle w:val="zyDefstart"/>
      </w:pPr>
      <w:r>
        <w:tab/>
      </w:r>
      <w:r>
        <w:rPr>
          <w:rStyle w:val="CharDefText"/>
        </w:rPr>
        <w:t>annual report</w:t>
      </w:r>
      <w:r>
        <w:t xml:space="preserve"> means — </w:t>
      </w:r>
    </w:p>
    <w:p>
      <w:pPr>
        <w:pStyle w:val="zyDefpara"/>
      </w:pPr>
      <w:r>
        <w:tab/>
        <w:t>(a)</w:t>
      </w:r>
      <w:r>
        <w:tab/>
        <w:t>the annual report required by section 107 for the period referred to in section 211(2)(a); or</w:t>
      </w:r>
    </w:p>
    <w:p>
      <w:pPr>
        <w:pStyle w:val="zyDefpara"/>
      </w:pPr>
      <w:r>
        <w:tab/>
        <w:t>(b)</w:t>
      </w:r>
      <w:r>
        <w:tab/>
        <w:t>the annual report required by section 107 for the period referred to in section 211(2)(b);</w:t>
      </w:r>
    </w:p>
    <w:p>
      <w:pPr>
        <w:pStyle w:val="zyDefstart"/>
      </w:pPr>
      <w:r>
        <w:tab/>
      </w:r>
      <w:r>
        <w:rPr>
          <w:rStyle w:val="CharDefText"/>
        </w:rPr>
        <w:t>prescribed day</w:t>
      </w:r>
      <w:r>
        <w:t>, in relation to an annual report, means the tenth working day after the day on which the report is completed.</w:t>
      </w:r>
    </w:p>
    <w:p>
      <w:pPr>
        <w:pStyle w:val="zySubsection"/>
      </w:pPr>
      <w:r>
        <w:tab/>
        <w:t>(2)</w:t>
      </w:r>
      <w:r>
        <w:tab/>
        <w:t>The EGRC must, as soon as practicable but not later than the close of business on the prescribed day, send to the Minister a copy of an annual report.</w:t>
      </w:r>
    </w:p>
    <w:p>
      <w:pPr>
        <w:pStyle w:val="BlankClose"/>
      </w:pPr>
    </w:p>
    <w:p>
      <w:pPr>
        <w:pStyle w:val="Subsection"/>
      </w:pPr>
      <w:r>
        <w:tab/>
        <w:t>(4)</w:t>
      </w:r>
      <w:r>
        <w:tab/>
        <w:t>Delete Schedule 4 clause 33(b) and (c) of the Act.</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bookmarkStart w:id="22" w:name="_Toc113695922"/>
    </w:p>
    <w:p>
      <w:pPr>
        <w:pStyle w:val="nHeading2"/>
      </w:pPr>
      <w:bookmarkStart w:id="23" w:name="_Toc375919890"/>
      <w:bookmarkStart w:id="24" w:name="_Toc375920265"/>
      <w:bookmarkStart w:id="25" w:name="_Toc376185458"/>
      <w:bookmarkStart w:id="26" w:name="_Toc416794234"/>
      <w:bookmarkStart w:id="27" w:name="_Toc416794256"/>
      <w:r>
        <w:t>Notes</w:t>
      </w:r>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Corporations (Transitional) Regulations 2013</w:t>
      </w:r>
      <w:r>
        <w:rPr>
          <w:snapToGrid w:val="0"/>
        </w:rPr>
        <w:t>.  The following table contains information about those regulations.</w:t>
      </w:r>
    </w:p>
    <w:p>
      <w:pPr>
        <w:pStyle w:val="nHeading3"/>
      </w:pPr>
      <w:bookmarkStart w:id="28" w:name="_Toc70311430"/>
      <w:bookmarkStart w:id="29" w:name="_Toc376185459"/>
      <w:bookmarkStart w:id="30" w:name="_Toc416794257"/>
      <w:r>
        <w:t>Compilation table</w:t>
      </w:r>
      <w:bookmarkEnd w:id="28"/>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Electricity Corporations (Transitional) Regulations 2013</w:t>
            </w:r>
          </w:p>
        </w:tc>
        <w:tc>
          <w:tcPr>
            <w:tcW w:w="1276" w:type="dxa"/>
          </w:tcPr>
          <w:p>
            <w:pPr>
              <w:pStyle w:val="nTable"/>
              <w:spacing w:after="40"/>
            </w:pPr>
            <w:r>
              <w:t>27 Dec 2013 p. 6481</w:t>
            </w:r>
            <w:r>
              <w:noBreakHyphen/>
              <w:t>3</w:t>
            </w:r>
          </w:p>
        </w:tc>
        <w:tc>
          <w:tcPr>
            <w:tcW w:w="2693" w:type="dxa"/>
          </w:tcPr>
          <w:p>
            <w:pPr>
              <w:pStyle w:val="nTable"/>
              <w:spacing w:after="40"/>
            </w:pPr>
            <w:r>
              <w:rPr>
                <w:snapToGrid w:val="0"/>
                <w:spacing w:val="-2"/>
              </w:rPr>
              <w:t>r. 1 and 2: 27 Dec 2013 (see r. 2(a));</w:t>
            </w:r>
            <w:r>
              <w:rPr>
                <w:snapToGrid w:val="0"/>
                <w:spacing w:val="-2"/>
              </w:rPr>
              <w:br/>
              <w:t xml:space="preserve">Regulations other than r. 1 and 2: 1 Jan 2014 (see. r. 2(b) and </w:t>
            </w:r>
            <w:r>
              <w:rPr>
                <w:i/>
                <w:snapToGrid w:val="0"/>
                <w:spacing w:val="-2"/>
              </w:rPr>
              <w:t>Gazette</w:t>
            </w:r>
            <w:r>
              <w:rPr>
                <w:snapToGrid w:val="0"/>
                <w:spacing w:val="-2"/>
              </w:rPr>
              <w:t xml:space="preserve"> 27 Dec 2013 p. 6465)</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2" w:name="_Toc416794258"/>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reporting provisions</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(Transitional)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5731"/>
    <w:docVar w:name="WAFER_20131210151850" w:val="RemoveTocBookmarks,RemoveUnusedBookmarks,RemoveLanguageTags,UsedStyles,ResetPageSize"/>
    <w:docVar w:name="WAFER_20131210151850_GUID" w:val="7598f095-2c0d-41a8-8328-86419df6f6a6"/>
    <w:docVar w:name="WAFER_20131216095340" w:val="RemoveTocBookmarks,RemoveUnusedBookmarks,RemoveLanguageTags,UsedStyles,ResetPageSize"/>
    <w:docVar w:name="WAFER_20131216095340_GUID" w:val="2c1fcb8c-9834-403c-85dc-485a6c8175a7"/>
    <w:docVar w:name="WAFER_20150414165517" w:val="ResetPageSize,UpdateArrangement,UpdateNTable"/>
    <w:docVar w:name="WAFER_20150414165517_GUID" w:val="7e11b5ec-c9bd-4ac5-87b5-e1a508c88b07"/>
    <w:docVar w:name="WAFER_20151105115731" w:val="UpdateStyles,UsedStyles"/>
    <w:docVar w:name="WAFER_20151105115731_GUID" w:val="80006aef-c2c2-49df-8ff0-bd4c0b0fd3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lang w:eastAsia="en-AU"/>
    </w:rPr>
  </w:style>
  <w:style w:type="paragraph" w:customStyle="1" w:styleId="ABillFor">
    <w:name w:val="ABillFor"/>
    <w:basedOn w:val="Normal"/>
    <w:pPr>
      <w:spacing w:before="240" w:after="600"/>
      <w:jc w:val="center"/>
    </w:pPr>
    <w:rPr>
      <w:b/>
      <w:lang w:eastAsia="en-AU"/>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rPr>
      <w:lang w:eastAsia="en-AU"/>
    </w:rPr>
  </w:style>
  <w:style w:type="paragraph" w:styleId="BodyText">
    <w:name w:val="Body Text"/>
    <w:basedOn w:val="Normal"/>
    <w:pPr>
      <w:spacing w:after="120"/>
    </w:pPr>
    <w:rPr>
      <w:lang w:eastAsia="en-AU"/>
    </w:rPr>
  </w:style>
  <w:style w:type="paragraph" w:styleId="BodyText2">
    <w:name w:val="Body Text 2"/>
    <w:basedOn w:val="Normal"/>
    <w:pPr>
      <w:spacing w:after="120" w:line="480" w:lineRule="auto"/>
    </w:pPr>
    <w:rPr>
      <w:lang w:eastAsia="en-AU"/>
    </w:rPr>
  </w:style>
  <w:style w:type="paragraph" w:styleId="BodyText3">
    <w:name w:val="Body Text 3"/>
    <w:basedOn w:val="Normal"/>
    <w:pPr>
      <w:spacing w:after="120"/>
    </w:pPr>
    <w:rPr>
      <w:sz w:val="18"/>
      <w:lang w:eastAsia="en-AU"/>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rPr>
      <w:lang w:eastAsia="en-AU"/>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rPr>
      <w:lang w:eastAsia="en-AU"/>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lang w:eastAsia="en-AU"/>
    </w:rPr>
  </w:style>
  <w:style w:type="paragraph" w:styleId="Caption">
    <w:name w:val="caption"/>
    <w:basedOn w:val="Normal"/>
    <w:next w:val="Normal"/>
    <w:qFormat/>
    <w:pPr>
      <w:spacing w:before="120" w:after="120"/>
    </w:pPr>
    <w:rPr>
      <w:b/>
      <w:lang w:eastAsia="en-AU"/>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rPr>
      <w:lang w:eastAsia="en-AU"/>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rPr>
      <w:lang w:eastAsia="en-AU"/>
    </w:rPr>
  </w:style>
  <w:style w:type="paragraph" w:styleId="Date">
    <w:name w:val="Date"/>
    <w:basedOn w:val="Normal"/>
    <w:next w:val="Normal"/>
    <w:rPr>
      <w:lang w:eastAsia="en-AU"/>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rPr>
      <w:lang w:eastAsia="en-AU"/>
    </w:rPr>
  </w:style>
  <w:style w:type="paragraph" w:styleId="EnvelopeAddress">
    <w:name w:val="envelope address"/>
    <w:basedOn w:val="Normal"/>
    <w:pPr>
      <w:framePr w:w="7920" w:h="1980" w:hRule="exact" w:hSpace="180" w:wrap="auto" w:hAnchor="page" w:xAlign="center" w:yAlign="bottom"/>
      <w:ind w:left="2880"/>
    </w:pPr>
    <w:rPr>
      <w:rFonts w:ascii="Arial" w:hAnsi="Arial"/>
      <w:sz w:val="26"/>
      <w:lang w:eastAsia="en-AU"/>
    </w:rPr>
  </w:style>
  <w:style w:type="paragraph" w:styleId="EnvelopeReturn">
    <w:name w:val="envelope return"/>
    <w:basedOn w:val="Normal"/>
    <w:rPr>
      <w:rFonts w:ascii="Arial" w:hAnsi="Arial"/>
      <w:lang w:eastAsia="en-AU"/>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rPr>
      <w:lang w:eastAsia="en-AU"/>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rPr>
      <w:lang w:eastAsia="en-AU"/>
    </w:rPr>
  </w:style>
  <w:style w:type="paragraph" w:styleId="Index2">
    <w:name w:val="index 2"/>
    <w:basedOn w:val="Normal"/>
    <w:next w:val="Normal"/>
    <w:autoRedefine/>
    <w:semiHidden/>
    <w:pPr>
      <w:ind w:left="400" w:hanging="200"/>
    </w:pPr>
    <w:rPr>
      <w:lang w:eastAsia="en-AU"/>
    </w:rPr>
  </w:style>
  <w:style w:type="paragraph" w:styleId="Index3">
    <w:name w:val="index 3"/>
    <w:basedOn w:val="Normal"/>
    <w:next w:val="Normal"/>
    <w:autoRedefine/>
    <w:semiHidden/>
    <w:pPr>
      <w:ind w:left="600" w:hanging="200"/>
    </w:pPr>
    <w:rPr>
      <w:lang w:eastAsia="en-AU"/>
    </w:rPr>
  </w:style>
  <w:style w:type="paragraph" w:styleId="Index4">
    <w:name w:val="index 4"/>
    <w:basedOn w:val="Normal"/>
    <w:next w:val="Normal"/>
    <w:autoRedefine/>
    <w:semiHidden/>
    <w:pPr>
      <w:ind w:left="800" w:hanging="200"/>
    </w:pPr>
    <w:rPr>
      <w:lang w:eastAsia="en-AU"/>
    </w:rPr>
  </w:style>
  <w:style w:type="paragraph" w:styleId="Index5">
    <w:name w:val="index 5"/>
    <w:basedOn w:val="Normal"/>
    <w:next w:val="Normal"/>
    <w:autoRedefine/>
    <w:semiHidden/>
    <w:pPr>
      <w:ind w:left="1000" w:hanging="200"/>
    </w:pPr>
    <w:rPr>
      <w:lang w:eastAsia="en-AU"/>
    </w:rPr>
  </w:style>
  <w:style w:type="paragraph" w:styleId="Index6">
    <w:name w:val="index 6"/>
    <w:basedOn w:val="Normal"/>
    <w:next w:val="Normal"/>
    <w:autoRedefine/>
    <w:semiHidden/>
    <w:pPr>
      <w:ind w:left="1200" w:hanging="200"/>
    </w:pPr>
    <w:rPr>
      <w:lang w:eastAsia="en-AU"/>
    </w:rPr>
  </w:style>
  <w:style w:type="paragraph" w:styleId="Index7">
    <w:name w:val="index 7"/>
    <w:basedOn w:val="Normal"/>
    <w:next w:val="Normal"/>
    <w:autoRedefine/>
    <w:semiHidden/>
    <w:pPr>
      <w:ind w:left="1400" w:hanging="200"/>
    </w:pPr>
    <w:rPr>
      <w:lang w:eastAsia="en-AU"/>
    </w:rPr>
  </w:style>
  <w:style w:type="paragraph" w:styleId="Index8">
    <w:name w:val="index 8"/>
    <w:basedOn w:val="Normal"/>
    <w:next w:val="Normal"/>
    <w:autoRedefine/>
    <w:semiHidden/>
    <w:pPr>
      <w:ind w:left="1600" w:hanging="200"/>
    </w:pPr>
    <w:rPr>
      <w:lang w:eastAsia="en-AU"/>
    </w:rPr>
  </w:style>
  <w:style w:type="paragraph" w:styleId="Index9">
    <w:name w:val="index 9"/>
    <w:basedOn w:val="Normal"/>
    <w:next w:val="Normal"/>
    <w:autoRedefine/>
    <w:semiHidden/>
    <w:pPr>
      <w:ind w:left="1800" w:hanging="200"/>
    </w:pPr>
    <w:rPr>
      <w:lang w:eastAsia="en-AU"/>
    </w:rPr>
  </w:style>
  <w:style w:type="paragraph" w:styleId="IndexHeading">
    <w:name w:val="index heading"/>
    <w:basedOn w:val="Normal"/>
    <w:next w:val="Index1"/>
    <w:semiHidden/>
    <w:rPr>
      <w:rFonts w:ascii="Arial" w:hAnsi="Arial"/>
      <w:b/>
      <w:lang w:eastAsia="en-AU"/>
    </w:rPr>
  </w:style>
  <w:style w:type="character" w:styleId="LineNumber">
    <w:name w:val="line number"/>
    <w:basedOn w:val="DefaultParagraphFont"/>
    <w:rPr>
      <w:rFonts w:ascii="Times" w:hAnsi="Times"/>
      <w:sz w:val="18"/>
    </w:rPr>
  </w:style>
  <w:style w:type="paragraph" w:styleId="List">
    <w:name w:val="List"/>
    <w:basedOn w:val="Normal"/>
    <w:pPr>
      <w:ind w:left="283" w:hanging="283"/>
    </w:pPr>
    <w:rPr>
      <w:lang w:eastAsia="en-AU"/>
    </w:rPr>
  </w:style>
  <w:style w:type="paragraph" w:styleId="List2">
    <w:name w:val="List 2"/>
    <w:basedOn w:val="Normal"/>
    <w:pPr>
      <w:ind w:left="566" w:hanging="283"/>
    </w:pPr>
    <w:rPr>
      <w:lang w:eastAsia="en-AU"/>
    </w:rPr>
  </w:style>
  <w:style w:type="paragraph" w:styleId="List3">
    <w:name w:val="List 3"/>
    <w:basedOn w:val="Normal"/>
    <w:pPr>
      <w:ind w:left="849" w:hanging="283"/>
    </w:pPr>
    <w:rPr>
      <w:lang w:eastAsia="en-AU"/>
    </w:rPr>
  </w:style>
  <w:style w:type="paragraph" w:styleId="List4">
    <w:name w:val="List 4"/>
    <w:basedOn w:val="Normal"/>
    <w:pPr>
      <w:ind w:left="1132" w:hanging="283"/>
    </w:pPr>
    <w:rPr>
      <w:lang w:eastAsia="en-AU"/>
    </w:rPr>
  </w:style>
  <w:style w:type="paragraph" w:styleId="List5">
    <w:name w:val="List 5"/>
    <w:basedOn w:val="Normal"/>
    <w:pPr>
      <w:ind w:left="1415" w:hanging="283"/>
    </w:pPr>
    <w:rPr>
      <w:lang w:eastAsia="en-AU"/>
    </w:rPr>
  </w:style>
  <w:style w:type="paragraph" w:styleId="ListBullet">
    <w:name w:val="List Bullet"/>
    <w:basedOn w:val="Normal"/>
    <w:autoRedefine/>
    <w:pPr>
      <w:tabs>
        <w:tab w:val="num" w:pos="360"/>
      </w:tabs>
    </w:pPr>
    <w:rPr>
      <w:lang w:eastAsia="en-AU"/>
    </w:rPr>
  </w:style>
  <w:style w:type="paragraph" w:styleId="ListBullet2">
    <w:name w:val="List Bullet 2"/>
    <w:basedOn w:val="Normal"/>
    <w:autoRedefine/>
    <w:pPr>
      <w:tabs>
        <w:tab w:val="num" w:pos="360"/>
        <w:tab w:val="num" w:pos="720"/>
      </w:tabs>
      <w:ind w:left="720"/>
    </w:pPr>
    <w:rPr>
      <w:lang w:eastAsia="en-AU"/>
    </w:rPr>
  </w:style>
  <w:style w:type="paragraph" w:styleId="ListBullet3">
    <w:name w:val="List Bullet 3"/>
    <w:basedOn w:val="Normal"/>
    <w:autoRedefine/>
    <w:pPr>
      <w:tabs>
        <w:tab w:val="num" w:pos="360"/>
        <w:tab w:val="num" w:pos="1080"/>
      </w:tabs>
      <w:ind w:left="1080"/>
    </w:pPr>
    <w:rPr>
      <w:lang w:eastAsia="en-AU"/>
    </w:rPr>
  </w:style>
  <w:style w:type="paragraph" w:styleId="ListBullet4">
    <w:name w:val="List Bullet 4"/>
    <w:basedOn w:val="Normal"/>
    <w:autoRedefine/>
    <w:pPr>
      <w:tabs>
        <w:tab w:val="num" w:pos="360"/>
        <w:tab w:val="num" w:pos="1440"/>
      </w:tabs>
      <w:ind w:left="1440"/>
    </w:pPr>
    <w:rPr>
      <w:lang w:eastAsia="en-AU"/>
    </w:rPr>
  </w:style>
  <w:style w:type="paragraph" w:styleId="ListBullet5">
    <w:name w:val="List Bullet 5"/>
    <w:basedOn w:val="Normal"/>
    <w:autoRedefine/>
    <w:pPr>
      <w:tabs>
        <w:tab w:val="num" w:pos="360"/>
        <w:tab w:val="num" w:pos="1800"/>
      </w:tabs>
      <w:ind w:left="1800"/>
    </w:pPr>
    <w:rPr>
      <w:lang w:eastAsia="en-AU"/>
    </w:rPr>
  </w:style>
  <w:style w:type="paragraph" w:styleId="ListContinue">
    <w:name w:val="List Continue"/>
    <w:basedOn w:val="Normal"/>
    <w:pPr>
      <w:spacing w:after="120"/>
      <w:ind w:left="283"/>
    </w:pPr>
    <w:rPr>
      <w:lang w:eastAsia="en-AU"/>
    </w:rPr>
  </w:style>
  <w:style w:type="paragraph" w:styleId="ListContinue2">
    <w:name w:val="List Continue 2"/>
    <w:basedOn w:val="Normal"/>
    <w:pPr>
      <w:spacing w:after="120"/>
      <w:ind w:left="566"/>
    </w:pPr>
    <w:rPr>
      <w:lang w:eastAsia="en-AU"/>
    </w:rPr>
  </w:style>
  <w:style w:type="paragraph" w:styleId="ListContinue3">
    <w:name w:val="List Continue 3"/>
    <w:basedOn w:val="Normal"/>
    <w:pPr>
      <w:spacing w:after="120"/>
      <w:ind w:left="849"/>
    </w:pPr>
    <w:rPr>
      <w:lang w:eastAsia="en-AU"/>
    </w:rPr>
  </w:style>
  <w:style w:type="paragraph" w:styleId="ListContinue4">
    <w:name w:val="List Continue 4"/>
    <w:basedOn w:val="Normal"/>
    <w:pPr>
      <w:spacing w:after="120"/>
      <w:ind w:left="1132"/>
    </w:pPr>
    <w:rPr>
      <w:lang w:eastAsia="en-AU"/>
    </w:rPr>
  </w:style>
  <w:style w:type="paragraph" w:styleId="ListContinue5">
    <w:name w:val="List Continue 5"/>
    <w:basedOn w:val="Normal"/>
    <w:pPr>
      <w:spacing w:after="120"/>
      <w:ind w:left="1415"/>
    </w:pPr>
    <w:rPr>
      <w:lang w:eastAsia="en-AU"/>
    </w:rPr>
  </w:style>
  <w:style w:type="paragraph" w:styleId="ListNumber">
    <w:name w:val="List Number"/>
    <w:basedOn w:val="Normal"/>
    <w:pPr>
      <w:tabs>
        <w:tab w:val="num" w:pos="360"/>
      </w:tabs>
    </w:pPr>
    <w:rPr>
      <w:lang w:eastAsia="en-AU"/>
    </w:rPr>
  </w:style>
  <w:style w:type="paragraph" w:styleId="ListNumber2">
    <w:name w:val="List Number 2"/>
    <w:basedOn w:val="Normal"/>
    <w:pPr>
      <w:tabs>
        <w:tab w:val="num" w:pos="360"/>
        <w:tab w:val="num" w:pos="720"/>
      </w:tabs>
      <w:ind w:left="720"/>
    </w:pPr>
    <w:rPr>
      <w:lang w:eastAsia="en-AU"/>
    </w:rPr>
  </w:style>
  <w:style w:type="paragraph" w:styleId="ListNumber3">
    <w:name w:val="List Number 3"/>
    <w:basedOn w:val="Normal"/>
    <w:pPr>
      <w:tabs>
        <w:tab w:val="num" w:pos="360"/>
        <w:tab w:val="num" w:pos="1080"/>
      </w:tabs>
      <w:ind w:left="1080"/>
    </w:pPr>
    <w:rPr>
      <w:lang w:eastAsia="en-AU"/>
    </w:rPr>
  </w:style>
  <w:style w:type="paragraph" w:styleId="ListNumber4">
    <w:name w:val="List Number 4"/>
    <w:basedOn w:val="Normal"/>
    <w:pPr>
      <w:tabs>
        <w:tab w:val="num" w:pos="360"/>
        <w:tab w:val="num" w:pos="1440"/>
      </w:tabs>
      <w:ind w:left="1440"/>
    </w:pPr>
    <w:rPr>
      <w:lang w:eastAsia="en-AU"/>
    </w:rPr>
  </w:style>
  <w:style w:type="paragraph" w:styleId="ListNumber5">
    <w:name w:val="List Number 5"/>
    <w:basedOn w:val="Normal"/>
    <w:pPr>
      <w:tabs>
        <w:tab w:val="num" w:pos="360"/>
        <w:tab w:val="num" w:pos="1800"/>
      </w:tabs>
      <w:ind w:left="1800"/>
    </w:pPr>
    <w:rPr>
      <w:lang w:eastAsia="en-AU"/>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lang w:eastAsia="en-AU"/>
    </w:rPr>
  </w:style>
  <w:style w:type="paragraph" w:customStyle="1" w:styleId="MiscClose">
    <w:name w:val="MiscClose"/>
    <w:basedOn w:val="Normal"/>
    <w:pPr>
      <w:keepLines/>
      <w:tabs>
        <w:tab w:val="left" w:pos="893"/>
      </w:tabs>
      <w:spacing w:line="260" w:lineRule="atLeast"/>
      <w:jc w:val="right"/>
    </w:pPr>
    <w:rPr>
      <w:lang w:eastAsia="en-AU"/>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rPr>
      <w:lang w:eastAsia="en-AU"/>
    </w:rPr>
  </w:style>
  <w:style w:type="paragraph" w:styleId="NoteHeading">
    <w:name w:val="Note Heading"/>
    <w:basedOn w:val="Normal"/>
    <w:next w:val="Normal"/>
    <w:rPr>
      <w:lang w:eastAsia="en-AU"/>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rPr>
      <w:lang w:eastAsia="en-AU"/>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lang w:eastAsia="en-AU"/>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rPr>
      <w:lang w:eastAsia="en-AU"/>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rPr>
      <w:lang w:eastAsia="en-AU"/>
    </w:r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rPr>
      <w:lang w:eastAsia="en-AU"/>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rPr>
      <w:lang w:eastAsia="en-AU"/>
    </w:r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rPr>
      <w:lang w:eastAsia="en-AU"/>
    </w:r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rPr>
      <w:lang w:eastAsia="en-AU"/>
    </w:r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rPr>
      <w:lang w:eastAsia="en-AU"/>
    </w:r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lang w:eastAsia="en-AU"/>
    </w:rPr>
  </w:style>
  <w:style w:type="paragraph" w:customStyle="1" w:styleId="nzTable">
    <w:name w:val="nzTable"/>
    <w:basedOn w:val="Normal"/>
    <w:rPr>
      <w:sz w:val="20"/>
      <w:lang w:eastAsia="en-AU"/>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rPr>
      <w:lang w:eastAsia="en-AU"/>
    </w:rPr>
  </w:style>
  <w:style w:type="paragraph" w:styleId="Signature">
    <w:name w:val="Signature"/>
    <w:basedOn w:val="Normal"/>
    <w:pPr>
      <w:ind w:left="4252"/>
    </w:pPr>
    <w:rPr>
      <w:lang w:eastAsia="en-AU"/>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lang w:eastAsia="en-AU"/>
    </w:rPr>
  </w:style>
  <w:style w:type="paragraph" w:styleId="TableofAuthorities">
    <w:name w:val="table of authorities"/>
    <w:basedOn w:val="Normal"/>
    <w:next w:val="Normal"/>
    <w:semiHidden/>
    <w:pPr>
      <w:ind w:left="220" w:hanging="220"/>
    </w:pPr>
    <w:rPr>
      <w:lang w:eastAsia="en-AU"/>
    </w:rPr>
  </w:style>
  <w:style w:type="paragraph" w:styleId="TableofFigures">
    <w:name w:val="table of figures"/>
    <w:basedOn w:val="Normal"/>
    <w:next w:val="Normal"/>
    <w:semiHidden/>
    <w:pPr>
      <w:ind w:left="440" w:hanging="440"/>
    </w:pPr>
    <w:rPr>
      <w:lang w:eastAsia="en-AU"/>
    </w:rPr>
  </w:style>
  <w:style w:type="paragraph" w:styleId="Title">
    <w:name w:val="Title"/>
    <w:basedOn w:val="Normal"/>
    <w:qFormat/>
    <w:pPr>
      <w:spacing w:before="240" w:after="60"/>
      <w:jc w:val="center"/>
      <w:outlineLvl w:val="0"/>
    </w:pPr>
    <w:rPr>
      <w:rFonts w:ascii="Arial" w:hAnsi="Arial"/>
      <w:b/>
      <w:kern w:val="28"/>
      <w:sz w:val="34"/>
      <w:lang w:eastAsia="en-AU"/>
    </w:rPr>
  </w:style>
  <w:style w:type="paragraph" w:styleId="TOAHeading">
    <w:name w:val="toa heading"/>
    <w:basedOn w:val="Normal"/>
    <w:next w:val="Normal"/>
    <w:semiHidden/>
    <w:pPr>
      <w:spacing w:before="120"/>
    </w:pPr>
    <w:rPr>
      <w:rFonts w:ascii="Arial" w:hAnsi="Arial"/>
      <w:b/>
      <w:sz w:val="26"/>
      <w:lang w:eastAsia="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rPr>
      <w:lang w:eastAsia="en-AU"/>
    </w:r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rPr>
      <w:lang w:eastAsia="en-AU"/>
    </w:rPr>
  </w:style>
  <w:style w:type="paragraph" w:customStyle="1" w:styleId="zPensubpara">
    <w:name w:val="zPensubpara"/>
    <w:basedOn w:val="Normal"/>
    <w:pPr>
      <w:tabs>
        <w:tab w:val="right" w:pos="2608"/>
        <w:tab w:val="left" w:pos="2892"/>
      </w:tabs>
      <w:spacing w:before="160" w:line="260" w:lineRule="atLeast"/>
      <w:ind w:left="2892" w:right="284" w:hanging="851"/>
    </w:pPr>
    <w:rPr>
      <w:lang w:eastAsia="en-AU"/>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rPr>
      <w:lang w:eastAsia="en-AU"/>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lang w:eastAsia="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rPr>
      <w:lang w:eastAsia="en-AU"/>
    </w:r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rPr>
      <w:lang w:eastAsia="en-AU"/>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lang w:eastAsia="en-AU"/>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rPr>
      <w:lang w:eastAsia="en-AU"/>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lang w:eastAsia="en-AU"/>
    </w:rPr>
  </w:style>
  <w:style w:type="paragraph" w:customStyle="1" w:styleId="ABillFor">
    <w:name w:val="ABillFor"/>
    <w:basedOn w:val="Normal"/>
    <w:pPr>
      <w:spacing w:before="240" w:after="600"/>
      <w:jc w:val="center"/>
    </w:pPr>
    <w:rPr>
      <w:b/>
      <w:lang w:eastAsia="en-AU"/>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rPr>
      <w:lang w:eastAsia="en-AU"/>
    </w:rPr>
  </w:style>
  <w:style w:type="paragraph" w:styleId="BodyText">
    <w:name w:val="Body Text"/>
    <w:basedOn w:val="Normal"/>
    <w:pPr>
      <w:spacing w:after="120"/>
    </w:pPr>
    <w:rPr>
      <w:lang w:eastAsia="en-AU"/>
    </w:rPr>
  </w:style>
  <w:style w:type="paragraph" w:styleId="BodyText2">
    <w:name w:val="Body Text 2"/>
    <w:basedOn w:val="Normal"/>
    <w:pPr>
      <w:spacing w:after="120" w:line="480" w:lineRule="auto"/>
    </w:pPr>
    <w:rPr>
      <w:lang w:eastAsia="en-AU"/>
    </w:rPr>
  </w:style>
  <w:style w:type="paragraph" w:styleId="BodyText3">
    <w:name w:val="Body Text 3"/>
    <w:basedOn w:val="Normal"/>
    <w:pPr>
      <w:spacing w:after="120"/>
    </w:pPr>
    <w:rPr>
      <w:sz w:val="18"/>
      <w:lang w:eastAsia="en-AU"/>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rPr>
      <w:lang w:eastAsia="en-AU"/>
    </w:r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rPr>
      <w:lang w:eastAsia="en-AU"/>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lang w:eastAsia="en-AU"/>
    </w:rPr>
  </w:style>
  <w:style w:type="paragraph" w:styleId="Caption">
    <w:name w:val="caption"/>
    <w:basedOn w:val="Normal"/>
    <w:next w:val="Normal"/>
    <w:qFormat/>
    <w:pPr>
      <w:spacing w:before="120" w:after="120"/>
    </w:pPr>
    <w:rPr>
      <w:b/>
      <w:lang w:eastAsia="en-AU"/>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rPr>
      <w:lang w:eastAsia="en-AU"/>
    </w:rPr>
  </w:style>
  <w:style w:type="character" w:styleId="CommentReference">
    <w:name w:val="annotation reference"/>
    <w:basedOn w:val="DefaultParagraphFont"/>
    <w:semiHidden/>
    <w:rPr>
      <w:noProof w:val="0"/>
      <w:sz w:val="18"/>
    </w:rPr>
  </w:style>
  <w:style w:type="paragraph" w:styleId="CommentText">
    <w:name w:val="annotation text"/>
    <w:basedOn w:val="Normal"/>
    <w:semiHidden/>
    <w:rPr>
      <w:lang w:eastAsia="en-AU"/>
    </w:rPr>
  </w:style>
  <w:style w:type="paragraph" w:styleId="Date">
    <w:name w:val="Date"/>
    <w:basedOn w:val="Normal"/>
    <w:next w:val="Normal"/>
    <w:rPr>
      <w:lang w:eastAsia="en-AU"/>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rPr>
      <w:lang w:eastAsia="en-AU"/>
    </w:rPr>
  </w:style>
  <w:style w:type="paragraph" w:styleId="EnvelopeAddress">
    <w:name w:val="envelope address"/>
    <w:basedOn w:val="Normal"/>
    <w:pPr>
      <w:framePr w:w="7920" w:h="1980" w:hRule="exact" w:hSpace="180" w:wrap="auto" w:hAnchor="page" w:xAlign="center" w:yAlign="bottom"/>
      <w:ind w:left="2880"/>
    </w:pPr>
    <w:rPr>
      <w:rFonts w:ascii="Arial" w:hAnsi="Arial"/>
      <w:sz w:val="26"/>
      <w:lang w:eastAsia="en-AU"/>
    </w:rPr>
  </w:style>
  <w:style w:type="paragraph" w:styleId="EnvelopeReturn">
    <w:name w:val="envelope return"/>
    <w:basedOn w:val="Normal"/>
    <w:rPr>
      <w:rFonts w:ascii="Arial" w:hAnsi="Arial"/>
      <w:lang w:eastAsia="en-AU"/>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rPr>
      <w:lang w:eastAsia="en-AU"/>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rPr>
      <w:lang w:eastAsia="en-AU"/>
    </w:rPr>
  </w:style>
  <w:style w:type="paragraph" w:styleId="Index2">
    <w:name w:val="index 2"/>
    <w:basedOn w:val="Normal"/>
    <w:next w:val="Normal"/>
    <w:autoRedefine/>
    <w:semiHidden/>
    <w:pPr>
      <w:ind w:left="400" w:hanging="200"/>
    </w:pPr>
    <w:rPr>
      <w:lang w:eastAsia="en-AU"/>
    </w:rPr>
  </w:style>
  <w:style w:type="paragraph" w:styleId="Index3">
    <w:name w:val="index 3"/>
    <w:basedOn w:val="Normal"/>
    <w:next w:val="Normal"/>
    <w:autoRedefine/>
    <w:semiHidden/>
    <w:pPr>
      <w:ind w:left="600" w:hanging="200"/>
    </w:pPr>
    <w:rPr>
      <w:lang w:eastAsia="en-AU"/>
    </w:rPr>
  </w:style>
  <w:style w:type="paragraph" w:styleId="Index4">
    <w:name w:val="index 4"/>
    <w:basedOn w:val="Normal"/>
    <w:next w:val="Normal"/>
    <w:autoRedefine/>
    <w:semiHidden/>
    <w:pPr>
      <w:ind w:left="800" w:hanging="200"/>
    </w:pPr>
    <w:rPr>
      <w:lang w:eastAsia="en-AU"/>
    </w:rPr>
  </w:style>
  <w:style w:type="paragraph" w:styleId="Index5">
    <w:name w:val="index 5"/>
    <w:basedOn w:val="Normal"/>
    <w:next w:val="Normal"/>
    <w:autoRedefine/>
    <w:semiHidden/>
    <w:pPr>
      <w:ind w:left="1000" w:hanging="200"/>
    </w:pPr>
    <w:rPr>
      <w:lang w:eastAsia="en-AU"/>
    </w:rPr>
  </w:style>
  <w:style w:type="paragraph" w:styleId="Index6">
    <w:name w:val="index 6"/>
    <w:basedOn w:val="Normal"/>
    <w:next w:val="Normal"/>
    <w:autoRedefine/>
    <w:semiHidden/>
    <w:pPr>
      <w:ind w:left="1200" w:hanging="200"/>
    </w:pPr>
    <w:rPr>
      <w:lang w:eastAsia="en-AU"/>
    </w:rPr>
  </w:style>
  <w:style w:type="paragraph" w:styleId="Index7">
    <w:name w:val="index 7"/>
    <w:basedOn w:val="Normal"/>
    <w:next w:val="Normal"/>
    <w:autoRedefine/>
    <w:semiHidden/>
    <w:pPr>
      <w:ind w:left="1400" w:hanging="200"/>
    </w:pPr>
    <w:rPr>
      <w:lang w:eastAsia="en-AU"/>
    </w:rPr>
  </w:style>
  <w:style w:type="paragraph" w:styleId="Index8">
    <w:name w:val="index 8"/>
    <w:basedOn w:val="Normal"/>
    <w:next w:val="Normal"/>
    <w:autoRedefine/>
    <w:semiHidden/>
    <w:pPr>
      <w:ind w:left="1600" w:hanging="200"/>
    </w:pPr>
    <w:rPr>
      <w:lang w:eastAsia="en-AU"/>
    </w:rPr>
  </w:style>
  <w:style w:type="paragraph" w:styleId="Index9">
    <w:name w:val="index 9"/>
    <w:basedOn w:val="Normal"/>
    <w:next w:val="Normal"/>
    <w:autoRedefine/>
    <w:semiHidden/>
    <w:pPr>
      <w:ind w:left="1800" w:hanging="200"/>
    </w:pPr>
    <w:rPr>
      <w:lang w:eastAsia="en-AU"/>
    </w:rPr>
  </w:style>
  <w:style w:type="paragraph" w:styleId="IndexHeading">
    <w:name w:val="index heading"/>
    <w:basedOn w:val="Normal"/>
    <w:next w:val="Index1"/>
    <w:semiHidden/>
    <w:rPr>
      <w:rFonts w:ascii="Arial" w:hAnsi="Arial"/>
      <w:b/>
      <w:lang w:eastAsia="en-AU"/>
    </w:rPr>
  </w:style>
  <w:style w:type="character" w:styleId="LineNumber">
    <w:name w:val="line number"/>
    <w:basedOn w:val="DefaultParagraphFont"/>
    <w:rPr>
      <w:rFonts w:ascii="Times" w:hAnsi="Times"/>
      <w:sz w:val="18"/>
    </w:rPr>
  </w:style>
  <w:style w:type="paragraph" w:styleId="List">
    <w:name w:val="List"/>
    <w:basedOn w:val="Normal"/>
    <w:pPr>
      <w:ind w:left="283" w:hanging="283"/>
    </w:pPr>
    <w:rPr>
      <w:lang w:eastAsia="en-AU"/>
    </w:rPr>
  </w:style>
  <w:style w:type="paragraph" w:styleId="List2">
    <w:name w:val="List 2"/>
    <w:basedOn w:val="Normal"/>
    <w:pPr>
      <w:ind w:left="566" w:hanging="283"/>
    </w:pPr>
    <w:rPr>
      <w:lang w:eastAsia="en-AU"/>
    </w:rPr>
  </w:style>
  <w:style w:type="paragraph" w:styleId="List3">
    <w:name w:val="List 3"/>
    <w:basedOn w:val="Normal"/>
    <w:pPr>
      <w:ind w:left="849" w:hanging="283"/>
    </w:pPr>
    <w:rPr>
      <w:lang w:eastAsia="en-AU"/>
    </w:rPr>
  </w:style>
  <w:style w:type="paragraph" w:styleId="List4">
    <w:name w:val="List 4"/>
    <w:basedOn w:val="Normal"/>
    <w:pPr>
      <w:ind w:left="1132" w:hanging="283"/>
    </w:pPr>
    <w:rPr>
      <w:lang w:eastAsia="en-AU"/>
    </w:rPr>
  </w:style>
  <w:style w:type="paragraph" w:styleId="List5">
    <w:name w:val="List 5"/>
    <w:basedOn w:val="Normal"/>
    <w:pPr>
      <w:ind w:left="1415" w:hanging="283"/>
    </w:pPr>
    <w:rPr>
      <w:lang w:eastAsia="en-AU"/>
    </w:rPr>
  </w:style>
  <w:style w:type="paragraph" w:styleId="ListBullet">
    <w:name w:val="List Bullet"/>
    <w:basedOn w:val="Normal"/>
    <w:autoRedefine/>
    <w:pPr>
      <w:tabs>
        <w:tab w:val="num" w:pos="360"/>
      </w:tabs>
    </w:pPr>
    <w:rPr>
      <w:lang w:eastAsia="en-AU"/>
    </w:rPr>
  </w:style>
  <w:style w:type="paragraph" w:styleId="ListBullet2">
    <w:name w:val="List Bullet 2"/>
    <w:basedOn w:val="Normal"/>
    <w:autoRedefine/>
    <w:pPr>
      <w:tabs>
        <w:tab w:val="num" w:pos="360"/>
        <w:tab w:val="num" w:pos="720"/>
      </w:tabs>
      <w:ind w:left="720"/>
    </w:pPr>
    <w:rPr>
      <w:lang w:eastAsia="en-AU"/>
    </w:rPr>
  </w:style>
  <w:style w:type="paragraph" w:styleId="ListBullet3">
    <w:name w:val="List Bullet 3"/>
    <w:basedOn w:val="Normal"/>
    <w:autoRedefine/>
    <w:pPr>
      <w:tabs>
        <w:tab w:val="num" w:pos="360"/>
        <w:tab w:val="num" w:pos="1080"/>
      </w:tabs>
      <w:ind w:left="1080"/>
    </w:pPr>
    <w:rPr>
      <w:lang w:eastAsia="en-AU"/>
    </w:rPr>
  </w:style>
  <w:style w:type="paragraph" w:styleId="ListBullet4">
    <w:name w:val="List Bullet 4"/>
    <w:basedOn w:val="Normal"/>
    <w:autoRedefine/>
    <w:pPr>
      <w:tabs>
        <w:tab w:val="num" w:pos="360"/>
        <w:tab w:val="num" w:pos="1440"/>
      </w:tabs>
      <w:ind w:left="1440"/>
    </w:pPr>
    <w:rPr>
      <w:lang w:eastAsia="en-AU"/>
    </w:rPr>
  </w:style>
  <w:style w:type="paragraph" w:styleId="ListBullet5">
    <w:name w:val="List Bullet 5"/>
    <w:basedOn w:val="Normal"/>
    <w:autoRedefine/>
    <w:pPr>
      <w:tabs>
        <w:tab w:val="num" w:pos="360"/>
        <w:tab w:val="num" w:pos="1800"/>
      </w:tabs>
      <w:ind w:left="1800"/>
    </w:pPr>
    <w:rPr>
      <w:lang w:eastAsia="en-AU"/>
    </w:rPr>
  </w:style>
  <w:style w:type="paragraph" w:styleId="ListContinue">
    <w:name w:val="List Continue"/>
    <w:basedOn w:val="Normal"/>
    <w:pPr>
      <w:spacing w:after="120"/>
      <w:ind w:left="283"/>
    </w:pPr>
    <w:rPr>
      <w:lang w:eastAsia="en-AU"/>
    </w:rPr>
  </w:style>
  <w:style w:type="paragraph" w:styleId="ListContinue2">
    <w:name w:val="List Continue 2"/>
    <w:basedOn w:val="Normal"/>
    <w:pPr>
      <w:spacing w:after="120"/>
      <w:ind w:left="566"/>
    </w:pPr>
    <w:rPr>
      <w:lang w:eastAsia="en-AU"/>
    </w:rPr>
  </w:style>
  <w:style w:type="paragraph" w:styleId="ListContinue3">
    <w:name w:val="List Continue 3"/>
    <w:basedOn w:val="Normal"/>
    <w:pPr>
      <w:spacing w:after="120"/>
      <w:ind w:left="849"/>
    </w:pPr>
    <w:rPr>
      <w:lang w:eastAsia="en-AU"/>
    </w:rPr>
  </w:style>
  <w:style w:type="paragraph" w:styleId="ListContinue4">
    <w:name w:val="List Continue 4"/>
    <w:basedOn w:val="Normal"/>
    <w:pPr>
      <w:spacing w:after="120"/>
      <w:ind w:left="1132"/>
    </w:pPr>
    <w:rPr>
      <w:lang w:eastAsia="en-AU"/>
    </w:rPr>
  </w:style>
  <w:style w:type="paragraph" w:styleId="ListContinue5">
    <w:name w:val="List Continue 5"/>
    <w:basedOn w:val="Normal"/>
    <w:pPr>
      <w:spacing w:after="120"/>
      <w:ind w:left="1415"/>
    </w:pPr>
    <w:rPr>
      <w:lang w:eastAsia="en-AU"/>
    </w:rPr>
  </w:style>
  <w:style w:type="paragraph" w:styleId="ListNumber">
    <w:name w:val="List Number"/>
    <w:basedOn w:val="Normal"/>
    <w:pPr>
      <w:tabs>
        <w:tab w:val="num" w:pos="360"/>
      </w:tabs>
    </w:pPr>
    <w:rPr>
      <w:lang w:eastAsia="en-AU"/>
    </w:rPr>
  </w:style>
  <w:style w:type="paragraph" w:styleId="ListNumber2">
    <w:name w:val="List Number 2"/>
    <w:basedOn w:val="Normal"/>
    <w:pPr>
      <w:tabs>
        <w:tab w:val="num" w:pos="360"/>
        <w:tab w:val="num" w:pos="720"/>
      </w:tabs>
      <w:ind w:left="720"/>
    </w:pPr>
    <w:rPr>
      <w:lang w:eastAsia="en-AU"/>
    </w:rPr>
  </w:style>
  <w:style w:type="paragraph" w:styleId="ListNumber3">
    <w:name w:val="List Number 3"/>
    <w:basedOn w:val="Normal"/>
    <w:pPr>
      <w:tabs>
        <w:tab w:val="num" w:pos="360"/>
        <w:tab w:val="num" w:pos="1080"/>
      </w:tabs>
      <w:ind w:left="1080"/>
    </w:pPr>
    <w:rPr>
      <w:lang w:eastAsia="en-AU"/>
    </w:rPr>
  </w:style>
  <w:style w:type="paragraph" w:styleId="ListNumber4">
    <w:name w:val="List Number 4"/>
    <w:basedOn w:val="Normal"/>
    <w:pPr>
      <w:tabs>
        <w:tab w:val="num" w:pos="360"/>
        <w:tab w:val="num" w:pos="1440"/>
      </w:tabs>
      <w:ind w:left="1440"/>
    </w:pPr>
    <w:rPr>
      <w:lang w:eastAsia="en-AU"/>
    </w:rPr>
  </w:style>
  <w:style w:type="paragraph" w:styleId="ListNumber5">
    <w:name w:val="List Number 5"/>
    <w:basedOn w:val="Normal"/>
    <w:pPr>
      <w:tabs>
        <w:tab w:val="num" w:pos="360"/>
        <w:tab w:val="num" w:pos="1800"/>
      </w:tabs>
      <w:ind w:left="1800"/>
    </w:pPr>
    <w:rPr>
      <w:lang w:eastAsia="en-AU"/>
    </w:r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lang w:eastAsia="en-AU"/>
    </w:rPr>
  </w:style>
  <w:style w:type="paragraph" w:customStyle="1" w:styleId="MiscClose">
    <w:name w:val="MiscClose"/>
    <w:basedOn w:val="Normal"/>
    <w:pPr>
      <w:keepLines/>
      <w:tabs>
        <w:tab w:val="left" w:pos="893"/>
      </w:tabs>
      <w:spacing w:line="260" w:lineRule="atLeast"/>
      <w:jc w:val="right"/>
    </w:pPr>
    <w:rPr>
      <w:lang w:eastAsia="en-AU"/>
    </w:r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rPr>
      <w:lang w:eastAsia="en-AU"/>
    </w:rPr>
  </w:style>
  <w:style w:type="paragraph" w:styleId="NoteHeading">
    <w:name w:val="Note Heading"/>
    <w:basedOn w:val="Normal"/>
    <w:next w:val="Normal"/>
    <w:rPr>
      <w:lang w:eastAsia="en-AU"/>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rPr>
      <w:lang w:eastAsia="en-AU"/>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lang w:eastAsia="en-AU"/>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rPr>
      <w:lang w:eastAsia="en-AU"/>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rPr>
      <w:lang w:eastAsia="en-AU"/>
    </w:r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rPr>
      <w:lang w:eastAsia="en-AU"/>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rPr>
      <w:lang w:eastAsia="en-AU"/>
    </w:r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rPr>
      <w:lang w:eastAsia="en-AU"/>
    </w:r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rPr>
      <w:lang w:eastAsia="en-AU"/>
    </w:r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rPr>
      <w:lang w:eastAsia="en-AU"/>
    </w:r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lang w:eastAsia="en-AU"/>
    </w:rPr>
  </w:style>
  <w:style w:type="paragraph" w:customStyle="1" w:styleId="nzTable">
    <w:name w:val="nzTable"/>
    <w:basedOn w:val="Normal"/>
    <w:rPr>
      <w:sz w:val="20"/>
      <w:lang w:eastAsia="en-AU"/>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rPr>
      <w:lang w:eastAsia="en-AU"/>
    </w:rPr>
  </w:style>
  <w:style w:type="paragraph" w:styleId="Signature">
    <w:name w:val="Signature"/>
    <w:basedOn w:val="Normal"/>
    <w:pPr>
      <w:ind w:left="4252"/>
    </w:pPr>
    <w:rPr>
      <w:lang w:eastAsia="en-AU"/>
    </w:r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lang w:eastAsia="en-AU"/>
    </w:rPr>
  </w:style>
  <w:style w:type="paragraph" w:styleId="TableofAuthorities">
    <w:name w:val="table of authorities"/>
    <w:basedOn w:val="Normal"/>
    <w:next w:val="Normal"/>
    <w:semiHidden/>
    <w:pPr>
      <w:ind w:left="220" w:hanging="220"/>
    </w:pPr>
    <w:rPr>
      <w:lang w:eastAsia="en-AU"/>
    </w:rPr>
  </w:style>
  <w:style w:type="paragraph" w:styleId="TableofFigures">
    <w:name w:val="table of figures"/>
    <w:basedOn w:val="Normal"/>
    <w:next w:val="Normal"/>
    <w:semiHidden/>
    <w:pPr>
      <w:ind w:left="440" w:hanging="440"/>
    </w:pPr>
    <w:rPr>
      <w:lang w:eastAsia="en-AU"/>
    </w:rPr>
  </w:style>
  <w:style w:type="paragraph" w:styleId="Title">
    <w:name w:val="Title"/>
    <w:basedOn w:val="Normal"/>
    <w:qFormat/>
    <w:pPr>
      <w:spacing w:before="240" w:after="60"/>
      <w:jc w:val="center"/>
      <w:outlineLvl w:val="0"/>
    </w:pPr>
    <w:rPr>
      <w:rFonts w:ascii="Arial" w:hAnsi="Arial"/>
      <w:b/>
      <w:kern w:val="28"/>
      <w:sz w:val="34"/>
      <w:lang w:eastAsia="en-AU"/>
    </w:rPr>
  </w:style>
  <w:style w:type="paragraph" w:styleId="TOAHeading">
    <w:name w:val="toa heading"/>
    <w:basedOn w:val="Normal"/>
    <w:next w:val="Normal"/>
    <w:semiHidden/>
    <w:pPr>
      <w:spacing w:before="120"/>
    </w:pPr>
    <w:rPr>
      <w:rFonts w:ascii="Arial" w:hAnsi="Arial"/>
      <w:b/>
      <w:sz w:val="26"/>
      <w:lang w:eastAsia="en-AU"/>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rPr>
      <w:lang w:eastAsia="en-AU"/>
    </w:r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rPr>
      <w:lang w:eastAsia="en-AU"/>
    </w:rPr>
  </w:style>
  <w:style w:type="paragraph" w:customStyle="1" w:styleId="zPensubpara">
    <w:name w:val="zPensubpara"/>
    <w:basedOn w:val="Normal"/>
    <w:pPr>
      <w:tabs>
        <w:tab w:val="right" w:pos="2608"/>
        <w:tab w:val="left" w:pos="2892"/>
      </w:tabs>
      <w:spacing w:before="160" w:line="260" w:lineRule="atLeast"/>
      <w:ind w:left="2892" w:right="284" w:hanging="851"/>
    </w:pPr>
    <w:rPr>
      <w:lang w:eastAsia="en-AU"/>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rPr>
      <w:lang w:eastAsia="en-AU"/>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lang w:eastAsia="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rPr>
      <w:lang w:eastAsia="en-AU"/>
    </w:r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rPr>
      <w:lang w:eastAsia="en-AU"/>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lang w:eastAsia="en-AU"/>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rPr>
      <w:lang w:eastAsia="en-AU"/>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16CD4-799E-4423-8D52-3271F7E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703</Words>
  <Characters>3692</Characters>
  <Application>Microsoft Office Word</Application>
  <DocSecurity>0</DocSecurity>
  <Lines>142</Lines>
  <Paragraphs>95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(Transitional) Regulations 2013 - 00-a0-03</dc:title>
  <dc:subject/>
  <dc:creator/>
  <cp:keywords/>
  <dc:description/>
  <cp:lastModifiedBy>svcMRProcess</cp:lastModifiedBy>
  <cp:revision>4</cp:revision>
  <cp:lastPrinted>2013-12-16T00:53:00Z</cp:lastPrinted>
  <dcterms:created xsi:type="dcterms:W3CDTF">2019-01-16T03:47:00Z</dcterms:created>
  <dcterms:modified xsi:type="dcterms:W3CDTF">2019-01-16T03:47:00Z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 2013 p 6481-3</vt:lpwstr>
  </property>
  <property fmtid="{D5CDD505-2E9C-101B-9397-08002B2CF9AE}" pid="3" name="CommencementDate">
    <vt:lpwstr>20140101</vt:lpwstr>
  </property>
  <property fmtid="{D5CDD505-2E9C-101B-9397-08002B2CF9AE}" pid="4" name="DocumentType">
    <vt:lpwstr>Reg</vt:lpwstr>
  </property>
  <property fmtid="{D5CDD505-2E9C-101B-9397-08002B2CF9AE}" pid="5" name="AsAtDate">
    <vt:lpwstr>01 Jan 2014</vt:lpwstr>
  </property>
  <property fmtid="{D5CDD505-2E9C-101B-9397-08002B2CF9AE}" pid="6" name="Suffix">
    <vt:lpwstr>00-a0-03</vt:lpwstr>
  </property>
</Properties>
</file>