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_Toc378842123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_Toc378842124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_Toc378842125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_Toc378842126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_Toc378842127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_Toc378842128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_Toc378842130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_Toc378842131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_Toc378842132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_Toc378842135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_Toc378842136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_Toc378842137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_Toc378842138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_Toc378842139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_Toc378842141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_Toc378842142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_Toc378842143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_Toc378842144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_Toc378842145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_Toc378842146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_Toc378842147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_Toc378842148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_Toc378842149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_Toc378842150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_Toc378842151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_Toc378842154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_Toc378842155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_Toc378842156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_Toc378842157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_Toc378842158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_Toc378842159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_Toc378842160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_Toc378842162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_Toc378842163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_Toc378842164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_Toc378842165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_Toc378842167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_Toc378842169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_Toc378842170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_Toc378842171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_Toc378842173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_Toc378842174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_Toc378842175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_Toc378842176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_Toc378842177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_Toc378842180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_Toc378842181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_Toc378842182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_Toc378842183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_Toc378842184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_Toc378842185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_Toc378842186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_Toc378842187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_Toc378842189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_Toc378842190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_Toc378842191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_Toc378842192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_Toc378842193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_Toc378842194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_Toc378842195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_Toc378842196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_Toc378842197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_Toc378842198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_Toc378842199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_Toc378842200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_Toc378842201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_Toc378842202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_Toc378842203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_Toc378842204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_Toc378842205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_Toc378842206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_Toc378842207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_Toc378842208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_Toc378842209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_Toc378842211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_Toc378842212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_Toc378842213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_Toc378842214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_Toc378842217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_Toc378842218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_Toc378842219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_Toc378842220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_Toc378842221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_Toc378842222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_Toc378842223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_Toc378842225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_Toc378842228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_Toc378842229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_Toc378842230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_Toc378842232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_Toc378842234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_Toc378842235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_Toc378842236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_Toc378842237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_Toc378842238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_Toc378842239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_Toc378842240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_Toc378842241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_Toc378842242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_Toc378842243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_Toc378842244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_Toc378842245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_Toc378842247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_Toc378842248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_Toc378842249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_Toc378842251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_Toc378842252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_Toc378842253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_Toc378842255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_Toc378842256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_Toc378842257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_Toc378842258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_Toc378842259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_Toc378842260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_Toc378842261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_Toc378842262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_Toc378842263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_Toc378842264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_Toc378842267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_Toc378842268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_Toc378842269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_Toc378842271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_Toc378842273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_Toc378842277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_Toc378842278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_Toc378842279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_Toc378842280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_Toc378842281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_Toc378842282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_Toc378842285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_Toc378842286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_Toc378842287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_Toc378842288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_Toc378842289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_Toc378842290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_Toc378842291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_Toc378842292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_Toc378842293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_Toc378842294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_Toc378842295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_Toc378842296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_Toc378842297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_Toc378842298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_Toc378842299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_Toc378842300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_Toc378842301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_Toc378842302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_Toc378842303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_Toc378842304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_Toc378842306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_Toc378842307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_Toc378842308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_Toc378842309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_Toc378842311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_Toc378842312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_Toc378842313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_Toc378842314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_Toc378842315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_Toc378842316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_Toc378842317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_Toc378842318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_Toc378842319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_Toc378842320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_Toc378842321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_Toc378842322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_Toc378842323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_Toc378842325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_Toc378842326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_Toc378842327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_Toc378842328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_Toc378842329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_Toc378842330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_Toc378842331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_Toc378842333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_Toc378842334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884212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84212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37884212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7884212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378842126"/>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378842127"/>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37884212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378842129"/>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378842130"/>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378842131"/>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378842132"/>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378842133"/>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378842134"/>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378842135"/>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378842136"/>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378842137"/>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378842138"/>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378842139"/>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378842140"/>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378842141"/>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378842142"/>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378842143"/>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3" w:name="_Toc378842144"/>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378842145"/>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378842146"/>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378842147"/>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378842148"/>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378842149"/>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378842150"/>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378842151"/>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378842152"/>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378842153"/>
      <w:r>
        <w:t>Subdivision 1 — Reviews</w:t>
      </w:r>
      <w:bookmarkEnd w:id="32"/>
    </w:p>
    <w:p>
      <w:pPr>
        <w:pStyle w:val="Footnoteheading"/>
      </w:pPr>
      <w:r>
        <w:tab/>
        <w:t>[Heading inserted by No. 39 of 2010 s. 23.]</w:t>
      </w:r>
    </w:p>
    <w:p>
      <w:pPr>
        <w:pStyle w:val="Heading5"/>
      </w:pPr>
      <w:bookmarkStart w:id="33" w:name="_Toc378842154"/>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378842155"/>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378842156"/>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378842157"/>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378842158"/>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378842159"/>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378842160"/>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378842161"/>
      <w:r>
        <w:t>Subdivision 2 — Special inquiries</w:t>
      </w:r>
      <w:bookmarkEnd w:id="40"/>
    </w:p>
    <w:p>
      <w:pPr>
        <w:pStyle w:val="Footnoteheading"/>
      </w:pPr>
      <w:r>
        <w:tab/>
        <w:t>[Heading inserted by No. 39 of 2010 s. 23.]</w:t>
      </w:r>
    </w:p>
    <w:p>
      <w:pPr>
        <w:pStyle w:val="Heading5"/>
      </w:pPr>
      <w:bookmarkStart w:id="41" w:name="_Toc378842162"/>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378842163"/>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378842164"/>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378842165"/>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378842166"/>
      <w:r>
        <w:t>Subdivision 3 — Investigations</w:t>
      </w:r>
      <w:bookmarkEnd w:id="45"/>
    </w:p>
    <w:p>
      <w:pPr>
        <w:pStyle w:val="Footnoteheading"/>
      </w:pPr>
      <w:r>
        <w:tab/>
        <w:t>[Heading inserted by No. 39 of 2010 s. 23.]</w:t>
      </w:r>
    </w:p>
    <w:p>
      <w:pPr>
        <w:pStyle w:val="Heading5"/>
        <w:rPr>
          <w:snapToGrid w:val="0"/>
        </w:rPr>
      </w:pPr>
      <w:bookmarkStart w:id="46" w:name="_Toc378842167"/>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378842168"/>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378842169"/>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378842170"/>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378842171"/>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378842172"/>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378842173"/>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3" w:name="_Toc378842174"/>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378842175"/>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378842176"/>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378842177"/>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378842178"/>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378842179"/>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378842180"/>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378842181"/>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378842182"/>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378842183"/>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37884218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378842185"/>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378842186"/>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378842187"/>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378842188"/>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378842189"/>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378842190"/>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378842191"/>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378842192"/>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378842193"/>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378842194"/>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378842195"/>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378842196"/>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378842197"/>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378842198"/>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378842199"/>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378842200"/>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378842201"/>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378842202"/>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378842203"/>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378842204"/>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378842205"/>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378842206"/>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378842207"/>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378842208"/>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378842209"/>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89" w:name="_Toc378842210"/>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378842211"/>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378842212"/>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378842213"/>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378842214"/>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4" w:name="_Toc378842215"/>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378842216"/>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378842217"/>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378842218"/>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378842219"/>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378842220"/>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378842221"/>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378842222"/>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378842223"/>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378842224"/>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378842225"/>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378842226"/>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378842227"/>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378842228"/>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378842229"/>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378842230"/>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378842231"/>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378842232"/>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378842233"/>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378842234"/>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378842235"/>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378842236"/>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378842237"/>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378842238"/>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378842239"/>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378842240"/>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378842241"/>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378842242"/>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378842243"/>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378842244"/>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378842245"/>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378842246"/>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378842247"/>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378842248"/>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8" w:name="_Toc378842249"/>
      <w:r>
        <w:rPr>
          <w:rStyle w:val="CharSectno"/>
        </w:rPr>
        <w:t>95</w:t>
      </w:r>
      <w:r>
        <w:rPr>
          <w:snapToGrid w:val="0"/>
        </w:rPr>
        <w:t>.</w:t>
      </w:r>
      <w:r>
        <w:rPr>
          <w:snapToGrid w:val="0"/>
        </w:rPr>
        <w:tab/>
        <w:t>Status of Part 6 etc. and references by aggrieved employees</w:t>
      </w:r>
      <w:bookmarkEnd w:id="1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9" w:name="_Toc37884225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9"/>
      <w:r>
        <w:rPr>
          <w:rStyle w:val="CharPartText"/>
        </w:rPr>
        <w:t xml:space="preserve"> </w:t>
      </w:r>
    </w:p>
    <w:p>
      <w:pPr>
        <w:pStyle w:val="Heading5"/>
        <w:rPr>
          <w:snapToGrid w:val="0"/>
        </w:rPr>
      </w:pPr>
      <w:bookmarkStart w:id="130" w:name="_Toc378842251"/>
      <w:r>
        <w:rPr>
          <w:rStyle w:val="CharSectno"/>
        </w:rPr>
        <w:t>96</w:t>
      </w:r>
      <w:r>
        <w:rPr>
          <w:snapToGrid w:val="0"/>
        </w:rPr>
        <w:t>.</w:t>
      </w:r>
      <w:r>
        <w:rPr>
          <w:snapToGrid w:val="0"/>
        </w:rPr>
        <w:tab/>
        <w:t>Application of Part 7</w:t>
      </w:r>
      <w:bookmarkEnd w:id="1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1" w:name="_Toc378842252"/>
      <w:r>
        <w:rPr>
          <w:rStyle w:val="CharSectno"/>
        </w:rPr>
        <w:t>97</w:t>
      </w:r>
      <w:r>
        <w:rPr>
          <w:snapToGrid w:val="0"/>
        </w:rPr>
        <w:t>.</w:t>
      </w:r>
      <w:r>
        <w:rPr>
          <w:snapToGrid w:val="0"/>
        </w:rPr>
        <w:tab/>
        <w:t>Commissioner’s functions under Part 7</w:t>
      </w:r>
      <w:bookmarkEnd w:id="13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2" w:name="_Toc378842253"/>
      <w:r>
        <w:rPr>
          <w:rStyle w:val="CharSectno"/>
        </w:rPr>
        <w:t>98</w:t>
      </w:r>
      <w:r>
        <w:rPr>
          <w:snapToGrid w:val="0"/>
        </w:rPr>
        <w:t>.</w:t>
      </w:r>
      <w:r>
        <w:rPr>
          <w:snapToGrid w:val="0"/>
        </w:rPr>
        <w:tab/>
        <w:t>Regulations as to procedure for seeking relief etc.</w:t>
      </w:r>
      <w:bookmarkEnd w:id="13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3" w:name="_Toc378842254"/>
      <w:r>
        <w:rPr>
          <w:rStyle w:val="CharPartNo"/>
        </w:rPr>
        <w:t>Part 8</w:t>
      </w:r>
      <w:r>
        <w:rPr>
          <w:rStyle w:val="CharDivNo"/>
        </w:rPr>
        <w:t> </w:t>
      </w:r>
      <w:r>
        <w:t>—</w:t>
      </w:r>
      <w:r>
        <w:rPr>
          <w:rStyle w:val="CharDivText"/>
        </w:rPr>
        <w:t> </w:t>
      </w:r>
      <w:r>
        <w:rPr>
          <w:rStyle w:val="CharPartText"/>
        </w:rPr>
        <w:t>Miscellaneous</w:t>
      </w:r>
      <w:bookmarkEnd w:id="1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4" w:name="_Toc378842255"/>
      <w:r>
        <w:rPr>
          <w:rStyle w:val="CharSectno"/>
        </w:rPr>
        <w:t>100</w:t>
      </w:r>
      <w:r>
        <w:rPr>
          <w:snapToGrid w:val="0"/>
        </w:rPr>
        <w:t>.</w:t>
      </w:r>
      <w:r>
        <w:rPr>
          <w:snapToGrid w:val="0"/>
        </w:rPr>
        <w:tab/>
        <w:t>Engaging people by contracts for services and casual employees, powers for</w:t>
      </w:r>
      <w:bookmarkEnd w:id="1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5" w:name="_Toc378842256"/>
      <w:r>
        <w:rPr>
          <w:rStyle w:val="CharSectno"/>
        </w:rPr>
        <w:t>101</w:t>
      </w:r>
      <w:r>
        <w:rPr>
          <w:snapToGrid w:val="0"/>
        </w:rPr>
        <w:t>.</w:t>
      </w:r>
      <w:r>
        <w:rPr>
          <w:snapToGrid w:val="0"/>
        </w:rPr>
        <w:tab/>
        <w:t>Restriction on compensation for early termination of employment</w:t>
      </w:r>
      <w:bookmarkEnd w:id="1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 w:name="_Toc378842257"/>
      <w:r>
        <w:rPr>
          <w:rStyle w:val="CharSectno"/>
        </w:rPr>
        <w:t>102</w:t>
      </w:r>
      <w:r>
        <w:rPr>
          <w:snapToGrid w:val="0"/>
        </w:rPr>
        <w:t>.</w:t>
      </w:r>
      <w:r>
        <w:rPr>
          <w:snapToGrid w:val="0"/>
        </w:rPr>
        <w:tab/>
        <w:t>Employees not to be employed outside Government etc. without permission</w:t>
      </w:r>
      <w:bookmarkEnd w:id="1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 w:name="_Toc378842258"/>
      <w:r>
        <w:rPr>
          <w:rStyle w:val="CharSectno"/>
        </w:rPr>
        <w:t>103</w:t>
      </w:r>
      <w:r>
        <w:rPr>
          <w:snapToGrid w:val="0"/>
        </w:rPr>
        <w:t>.</w:t>
      </w:r>
      <w:r>
        <w:rPr>
          <w:snapToGrid w:val="0"/>
        </w:rPr>
        <w:tab/>
        <w:t>Unsuccessful electoral candidates, reappointment of</w:t>
      </w:r>
      <w:bookmarkEnd w:id="1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8" w:name="_Toc378842259"/>
      <w:r>
        <w:rPr>
          <w:rStyle w:val="CharSectno"/>
        </w:rPr>
        <w:t>104</w:t>
      </w:r>
      <w:r>
        <w:rPr>
          <w:snapToGrid w:val="0"/>
        </w:rPr>
        <w:t>.</w:t>
      </w:r>
      <w:r>
        <w:rPr>
          <w:snapToGrid w:val="0"/>
        </w:rPr>
        <w:tab/>
        <w:t>Time between resignation and reappointment not to count as service</w:t>
      </w:r>
      <w:bookmarkEnd w:id="1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9" w:name="_Toc378842260"/>
      <w:r>
        <w:rPr>
          <w:rStyle w:val="CharSectno"/>
        </w:rPr>
        <w:t>105</w:t>
      </w:r>
      <w:r>
        <w:rPr>
          <w:snapToGrid w:val="0"/>
        </w:rPr>
        <w:t>.</w:t>
      </w:r>
      <w:r>
        <w:rPr>
          <w:snapToGrid w:val="0"/>
        </w:rPr>
        <w:tab/>
        <w:t>Members of Parliament etc. not to contact employing authorities etc. about some appointments</w:t>
      </w:r>
      <w:bookmarkEnd w:id="1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0" w:name="_Toc378842261"/>
      <w:r>
        <w:rPr>
          <w:rStyle w:val="CharSectno"/>
        </w:rPr>
        <w:t>106</w:t>
      </w:r>
      <w:r>
        <w:rPr>
          <w:snapToGrid w:val="0"/>
        </w:rPr>
        <w:t>.</w:t>
      </w:r>
      <w:r>
        <w:rPr>
          <w:snapToGrid w:val="0"/>
        </w:rPr>
        <w:tab/>
        <w:t>Protection from personal liability</w:t>
      </w:r>
      <w:bookmarkEnd w:id="1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1" w:name="_Toc378842262"/>
      <w:r>
        <w:rPr>
          <w:rStyle w:val="CharSectno"/>
        </w:rPr>
        <w:t>107</w:t>
      </w:r>
      <w:r>
        <w:rPr>
          <w:snapToGrid w:val="0"/>
        </w:rPr>
        <w:t>.</w:t>
      </w:r>
      <w:r>
        <w:rPr>
          <w:snapToGrid w:val="0"/>
        </w:rPr>
        <w:tab/>
        <w:t>Vacancy etc. in office etc., directing people to act in case of</w:t>
      </w:r>
      <w:bookmarkEnd w:id="1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2" w:name="_Toc378842263"/>
      <w:r>
        <w:rPr>
          <w:rStyle w:val="CharSectno"/>
        </w:rPr>
        <w:t>108A</w:t>
      </w:r>
      <w:r>
        <w:t>.</w:t>
      </w:r>
      <w:r>
        <w:tab/>
        <w:t>Delegation by Minister</w:t>
      </w:r>
      <w:bookmarkEnd w:id="1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3" w:name="_Toc378842264"/>
      <w:r>
        <w:rPr>
          <w:rStyle w:val="CharSectno"/>
        </w:rPr>
        <w:t>108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4" w:name="_Toc378842265"/>
      <w:r>
        <w:rPr>
          <w:rStyle w:val="CharPartNo"/>
        </w:rPr>
        <w:t>Part 9</w:t>
      </w:r>
      <w:r>
        <w:t> — </w:t>
      </w:r>
      <w:r>
        <w:rPr>
          <w:rStyle w:val="CharPartText"/>
        </w:rPr>
        <w:t>Repeal and transitional provisions</w:t>
      </w:r>
      <w:bookmarkEnd w:id="144"/>
      <w:r>
        <w:rPr>
          <w:rStyle w:val="CharPartText"/>
        </w:rPr>
        <w:t xml:space="preserve"> </w:t>
      </w:r>
    </w:p>
    <w:p>
      <w:pPr>
        <w:pStyle w:val="Heading3"/>
      </w:pPr>
      <w:bookmarkStart w:id="145" w:name="_Toc378842266"/>
      <w:r>
        <w:rPr>
          <w:rStyle w:val="CharDivNo"/>
        </w:rPr>
        <w:t>Division 1</w:t>
      </w:r>
      <w:r>
        <w:t> — </w:t>
      </w:r>
      <w:r>
        <w:rPr>
          <w:rStyle w:val="CharDivText"/>
          <w:i/>
          <w:iCs/>
        </w:rPr>
        <w:t>Public Service Act 1978</w:t>
      </w:r>
      <w:r>
        <w:rPr>
          <w:rStyle w:val="CharDivText"/>
        </w:rPr>
        <w:t xml:space="preserve"> repeal and transitional provisions</w:t>
      </w:r>
      <w:bookmarkEnd w:id="145"/>
    </w:p>
    <w:p>
      <w:pPr>
        <w:pStyle w:val="Footnoteheading"/>
      </w:pPr>
      <w:r>
        <w:tab/>
        <w:t>[Heading inserted by No. 39 of 2010 s. 62.]</w:t>
      </w:r>
    </w:p>
    <w:p>
      <w:pPr>
        <w:pStyle w:val="Heading5"/>
        <w:rPr>
          <w:snapToGrid w:val="0"/>
        </w:rPr>
      </w:pPr>
      <w:bookmarkStart w:id="146" w:name="_Toc37884226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6"/>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7" w:name="_Toc378842268"/>
      <w:r>
        <w:rPr>
          <w:rStyle w:val="CharSectno"/>
        </w:rPr>
        <w:t>111</w:t>
      </w:r>
      <w:r>
        <w:rPr>
          <w:snapToGrid w:val="0"/>
        </w:rPr>
        <w:t>.</w:t>
      </w:r>
      <w:r>
        <w:rPr>
          <w:snapToGrid w:val="0"/>
        </w:rPr>
        <w:tab/>
        <w:t>Transitional provisions related to Part 4 (Sch. 6)</w:t>
      </w:r>
      <w:bookmarkEnd w:id="14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8" w:name="_Toc378842269"/>
      <w:r>
        <w:rPr>
          <w:rStyle w:val="CharSectno"/>
        </w:rPr>
        <w:t>112</w:t>
      </w:r>
      <w:r>
        <w:rPr>
          <w:snapToGrid w:val="0"/>
        </w:rPr>
        <w:t>.</w:t>
      </w:r>
      <w:r>
        <w:rPr>
          <w:snapToGrid w:val="0"/>
        </w:rPr>
        <w:tab/>
        <w:t>Certain words etc. in written laws etc. taken to be amended</w:t>
      </w:r>
      <w:bookmarkEnd w:id="1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49" w:name="_Toc378842270"/>
      <w:r>
        <w:rPr>
          <w:rStyle w:val="CharDivNo"/>
        </w:rPr>
        <w:t>Division 2</w:t>
      </w:r>
      <w:r>
        <w:t> — </w:t>
      </w:r>
      <w:r>
        <w:rPr>
          <w:rStyle w:val="CharDivText"/>
          <w:i/>
          <w:iCs/>
        </w:rPr>
        <w:t>Public Sector Reform Act 2010</w:t>
      </w:r>
      <w:r>
        <w:rPr>
          <w:rStyle w:val="CharDivText"/>
        </w:rPr>
        <w:t xml:space="preserve"> Part 2 amendments: transitional provisions</w:t>
      </w:r>
      <w:bookmarkEnd w:id="149"/>
    </w:p>
    <w:p>
      <w:pPr>
        <w:pStyle w:val="Footnoteheading"/>
        <w:keepNext/>
        <w:keepLines/>
      </w:pPr>
      <w:r>
        <w:tab/>
        <w:t>[Heading inserted by No. 39 of 2010 s. 63.]</w:t>
      </w:r>
    </w:p>
    <w:p>
      <w:pPr>
        <w:pStyle w:val="Heading5"/>
      </w:pPr>
      <w:bookmarkStart w:id="150" w:name="_Toc378842271"/>
      <w:r>
        <w:rPr>
          <w:rStyle w:val="CharSectno"/>
        </w:rPr>
        <w:t>113</w:t>
      </w:r>
      <w:r>
        <w:t>.</w:t>
      </w:r>
      <w:r>
        <w:tab/>
        <w:t xml:space="preserve">Transitional provisions </w:t>
      </w:r>
      <w:r>
        <w:rPr>
          <w:snapToGrid w:val="0"/>
        </w:rPr>
        <w:t>(Sch. 7)</w:t>
      </w:r>
      <w:bookmarkEnd w:id="150"/>
    </w:p>
    <w:p>
      <w:pPr>
        <w:pStyle w:val="Subsection"/>
      </w:pPr>
      <w:r>
        <w:tab/>
      </w:r>
      <w:r>
        <w:tab/>
        <w:t>Schedule 7 sets out transitional provisions.</w:t>
      </w:r>
    </w:p>
    <w:p>
      <w:pPr>
        <w:pStyle w:val="Footnotesection"/>
      </w:pPr>
      <w:r>
        <w:tab/>
        <w:t>[Section 113 inserted by No. 39 of 2010 s. 63.]</w:t>
      </w:r>
    </w:p>
    <w:p>
      <w:pPr>
        <w:pStyle w:val="Heading3"/>
      </w:pPr>
      <w:bookmarkStart w:id="151" w:name="_Toc37884227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1"/>
    </w:p>
    <w:p>
      <w:pPr>
        <w:pStyle w:val="Footnoteheading"/>
      </w:pPr>
      <w:r>
        <w:tab/>
        <w:t xml:space="preserve">[Heading inserted by No. 39 of 2010 s. 107.] </w:t>
      </w:r>
    </w:p>
    <w:p>
      <w:pPr>
        <w:pStyle w:val="Heading5"/>
      </w:pPr>
      <w:bookmarkStart w:id="152" w:name="_Toc378842273"/>
      <w:r>
        <w:rPr>
          <w:rStyle w:val="CharSectno"/>
        </w:rPr>
        <w:t>114</w:t>
      </w:r>
      <w:r>
        <w:t>.</w:t>
      </w:r>
      <w:r>
        <w:tab/>
        <w:t xml:space="preserve">Transitional provisions </w:t>
      </w:r>
      <w:r>
        <w:rPr>
          <w:snapToGrid w:val="0"/>
        </w:rPr>
        <w:t>(Sch. 8)</w:t>
      </w:r>
      <w:bookmarkEnd w:id="152"/>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 w:name="_Toc378842274"/>
      <w:r>
        <w:rPr>
          <w:rStyle w:val="CharSchNo"/>
        </w:rPr>
        <w:t>Schedule 1</w:t>
      </w:r>
      <w:r>
        <w:rPr>
          <w:rStyle w:val="CharSDivNo"/>
        </w:rPr>
        <w:t> </w:t>
      </w:r>
      <w:r>
        <w:t>—</w:t>
      </w:r>
      <w:r>
        <w:rPr>
          <w:rStyle w:val="CharSDivText"/>
        </w:rPr>
        <w:t> </w:t>
      </w:r>
      <w:r>
        <w:rPr>
          <w:rStyle w:val="CharSchText"/>
        </w:rPr>
        <w:t>Entities which are not organisations</w:t>
      </w:r>
      <w:bookmarkEnd w:id="15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54" w:name="_Toc378842275"/>
      <w:r>
        <w:rPr>
          <w:rStyle w:val="CharSchNo"/>
        </w:rPr>
        <w:t>Schedule 2</w:t>
      </w:r>
      <w:r>
        <w:rPr>
          <w:rStyle w:val="CharSDivNo"/>
        </w:rPr>
        <w:t> </w:t>
      </w:r>
      <w:r>
        <w:t>—</w:t>
      </w:r>
      <w:r>
        <w:rPr>
          <w:rStyle w:val="CharSDivText"/>
        </w:rPr>
        <w:t> </w:t>
      </w:r>
      <w:r>
        <w:rPr>
          <w:rStyle w:val="CharSchText"/>
        </w:rPr>
        <w:t>Entities which are SES organisations</w:t>
      </w:r>
      <w:bookmarkEnd w:id="15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55" w:name="_Toc37884227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6" w:name="_Toc378842277"/>
      <w:r>
        <w:rPr>
          <w:rStyle w:val="CharSClsNo"/>
        </w:rPr>
        <w:t>1</w:t>
      </w:r>
      <w:r>
        <w:t xml:space="preserve">. </w:t>
      </w:r>
      <w:r>
        <w:tab/>
        <w:t>Power to summon witnesses and documents</w:t>
      </w:r>
      <w:bookmarkEnd w:id="1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7" w:name="_Toc378842278"/>
      <w:r>
        <w:rPr>
          <w:rStyle w:val="CharSClsNo"/>
        </w:rPr>
        <w:t>2</w:t>
      </w:r>
      <w:r>
        <w:rPr>
          <w:snapToGrid w:val="0"/>
        </w:rPr>
        <w:t xml:space="preserve">. </w:t>
      </w:r>
      <w:r>
        <w:rPr>
          <w:snapToGrid w:val="0"/>
        </w:rPr>
        <w:tab/>
        <w:t>Duty of witnesses to continue in attendance</w:t>
      </w:r>
      <w:bookmarkEnd w:id="1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8" w:name="_Toc378842279"/>
      <w:r>
        <w:rPr>
          <w:rStyle w:val="CharSClsNo"/>
        </w:rPr>
        <w:t>3</w:t>
      </w:r>
      <w:r>
        <w:rPr>
          <w:snapToGrid w:val="0"/>
        </w:rPr>
        <w:t xml:space="preserve">. </w:t>
      </w:r>
      <w:r>
        <w:rPr>
          <w:snapToGrid w:val="0"/>
        </w:rPr>
        <w:tab/>
      </w:r>
      <w:r>
        <w:t>Power</w:t>
      </w:r>
      <w:r>
        <w:rPr>
          <w:snapToGrid w:val="0"/>
        </w:rPr>
        <w:t xml:space="preserve"> to examine on oath or affirmation</w:t>
      </w:r>
      <w:bookmarkEnd w:id="1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9" w:name="_Toc37884228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 w:name="_Toc378842281"/>
      <w:r>
        <w:rPr>
          <w:rStyle w:val="CharSClsNo"/>
        </w:rPr>
        <w:t>5</w:t>
      </w:r>
      <w:r>
        <w:rPr>
          <w:snapToGrid w:val="0"/>
        </w:rPr>
        <w:t xml:space="preserve">. </w:t>
      </w:r>
      <w:r>
        <w:rPr>
          <w:snapToGrid w:val="0"/>
        </w:rPr>
        <w:tab/>
      </w:r>
      <w:r>
        <w:t>Hindering</w:t>
      </w:r>
      <w:r>
        <w:rPr>
          <w:snapToGrid w:val="0"/>
        </w:rPr>
        <w:t xml:space="preserve"> or misleading special inquirers</w:t>
      </w:r>
      <w:bookmarkEnd w:id="16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 w:name="_Toc378842282"/>
      <w:r>
        <w:rPr>
          <w:rStyle w:val="CharSClsNo"/>
        </w:rPr>
        <w:t>6</w:t>
      </w:r>
      <w:r>
        <w:rPr>
          <w:snapToGrid w:val="0"/>
        </w:rPr>
        <w:t xml:space="preserve">. </w:t>
      </w:r>
      <w:r>
        <w:rPr>
          <w:snapToGrid w:val="0"/>
        </w:rPr>
        <w:tab/>
      </w:r>
      <w:r>
        <w:t>Protection</w:t>
      </w:r>
      <w:r>
        <w:rPr>
          <w:snapToGrid w:val="0"/>
        </w:rPr>
        <w:t xml:space="preserve"> to special inquirers and witnesses</w:t>
      </w:r>
      <w:bookmarkEnd w:id="1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62" w:name="_Toc378842283"/>
      <w:r>
        <w:rPr>
          <w:rStyle w:val="CharSchNo"/>
        </w:rPr>
        <w:t>Schedule 4</w:t>
      </w:r>
      <w:r>
        <w:rPr>
          <w:rStyle w:val="CharSDivNo"/>
        </w:rPr>
        <w:t> </w:t>
      </w:r>
      <w:r>
        <w:t>—</w:t>
      </w:r>
      <w:r>
        <w:rPr>
          <w:rStyle w:val="CharSDivText"/>
        </w:rPr>
        <w:t> </w:t>
      </w:r>
      <w:r>
        <w:rPr>
          <w:rStyle w:val="CharSchText"/>
        </w:rPr>
        <w:t>Form of declaration</w:t>
      </w:r>
      <w:bookmarkEnd w:id="16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63" w:name="_Toc378842284"/>
      <w:r>
        <w:rPr>
          <w:rStyle w:val="CharSchNo"/>
        </w:rPr>
        <w:t>Schedule 5</w:t>
      </w:r>
      <w:r>
        <w:rPr>
          <w:rStyle w:val="CharSDivNo"/>
        </w:rPr>
        <w:t> </w:t>
      </w:r>
      <w:r>
        <w:t>—</w:t>
      </w:r>
      <w:r>
        <w:rPr>
          <w:rStyle w:val="CharSDivText"/>
        </w:rPr>
        <w:t> </w:t>
      </w:r>
      <w:r>
        <w:rPr>
          <w:rStyle w:val="CharSchText"/>
        </w:rPr>
        <w:t>General transitional provisions</w:t>
      </w:r>
      <w:bookmarkEnd w:id="16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4" w:name="_Toc378842285"/>
      <w:r>
        <w:rPr>
          <w:rStyle w:val="CharSClsNo"/>
        </w:rPr>
        <w:t>1</w:t>
      </w:r>
      <w:r>
        <w:rPr>
          <w:snapToGrid w:val="0"/>
        </w:rPr>
        <w:t xml:space="preserve">. </w:t>
      </w:r>
      <w:r>
        <w:rPr>
          <w:snapToGrid w:val="0"/>
        </w:rPr>
        <w:tab/>
        <w:t>Interpretation</w:t>
      </w:r>
      <w:bookmarkEnd w:id="16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5" w:name="_Toc37884228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6" w:name="_Toc37884228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7" w:name="_Toc378842288"/>
      <w:r>
        <w:rPr>
          <w:rStyle w:val="CharSClsNo"/>
        </w:rPr>
        <w:t>4</w:t>
      </w:r>
      <w:r>
        <w:rPr>
          <w:snapToGrid w:val="0"/>
        </w:rPr>
        <w:t xml:space="preserve">. </w:t>
      </w:r>
      <w:r>
        <w:rPr>
          <w:snapToGrid w:val="0"/>
        </w:rPr>
        <w:tab/>
      </w:r>
      <w:r>
        <w:t>General</w:t>
      </w:r>
      <w:r>
        <w:rPr>
          <w:snapToGrid w:val="0"/>
        </w:rPr>
        <w:t xml:space="preserve"> savings</w:t>
      </w:r>
      <w:bookmarkEnd w:id="1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 w:name="_Toc37884228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9" w:name="_Toc37884229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 w:name="_Toc378842291"/>
      <w:r>
        <w:rPr>
          <w:rStyle w:val="CharSClsNo"/>
        </w:rPr>
        <w:t>7</w:t>
      </w:r>
      <w:r>
        <w:rPr>
          <w:snapToGrid w:val="0"/>
        </w:rPr>
        <w:t xml:space="preserve">. </w:t>
      </w:r>
      <w:r>
        <w:rPr>
          <w:snapToGrid w:val="0"/>
        </w:rPr>
        <w:tab/>
      </w:r>
      <w:r>
        <w:t>Absorbed</w:t>
      </w:r>
      <w:r>
        <w:rPr>
          <w:snapToGrid w:val="0"/>
        </w:rPr>
        <w:t xml:space="preserve"> personnel (repealed Act s. 25)</w:t>
      </w:r>
      <w:bookmarkEnd w:id="17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 w:name="_Toc378842292"/>
      <w:r>
        <w:rPr>
          <w:rStyle w:val="CharSClsNo"/>
        </w:rPr>
        <w:t>8</w:t>
      </w:r>
      <w:r>
        <w:rPr>
          <w:snapToGrid w:val="0"/>
        </w:rPr>
        <w:t xml:space="preserve">. </w:t>
      </w:r>
      <w:r>
        <w:rPr>
          <w:snapToGrid w:val="0"/>
        </w:rPr>
        <w:tab/>
      </w:r>
      <w:r>
        <w:t>Proceedings under repealed Act s. 26</w:t>
      </w:r>
      <w:bookmarkEnd w:id="17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 w:name="_Toc378842293"/>
      <w:r>
        <w:rPr>
          <w:rStyle w:val="CharSClsNo"/>
        </w:rPr>
        <w:t>9</w:t>
      </w:r>
      <w:r>
        <w:rPr>
          <w:snapToGrid w:val="0"/>
        </w:rPr>
        <w:t xml:space="preserve">. </w:t>
      </w:r>
      <w:r>
        <w:rPr>
          <w:snapToGrid w:val="0"/>
        </w:rPr>
        <w:tab/>
        <w:t>A</w:t>
      </w:r>
      <w:r>
        <w:t>ppointments</w:t>
      </w:r>
      <w:r>
        <w:rPr>
          <w:snapToGrid w:val="0"/>
        </w:rPr>
        <w:t xml:space="preserve"> etc. under repealed Act s. 30</w:t>
      </w:r>
      <w:bookmarkEnd w:id="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 w:name="_Toc378842294"/>
      <w:r>
        <w:rPr>
          <w:rStyle w:val="CharSClsNo"/>
        </w:rPr>
        <w:t>10</w:t>
      </w:r>
      <w:r>
        <w:rPr>
          <w:snapToGrid w:val="0"/>
        </w:rPr>
        <w:t xml:space="preserve">. </w:t>
      </w:r>
      <w:r>
        <w:rPr>
          <w:snapToGrid w:val="0"/>
        </w:rPr>
        <w:tab/>
        <w:t>A</w:t>
      </w:r>
      <w:r>
        <w:t>ppointments</w:t>
      </w:r>
      <w:r>
        <w:rPr>
          <w:snapToGrid w:val="0"/>
        </w:rPr>
        <w:t xml:space="preserve"> under repealed Act s. 30A</w:t>
      </w:r>
      <w:bookmarkEnd w:id="1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4" w:name="_Toc37884229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 w:name="_Toc37884229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6" w:name="_Toc378842297"/>
      <w:r>
        <w:rPr>
          <w:rStyle w:val="CharSClsNo"/>
        </w:rPr>
        <w:t>14</w:t>
      </w:r>
      <w:r>
        <w:rPr>
          <w:snapToGrid w:val="0"/>
        </w:rPr>
        <w:t xml:space="preserve">. </w:t>
      </w:r>
      <w:r>
        <w:rPr>
          <w:snapToGrid w:val="0"/>
        </w:rPr>
        <w:tab/>
        <w:t>Senior officers (repealed Act s. 39)</w:t>
      </w:r>
      <w:bookmarkEnd w:id="1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7" w:name="_Toc37884229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8" w:name="_Toc378842299"/>
      <w:r>
        <w:rPr>
          <w:rStyle w:val="CharSClsNo"/>
        </w:rPr>
        <w:t>16</w:t>
      </w:r>
      <w:r>
        <w:rPr>
          <w:snapToGrid w:val="0"/>
        </w:rPr>
        <w:t xml:space="preserve">. </w:t>
      </w:r>
      <w:r>
        <w:rPr>
          <w:snapToGrid w:val="0"/>
        </w:rPr>
        <w:tab/>
      </w:r>
      <w:r>
        <w:t>Long</w:t>
      </w:r>
      <w:r>
        <w:rPr>
          <w:snapToGrid w:val="0"/>
        </w:rPr>
        <w:t xml:space="preserve"> service leave and recreation leave</w:t>
      </w:r>
      <w:bookmarkEnd w:id="17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79" w:name="_Toc37884230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7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0" w:name="_Toc378842301"/>
      <w:r>
        <w:rPr>
          <w:rStyle w:val="CharSClsNo"/>
        </w:rPr>
        <w:t>18</w:t>
      </w:r>
      <w:r>
        <w:rPr>
          <w:snapToGrid w:val="0"/>
        </w:rPr>
        <w:t xml:space="preserve">. </w:t>
      </w:r>
      <w:r>
        <w:rPr>
          <w:snapToGrid w:val="0"/>
        </w:rPr>
        <w:tab/>
      </w:r>
      <w:r>
        <w:t>Regulations</w:t>
      </w:r>
      <w:bookmarkEnd w:id="1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1" w:name="_Toc37884230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2" w:name="_Toc37884230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3" w:name="_Toc37884230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4" w:name="_Toc378842305"/>
      <w:r>
        <w:rPr>
          <w:rStyle w:val="CharSchNo"/>
        </w:rPr>
        <w:t>Schedule 6</w:t>
      </w:r>
      <w:r>
        <w:t> — </w:t>
      </w:r>
      <w:r>
        <w:rPr>
          <w:rStyle w:val="CharSchText"/>
        </w:rPr>
        <w:t>Transitional provisions relating to ministerial staff</w:t>
      </w:r>
      <w:bookmarkEnd w:id="18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5" w:name="_Toc378842306"/>
      <w:r>
        <w:rPr>
          <w:rStyle w:val="CharSClsNo"/>
        </w:rPr>
        <w:t>1</w:t>
      </w:r>
      <w:r>
        <w:rPr>
          <w:snapToGrid w:val="0"/>
        </w:rPr>
        <w:t xml:space="preserve">. </w:t>
      </w:r>
      <w:r>
        <w:rPr>
          <w:snapToGrid w:val="0"/>
        </w:rPr>
        <w:tab/>
      </w:r>
      <w:r>
        <w:t>Ministerial</w:t>
      </w:r>
      <w:r>
        <w:rPr>
          <w:snapToGrid w:val="0"/>
        </w:rPr>
        <w:t xml:space="preserve"> staff</w:t>
      </w:r>
      <w:bookmarkEnd w:id="1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6" w:name="_Toc37884230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7" w:name="_Toc378842308"/>
      <w:r>
        <w:rPr>
          <w:rStyle w:val="CharSClsNo"/>
        </w:rPr>
        <w:t>3</w:t>
      </w:r>
      <w:r>
        <w:rPr>
          <w:snapToGrid w:val="0"/>
        </w:rPr>
        <w:t xml:space="preserve">. </w:t>
      </w:r>
      <w:r>
        <w:rPr>
          <w:snapToGrid w:val="0"/>
        </w:rPr>
        <w:tab/>
        <w:t xml:space="preserve">Restriction on subsequent employment in departments or </w:t>
      </w:r>
      <w:r>
        <w:t>organisations</w:t>
      </w:r>
      <w:bookmarkEnd w:id="1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8" w:name="_Toc37884230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9" w:name="_Toc37884231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89"/>
    </w:p>
    <w:p>
      <w:pPr>
        <w:pStyle w:val="yShoulderClause"/>
      </w:pPr>
      <w:r>
        <w:t>[s. 113]</w:t>
      </w:r>
    </w:p>
    <w:p>
      <w:pPr>
        <w:pStyle w:val="yFootnoteheading"/>
      </w:pPr>
      <w:r>
        <w:tab/>
        <w:t>[Heading inserted by No. 39 of 2010 s. 66.]</w:t>
      </w:r>
    </w:p>
    <w:p>
      <w:pPr>
        <w:pStyle w:val="yHeading5"/>
      </w:pPr>
      <w:bookmarkStart w:id="190" w:name="_Toc378842311"/>
      <w:r>
        <w:rPr>
          <w:rStyle w:val="CharSClsNo"/>
        </w:rPr>
        <w:t>1</w:t>
      </w:r>
      <w:r>
        <w:t>.</w:t>
      </w:r>
      <w:r>
        <w:rPr>
          <w:b w:val="0"/>
        </w:rPr>
        <w:tab/>
      </w:r>
      <w:r>
        <w:t>Terms used</w:t>
      </w:r>
      <w:bookmarkEnd w:id="1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1" w:name="_Toc378842312"/>
      <w:r>
        <w:rPr>
          <w:rStyle w:val="CharSClsNo"/>
        </w:rPr>
        <w:t>2</w:t>
      </w:r>
      <w:r>
        <w:t>.</w:t>
      </w:r>
      <w:r>
        <w:rPr>
          <w:b w:val="0"/>
        </w:rPr>
        <w:tab/>
      </w:r>
      <w:r>
        <w:t>Incumbent CEO remains in office as Public Sector Commissioner</w:t>
      </w:r>
      <w:bookmarkEnd w:id="1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2" w:name="_Toc378842313"/>
      <w:r>
        <w:rPr>
          <w:rStyle w:val="CharSClsNo"/>
        </w:rPr>
        <w:t>3</w:t>
      </w:r>
      <w:r>
        <w:t>.</w:t>
      </w:r>
      <w:r>
        <w:rPr>
          <w:b w:val="0"/>
        </w:rPr>
        <w:tab/>
      </w:r>
      <w:r>
        <w:t>Commissioner for Public Sector Standards, entitlement of</w:t>
      </w:r>
      <w:bookmarkEnd w:id="1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3" w:name="_Toc378842314"/>
      <w:r>
        <w:rPr>
          <w:rStyle w:val="CharSClsNo"/>
        </w:rPr>
        <w:t>4</w:t>
      </w:r>
      <w:r>
        <w:t>.</w:t>
      </w:r>
      <w:r>
        <w:rPr>
          <w:b w:val="0"/>
        </w:rPr>
        <w:tab/>
      </w:r>
      <w:r>
        <w:t>Approved procedures and other instruments</w:t>
      </w:r>
      <w:bookmarkEnd w:id="1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4" w:name="_Toc378842315"/>
      <w:r>
        <w:rPr>
          <w:rStyle w:val="CharSClsNo"/>
        </w:rPr>
        <w:t>5</w:t>
      </w:r>
      <w:r>
        <w:t>.</w:t>
      </w:r>
      <w:r>
        <w:rPr>
          <w:b w:val="0"/>
        </w:rPr>
        <w:tab/>
      </w:r>
      <w:r>
        <w:t>Reviews, special inquiries and investigations</w:t>
      </w:r>
      <w:bookmarkEnd w:id="1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5" w:name="_Toc378842316"/>
      <w:r>
        <w:rPr>
          <w:rStyle w:val="CharSClsNo"/>
        </w:rPr>
        <w:t>6</w:t>
      </w:r>
      <w:r>
        <w:t>.</w:t>
      </w:r>
      <w:r>
        <w:rPr>
          <w:b w:val="0"/>
        </w:rPr>
        <w:tab/>
      </w:r>
      <w:r>
        <w:t>Special offices</w:t>
      </w:r>
      <w:bookmarkEnd w:id="1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6" w:name="_Toc378842317"/>
      <w:r>
        <w:rPr>
          <w:rStyle w:val="CharSClsNo"/>
        </w:rPr>
        <w:t>7</w:t>
      </w:r>
      <w:r>
        <w:t>.</w:t>
      </w:r>
      <w:r>
        <w:rPr>
          <w:b w:val="0"/>
        </w:rPr>
        <w:tab/>
      </w:r>
      <w:r>
        <w:t>Provisions affecting employment of CEOs</w:t>
      </w:r>
      <w:bookmarkEnd w:id="1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7" w:name="_Toc378842318"/>
      <w:r>
        <w:rPr>
          <w:rStyle w:val="CharSClsNo"/>
        </w:rPr>
        <w:t>8</w:t>
      </w:r>
      <w:r>
        <w:t>.</w:t>
      </w:r>
      <w:r>
        <w:rPr>
          <w:b w:val="0"/>
        </w:rPr>
        <w:tab/>
      </w:r>
      <w:r>
        <w:t>Continuing effect of things done under s. 97</w:t>
      </w:r>
      <w:bookmarkEnd w:id="1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8" w:name="_Toc378842319"/>
      <w:r>
        <w:rPr>
          <w:rStyle w:val="CharSClsNo"/>
        </w:rPr>
        <w:t>9</w:t>
      </w:r>
      <w:r>
        <w:t>.</w:t>
      </w:r>
      <w:r>
        <w:rPr>
          <w:b w:val="0"/>
        </w:rPr>
        <w:tab/>
      </w:r>
      <w:r>
        <w:t>Directions under s. 107</w:t>
      </w:r>
      <w:bookmarkEnd w:id="1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99" w:name="_Toc378842320"/>
      <w:r>
        <w:rPr>
          <w:rStyle w:val="CharSClsNo"/>
        </w:rPr>
        <w:t>10</w:t>
      </w:r>
      <w:r>
        <w:t>.</w:t>
      </w:r>
      <w:r>
        <w:tab/>
        <w:t>General savings as to acts of Commissioner</w:t>
      </w:r>
      <w:bookmarkEnd w:id="1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0" w:name="_Toc378842321"/>
      <w:r>
        <w:rPr>
          <w:rStyle w:val="CharSClsNo"/>
        </w:rPr>
        <w:t>11</w:t>
      </w:r>
      <w:r>
        <w:t>.</w:t>
      </w:r>
      <w:r>
        <w:rPr>
          <w:b w:val="0"/>
        </w:rPr>
        <w:tab/>
      </w:r>
      <w:r>
        <w:t>Power to amend subsidiary legislation</w:t>
      </w:r>
      <w:bookmarkEnd w:id="2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1" w:name="_Toc378842322"/>
      <w:r>
        <w:rPr>
          <w:rStyle w:val="CharSClsNo"/>
        </w:rPr>
        <w:t>12</w:t>
      </w:r>
      <w:r>
        <w:t>.</w:t>
      </w:r>
      <w:r>
        <w:rPr>
          <w:b w:val="0"/>
        </w:rPr>
        <w:tab/>
      </w:r>
      <w:r>
        <w:t>Transitional regulations</w:t>
      </w:r>
      <w:bookmarkEnd w:id="2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2" w:name="_Toc378842323"/>
      <w:r>
        <w:rPr>
          <w:rStyle w:val="CharSClsNo"/>
        </w:rPr>
        <w:t>13</w:t>
      </w:r>
      <w:r>
        <w:t>.</w:t>
      </w:r>
      <w:r>
        <w:rPr>
          <w:b w:val="0"/>
        </w:rPr>
        <w:tab/>
      </w:r>
      <w:r>
        <w:rPr>
          <w:i/>
          <w:iCs/>
        </w:rPr>
        <w:t>Interpretation Act 1984</w:t>
      </w:r>
      <w:r>
        <w:t xml:space="preserve"> not affected</w:t>
      </w:r>
      <w:bookmarkEnd w:id="2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3" w:name="_Toc37884232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3"/>
    </w:p>
    <w:p>
      <w:pPr>
        <w:pStyle w:val="yShoulderClause"/>
      </w:pPr>
      <w:r>
        <w:t>[s. 114]</w:t>
      </w:r>
    </w:p>
    <w:p>
      <w:pPr>
        <w:pStyle w:val="Footnoteheading"/>
      </w:pPr>
      <w:r>
        <w:tab/>
        <w:t xml:space="preserve">[Heading inserted by No. 39 of 2010 s. 108.] </w:t>
      </w:r>
    </w:p>
    <w:p>
      <w:pPr>
        <w:pStyle w:val="yHeading5"/>
      </w:pPr>
      <w:bookmarkStart w:id="204" w:name="_Toc378842325"/>
      <w:r>
        <w:rPr>
          <w:rStyle w:val="CharSClsNo"/>
        </w:rPr>
        <w:t>1</w:t>
      </w:r>
      <w:r>
        <w:t>.</w:t>
      </w:r>
      <w:r>
        <w:rPr>
          <w:b w:val="0"/>
        </w:rPr>
        <w:tab/>
      </w:r>
      <w:r>
        <w:t>Term used: commencement day</w:t>
      </w:r>
      <w:bookmarkEnd w:id="2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5" w:name="_Toc378842326"/>
      <w:r>
        <w:rPr>
          <w:rStyle w:val="CharSClsNo"/>
        </w:rPr>
        <w:t>2</w:t>
      </w:r>
      <w:r>
        <w:t>.</w:t>
      </w:r>
      <w:r>
        <w:rPr>
          <w:b w:val="0"/>
        </w:rPr>
        <w:tab/>
      </w:r>
      <w:r>
        <w:t>Disciplinary proceedings under Part 5 Div. 3</w:t>
      </w:r>
      <w:bookmarkEnd w:id="20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6" w:name="_Toc378842327"/>
      <w:r>
        <w:rPr>
          <w:rStyle w:val="CharSClsNo"/>
        </w:rPr>
        <w:t>3</w:t>
      </w:r>
      <w:r>
        <w:t>.</w:t>
      </w:r>
      <w:r>
        <w:rPr>
          <w:b w:val="0"/>
        </w:rPr>
        <w:tab/>
      </w:r>
      <w:r>
        <w:t>Suspensions under s. 82</w:t>
      </w:r>
      <w:bookmarkEnd w:id="20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7" w:name="_Toc378842328"/>
      <w:r>
        <w:rPr>
          <w:rStyle w:val="CharSClsNo"/>
        </w:rPr>
        <w:t>4</w:t>
      </w:r>
      <w:r>
        <w:t>.</w:t>
      </w:r>
      <w:r>
        <w:rPr>
          <w:b w:val="0"/>
        </w:rPr>
        <w:tab/>
      </w:r>
      <w:r>
        <w:t>Appeals under s. 78</w:t>
      </w:r>
      <w:bookmarkEnd w:id="20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8" w:name="_Toc378842329"/>
      <w:r>
        <w:rPr>
          <w:rStyle w:val="CharSClsNo"/>
        </w:rPr>
        <w:t>5</w:t>
      </w:r>
      <w:r>
        <w:t>.</w:t>
      </w:r>
      <w:r>
        <w:rPr>
          <w:b w:val="0"/>
        </w:rPr>
        <w:tab/>
      </w:r>
      <w:r>
        <w:t>Power to amend subsidiary legislation</w:t>
      </w:r>
      <w:bookmarkEnd w:id="2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09" w:name="_Toc378842330"/>
      <w:r>
        <w:rPr>
          <w:rStyle w:val="CharSClsNo"/>
        </w:rPr>
        <w:t>6</w:t>
      </w:r>
      <w:r>
        <w:t>.</w:t>
      </w:r>
      <w:r>
        <w:rPr>
          <w:b w:val="0"/>
        </w:rPr>
        <w:tab/>
      </w:r>
      <w:r>
        <w:t>Transitional regulations</w:t>
      </w:r>
      <w:bookmarkEnd w:id="20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0" w:name="_Toc378842331"/>
      <w:r>
        <w:rPr>
          <w:rStyle w:val="CharSClsNo"/>
        </w:rPr>
        <w:t>7</w:t>
      </w:r>
      <w:r>
        <w:t>.</w:t>
      </w:r>
      <w:r>
        <w:rPr>
          <w:b w:val="0"/>
        </w:rPr>
        <w:tab/>
      </w:r>
      <w:r>
        <w:rPr>
          <w:i/>
          <w:iCs/>
        </w:rPr>
        <w:t>Interpretation Act 1984</w:t>
      </w:r>
      <w:r>
        <w:t xml:space="preserve"> not affected</w:t>
      </w:r>
      <w:bookmarkEnd w:id="21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11" w:name="_Toc378842332"/>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2" w:name="_Toc378842333"/>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Pr>
          <w:p>
            <w:pPr>
              <w:pStyle w:val="nTable"/>
              <w:spacing w:after="40"/>
              <w:ind w:right="113"/>
              <w:rPr>
                <w:i/>
                <w:snapToGrid w:val="0"/>
                <w:sz w:val="19"/>
                <w:szCs w:val="19"/>
              </w:rPr>
            </w:pPr>
            <w:r>
              <w:rPr>
                <w:i/>
                <w:snapToGrid w:val="0"/>
                <w:sz w:val="19"/>
                <w:szCs w:val="19"/>
              </w:rPr>
              <w:t>Minerals Research Institute of Western Australia Act 2013 </w:t>
            </w:r>
            <w:r>
              <w:rPr>
                <w:snapToGrid w:val="0"/>
                <w:sz w:val="19"/>
                <w:szCs w:val="19"/>
              </w:rPr>
              <w:t>s. 78</w:t>
            </w:r>
          </w:p>
        </w:tc>
        <w:tc>
          <w:tcPr>
            <w:tcW w:w="1134" w:type="dxa"/>
          </w:tcPr>
          <w:p>
            <w:pPr>
              <w:pStyle w:val="nTable"/>
              <w:spacing w:after="40"/>
              <w:rPr>
                <w:snapToGrid w:val="0"/>
                <w:sz w:val="19"/>
                <w:szCs w:val="19"/>
              </w:rPr>
            </w:pPr>
            <w:r>
              <w:rPr>
                <w:sz w:val="19"/>
                <w:szCs w:val="19"/>
              </w:rPr>
              <w:t>23 of 2013</w:t>
            </w:r>
          </w:p>
        </w:tc>
        <w:tc>
          <w:tcPr>
            <w:tcW w:w="1134" w:type="dxa"/>
          </w:tcPr>
          <w:p>
            <w:pPr>
              <w:pStyle w:val="nTable"/>
              <w:spacing w:after="40"/>
              <w:rPr>
                <w:snapToGrid w:val="0"/>
                <w:sz w:val="19"/>
                <w:szCs w:val="19"/>
              </w:rPr>
            </w:pPr>
            <w:r>
              <w:rPr>
                <w:sz w:val="19"/>
                <w:szCs w:val="19"/>
              </w:rPr>
              <w:t>18 Dec 2013</w:t>
            </w:r>
          </w:p>
        </w:tc>
        <w:tc>
          <w:tcPr>
            <w:tcW w:w="2551" w:type="dxa"/>
          </w:tcPr>
          <w:p>
            <w:pPr>
              <w:pStyle w:val="nTable"/>
              <w:spacing w:after="40"/>
              <w:rPr>
                <w:snapToGrid w:val="0"/>
                <w:color w:val="00000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rPr>
          <w:cantSplit/>
        </w:trPr>
        <w:tc>
          <w:tcPr>
            <w:tcW w:w="2268" w:type="dxa"/>
            <w:tcBorders>
              <w:bottom w:val="single" w:sz="4" w:space="0" w:color="auto"/>
            </w:tcBorders>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Borders>
              <w:bottom w:val="single" w:sz="4" w:space="0" w:color="auto"/>
            </w:tcBorders>
          </w:tcPr>
          <w:p>
            <w:pPr>
              <w:pStyle w:val="nTable"/>
              <w:spacing w:after="40"/>
              <w:rPr>
                <w:snapToGrid w:val="0"/>
                <w:sz w:val="19"/>
              </w:rPr>
            </w:pPr>
            <w:r>
              <w:rPr>
                <w:snapToGrid w:val="0"/>
                <w:sz w:val="19"/>
                <w:szCs w:val="19"/>
              </w:rPr>
              <w:t>25 of 2013</w:t>
            </w:r>
          </w:p>
        </w:tc>
        <w:tc>
          <w:tcPr>
            <w:tcW w:w="1134" w:type="dxa"/>
            <w:tcBorders>
              <w:bottom w:val="single" w:sz="4" w:space="0" w:color="auto"/>
            </w:tcBorders>
          </w:tcPr>
          <w:p>
            <w:pPr>
              <w:pStyle w:val="nTable"/>
              <w:spacing w:after="40"/>
              <w:rPr>
                <w:sz w:val="19"/>
              </w:rPr>
            </w:pPr>
            <w:r>
              <w:rPr>
                <w:snapToGrid w:val="0"/>
                <w:sz w:val="19"/>
                <w:szCs w:val="19"/>
              </w:rPr>
              <w:t>18 Dec 2013</w:t>
            </w:r>
          </w:p>
        </w:tc>
        <w:tc>
          <w:tcPr>
            <w:tcW w:w="2551" w:type="dxa"/>
            <w:tcBorders>
              <w:bottom w:val="single" w:sz="4" w:space="0" w:color="auto"/>
            </w:tcBorders>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13" w:name="_Toc378842334"/>
      <w:r>
        <w:rPr>
          <w:snapToGrid w:val="0"/>
        </w:rPr>
        <w:t>Provisions that have not come into operation</w:t>
      </w:r>
      <w:bookmarkEnd w:id="21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Borders>
              <w:bottom w:val="single" w:sz="4" w:space="0" w:color="auto"/>
            </w:tcBorders>
          </w:tcPr>
          <w:p>
            <w:pPr>
              <w:pStyle w:val="nTable"/>
              <w:spacing w:after="40"/>
              <w:ind w:right="113"/>
              <w:rPr>
                <w:sz w:val="19"/>
              </w:rPr>
            </w:pPr>
            <w:r>
              <w:rPr>
                <w:i/>
                <w:sz w:val="19"/>
              </w:rPr>
              <w:t>Workforce Reform Act 2014</w:t>
            </w:r>
            <w:r>
              <w:rPr>
                <w:sz w:val="19"/>
              </w:rPr>
              <w:t xml:space="preserve"> Pt. 3</w:t>
            </w:r>
            <w:r>
              <w:rPr>
                <w:sz w:val="19"/>
                <w:vertAlign w:val="superscript"/>
              </w:rPr>
              <w:t> 9</w:t>
            </w:r>
          </w:p>
        </w:tc>
        <w:tc>
          <w:tcPr>
            <w:tcW w:w="1136" w:type="dxa"/>
            <w:tcBorders>
              <w:bottom w:val="single" w:sz="4" w:space="0" w:color="auto"/>
            </w:tcBorders>
          </w:tcPr>
          <w:p>
            <w:pPr>
              <w:pStyle w:val="nTable"/>
              <w:spacing w:after="40"/>
              <w:rPr>
                <w:sz w:val="19"/>
              </w:rPr>
            </w:pPr>
            <w:r>
              <w:rPr>
                <w:sz w:val="19"/>
              </w:rPr>
              <w:t>8 of 2014</w:t>
            </w:r>
          </w:p>
        </w:tc>
        <w:tc>
          <w:tcPr>
            <w:tcW w:w="1232" w:type="dxa"/>
            <w:tcBorders>
              <w:bottom w:val="single" w:sz="4" w:space="0" w:color="auto"/>
            </w:tcBorders>
          </w:tcPr>
          <w:p>
            <w:pPr>
              <w:pStyle w:val="nTable"/>
              <w:spacing w:after="40"/>
              <w:rPr>
                <w:sz w:val="19"/>
              </w:rPr>
            </w:pPr>
            <w:r>
              <w:rPr>
                <w:sz w:val="19"/>
              </w:rPr>
              <w:t>20 May 2014</w:t>
            </w:r>
          </w:p>
        </w:tc>
        <w:tc>
          <w:tcPr>
            <w:tcW w:w="2519" w:type="dxa"/>
            <w:tcBorders>
              <w:bottom w:val="single" w:sz="4" w:space="0" w:color="auto"/>
            </w:tcBorders>
          </w:tcPr>
          <w:p>
            <w:pPr>
              <w:pStyle w:val="nTable"/>
              <w:spacing w:after="40"/>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pPr>
      <w:r>
        <w:rPr>
          <w:vertAlign w:val="superscript"/>
        </w:rPr>
        <w:t>9</w:t>
      </w:r>
      <w:r>
        <w:tab/>
      </w:r>
      <w:r>
        <w:rPr>
          <w:snapToGrid w:val="0"/>
        </w:rPr>
        <w:t xml:space="preserve">On the date as at which this compilation was prepared, </w:t>
      </w:r>
      <w:r>
        <w:t xml:space="preserve">the </w:t>
      </w:r>
      <w:r>
        <w:rPr>
          <w:i/>
        </w:rPr>
        <w:t>Workforce Reform Act 2014</w:t>
      </w:r>
      <w:r>
        <w:t xml:space="preserve"> Pt. 3 had not come into operation.  It reads as follows:</w:t>
      </w:r>
    </w:p>
    <w:p>
      <w:pPr>
        <w:pStyle w:val="BlankOpen"/>
      </w:pPr>
    </w:p>
    <w:p>
      <w:pPr>
        <w:pStyle w:val="nzHeading2"/>
      </w:pPr>
      <w:bookmarkStart w:id="214" w:name="_Toc369528637"/>
      <w:bookmarkStart w:id="215" w:name="_Toc369528665"/>
      <w:bookmarkStart w:id="216" w:name="_Toc369528693"/>
      <w:bookmarkStart w:id="217" w:name="_Toc369529123"/>
      <w:bookmarkStart w:id="218" w:name="_Toc369529521"/>
      <w:bookmarkStart w:id="219" w:name="_Toc369529553"/>
      <w:bookmarkStart w:id="220" w:name="_Toc369529773"/>
      <w:bookmarkStart w:id="221" w:name="_Toc369592933"/>
      <w:bookmarkStart w:id="222" w:name="_Toc370110612"/>
      <w:bookmarkStart w:id="223" w:name="_Toc387224124"/>
      <w:bookmarkStart w:id="224" w:name="_Toc387226868"/>
      <w:bookmarkStart w:id="225" w:name="_Toc387227510"/>
      <w:bookmarkStart w:id="226" w:name="_Toc387744386"/>
      <w:bookmarkStart w:id="227" w:name="_Toc388361552"/>
      <w:bookmarkStart w:id="228" w:name="_Toc388363271"/>
      <w:r>
        <w:rPr>
          <w:rStyle w:val="CharPartNo"/>
        </w:rPr>
        <w:t>Part 3</w:t>
      </w:r>
      <w:r>
        <w:rPr>
          <w:rStyle w:val="CharDivNo"/>
        </w:rPr>
        <w:t> </w:t>
      </w:r>
      <w:r>
        <w:t>—</w:t>
      </w:r>
      <w:r>
        <w:rPr>
          <w:rStyle w:val="CharDivText"/>
        </w:rPr>
        <w:t> </w:t>
      </w:r>
      <w:r>
        <w:rPr>
          <w:rStyle w:val="CharPartText"/>
          <w:i/>
        </w:rPr>
        <w:t xml:space="preserve">Public Sector Management Act 1994 </w:t>
      </w:r>
      <w:r>
        <w:rPr>
          <w:rStyle w:val="CharPartText"/>
        </w:rPr>
        <w:t>amended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zHeading5"/>
        <w:rPr>
          <w:snapToGrid w:val="0"/>
        </w:rPr>
      </w:pPr>
      <w:bookmarkStart w:id="229" w:name="_Toc388361553"/>
      <w:bookmarkStart w:id="230" w:name="_Toc388363272"/>
      <w:r>
        <w:rPr>
          <w:rStyle w:val="CharSectno"/>
        </w:rPr>
        <w:t>8</w:t>
      </w:r>
      <w:r>
        <w:rPr>
          <w:snapToGrid w:val="0"/>
        </w:rPr>
        <w:t>.</w:t>
      </w:r>
      <w:r>
        <w:rPr>
          <w:snapToGrid w:val="0"/>
        </w:rPr>
        <w:tab/>
        <w:t>Act amended</w:t>
      </w:r>
      <w:bookmarkEnd w:id="229"/>
      <w:bookmarkEnd w:id="230"/>
    </w:p>
    <w:p>
      <w:pPr>
        <w:pStyle w:val="nzSubsection"/>
      </w:pPr>
      <w:r>
        <w:tab/>
      </w:r>
      <w:r>
        <w:tab/>
        <w:t xml:space="preserve">This Part amends the </w:t>
      </w:r>
      <w:r>
        <w:rPr>
          <w:i/>
        </w:rPr>
        <w:t>Public Sector Management Act 1994</w:t>
      </w:r>
      <w:r>
        <w:t>.</w:t>
      </w:r>
    </w:p>
    <w:p>
      <w:pPr>
        <w:pStyle w:val="nzHeading5"/>
      </w:pPr>
      <w:bookmarkStart w:id="231" w:name="_Toc388361554"/>
      <w:bookmarkStart w:id="232" w:name="_Toc388363273"/>
      <w:r>
        <w:rPr>
          <w:rStyle w:val="CharSectno"/>
        </w:rPr>
        <w:t>9</w:t>
      </w:r>
      <w:r>
        <w:t>.</w:t>
      </w:r>
      <w:r>
        <w:tab/>
        <w:t>Section 22A amended</w:t>
      </w:r>
      <w:bookmarkEnd w:id="231"/>
      <w:bookmarkEnd w:id="232"/>
    </w:p>
    <w:p>
      <w:pPr>
        <w:pStyle w:val="nzSubsection"/>
      </w:pPr>
      <w:r>
        <w:tab/>
      </w:r>
      <w:r>
        <w:tab/>
        <w:t>After section 22A(1)(f) insert:</w:t>
      </w:r>
    </w:p>
    <w:p>
      <w:pPr>
        <w:pStyle w:val="BlankOpen"/>
      </w:pPr>
    </w:p>
    <w:p>
      <w:pPr>
        <w:pStyle w:val="nzIndenta"/>
      </w:pPr>
      <w:r>
        <w:tab/>
        <w:t>(ga)</w:t>
      </w:r>
      <w:r>
        <w:tab/>
        <w:t xml:space="preserve">dealing with — </w:t>
      </w:r>
    </w:p>
    <w:p>
      <w:pPr>
        <w:pStyle w:val="nzIndenti"/>
      </w:pPr>
      <w:r>
        <w:tab/>
        <w:t>(i)</w:t>
      </w:r>
      <w:r>
        <w:tab/>
        <w:t>redeployment and redundancy of employees; and</w:t>
      </w:r>
    </w:p>
    <w:p>
      <w:pPr>
        <w:pStyle w:val="nzIndenti"/>
      </w:pPr>
      <w:r>
        <w:tab/>
        <w:t>(ii)</w:t>
      </w:r>
      <w:r>
        <w:tab/>
        <w:t>termination of employment;</w:t>
      </w:r>
    </w:p>
    <w:p>
      <w:pPr>
        <w:pStyle w:val="BlankClose"/>
      </w:pPr>
    </w:p>
    <w:p>
      <w:pPr>
        <w:pStyle w:val="nzHeading5"/>
      </w:pPr>
      <w:bookmarkStart w:id="233" w:name="_Toc388361555"/>
      <w:bookmarkStart w:id="234" w:name="_Toc388363274"/>
      <w:r>
        <w:rPr>
          <w:rStyle w:val="CharSectno"/>
        </w:rPr>
        <w:t>10</w:t>
      </w:r>
      <w:r>
        <w:t>.</w:t>
      </w:r>
      <w:r>
        <w:tab/>
        <w:t>Section 29 amended</w:t>
      </w:r>
      <w:bookmarkEnd w:id="233"/>
      <w:bookmarkEnd w:id="234"/>
    </w:p>
    <w:p>
      <w:pPr>
        <w:pStyle w:val="nzSubsection"/>
      </w:pPr>
      <w:r>
        <w:tab/>
      </w:r>
      <w:r>
        <w:tab/>
        <w:t>In section 29(1)(g) delete “appointment and deployment” and insert:</w:t>
      </w:r>
    </w:p>
    <w:p>
      <w:pPr>
        <w:pStyle w:val="BlankOpen"/>
      </w:pPr>
    </w:p>
    <w:p>
      <w:pPr>
        <w:pStyle w:val="nzSubsection"/>
      </w:pPr>
      <w:r>
        <w:tab/>
      </w:r>
      <w:r>
        <w:tab/>
        <w:t>appointment, deployment and termination of employment</w:t>
      </w:r>
    </w:p>
    <w:p>
      <w:pPr>
        <w:pStyle w:val="BlankClose"/>
      </w:pPr>
    </w:p>
    <w:p>
      <w:pPr>
        <w:pStyle w:val="nzHeading5"/>
      </w:pPr>
      <w:bookmarkStart w:id="235" w:name="_Toc388361556"/>
      <w:bookmarkStart w:id="236" w:name="_Toc388363275"/>
      <w:r>
        <w:rPr>
          <w:rStyle w:val="CharSectno"/>
        </w:rPr>
        <w:t>11</w:t>
      </w:r>
      <w:r>
        <w:t>.</w:t>
      </w:r>
      <w:r>
        <w:tab/>
        <w:t>Section 63 amended</w:t>
      </w:r>
      <w:bookmarkEnd w:id="235"/>
      <w:bookmarkEnd w:id="236"/>
    </w:p>
    <w:p>
      <w:pPr>
        <w:pStyle w:val="nzSubsection"/>
      </w:pPr>
      <w:r>
        <w:tab/>
      </w:r>
      <w:r>
        <w:tab/>
        <w:t>In section 63(1)(f) delete “section 79(3); or” and insert:</w:t>
      </w:r>
    </w:p>
    <w:p>
      <w:pPr>
        <w:pStyle w:val="BlankOpen"/>
      </w:pPr>
    </w:p>
    <w:p>
      <w:pPr>
        <w:pStyle w:val="nzSubsection"/>
      </w:pPr>
      <w:r>
        <w:tab/>
      </w:r>
      <w:r>
        <w:tab/>
        <w:t>section 79(3) or under regulations referred to in section 95A; or</w:t>
      </w:r>
    </w:p>
    <w:p>
      <w:pPr>
        <w:pStyle w:val="BlankClose"/>
      </w:pPr>
    </w:p>
    <w:p>
      <w:pPr>
        <w:pStyle w:val="nzHeading5"/>
      </w:pPr>
      <w:bookmarkStart w:id="237" w:name="_Toc388361557"/>
      <w:bookmarkStart w:id="238" w:name="_Toc388363276"/>
      <w:r>
        <w:rPr>
          <w:rStyle w:val="CharSectno"/>
        </w:rPr>
        <w:t>12</w:t>
      </w:r>
      <w:r>
        <w:t>.</w:t>
      </w:r>
      <w:r>
        <w:tab/>
        <w:t>Section 67 amended</w:t>
      </w:r>
      <w:bookmarkEnd w:id="237"/>
      <w:bookmarkEnd w:id="238"/>
    </w:p>
    <w:p>
      <w:pPr>
        <w:pStyle w:val="nzSubsection"/>
      </w:pPr>
      <w:r>
        <w:tab/>
      </w:r>
      <w:r>
        <w:tab/>
        <w:t>In section 67(d) delete “section 79(3); or” and insert:</w:t>
      </w:r>
    </w:p>
    <w:p>
      <w:pPr>
        <w:pStyle w:val="BlankOpen"/>
      </w:pPr>
    </w:p>
    <w:p>
      <w:pPr>
        <w:pStyle w:val="nzSubsection"/>
      </w:pPr>
      <w:r>
        <w:tab/>
      </w:r>
      <w:r>
        <w:tab/>
        <w:t>section 79(3) or under regulations referred to in section 95A; or</w:t>
      </w:r>
    </w:p>
    <w:p>
      <w:pPr>
        <w:pStyle w:val="BlankClose"/>
      </w:pPr>
    </w:p>
    <w:p>
      <w:pPr>
        <w:pStyle w:val="nzHeading5"/>
      </w:pPr>
      <w:bookmarkStart w:id="239" w:name="_Toc388361558"/>
      <w:bookmarkStart w:id="240" w:name="_Toc388363277"/>
      <w:r>
        <w:rPr>
          <w:rStyle w:val="CharSectno"/>
        </w:rPr>
        <w:t>13</w:t>
      </w:r>
      <w:r>
        <w:t>.</w:t>
      </w:r>
      <w:r>
        <w:tab/>
        <w:t>Section 94 amended</w:t>
      </w:r>
      <w:bookmarkEnd w:id="239"/>
      <w:bookmarkEnd w:id="240"/>
    </w:p>
    <w:p>
      <w:pPr>
        <w:pStyle w:val="nzSubsection"/>
      </w:pPr>
      <w:r>
        <w:tab/>
        <w:t>(1)</w:t>
      </w:r>
      <w:r>
        <w:tab/>
        <w:t>Before section 94(1) insert:</w:t>
      </w:r>
    </w:p>
    <w:p>
      <w:pPr>
        <w:pStyle w:val="BlankOpen"/>
      </w:pPr>
    </w:p>
    <w:p>
      <w:pPr>
        <w:pStyle w:val="nzSubsection"/>
      </w:pPr>
      <w:r>
        <w:tab/>
        <w:t>(1A)</w:t>
      </w:r>
      <w:r>
        <w:tab/>
        <w:t xml:space="preserve">In this section — </w:t>
      </w:r>
    </w:p>
    <w:p>
      <w:pPr>
        <w:pStyle w:val="nzDefstart"/>
      </w:pPr>
      <w:r>
        <w:tab/>
      </w:r>
      <w:r>
        <w:rPr>
          <w:rStyle w:val="CharDefText"/>
        </w:rPr>
        <w:t>registered employee</w:t>
      </w:r>
      <w:r>
        <w:t xml:space="preserve"> means an employee registered under arrangements prescribed under subsection (1);</w:t>
      </w:r>
    </w:p>
    <w:p>
      <w:pPr>
        <w:pStyle w:val="nzDefstart"/>
      </w:pPr>
      <w:r>
        <w:tab/>
      </w:r>
      <w:r>
        <w:rPr>
          <w:rStyle w:val="CharDefText"/>
        </w:rPr>
        <w:t>registrable employee</w:t>
      </w:r>
      <w:r>
        <w:t xml:space="preserve"> means — </w:t>
      </w:r>
    </w:p>
    <w:p>
      <w:pPr>
        <w:pStyle w:val="nzDefpara"/>
      </w:pPr>
      <w:r>
        <w:tab/>
        <w:t>(a)</w:t>
      </w:r>
      <w:r>
        <w:tab/>
        <w:t>an employee who is surplus to the requirements of a department or organisation; or</w:t>
      </w:r>
    </w:p>
    <w:p>
      <w:pPr>
        <w:pStyle w:val="nzDefpara"/>
      </w:pPr>
      <w:r>
        <w:tab/>
        <w:t>(b)</w:t>
      </w:r>
      <w:r>
        <w:tab/>
        <w:t>an employee whose office, post or position has been abolished; or</w:t>
      </w:r>
    </w:p>
    <w:p>
      <w:pPr>
        <w:pStyle w:val="nzDefpara"/>
      </w:pPr>
      <w:r>
        <w:tab/>
        <w:t>(c)</w:t>
      </w:r>
      <w:r>
        <w:tab/>
        <w:t>an employee in a category prescribed by the regulations.</w:t>
      </w:r>
    </w:p>
    <w:p>
      <w:pPr>
        <w:pStyle w:val="BlankClose"/>
      </w:pPr>
    </w:p>
    <w:p>
      <w:pPr>
        <w:pStyle w:val="nzSubsection"/>
      </w:pPr>
      <w:r>
        <w:tab/>
        <w:t>(2)</w:t>
      </w:r>
      <w:r>
        <w:tab/>
        <w:t>Delete section 94(1) and insert:</w:t>
      </w:r>
    </w:p>
    <w:p>
      <w:pPr>
        <w:pStyle w:val="BlankOpen"/>
      </w:pPr>
    </w:p>
    <w:p>
      <w:pPr>
        <w:pStyle w:val="nzSubsection"/>
      </w:pPr>
      <w:r>
        <w:tab/>
        <w:t>(1)</w:t>
      </w:r>
      <w:r>
        <w:tab/>
        <w:t xml:space="preserve">The Governor may under section 108 make regulations prescribing arrangements for registrable employees in relation to — </w:t>
      </w:r>
    </w:p>
    <w:p>
      <w:pPr>
        <w:pStyle w:val="nzIndenta"/>
      </w:pPr>
      <w:r>
        <w:tab/>
        <w:t>(a)</w:t>
      </w:r>
      <w:r>
        <w:tab/>
        <w:t>redeployment and retraining; and</w:t>
      </w:r>
    </w:p>
    <w:p>
      <w:pPr>
        <w:pStyle w:val="nzIndenta"/>
      </w:pPr>
      <w:r>
        <w:tab/>
        <w:t>(b)</w:t>
      </w:r>
      <w:r>
        <w:tab/>
        <w:t>redundancy.</w:t>
      </w:r>
    </w:p>
    <w:p>
      <w:pPr>
        <w:pStyle w:val="nzSubsection"/>
      </w:pPr>
      <w:r>
        <w:tab/>
        <w:t>(2A)</w:t>
      </w:r>
      <w:r>
        <w:tab/>
        <w:t>Regulations referred to in subsection (1) must specify which parts of the Public Sector must comply with the regulations.</w:t>
      </w:r>
    </w:p>
    <w:p>
      <w:pPr>
        <w:pStyle w:val="BlankClose"/>
      </w:pPr>
    </w:p>
    <w:p>
      <w:pPr>
        <w:pStyle w:val="nzSubsection"/>
      </w:pPr>
      <w:r>
        <w:tab/>
        <w:t>(3)</w:t>
      </w:r>
      <w:r>
        <w:tab/>
        <w:t>In section 94(3):</w:t>
      </w:r>
    </w:p>
    <w:p>
      <w:pPr>
        <w:pStyle w:val="nzIndenta"/>
      </w:pPr>
      <w:r>
        <w:tab/>
        <w:t>(a)</w:t>
      </w:r>
      <w:r>
        <w:tab/>
        <w:t>delete paragraph (a) and insert:</w:t>
      </w:r>
    </w:p>
    <w:p>
      <w:pPr>
        <w:pStyle w:val="BlankOpen"/>
      </w:pPr>
    </w:p>
    <w:p>
      <w:pPr>
        <w:pStyle w:val="nzIndenta"/>
      </w:pPr>
      <w:r>
        <w:tab/>
        <w:t>(a)</w:t>
      </w:r>
      <w:r>
        <w:tab/>
        <w:t>the registration of a registrable employee who cannot be transferred within a department or organisation;</w:t>
      </w:r>
    </w:p>
    <w:p>
      <w:pPr>
        <w:pStyle w:val="nzIndenta"/>
      </w:pPr>
      <w:r>
        <w:tab/>
        <w:t>(b)</w:t>
      </w:r>
      <w:r>
        <w:tab/>
        <w:t>after paragraph (b) insert:</w:t>
      </w:r>
    </w:p>
    <w:p>
      <w:pPr>
        <w:pStyle w:val="BlankOpen"/>
      </w:pPr>
    </w:p>
    <w:p>
      <w:pPr>
        <w:pStyle w:val="nzIndenta"/>
      </w:pPr>
      <w:r>
        <w:tab/>
        <w:t>(ca)</w:t>
      </w:r>
      <w:r>
        <w:tab/>
        <w:t>the revocation or suspension of registration of an employee;</w:t>
      </w:r>
    </w:p>
    <w:p>
      <w:pPr>
        <w:pStyle w:val="BlankClose"/>
      </w:pPr>
    </w:p>
    <w:p>
      <w:pPr>
        <w:pStyle w:val="nzIndenta"/>
      </w:pPr>
      <w:r>
        <w:tab/>
        <w:t>(c)</w:t>
      </w:r>
      <w:r>
        <w:tab/>
        <w:t>in paragraph (f) delete “who does not;” and insert:</w:t>
      </w:r>
    </w:p>
    <w:p>
      <w:pPr>
        <w:pStyle w:val="BlankOpen"/>
      </w:pPr>
    </w:p>
    <w:p>
      <w:pPr>
        <w:pStyle w:val="nzIndenta"/>
      </w:pPr>
      <w:r>
        <w:tab/>
      </w:r>
      <w:r>
        <w:tab/>
        <w:t>who does not.</w:t>
      </w:r>
    </w:p>
    <w:p>
      <w:pPr>
        <w:pStyle w:val="BlankClose"/>
      </w:pPr>
    </w:p>
    <w:p>
      <w:pPr>
        <w:pStyle w:val="nzIndenta"/>
      </w:pPr>
      <w:r>
        <w:tab/>
        <w:t>(d)</w:t>
      </w:r>
      <w:r>
        <w:tab/>
        <w:t>delete paragraph (g).</w:t>
      </w:r>
    </w:p>
    <w:p>
      <w:pPr>
        <w:pStyle w:val="nzSubsection"/>
      </w:pPr>
      <w:r>
        <w:tab/>
        <w:t>(4)</w:t>
      </w:r>
      <w:r>
        <w:tab/>
        <w:t>In section 94(4)(b) delete “section 95(3), or the period referred to in that section” and insert:</w:t>
      </w:r>
    </w:p>
    <w:p>
      <w:pPr>
        <w:pStyle w:val="BlankOpen"/>
      </w:pPr>
    </w:p>
    <w:p>
      <w:pPr>
        <w:pStyle w:val="nzSubsection"/>
      </w:pPr>
      <w:r>
        <w:tab/>
      </w:r>
      <w:r>
        <w:tab/>
        <w:t>section 95(2), or the period referred to in section 95(3)</w:t>
      </w:r>
    </w:p>
    <w:p>
      <w:pPr>
        <w:pStyle w:val="BlankClose"/>
      </w:pPr>
    </w:p>
    <w:p>
      <w:pPr>
        <w:pStyle w:val="nzHeading5"/>
      </w:pPr>
      <w:bookmarkStart w:id="241" w:name="_Toc388361559"/>
      <w:bookmarkStart w:id="242" w:name="_Toc388363278"/>
      <w:r>
        <w:rPr>
          <w:rStyle w:val="CharSectno"/>
        </w:rPr>
        <w:t>14</w:t>
      </w:r>
      <w:r>
        <w:t>.</w:t>
      </w:r>
      <w:r>
        <w:tab/>
        <w:t>Sections 95A and 95B inserted</w:t>
      </w:r>
      <w:bookmarkEnd w:id="241"/>
      <w:bookmarkEnd w:id="242"/>
    </w:p>
    <w:p>
      <w:pPr>
        <w:pStyle w:val="nzSubsection"/>
      </w:pPr>
      <w:r>
        <w:tab/>
      </w:r>
      <w:r>
        <w:tab/>
        <w:t>After section 94 insert:</w:t>
      </w:r>
    </w:p>
    <w:p>
      <w:pPr>
        <w:pStyle w:val="BlankOpen"/>
      </w:pPr>
    </w:p>
    <w:p>
      <w:pPr>
        <w:pStyle w:val="nzHeading5"/>
      </w:pPr>
      <w:bookmarkStart w:id="243" w:name="_Toc388361560"/>
      <w:bookmarkStart w:id="244" w:name="_Toc388363279"/>
      <w:r>
        <w:t>95A.</w:t>
      </w:r>
      <w:r>
        <w:tab/>
        <w:t>Termination of employment of registered employees</w:t>
      </w:r>
      <w:bookmarkEnd w:id="243"/>
      <w:bookmarkEnd w:id="244"/>
    </w:p>
    <w:p>
      <w:pPr>
        <w:pStyle w:val="nzSubsection"/>
      </w:pPr>
      <w:r>
        <w:tab/>
        <w:t>(1)</w:t>
      </w:r>
      <w:r>
        <w:tab/>
        <w:t xml:space="preserve">In this section — </w:t>
      </w:r>
    </w:p>
    <w:p>
      <w:pPr>
        <w:pStyle w:val="nzDefstart"/>
      </w:pPr>
      <w:r>
        <w:tab/>
      </w:r>
      <w:r>
        <w:rPr>
          <w:rStyle w:val="CharDefText"/>
        </w:rPr>
        <w:t>registered employee</w:t>
      </w:r>
      <w:r>
        <w:t xml:space="preserve"> has the meaning given in section 94(1A).</w:t>
      </w:r>
    </w:p>
    <w:p>
      <w:pPr>
        <w:pStyle w:val="nzSubsection"/>
      </w:pPr>
      <w:r>
        <w:tab/>
        <w:t>(2)</w:t>
      </w:r>
      <w:r>
        <w:tab/>
        <w:t xml:space="preserve">The Governor may under section 108 make regulations providing for the following — </w:t>
      </w:r>
    </w:p>
    <w:p>
      <w:pPr>
        <w:pStyle w:val="nz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nzIndenta"/>
      </w:pPr>
      <w:r>
        <w:tab/>
        <w:t>(b)</w:t>
      </w:r>
      <w:r>
        <w:tab/>
        <w:t>the terms and conditions (including remuneration) which are to apply to a registered employee whose employment is terminated under the regulations.</w:t>
      </w:r>
    </w:p>
    <w:p>
      <w:pPr>
        <w:pStyle w:val="nzSubsection"/>
      </w:pPr>
      <w:r>
        <w:tab/>
        <w:t>(3)</w:t>
      </w:r>
      <w:r>
        <w:tab/>
        <w:t>If the employment of a registered employee is terminated under regulations referred to in subsection (2), the contract of employment of the employee is terminated.</w:t>
      </w:r>
    </w:p>
    <w:p>
      <w:pPr>
        <w:pStyle w:val="nzHeading5"/>
      </w:pPr>
      <w:bookmarkStart w:id="245" w:name="_Toc388361561"/>
      <w:bookmarkStart w:id="246" w:name="_Toc388363280"/>
      <w:r>
        <w:t>95B.</w:t>
      </w:r>
      <w:r>
        <w:tab/>
        <w:t>Inconsistent provisions, instruments and contracts</w:t>
      </w:r>
      <w:bookmarkEnd w:id="245"/>
      <w:bookmarkEnd w:id="246"/>
    </w:p>
    <w:p>
      <w:pPr>
        <w:pStyle w:val="nzSubsection"/>
      </w:pPr>
      <w:r>
        <w:tab/>
        <w:t>(1)</w:t>
      </w:r>
      <w:r>
        <w:tab/>
        <w:t xml:space="preserve">In this section — </w:t>
      </w:r>
    </w:p>
    <w:p>
      <w:pPr>
        <w:pStyle w:val="nz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nzSubsection"/>
      </w:pPr>
      <w:r>
        <w:tab/>
        <w:t>(2A)</w:t>
      </w:r>
      <w:r>
        <w:tab/>
        <w:t>The provisions of this Part prevail, to the extent of any inconsistency, over any other provision of this Act other than section 7, 8 or 9.</w:t>
      </w:r>
    </w:p>
    <w:p>
      <w:pPr>
        <w:pStyle w:val="nzSubsection"/>
      </w:pPr>
      <w:r>
        <w:tab/>
        <w:t>(2)</w:t>
      </w:r>
      <w:r>
        <w:tab/>
        <w:t>The provisions of this Part and regulations referred to in sections 94 and 95A prevail, to the extent of any inconsistency, over any industrial instrument.</w:t>
      </w:r>
    </w:p>
    <w:p>
      <w:pPr>
        <w:pStyle w:val="nz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BlankClose"/>
      </w:pPr>
    </w:p>
    <w:p>
      <w:pPr>
        <w:pStyle w:val="nzHeading5"/>
      </w:pPr>
      <w:bookmarkStart w:id="247" w:name="_Toc388361562"/>
      <w:bookmarkStart w:id="248" w:name="_Toc388363281"/>
      <w:r>
        <w:rPr>
          <w:rStyle w:val="CharSectno"/>
        </w:rPr>
        <w:t>15</w:t>
      </w:r>
      <w:r>
        <w:t>.</w:t>
      </w:r>
      <w:r>
        <w:tab/>
        <w:t>Section 95 replaced</w:t>
      </w:r>
      <w:bookmarkEnd w:id="247"/>
      <w:bookmarkEnd w:id="248"/>
    </w:p>
    <w:p>
      <w:pPr>
        <w:pStyle w:val="nzSubsection"/>
      </w:pPr>
      <w:r>
        <w:tab/>
      </w:r>
      <w:r>
        <w:tab/>
        <w:t>Delete section 95 and insert:</w:t>
      </w:r>
    </w:p>
    <w:p>
      <w:pPr>
        <w:pStyle w:val="BlankOpen"/>
      </w:pPr>
    </w:p>
    <w:p>
      <w:pPr>
        <w:pStyle w:val="nzHeading5"/>
      </w:pPr>
      <w:bookmarkStart w:id="249" w:name="_Toc388361563"/>
      <w:bookmarkStart w:id="250" w:name="_Toc388363282"/>
      <w:r>
        <w:t>95.</w:t>
      </w:r>
      <w:r>
        <w:tab/>
        <w:t>Jurisdiction of Industrial Commission in relation to section 94 decision</w:t>
      </w:r>
      <w:bookmarkEnd w:id="249"/>
      <w:bookmarkEnd w:id="250"/>
    </w:p>
    <w:p>
      <w:pPr>
        <w:pStyle w:val="nzSubsection"/>
      </w:pPr>
      <w:r>
        <w:tab/>
        <w:t>(1)</w:t>
      </w:r>
      <w:r>
        <w:tab/>
        <w:t xml:space="preserve">In this section — </w:t>
      </w:r>
    </w:p>
    <w:p>
      <w:pPr>
        <w:pStyle w:val="nz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nzSubsection"/>
      </w:pPr>
      <w:r>
        <w:tab/>
        <w:t>(2)</w:t>
      </w:r>
      <w:r>
        <w:tab/>
        <w:t xml:space="preserve">A section 94 decision may be referred to the Industrial Commission — </w:t>
      </w:r>
    </w:p>
    <w:p>
      <w:pPr>
        <w:pStyle w:val="nzIndenta"/>
      </w:pPr>
      <w:r>
        <w:tab/>
        <w:t>(a)</w:t>
      </w:r>
      <w:r>
        <w:tab/>
        <w:t xml:space="preserve">under the </w:t>
      </w:r>
      <w:r>
        <w:rPr>
          <w:i/>
        </w:rPr>
        <w:t xml:space="preserve">Industrial Relations Act 1979 </w:t>
      </w:r>
      <w:r>
        <w:t>section 29(1)(a); or</w:t>
      </w:r>
    </w:p>
    <w:p>
      <w:pPr>
        <w:pStyle w:val="nzIndenta"/>
      </w:pPr>
      <w:r>
        <w:tab/>
        <w:t>(b)</w:t>
      </w:r>
      <w:r>
        <w:tab/>
        <w:t>by an employee aggrieved by the decision,</w:t>
      </w:r>
    </w:p>
    <w:p>
      <w:pPr>
        <w:pStyle w:val="nzSubsection"/>
      </w:pPr>
      <w:r>
        <w:tab/>
      </w:r>
      <w:r>
        <w:tab/>
        <w:t>as if it were an industrial matter that could be so referred under that Act.</w:t>
      </w:r>
    </w:p>
    <w:p>
      <w:pPr>
        <w:pStyle w:val="nzSubsection"/>
      </w:pPr>
      <w:r>
        <w:tab/>
        <w:t>(3)</w:t>
      </w:r>
      <w:r>
        <w:tab/>
        <w:t>A referral under subsection (2) must be made within the period after the making of the decision that is prescribed under section 108.</w:t>
      </w:r>
    </w:p>
    <w:p>
      <w:pPr>
        <w:pStyle w:val="nz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nz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nzSubsection"/>
      </w:pPr>
      <w:r>
        <w:tab/>
        <w:t>(6)</w:t>
      </w:r>
      <w:r>
        <w:tab/>
        <w:t>The Industrial Commission does not have jurisdiction in respect of a section 94 decision if the employment of the employee concerned is terminated.</w:t>
      </w:r>
    </w:p>
    <w:p>
      <w:pPr>
        <w:pStyle w:val="nzHeading5"/>
      </w:pPr>
      <w:bookmarkStart w:id="251" w:name="_Toc388361564"/>
      <w:bookmarkStart w:id="252" w:name="_Toc388363283"/>
      <w:r>
        <w:t>96A.</w:t>
      </w:r>
      <w:r>
        <w:tab/>
        <w:t>Jurisdiction of Industrial Commission in relation to section 95A decision</w:t>
      </w:r>
      <w:bookmarkEnd w:id="251"/>
      <w:bookmarkEnd w:id="252"/>
    </w:p>
    <w:p>
      <w:pPr>
        <w:pStyle w:val="nz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nz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nzIndenta"/>
      </w:pPr>
      <w:r>
        <w:tab/>
        <w:t>(a)</w:t>
      </w:r>
      <w:r>
        <w:tab/>
        <w:t xml:space="preserve">under the </w:t>
      </w:r>
      <w:r>
        <w:rPr>
          <w:i/>
        </w:rPr>
        <w:t xml:space="preserve">Industrial Relations Act 1979 </w:t>
      </w:r>
      <w:r>
        <w:t>section 29(1)(a); or</w:t>
      </w:r>
    </w:p>
    <w:p>
      <w:pPr>
        <w:pStyle w:val="nzIndenta"/>
      </w:pPr>
      <w:r>
        <w:tab/>
        <w:t>(b)</w:t>
      </w:r>
      <w:r>
        <w:tab/>
        <w:t>by an employee or former employee aggrieved by the decision,</w:t>
      </w:r>
    </w:p>
    <w:p>
      <w:pPr>
        <w:pStyle w:val="nzSubsection"/>
      </w:pPr>
      <w:r>
        <w:tab/>
      </w:r>
      <w:r>
        <w:tab/>
        <w:t>as if it were an industrial matter that could be so referred under that Act.</w:t>
      </w:r>
    </w:p>
    <w:p>
      <w:pPr>
        <w:pStyle w:val="nzSubsection"/>
      </w:pPr>
      <w:r>
        <w:tab/>
        <w:t>(3)</w:t>
      </w:r>
      <w:r>
        <w:tab/>
        <w:t>A referral under subsection (2) must be made within the period after the making of the decision that is prescribed under section 108.</w:t>
      </w:r>
    </w:p>
    <w:p>
      <w:pPr>
        <w:pStyle w:val="nz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nzSubsection"/>
      </w:pPr>
      <w:r>
        <w:tab/>
        <w:t>(5)</w:t>
      </w:r>
      <w:r>
        <w:tab/>
        <w:t xml:space="preserve">In exercising its jurisdiction in relation to a decision referred under subsection (2), the Industrial Commission — </w:t>
      </w:r>
    </w:p>
    <w:p>
      <w:pPr>
        <w:pStyle w:val="nzIndenta"/>
      </w:pPr>
      <w:r>
        <w:tab/>
        <w:t>(a)</w:t>
      </w:r>
      <w:r>
        <w:tab/>
        <w:t>must confine itself to determining whether or not the employee concerned has been allowed the benefits to which the employee is entitled under the regulations referred to in section 95A(2)(b); and</w:t>
      </w:r>
    </w:p>
    <w:p>
      <w:pPr>
        <w:pStyle w:val="nzIndenta"/>
      </w:pPr>
      <w:r>
        <w:tab/>
        <w:t>(b)</w:t>
      </w:r>
      <w:r>
        <w:tab/>
        <w:t xml:space="preserve">does not have jurisdiction to exercise its powers under the </w:t>
      </w:r>
      <w:r>
        <w:rPr>
          <w:i/>
        </w:rPr>
        <w:t>Industrial Relations Act 1979</w:t>
      </w:r>
      <w:r>
        <w:t xml:space="preserve"> section 23A.</w:t>
      </w:r>
    </w:p>
    <w:p>
      <w:pPr>
        <w:pStyle w:val="nzHeading5"/>
      </w:pPr>
      <w:bookmarkStart w:id="253" w:name="_Toc388361565"/>
      <w:bookmarkStart w:id="254" w:name="_Toc388363284"/>
      <w:r>
        <w:rPr>
          <w:rFonts w:eastAsiaTheme="majorEastAsia"/>
        </w:rPr>
        <w:t>96B.</w:t>
      </w:r>
      <w:r>
        <w:rPr>
          <w:rFonts w:eastAsiaTheme="majorEastAsia"/>
        </w:rPr>
        <w:tab/>
        <w:t>Review of this Part</w:t>
      </w:r>
      <w:bookmarkEnd w:id="253"/>
      <w:bookmarkEnd w:id="254"/>
    </w:p>
    <w:p>
      <w:pPr>
        <w:pStyle w:val="nz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nzSubsection"/>
      </w:pPr>
      <w:r>
        <w:tab/>
        <w:t>(2)</w:t>
      </w:r>
      <w:r>
        <w:tab/>
        <w:t>The Minister must —</w:t>
      </w:r>
    </w:p>
    <w:p>
      <w:pPr>
        <w:pStyle w:val="nzIndenta"/>
      </w:pPr>
      <w:r>
        <w:tab/>
        <w:t>(a)</w:t>
      </w:r>
      <w:r>
        <w:tab/>
        <w:t>prepare a report based on the review; and</w:t>
      </w:r>
    </w:p>
    <w:p>
      <w:pPr>
        <w:pStyle w:val="nzIndenta"/>
      </w:pPr>
      <w:r>
        <w:tab/>
        <w:t>(b)</w:t>
      </w:r>
      <w:r>
        <w:tab/>
        <w:t>cause a copy of the report to be laid before each House of Parliament.</w:t>
      </w:r>
    </w:p>
    <w:p>
      <w:pPr>
        <w:pStyle w:val="BlankClose"/>
      </w:pPr>
    </w:p>
    <w:p>
      <w:pPr>
        <w:pStyle w:val="nzHeading5"/>
      </w:pPr>
      <w:bookmarkStart w:id="255" w:name="_Toc388361566"/>
      <w:bookmarkStart w:id="256" w:name="_Toc388363285"/>
      <w:r>
        <w:rPr>
          <w:rStyle w:val="CharSectno"/>
        </w:rPr>
        <w:t>16</w:t>
      </w:r>
      <w:r>
        <w:t>.</w:t>
      </w:r>
      <w:r>
        <w:tab/>
        <w:t>Section 101 amended</w:t>
      </w:r>
      <w:bookmarkEnd w:id="255"/>
      <w:bookmarkEnd w:id="256"/>
    </w:p>
    <w:p>
      <w:pPr>
        <w:pStyle w:val="nzSubsection"/>
      </w:pPr>
      <w:r>
        <w:tab/>
        <w:t>(1)</w:t>
      </w:r>
      <w:r>
        <w:tab/>
        <w:t xml:space="preserve">In section 101 delete “Subject to section 23A(4) of the </w:t>
      </w:r>
      <w:r>
        <w:rPr>
          <w:i/>
        </w:rPr>
        <w:t>Industrial Relations Act 1979</w:t>
      </w:r>
      <w:r>
        <w:t>, the maximum compensation” and insert:</w:t>
      </w:r>
    </w:p>
    <w:p>
      <w:pPr>
        <w:pStyle w:val="BlankOpen"/>
      </w:pPr>
    </w:p>
    <w:p>
      <w:pPr>
        <w:pStyle w:val="nzSubsection"/>
      </w:pPr>
      <w:r>
        <w:tab/>
        <w:t>(1)</w:t>
      </w:r>
      <w:r>
        <w:tab/>
        <w:t>The maximum amount of compensation</w:t>
      </w:r>
    </w:p>
    <w:p>
      <w:pPr>
        <w:pStyle w:val="BlankClose"/>
      </w:pPr>
    </w:p>
    <w:p>
      <w:pPr>
        <w:pStyle w:val="nzSubsection"/>
      </w:pPr>
      <w:r>
        <w:tab/>
        <w:t>(2)</w:t>
      </w:r>
      <w:r>
        <w:tab/>
        <w:t>At the end of section 101 insert:</w:t>
      </w:r>
    </w:p>
    <w:p>
      <w:pPr>
        <w:pStyle w:val="BlankOpen"/>
      </w:pPr>
    </w:p>
    <w:p>
      <w:pPr>
        <w:pStyle w:val="nzSubsection"/>
      </w:pPr>
      <w:r>
        <w:tab/>
        <w:t>(2)</w:t>
      </w:r>
      <w:r>
        <w:tab/>
        <w:t xml:space="preserve">Subsection (1) does not apply in relation to compensation payable under — </w:t>
      </w:r>
    </w:p>
    <w:p>
      <w:pPr>
        <w:pStyle w:val="nzIndenta"/>
      </w:pPr>
      <w:r>
        <w:tab/>
        <w:t>(a)</w:t>
      </w:r>
      <w:r>
        <w:tab/>
        <w:t xml:space="preserve">the </w:t>
      </w:r>
      <w:r>
        <w:rPr>
          <w:i/>
        </w:rPr>
        <w:t>Industrial Relations Act 1979</w:t>
      </w:r>
      <w:r>
        <w:t xml:space="preserve"> section 23A(6); or</w:t>
      </w:r>
    </w:p>
    <w:p>
      <w:pPr>
        <w:pStyle w:val="nzIndenta"/>
      </w:pPr>
      <w:r>
        <w:tab/>
        <w:t>(b)</w:t>
      </w:r>
      <w:r>
        <w:tab/>
        <w:t>regulations referred to in section 94 or 95A if those regulations provide for a higher amount of compensation.</w:t>
      </w:r>
    </w:p>
    <w:p>
      <w:pPr>
        <w:pStyle w:val="BlankClose"/>
      </w:pPr>
    </w:p>
    <w:p>
      <w:pPr>
        <w:pStyle w:val="nzHeading5"/>
      </w:pPr>
      <w:bookmarkStart w:id="257" w:name="_Toc388361567"/>
      <w:bookmarkStart w:id="258" w:name="_Toc388363286"/>
      <w:r>
        <w:rPr>
          <w:rStyle w:val="CharSectno"/>
        </w:rPr>
        <w:t>17</w:t>
      </w:r>
      <w:r>
        <w:t>.</w:t>
      </w:r>
      <w:r>
        <w:tab/>
        <w:t>Schedule 5 amended</w:t>
      </w:r>
      <w:bookmarkEnd w:id="257"/>
      <w:bookmarkEnd w:id="258"/>
    </w:p>
    <w:p>
      <w:pPr>
        <w:pStyle w:val="nzSubsection"/>
      </w:pPr>
      <w:r>
        <w:tab/>
      </w:r>
      <w:r>
        <w:tab/>
        <w:t>In Schedule 5 clause 13(4) delete “</w:t>
      </w:r>
      <w:r>
        <w:rPr>
          <w:sz w:val="22"/>
          <w:szCs w:val="22"/>
        </w:rPr>
        <w:t>section 94,</w:t>
      </w:r>
      <w:r>
        <w:t>” and insert:</w:t>
      </w:r>
    </w:p>
    <w:p>
      <w:pPr>
        <w:pStyle w:val="BlankOpen"/>
      </w:pPr>
    </w:p>
    <w:p>
      <w:pPr>
        <w:pStyle w:val="nzSubsection"/>
      </w:pPr>
      <w:r>
        <w:tab/>
      </w:r>
      <w:r>
        <w:tab/>
      </w:r>
      <w:r>
        <w:rPr>
          <w:sz w:val="22"/>
          <w:szCs w:val="22"/>
        </w:rPr>
        <w:t>sections 94 and 95A,</w:t>
      </w:r>
    </w:p>
    <w:p>
      <w:pPr>
        <w:pStyle w:val="BlankClose"/>
      </w:pPr>
    </w:p>
    <w:p>
      <w:pPr>
        <w:pStyle w:val="BlankClose"/>
      </w:pPr>
    </w:p>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259" w:name="_Toc378842335"/>
      <w:r>
        <w:rPr>
          <w:sz w:val="28"/>
        </w:rPr>
        <w:t>Defined terms</w:t>
      </w:r>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60" w:name="DefinedTerms"/>
      <w:bookmarkEnd w:id="260"/>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3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AE1E-B78D-418C-A195-200F61289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179</Pages>
  <Words>43930</Words>
  <Characters>217018</Characters>
  <Application>Microsoft Office Word</Application>
  <DocSecurity>0</DocSecurity>
  <Lines>5865</Lines>
  <Paragraphs>3261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1994 - 10-f0-01</dc:title>
  <dc:subject/>
  <dc:creator/>
  <cp:keywords/>
  <dc:description/>
  <cp:lastModifiedBy>svcMRProcess</cp:lastModifiedBy>
  <cp:revision>4</cp:revision>
  <cp:lastPrinted>2013-07-23T06:01:00Z</cp:lastPrinted>
  <dcterms:created xsi:type="dcterms:W3CDTF">2018-09-07T16:23:00Z</dcterms:created>
  <dcterms:modified xsi:type="dcterms:W3CDTF">2018-09-07T16:23:00Z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647</vt:i4>
  </property>
  <property fmtid="{D5CDD505-2E9C-101B-9397-08002B2CF9AE}" pid="6" name="AsAtDate">
    <vt:lpwstr>20 May 2014</vt:lpwstr>
  </property>
  <property fmtid="{D5CDD505-2E9C-101B-9397-08002B2CF9AE}" pid="7" name="Suffix">
    <vt:lpwstr>10-f0-01</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