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Betting Control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rPr>
          <w:noProof/>
        </w:rPr>
        <w:t>Betting Control Regulations 1978</w:t>
      </w:r>
    </w:p>
    <w:p>
      <w:pPr>
        <w:pStyle w:val="Arrangement"/>
        <w:rPr>
          <w:lang w:val="fr-FR"/>
        </w:rPr>
      </w:pPr>
      <w:r>
        <w:rPr>
          <w:lang w:val="fr-FR"/>
        </w:rPr>
        <w:t>CONTENTS</w:t>
      </w:r>
    </w:p>
    <w:p>
      <w:pPr>
        <w:pStyle w:val="TOC4"/>
        <w:tabs>
          <w:tab w:val="left" w:pos="1701"/>
        </w:tabs>
        <w:rPr>
          <w:noProof/>
          <w:sz w:val="24"/>
          <w:szCs w:val="24"/>
          <w:lang w:val="fr-FR"/>
        </w:rPr>
      </w:pPr>
      <w:r>
        <w:rPr>
          <w:noProof/>
        </w:rPr>
        <w:fldChar w:fldCharType="begin"/>
      </w:r>
      <w:r>
        <w:rPr>
          <w:noProof/>
          <w:lang w:val="fr-FR"/>
        </w:rPr>
        <w:instrText xml:space="preserve"> TOC \o "2-3" \t "Heading 4,3,Heading 5,4,yScheduleHeading,5,yScheduleHeading 2,5,yHeading 2,7,yHeading 3,7,yHeading 6,6" \n 2</w:instrText>
      </w:r>
      <w:r>
        <w:rPr>
          <w:noProof/>
          <w:lang w:val="fr-FR"/>
        </w:rPr>
        <w:noBreakHyphen/>
        <w:instrText>3 \t " yHeading 4,3,yHeading 5,4,nHeading 3,4" \n 2</w:instrText>
      </w:r>
      <w:r>
        <w:rPr>
          <w:noProof/>
          <w:lang w:val="fr-FR"/>
        </w:rPr>
        <w:noBreakHyphen/>
        <w:instrText xml:space="preserve">3 \* MERGEFORMAT </w:instrText>
      </w:r>
      <w:r>
        <w:rPr>
          <w:noProof/>
        </w:rPr>
        <w:fldChar w:fldCharType="separate"/>
      </w:r>
      <w:r>
        <w:rPr>
          <w:noProof/>
          <w:szCs w:val="24"/>
          <w:lang w:val="fr-FR"/>
        </w:rPr>
        <w:t>1</w:t>
      </w:r>
      <w:r>
        <w:rPr>
          <w:noProof/>
          <w:snapToGrid w:val="0"/>
          <w:szCs w:val="24"/>
          <w:lang w:val="fr-FR"/>
        </w:rPr>
        <w:t>.</w:t>
      </w:r>
      <w:r>
        <w:rPr>
          <w:noProof/>
          <w:sz w:val="24"/>
          <w:szCs w:val="24"/>
          <w:lang w:val="fr-FR"/>
        </w:rPr>
        <w:tab/>
      </w:r>
      <w:r>
        <w:rPr>
          <w:noProof/>
          <w:snapToGrid w:val="0"/>
          <w:szCs w:val="24"/>
          <w:lang w:val="fr-FR"/>
        </w:rPr>
        <w:t>Citation</w:t>
      </w:r>
      <w:r>
        <w:rPr>
          <w:noProof/>
          <w:lang w:val="fr-FR"/>
        </w:rPr>
        <w:tab/>
      </w:r>
      <w:r>
        <w:rPr>
          <w:noProof/>
        </w:rPr>
        <w:fldChar w:fldCharType="begin"/>
      </w:r>
      <w:r>
        <w:rPr>
          <w:noProof/>
          <w:lang w:val="fr-FR"/>
        </w:rPr>
        <w:instrText xml:space="preserve"> PAGEREF _Toc116986449 \h </w:instrText>
      </w:r>
      <w:r>
        <w:rPr>
          <w:noProof/>
        </w:rPr>
      </w:r>
      <w:r>
        <w:rPr>
          <w:noProof/>
        </w:rPr>
        <w:fldChar w:fldCharType="separate"/>
      </w:r>
      <w:r>
        <w:rPr>
          <w:noProof/>
          <w:lang w:val="fr-FR"/>
        </w:rPr>
        <w:t>1</w:t>
      </w:r>
      <w:r>
        <w:rPr>
          <w:noProof/>
        </w:rPr>
        <w:fldChar w:fldCharType="end"/>
      </w:r>
    </w:p>
    <w:p>
      <w:pPr>
        <w:pStyle w:val="TOC4"/>
        <w:tabs>
          <w:tab w:val="left" w:pos="1701"/>
        </w:tabs>
        <w:rPr>
          <w:noProof/>
          <w:sz w:val="24"/>
          <w:szCs w:val="24"/>
          <w:lang w:val="fr-FR"/>
        </w:rPr>
      </w:pPr>
      <w:r>
        <w:rPr>
          <w:noProof/>
          <w:szCs w:val="24"/>
          <w:lang w:val="fr-FR"/>
        </w:rPr>
        <w:t>2</w:t>
      </w:r>
      <w:r>
        <w:rPr>
          <w:noProof/>
          <w:snapToGrid w:val="0"/>
          <w:szCs w:val="24"/>
          <w:lang w:val="fr-FR"/>
        </w:rPr>
        <w:t>.</w:t>
      </w:r>
      <w:r>
        <w:rPr>
          <w:noProof/>
          <w:sz w:val="24"/>
          <w:szCs w:val="24"/>
          <w:lang w:val="fr-FR"/>
        </w:rPr>
        <w:tab/>
      </w:r>
      <w:r>
        <w:rPr>
          <w:noProof/>
          <w:snapToGrid w:val="0"/>
          <w:szCs w:val="24"/>
          <w:lang w:val="fr-FR"/>
        </w:rPr>
        <w:t>Transitional provision</w:t>
      </w:r>
      <w:r>
        <w:rPr>
          <w:noProof/>
          <w:lang w:val="fr-FR"/>
        </w:rPr>
        <w:tab/>
      </w:r>
      <w:r>
        <w:rPr>
          <w:noProof/>
        </w:rPr>
        <w:fldChar w:fldCharType="begin"/>
      </w:r>
      <w:r>
        <w:rPr>
          <w:noProof/>
          <w:lang w:val="fr-FR"/>
        </w:rPr>
        <w:instrText xml:space="preserve"> PAGEREF _Toc116986450 \h </w:instrText>
      </w:r>
      <w:r>
        <w:rPr>
          <w:noProof/>
        </w:rPr>
      </w:r>
      <w:r>
        <w:rPr>
          <w:noProof/>
        </w:rPr>
        <w:fldChar w:fldCharType="separate"/>
      </w:r>
      <w:r>
        <w:rPr>
          <w:noProof/>
          <w:lang w:val="fr-FR"/>
        </w:rPr>
        <w:t>1</w:t>
      </w:r>
      <w:r>
        <w:rPr>
          <w:noProof/>
        </w:rPr>
        <w:fldChar w:fldCharType="end"/>
      </w:r>
    </w:p>
    <w:p>
      <w:pPr>
        <w:pStyle w:val="TOC4"/>
        <w:tabs>
          <w:tab w:val="left" w:pos="1701"/>
        </w:tabs>
        <w:rPr>
          <w:noProof/>
          <w:sz w:val="24"/>
          <w:szCs w:val="24"/>
          <w:lang w:val="fr-FR"/>
        </w:rPr>
      </w:pPr>
      <w:r>
        <w:rPr>
          <w:noProof/>
          <w:szCs w:val="24"/>
          <w:lang w:val="fr-FR"/>
        </w:rPr>
        <w:t>3</w:t>
      </w:r>
      <w:r>
        <w:rPr>
          <w:noProof/>
          <w:snapToGrid w:val="0"/>
          <w:szCs w:val="24"/>
          <w:lang w:val="fr-FR"/>
        </w:rPr>
        <w:t>.</w:t>
      </w:r>
      <w:r>
        <w:rPr>
          <w:noProof/>
          <w:sz w:val="24"/>
          <w:szCs w:val="24"/>
          <w:lang w:val="fr-FR"/>
        </w:rPr>
        <w:tab/>
      </w:r>
      <w:r>
        <w:rPr>
          <w:noProof/>
          <w:snapToGrid w:val="0"/>
          <w:szCs w:val="24"/>
          <w:lang w:val="fr-FR"/>
        </w:rPr>
        <w:t>Interpretation</w:t>
      </w:r>
      <w:r>
        <w:rPr>
          <w:noProof/>
          <w:lang w:val="fr-FR"/>
        </w:rPr>
        <w:tab/>
      </w:r>
      <w:r>
        <w:rPr>
          <w:noProof/>
        </w:rPr>
        <w:fldChar w:fldCharType="begin"/>
      </w:r>
      <w:r>
        <w:rPr>
          <w:noProof/>
          <w:lang w:val="fr-FR"/>
        </w:rPr>
        <w:instrText xml:space="preserve"> PAGEREF _Toc116986451 \h </w:instrText>
      </w:r>
      <w:r>
        <w:rPr>
          <w:noProof/>
        </w:rPr>
      </w:r>
      <w:r>
        <w:rPr>
          <w:noProof/>
        </w:rPr>
        <w:fldChar w:fldCharType="separate"/>
      </w:r>
      <w:r>
        <w:rPr>
          <w:noProof/>
          <w:lang w:val="fr-FR"/>
        </w:rPr>
        <w:t>1</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_Toc116986452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9A.</w:t>
      </w:r>
      <w:r>
        <w:rPr>
          <w:noProof/>
          <w:sz w:val="24"/>
          <w:szCs w:val="24"/>
        </w:rPr>
        <w:tab/>
      </w:r>
      <w:r>
        <w:rPr>
          <w:noProof/>
          <w:szCs w:val="24"/>
        </w:rPr>
        <w:t>Application to conduct a designated sporting event</w:t>
      </w:r>
      <w:r>
        <w:rPr>
          <w:noProof/>
        </w:rPr>
        <w:tab/>
      </w:r>
      <w:r>
        <w:rPr>
          <w:noProof/>
        </w:rPr>
        <w:fldChar w:fldCharType="begin"/>
      </w:r>
      <w:r>
        <w:rPr>
          <w:noProof/>
        </w:rPr>
        <w:instrText xml:space="preserve"> PAGEREF _Toc116986453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Application for approval</w:t>
      </w:r>
      <w:r>
        <w:rPr>
          <w:noProof/>
        </w:rPr>
        <w:tab/>
      </w:r>
      <w:r>
        <w:rPr>
          <w:noProof/>
        </w:rPr>
        <w:fldChar w:fldCharType="begin"/>
      </w:r>
      <w:r>
        <w:rPr>
          <w:noProof/>
        </w:rPr>
        <w:instrText xml:space="preserve"> PAGEREF _Toc116986454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When a licence may be renewed</w:t>
      </w:r>
      <w:r>
        <w:rPr>
          <w:noProof/>
        </w:rPr>
        <w:tab/>
      </w:r>
      <w:r>
        <w:rPr>
          <w:noProof/>
        </w:rPr>
        <w:fldChar w:fldCharType="begin"/>
      </w:r>
      <w:r>
        <w:rPr>
          <w:noProof/>
        </w:rPr>
        <w:instrText xml:space="preserve"> PAGEREF _Toc116986455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Grant of a licence</w:t>
      </w:r>
      <w:r>
        <w:rPr>
          <w:noProof/>
        </w:rPr>
        <w:tab/>
      </w:r>
      <w:r>
        <w:rPr>
          <w:noProof/>
        </w:rPr>
        <w:fldChar w:fldCharType="begin"/>
      </w:r>
      <w:r>
        <w:rPr>
          <w:noProof/>
        </w:rPr>
        <w:instrText xml:space="preserve"> PAGEREF _Toc116986456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Effect of a licence</w:t>
      </w:r>
      <w:r>
        <w:rPr>
          <w:noProof/>
        </w:rPr>
        <w:tab/>
      </w:r>
      <w:r>
        <w:rPr>
          <w:noProof/>
        </w:rPr>
        <w:fldChar w:fldCharType="begin"/>
      </w:r>
      <w:r>
        <w:rPr>
          <w:noProof/>
        </w:rPr>
        <w:instrText xml:space="preserve"> PAGEREF _Toc116986457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Duplicate licences</w:t>
      </w:r>
      <w:r>
        <w:rPr>
          <w:noProof/>
        </w:rPr>
        <w:tab/>
      </w:r>
      <w:r>
        <w:rPr>
          <w:noProof/>
        </w:rPr>
        <w:fldChar w:fldCharType="begin"/>
      </w:r>
      <w:r>
        <w:rPr>
          <w:noProof/>
        </w:rPr>
        <w:instrText xml:space="preserve"> PAGEREF _Toc116986458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Fees and charges</w:t>
      </w:r>
      <w:r>
        <w:rPr>
          <w:noProof/>
        </w:rPr>
        <w:tab/>
      </w:r>
      <w:r>
        <w:rPr>
          <w:noProof/>
        </w:rPr>
        <w:fldChar w:fldCharType="begin"/>
      </w:r>
      <w:r>
        <w:rPr>
          <w:noProof/>
        </w:rPr>
        <w:instrText xml:space="preserve"> PAGEREF _Toc116986459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17A</w:t>
      </w:r>
      <w:r>
        <w:rPr>
          <w:noProof/>
          <w:snapToGrid w:val="0"/>
          <w:szCs w:val="24"/>
        </w:rPr>
        <w:t>.</w:t>
      </w:r>
      <w:r>
        <w:rPr>
          <w:noProof/>
          <w:sz w:val="24"/>
          <w:szCs w:val="24"/>
        </w:rPr>
        <w:tab/>
      </w:r>
      <w:r>
        <w:rPr>
          <w:noProof/>
          <w:snapToGrid w:val="0"/>
          <w:szCs w:val="24"/>
        </w:rPr>
        <w:t>Bookmakers’ annual licence fee</w:t>
      </w:r>
      <w:r>
        <w:rPr>
          <w:noProof/>
        </w:rPr>
        <w:tab/>
      </w:r>
      <w:r>
        <w:rPr>
          <w:noProof/>
        </w:rPr>
        <w:fldChar w:fldCharType="begin"/>
      </w:r>
      <w:r>
        <w:rPr>
          <w:noProof/>
        </w:rPr>
        <w:instrText xml:space="preserve"> PAGEREF _Toc116986460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17B</w:t>
      </w:r>
      <w:r>
        <w:rPr>
          <w:noProof/>
          <w:snapToGrid w:val="0"/>
          <w:szCs w:val="24"/>
        </w:rPr>
        <w:t>.</w:t>
      </w:r>
      <w:r>
        <w:rPr>
          <w:noProof/>
          <w:sz w:val="24"/>
          <w:szCs w:val="24"/>
        </w:rPr>
        <w:tab/>
      </w:r>
      <w:r>
        <w:rPr>
          <w:noProof/>
          <w:snapToGrid w:val="0"/>
          <w:szCs w:val="24"/>
        </w:rPr>
        <w:t>On</w:t>
      </w:r>
      <w:r>
        <w:rPr>
          <w:noProof/>
          <w:snapToGrid w:val="0"/>
          <w:szCs w:val="24"/>
        </w:rPr>
        <w:noBreakHyphen/>
        <w:t>course totalisator annual licence fee</w:t>
      </w:r>
      <w:r>
        <w:rPr>
          <w:noProof/>
        </w:rPr>
        <w:tab/>
      </w:r>
      <w:r>
        <w:rPr>
          <w:noProof/>
        </w:rPr>
        <w:fldChar w:fldCharType="begin"/>
      </w:r>
      <w:r>
        <w:rPr>
          <w:noProof/>
        </w:rPr>
        <w:instrText xml:space="preserve"> PAGEREF _Toc116986461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17C</w:t>
      </w:r>
      <w:r>
        <w:rPr>
          <w:noProof/>
          <w:spacing w:val="-2"/>
          <w:szCs w:val="24"/>
        </w:rPr>
        <w:t>.</w:t>
      </w:r>
      <w:r>
        <w:rPr>
          <w:noProof/>
          <w:sz w:val="24"/>
          <w:szCs w:val="24"/>
        </w:rPr>
        <w:tab/>
      </w:r>
      <w:r>
        <w:rPr>
          <w:noProof/>
          <w:szCs w:val="24"/>
        </w:rPr>
        <w:t>Percentage of bets to belong to RWWA</w:t>
      </w:r>
      <w:r>
        <w:rPr>
          <w:noProof/>
        </w:rPr>
        <w:tab/>
      </w:r>
      <w:r>
        <w:rPr>
          <w:noProof/>
        </w:rPr>
        <w:fldChar w:fldCharType="begin"/>
      </w:r>
      <w:r>
        <w:rPr>
          <w:noProof/>
        </w:rPr>
        <w:instrText xml:space="preserve"> PAGEREF _Toc116986462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17D.</w:t>
      </w:r>
      <w:r>
        <w:rPr>
          <w:noProof/>
          <w:sz w:val="24"/>
          <w:szCs w:val="24"/>
        </w:rPr>
        <w:tab/>
      </w:r>
      <w:r>
        <w:rPr>
          <w:noProof/>
          <w:szCs w:val="24"/>
        </w:rPr>
        <w:t>Percentage of bets to belong to racing club</w:t>
      </w:r>
      <w:r>
        <w:rPr>
          <w:noProof/>
        </w:rPr>
        <w:tab/>
      </w:r>
      <w:r>
        <w:rPr>
          <w:noProof/>
        </w:rPr>
        <w:fldChar w:fldCharType="begin"/>
      </w:r>
      <w:r>
        <w:rPr>
          <w:noProof/>
        </w:rPr>
        <w:instrText xml:space="preserve"> PAGEREF _Toc116986463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17E.</w:t>
      </w:r>
      <w:r>
        <w:rPr>
          <w:noProof/>
          <w:sz w:val="24"/>
          <w:szCs w:val="24"/>
        </w:rPr>
        <w:tab/>
      </w:r>
      <w:r>
        <w:rPr>
          <w:noProof/>
          <w:szCs w:val="24"/>
        </w:rPr>
        <w:t>Levy which may be retained</w:t>
      </w:r>
      <w:r>
        <w:rPr>
          <w:noProof/>
        </w:rPr>
        <w:tab/>
      </w:r>
      <w:r>
        <w:rPr>
          <w:noProof/>
        </w:rPr>
        <w:fldChar w:fldCharType="begin"/>
      </w:r>
      <w:r>
        <w:rPr>
          <w:noProof/>
        </w:rPr>
        <w:instrText xml:space="preserve"> PAGEREF _Toc116986464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Security to be given</w:t>
      </w:r>
      <w:r>
        <w:rPr>
          <w:noProof/>
        </w:rPr>
        <w:tab/>
      </w:r>
      <w:r>
        <w:rPr>
          <w:noProof/>
        </w:rPr>
        <w:fldChar w:fldCharType="begin"/>
      </w:r>
      <w:r>
        <w:rPr>
          <w:noProof/>
        </w:rPr>
        <w:instrText xml:space="preserve"> PAGEREF _Toc116986465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Register</w:t>
      </w:r>
      <w:r>
        <w:rPr>
          <w:noProof/>
        </w:rPr>
        <w:tab/>
      </w:r>
      <w:r>
        <w:rPr>
          <w:noProof/>
        </w:rPr>
        <w:fldChar w:fldCharType="begin"/>
      </w:r>
      <w:r>
        <w:rPr>
          <w:noProof/>
        </w:rPr>
        <w:instrText xml:space="preserve"> PAGEREF _Toc116986466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Change of address</w:t>
      </w:r>
      <w:r>
        <w:rPr>
          <w:noProof/>
        </w:rPr>
        <w:tab/>
      </w:r>
      <w:r>
        <w:rPr>
          <w:noProof/>
        </w:rPr>
        <w:fldChar w:fldCharType="begin"/>
      </w:r>
      <w:r>
        <w:rPr>
          <w:noProof/>
        </w:rPr>
        <w:instrText xml:space="preserve"> PAGEREF _Toc116986467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Return of licence</w:t>
      </w:r>
      <w:r>
        <w:rPr>
          <w:noProof/>
        </w:rPr>
        <w:tab/>
      </w:r>
      <w:r>
        <w:rPr>
          <w:noProof/>
        </w:rPr>
        <w:fldChar w:fldCharType="begin"/>
      </w:r>
      <w:r>
        <w:rPr>
          <w:noProof/>
        </w:rPr>
        <w:instrText xml:space="preserve"> PAGEREF _Toc116986468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Production of a licence</w:t>
      </w:r>
      <w:r>
        <w:rPr>
          <w:noProof/>
        </w:rPr>
        <w:tab/>
      </w:r>
      <w:r>
        <w:rPr>
          <w:noProof/>
        </w:rPr>
        <w:fldChar w:fldCharType="begin"/>
      </w:r>
      <w:r>
        <w:rPr>
          <w:noProof/>
        </w:rPr>
        <w:instrText xml:space="preserve"> PAGEREF _Toc116986469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Advertising</w:t>
      </w:r>
      <w:r>
        <w:rPr>
          <w:noProof/>
        </w:rPr>
        <w:tab/>
      </w:r>
      <w:r>
        <w:rPr>
          <w:noProof/>
        </w:rPr>
        <w:fldChar w:fldCharType="begin"/>
      </w:r>
      <w:r>
        <w:rPr>
          <w:noProof/>
        </w:rPr>
        <w:instrText xml:space="preserve"> PAGEREF _Toc116986470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Betting tickets</w:t>
      </w:r>
      <w:r>
        <w:rPr>
          <w:noProof/>
        </w:rPr>
        <w:tab/>
      </w:r>
      <w:r>
        <w:rPr>
          <w:noProof/>
        </w:rPr>
        <w:fldChar w:fldCharType="begin"/>
      </w:r>
      <w:r>
        <w:rPr>
          <w:noProof/>
        </w:rPr>
        <w:instrText xml:space="preserve"> PAGEREF _Toc116986471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The written record of betting transactions</w:t>
      </w:r>
      <w:r>
        <w:rPr>
          <w:noProof/>
        </w:rPr>
        <w:tab/>
      </w:r>
      <w:r>
        <w:rPr>
          <w:noProof/>
        </w:rPr>
        <w:fldChar w:fldCharType="begin"/>
      </w:r>
      <w:r>
        <w:rPr>
          <w:noProof/>
        </w:rPr>
        <w:instrText xml:space="preserve"> PAGEREF _Toc116986472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Supply of books</w:t>
      </w:r>
      <w:r>
        <w:rPr>
          <w:noProof/>
        </w:rPr>
        <w:tab/>
      </w:r>
      <w:r>
        <w:rPr>
          <w:noProof/>
        </w:rPr>
        <w:fldChar w:fldCharType="begin"/>
      </w:r>
      <w:r>
        <w:rPr>
          <w:noProof/>
        </w:rPr>
        <w:instrText xml:space="preserve"> PAGEREF _Toc116986473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Loss of books etc.</w:t>
      </w:r>
      <w:r>
        <w:rPr>
          <w:noProof/>
        </w:rPr>
        <w:tab/>
      </w:r>
      <w:r>
        <w:rPr>
          <w:noProof/>
        </w:rPr>
        <w:fldChar w:fldCharType="begin"/>
      </w:r>
      <w:r>
        <w:rPr>
          <w:noProof/>
        </w:rPr>
        <w:instrText xml:space="preserve"> PAGEREF _Toc116986474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Betting material</w:t>
      </w:r>
      <w:r>
        <w:rPr>
          <w:noProof/>
        </w:rPr>
        <w:tab/>
      </w:r>
      <w:r>
        <w:rPr>
          <w:noProof/>
        </w:rPr>
        <w:fldChar w:fldCharType="begin"/>
      </w:r>
      <w:r>
        <w:rPr>
          <w:noProof/>
        </w:rPr>
        <w:instrText xml:space="preserve"> PAGEREF _Toc116986475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Rules of Betting</w:t>
      </w:r>
      <w:r>
        <w:rPr>
          <w:noProof/>
        </w:rPr>
        <w:tab/>
      </w:r>
      <w:r>
        <w:rPr>
          <w:noProof/>
        </w:rPr>
        <w:fldChar w:fldCharType="begin"/>
      </w:r>
      <w:r>
        <w:rPr>
          <w:noProof/>
        </w:rPr>
        <w:instrText xml:space="preserve"> PAGEREF _Toc116986476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lastRenderedPageBreak/>
        <w:t>48A.</w:t>
      </w:r>
      <w:r>
        <w:rPr>
          <w:noProof/>
          <w:sz w:val="24"/>
          <w:szCs w:val="24"/>
        </w:rPr>
        <w:tab/>
      </w:r>
      <w:r>
        <w:rPr>
          <w:noProof/>
          <w:szCs w:val="24"/>
        </w:rPr>
        <w:t>Minimum bet obligations</w:t>
      </w:r>
      <w:r>
        <w:rPr>
          <w:noProof/>
        </w:rPr>
        <w:tab/>
      </w:r>
      <w:r>
        <w:rPr>
          <w:noProof/>
        </w:rPr>
        <w:fldChar w:fldCharType="begin"/>
      </w:r>
      <w:r>
        <w:rPr>
          <w:noProof/>
        </w:rPr>
        <w:instrText xml:space="preserve"> PAGEREF _Toc116986477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Bets on more than one result</w:t>
      </w:r>
      <w:r>
        <w:rPr>
          <w:noProof/>
        </w:rPr>
        <w:tab/>
      </w:r>
      <w:r>
        <w:rPr>
          <w:noProof/>
        </w:rPr>
        <w:fldChar w:fldCharType="begin"/>
      </w:r>
      <w:r>
        <w:rPr>
          <w:noProof/>
        </w:rPr>
        <w:instrText xml:space="preserve"> PAGEREF _Toc116986478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Permitted bets</w:t>
      </w:r>
      <w:r>
        <w:rPr>
          <w:noProof/>
        </w:rPr>
        <w:tab/>
      </w:r>
      <w:r>
        <w:rPr>
          <w:noProof/>
        </w:rPr>
        <w:fldChar w:fldCharType="begin"/>
      </w:r>
      <w:r>
        <w:rPr>
          <w:noProof/>
        </w:rPr>
        <w:instrText xml:space="preserve"> PAGEREF _Toc116986479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Place betting</w:t>
      </w:r>
      <w:r>
        <w:rPr>
          <w:noProof/>
        </w:rPr>
        <w:tab/>
      </w:r>
      <w:r>
        <w:rPr>
          <w:noProof/>
        </w:rPr>
        <w:fldChar w:fldCharType="begin"/>
      </w:r>
      <w:r>
        <w:rPr>
          <w:noProof/>
        </w:rPr>
        <w:instrText xml:space="preserve"> PAGEREF _Toc116986480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Concession betting</w:t>
      </w:r>
      <w:r>
        <w:rPr>
          <w:noProof/>
        </w:rPr>
        <w:tab/>
      </w:r>
      <w:r>
        <w:rPr>
          <w:noProof/>
        </w:rPr>
        <w:fldChar w:fldCharType="begin"/>
      </w:r>
      <w:r>
        <w:rPr>
          <w:noProof/>
        </w:rPr>
        <w:instrText xml:space="preserve"> PAGEREF _Toc116986481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napToGrid w:val="0"/>
          <w:szCs w:val="24"/>
        </w:rPr>
        <w:t>53.</w:t>
      </w:r>
      <w:r>
        <w:rPr>
          <w:noProof/>
          <w:sz w:val="24"/>
          <w:szCs w:val="24"/>
        </w:rPr>
        <w:tab/>
      </w:r>
      <w:r>
        <w:rPr>
          <w:noProof/>
          <w:snapToGrid w:val="0"/>
          <w:szCs w:val="24"/>
        </w:rPr>
        <w:t>Doubles other than multiple doubles</w:t>
      </w:r>
      <w:r>
        <w:rPr>
          <w:noProof/>
        </w:rPr>
        <w:tab/>
      </w:r>
      <w:r>
        <w:rPr>
          <w:noProof/>
        </w:rPr>
        <w:fldChar w:fldCharType="begin"/>
      </w:r>
      <w:r>
        <w:rPr>
          <w:noProof/>
        </w:rPr>
        <w:instrText xml:space="preserve"> PAGEREF _Toc116986482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napToGrid w:val="0"/>
          <w:szCs w:val="24"/>
        </w:rPr>
        <w:t>54.</w:t>
      </w:r>
      <w:r>
        <w:rPr>
          <w:noProof/>
          <w:sz w:val="24"/>
          <w:szCs w:val="24"/>
        </w:rPr>
        <w:tab/>
      </w:r>
      <w:r>
        <w:rPr>
          <w:noProof/>
          <w:snapToGrid w:val="0"/>
          <w:szCs w:val="24"/>
        </w:rPr>
        <w:t>Trebles</w:t>
      </w:r>
      <w:r>
        <w:rPr>
          <w:noProof/>
        </w:rPr>
        <w:tab/>
      </w:r>
      <w:r>
        <w:rPr>
          <w:noProof/>
        </w:rPr>
        <w:fldChar w:fldCharType="begin"/>
      </w:r>
      <w:r>
        <w:rPr>
          <w:noProof/>
        </w:rPr>
        <w:instrText xml:space="preserve"> PAGEREF _Toc116986483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All</w:t>
      </w:r>
      <w:r>
        <w:rPr>
          <w:noProof/>
          <w:snapToGrid w:val="0"/>
          <w:szCs w:val="24"/>
        </w:rPr>
        <w:noBreakHyphen/>
        <w:t>up</w:t>
      </w:r>
      <w:r>
        <w:rPr>
          <w:noProof/>
        </w:rPr>
        <w:tab/>
      </w:r>
      <w:r>
        <w:rPr>
          <w:noProof/>
        </w:rPr>
        <w:fldChar w:fldCharType="begin"/>
      </w:r>
      <w:r>
        <w:rPr>
          <w:noProof/>
        </w:rPr>
        <w:instrText xml:space="preserve"> PAGEREF _Toc116986484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Stand</w:t>
      </w:r>
      <w:r>
        <w:rPr>
          <w:noProof/>
        </w:rPr>
        <w:tab/>
      </w:r>
      <w:r>
        <w:rPr>
          <w:noProof/>
        </w:rPr>
        <w:tab/>
      </w:r>
      <w:r>
        <w:rPr>
          <w:noProof/>
        </w:rPr>
        <w:fldChar w:fldCharType="begin"/>
      </w:r>
      <w:r>
        <w:rPr>
          <w:noProof/>
        </w:rPr>
        <w:instrText xml:space="preserve"> PAGEREF _Toc116986485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Use of stand</w:t>
      </w:r>
      <w:r>
        <w:rPr>
          <w:noProof/>
        </w:rPr>
        <w:tab/>
      </w:r>
      <w:r>
        <w:rPr>
          <w:noProof/>
        </w:rPr>
        <w:fldChar w:fldCharType="begin"/>
      </w:r>
      <w:r>
        <w:rPr>
          <w:noProof/>
        </w:rPr>
        <w:instrText xml:space="preserve"> PAGEREF _Toc116986486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Name of bookmaker to be shown</w:t>
      </w:r>
      <w:r>
        <w:rPr>
          <w:noProof/>
        </w:rPr>
        <w:tab/>
      </w:r>
      <w:r>
        <w:rPr>
          <w:noProof/>
        </w:rPr>
        <w:fldChar w:fldCharType="begin"/>
      </w:r>
      <w:r>
        <w:rPr>
          <w:noProof/>
        </w:rPr>
        <w:instrText xml:space="preserve"> PAGEREF _Toc116986487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Betting boards, etc., to be approved</w:t>
      </w:r>
      <w:r>
        <w:rPr>
          <w:noProof/>
        </w:rPr>
        <w:tab/>
      </w:r>
      <w:r>
        <w:rPr>
          <w:noProof/>
        </w:rPr>
        <w:fldChar w:fldCharType="begin"/>
      </w:r>
      <w:r>
        <w:rPr>
          <w:noProof/>
        </w:rPr>
        <w:instrText xml:space="preserve"> PAGEREF _Toc116986488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Betting boards</w:t>
      </w:r>
      <w:r>
        <w:rPr>
          <w:noProof/>
        </w:rPr>
        <w:tab/>
      </w:r>
      <w:r>
        <w:rPr>
          <w:noProof/>
        </w:rPr>
        <w:fldChar w:fldCharType="begin"/>
      </w:r>
      <w:r>
        <w:rPr>
          <w:noProof/>
        </w:rPr>
        <w:instrText xml:space="preserve"> PAGEREF _Toc116986489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Omissions from betting board, etc.</w:t>
      </w:r>
      <w:r>
        <w:rPr>
          <w:noProof/>
        </w:rPr>
        <w:tab/>
      </w:r>
      <w:r>
        <w:rPr>
          <w:noProof/>
        </w:rPr>
        <w:fldChar w:fldCharType="begin"/>
      </w:r>
      <w:r>
        <w:rPr>
          <w:noProof/>
        </w:rPr>
        <w:instrText xml:space="preserve"> PAGEREF _Toc116986490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Bets with other bookmakers</w:t>
      </w:r>
      <w:r>
        <w:rPr>
          <w:noProof/>
        </w:rPr>
        <w:tab/>
      </w:r>
      <w:r>
        <w:rPr>
          <w:noProof/>
        </w:rPr>
        <w:fldChar w:fldCharType="begin"/>
      </w:r>
      <w:r>
        <w:rPr>
          <w:noProof/>
        </w:rPr>
        <w:instrText xml:space="preserve"> PAGEREF _Toc116986491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 xml:space="preserve">Cooperation with the </w:t>
      </w:r>
      <w:r>
        <w:rPr>
          <w:noProof/>
          <w:szCs w:val="24"/>
        </w:rPr>
        <w:t>Commission</w:t>
      </w:r>
      <w:r>
        <w:rPr>
          <w:noProof/>
          <w:snapToGrid w:val="0"/>
          <w:szCs w:val="24"/>
        </w:rPr>
        <w:t xml:space="preserve"> in matters relating to betting disputes</w:t>
      </w:r>
      <w:r>
        <w:rPr>
          <w:noProof/>
        </w:rPr>
        <w:tab/>
      </w:r>
      <w:r>
        <w:rPr>
          <w:noProof/>
        </w:rPr>
        <w:fldChar w:fldCharType="begin"/>
      </w:r>
      <w:r>
        <w:rPr>
          <w:noProof/>
        </w:rPr>
        <w:instrText xml:space="preserve"> PAGEREF _Toc116986492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Totalisator operation by a racing club</w:t>
      </w:r>
      <w:r>
        <w:rPr>
          <w:noProof/>
        </w:rPr>
        <w:tab/>
      </w:r>
      <w:r>
        <w:rPr>
          <w:noProof/>
        </w:rPr>
        <w:fldChar w:fldCharType="begin"/>
      </w:r>
      <w:r>
        <w:rPr>
          <w:noProof/>
        </w:rPr>
        <w:instrText xml:space="preserve"> PAGEREF _Toc116986493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Telephone betting on sporting events</w:t>
      </w:r>
      <w:r>
        <w:rPr>
          <w:noProof/>
        </w:rPr>
        <w:tab/>
      </w:r>
      <w:r>
        <w:rPr>
          <w:noProof/>
        </w:rPr>
        <w:fldChar w:fldCharType="begin"/>
      </w:r>
      <w:r>
        <w:rPr>
          <w:noProof/>
        </w:rPr>
        <w:instrText xml:space="preserve"> PAGEREF _Toc116986494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Telephone betting on racing</w:t>
      </w:r>
      <w:r>
        <w:rPr>
          <w:noProof/>
        </w:rPr>
        <w:tab/>
      </w:r>
      <w:r>
        <w:rPr>
          <w:noProof/>
        </w:rPr>
        <w:fldChar w:fldCharType="begin"/>
      </w:r>
      <w:r>
        <w:rPr>
          <w:noProof/>
        </w:rPr>
        <w:instrText xml:space="preserve"> PAGEREF _Toc116986495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Credit betting other than by telephone</w:t>
      </w:r>
      <w:r>
        <w:rPr>
          <w:noProof/>
        </w:rPr>
        <w:tab/>
      </w:r>
      <w:r>
        <w:rPr>
          <w:noProof/>
        </w:rPr>
        <w:fldChar w:fldCharType="begin"/>
      </w:r>
      <w:r>
        <w:rPr>
          <w:noProof/>
        </w:rPr>
        <w:instrText xml:space="preserve"> PAGEREF _Toc116986496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Internet betting (sporting events)</w:t>
      </w:r>
      <w:r>
        <w:rPr>
          <w:noProof/>
        </w:rPr>
        <w:tab/>
      </w:r>
      <w:r>
        <w:rPr>
          <w:noProof/>
        </w:rPr>
        <w:fldChar w:fldCharType="begin"/>
      </w:r>
      <w:r>
        <w:rPr>
          <w:noProof/>
        </w:rPr>
        <w:instrText xml:space="preserve"> PAGEREF _Toc116986497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Internet betting (racing)</w:t>
      </w:r>
      <w:r>
        <w:rPr>
          <w:noProof/>
        </w:rPr>
        <w:tab/>
      </w:r>
      <w:r>
        <w:rPr>
          <w:noProof/>
        </w:rPr>
        <w:fldChar w:fldCharType="begin"/>
      </w:r>
      <w:r>
        <w:rPr>
          <w:noProof/>
        </w:rPr>
        <w:instrText xml:space="preserve"> PAGEREF _Toc116986498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Procedures for internet betting</w:t>
      </w:r>
      <w:r>
        <w:rPr>
          <w:noProof/>
        </w:rPr>
        <w:tab/>
      </w:r>
      <w:r>
        <w:rPr>
          <w:noProof/>
        </w:rPr>
        <w:fldChar w:fldCharType="begin"/>
      </w:r>
      <w:r>
        <w:rPr>
          <w:noProof/>
        </w:rPr>
        <w:instrText xml:space="preserve"> PAGEREF _Toc116986499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Form of search warrant</w:t>
      </w:r>
      <w:r>
        <w:rPr>
          <w:noProof/>
        </w:rPr>
        <w:tab/>
      </w:r>
      <w:r>
        <w:rPr>
          <w:noProof/>
        </w:rPr>
        <w:fldChar w:fldCharType="begin"/>
      </w:r>
      <w:r>
        <w:rPr>
          <w:noProof/>
        </w:rPr>
        <w:instrText xml:space="preserve"> PAGEREF _Toc116986500 \h </w:instrText>
      </w:r>
      <w:r>
        <w:rPr>
          <w:noProof/>
        </w:rPr>
      </w:r>
      <w:r>
        <w:rPr>
          <w:noProof/>
        </w:rPr>
        <w:fldChar w:fldCharType="separate"/>
      </w:r>
      <w:r>
        <w:rPr>
          <w:noProof/>
        </w:rPr>
        <w:t>35</w:t>
      </w:r>
      <w:r>
        <w:rPr>
          <w:noProof/>
        </w:rPr>
        <w:fldChar w:fldCharType="end"/>
      </w:r>
    </w:p>
    <w:p>
      <w:pPr>
        <w:pStyle w:val="TOC5"/>
        <w:rPr>
          <w:b w:val="0"/>
          <w:noProof/>
          <w:sz w:val="24"/>
          <w:szCs w:val="24"/>
        </w:rPr>
      </w:pPr>
      <w:r>
        <w:rPr>
          <w:noProof/>
          <w:szCs w:val="28"/>
        </w:rPr>
        <w:t>Appendix</w:t>
      </w:r>
      <w:r>
        <w:rPr>
          <w:noProof/>
        </w:rPr>
        <w:tab/>
      </w:r>
    </w:p>
    <w:p>
      <w:pPr>
        <w:pStyle w:val="TOC7"/>
        <w:rPr>
          <w:noProof/>
          <w:sz w:val="24"/>
          <w:szCs w:val="24"/>
        </w:rPr>
      </w:pPr>
      <w:r>
        <w:rPr>
          <w:bCs/>
          <w:noProof/>
          <w:szCs w:val="28"/>
        </w:rPr>
        <w:t>Rules of Betting</w:t>
      </w:r>
      <w:r>
        <w:rPr>
          <w:noProof/>
        </w:rPr>
        <w:tab/>
      </w:r>
      <w:r>
        <w:rPr>
          <w:noProof/>
        </w:rPr>
        <w:fldChar w:fldCharType="begin"/>
      </w:r>
      <w:r>
        <w:rPr>
          <w:noProof/>
        </w:rPr>
        <w:instrText xml:space="preserve"> PAGEREF _Toc116986502 \h </w:instrText>
      </w:r>
      <w:r>
        <w:rPr>
          <w:noProof/>
        </w:rPr>
      </w:r>
      <w:r>
        <w:rPr>
          <w:noProof/>
        </w:rPr>
        <w:fldChar w:fldCharType="separate"/>
      </w:r>
      <w:r>
        <w:rPr>
          <w:noProof/>
        </w:rPr>
        <w:t>36</w:t>
      </w:r>
      <w:r>
        <w:rPr>
          <w:noProof/>
        </w:rPr>
        <w:fldChar w:fldCharType="end"/>
      </w:r>
    </w:p>
    <w:p>
      <w:pPr>
        <w:pStyle w:val="TOC7"/>
        <w:rPr>
          <w:noProof/>
          <w:sz w:val="24"/>
          <w:szCs w:val="24"/>
        </w:rPr>
      </w:pPr>
      <w:r>
        <w:rPr>
          <w:noProof/>
          <w:szCs w:val="28"/>
        </w:rPr>
        <w:t>Part 1 — Betting under the rules of racing</w:t>
      </w:r>
      <w:r>
        <w:rPr>
          <w:noProof/>
        </w:rPr>
        <w:tab/>
      </w:r>
      <w:r>
        <w:rPr>
          <w:noProof/>
        </w:rPr>
        <w:fldChar w:fldCharType="begin"/>
      </w:r>
      <w:r>
        <w:rPr>
          <w:noProof/>
        </w:rPr>
        <w:instrText xml:space="preserve"> PAGEREF _Toc116986503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_Toc116986504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Bets void in certain circumstances</w:t>
      </w:r>
      <w:r>
        <w:rPr>
          <w:noProof/>
        </w:rPr>
        <w:tab/>
      </w:r>
      <w:r>
        <w:rPr>
          <w:noProof/>
        </w:rPr>
        <w:fldChar w:fldCharType="begin"/>
      </w:r>
      <w:r>
        <w:rPr>
          <w:noProof/>
        </w:rPr>
        <w:instrText xml:space="preserve"> PAGEREF _Toc116986505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When bets are off</w:t>
      </w:r>
      <w:r>
        <w:rPr>
          <w:noProof/>
        </w:rPr>
        <w:tab/>
      </w:r>
      <w:r>
        <w:rPr>
          <w:noProof/>
        </w:rPr>
        <w:fldChar w:fldCharType="begin"/>
      </w:r>
      <w:r>
        <w:rPr>
          <w:noProof/>
        </w:rPr>
        <w:instrText xml:space="preserve"> PAGEREF _Toc116986506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Determination and settlement of bets</w:t>
      </w:r>
      <w:r>
        <w:rPr>
          <w:noProof/>
        </w:rPr>
        <w:tab/>
      </w:r>
      <w:r>
        <w:rPr>
          <w:noProof/>
        </w:rPr>
        <w:fldChar w:fldCharType="begin"/>
      </w:r>
      <w:r>
        <w:rPr>
          <w:noProof/>
        </w:rPr>
        <w:instrText xml:space="preserve"> PAGEREF _Toc116986507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Bets in respect of postponed race or race meeting</w:t>
      </w:r>
      <w:r>
        <w:rPr>
          <w:noProof/>
        </w:rPr>
        <w:tab/>
      </w:r>
      <w:r>
        <w:rPr>
          <w:noProof/>
        </w:rPr>
        <w:fldChar w:fldCharType="begin"/>
      </w:r>
      <w:r>
        <w:rPr>
          <w:noProof/>
        </w:rPr>
        <w:instrText xml:space="preserve"> PAGEREF _Toc116986508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Each way bets</w:t>
      </w:r>
      <w:r>
        <w:rPr>
          <w:noProof/>
        </w:rPr>
        <w:tab/>
      </w:r>
      <w:r>
        <w:rPr>
          <w:noProof/>
        </w:rPr>
        <w:fldChar w:fldCharType="begin"/>
      </w:r>
      <w:r>
        <w:rPr>
          <w:noProof/>
        </w:rPr>
        <w:instrText xml:space="preserve"> PAGEREF _Toc116986509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All bets to be “play or pay” except in certain circumstances</w:t>
      </w:r>
      <w:r>
        <w:rPr>
          <w:noProof/>
        </w:rPr>
        <w:tab/>
      </w:r>
      <w:r>
        <w:rPr>
          <w:noProof/>
        </w:rPr>
        <w:fldChar w:fldCharType="begin"/>
      </w:r>
      <w:r>
        <w:rPr>
          <w:noProof/>
        </w:rPr>
        <w:instrText xml:space="preserve"> PAGEREF _Toc116986510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Provisions as to settlement of bets following a dead heat</w:t>
      </w:r>
      <w:r>
        <w:rPr>
          <w:noProof/>
        </w:rPr>
        <w:tab/>
      </w:r>
      <w:r>
        <w:rPr>
          <w:noProof/>
        </w:rPr>
        <w:tab/>
      </w:r>
      <w:r>
        <w:rPr>
          <w:noProof/>
        </w:rPr>
        <w:fldChar w:fldCharType="begin"/>
      </w:r>
      <w:r>
        <w:rPr>
          <w:noProof/>
        </w:rPr>
        <w:instrText xml:space="preserve"> PAGEREF _Toc116986511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Doubles</w:t>
      </w:r>
      <w:r>
        <w:rPr>
          <w:noProof/>
        </w:rPr>
        <w:tab/>
      </w:r>
      <w:r>
        <w:rPr>
          <w:noProof/>
        </w:rPr>
        <w:fldChar w:fldCharType="begin"/>
      </w:r>
      <w:r>
        <w:rPr>
          <w:noProof/>
        </w:rPr>
        <w:instrText xml:space="preserve"> PAGEREF _Toc116986512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Multiple doubles</w:t>
      </w:r>
      <w:r>
        <w:rPr>
          <w:noProof/>
        </w:rPr>
        <w:tab/>
      </w:r>
      <w:r>
        <w:rPr>
          <w:noProof/>
        </w:rPr>
        <w:fldChar w:fldCharType="begin"/>
      </w:r>
      <w:r>
        <w:rPr>
          <w:noProof/>
        </w:rPr>
        <w:instrText xml:space="preserve"> PAGEREF _Toc116986513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“All up” bets</w:t>
      </w:r>
      <w:r>
        <w:rPr>
          <w:noProof/>
        </w:rPr>
        <w:tab/>
      </w:r>
      <w:r>
        <w:rPr>
          <w:noProof/>
        </w:rPr>
        <w:fldChar w:fldCharType="begin"/>
      </w:r>
      <w:r>
        <w:rPr>
          <w:noProof/>
        </w:rPr>
        <w:instrText xml:space="preserve"> PAGEREF _Toc116986514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Provisions as to races that are re</w:t>
      </w:r>
      <w:r>
        <w:rPr>
          <w:noProof/>
          <w:snapToGrid w:val="0"/>
          <w:szCs w:val="22"/>
        </w:rPr>
        <w:noBreakHyphen/>
        <w:t>run</w:t>
      </w:r>
      <w:r>
        <w:rPr>
          <w:noProof/>
        </w:rPr>
        <w:tab/>
      </w:r>
      <w:r>
        <w:rPr>
          <w:noProof/>
        </w:rPr>
        <w:fldChar w:fldCharType="begin"/>
      </w:r>
      <w:r>
        <w:rPr>
          <w:noProof/>
        </w:rPr>
        <w:instrText xml:space="preserve"> PAGEREF _Toc116986515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Provisions as to bets on runners that are entered for 2 or more races on the same day</w:t>
      </w:r>
      <w:r>
        <w:rPr>
          <w:noProof/>
        </w:rPr>
        <w:tab/>
      </w:r>
      <w:r>
        <w:rPr>
          <w:noProof/>
        </w:rPr>
        <w:fldChar w:fldCharType="begin"/>
      </w:r>
      <w:r>
        <w:rPr>
          <w:noProof/>
        </w:rPr>
        <w:instrText xml:space="preserve"> PAGEREF _Toc116986516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Prohibition on betting after race</w:t>
      </w:r>
      <w:r>
        <w:rPr>
          <w:noProof/>
        </w:rPr>
        <w:tab/>
      </w:r>
      <w:r>
        <w:rPr>
          <w:noProof/>
        </w:rPr>
        <w:fldChar w:fldCharType="begin"/>
      </w:r>
      <w:r>
        <w:rPr>
          <w:noProof/>
        </w:rPr>
        <w:instrText xml:space="preserve"> PAGEREF _Toc116986517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Settlement of bets on deaths of parties thereto</w:t>
      </w:r>
      <w:r>
        <w:rPr>
          <w:noProof/>
        </w:rPr>
        <w:tab/>
      </w:r>
      <w:r>
        <w:rPr>
          <w:noProof/>
        </w:rPr>
        <w:fldChar w:fldCharType="begin"/>
      </w:r>
      <w:r>
        <w:rPr>
          <w:noProof/>
        </w:rPr>
        <w:instrText xml:space="preserve"> PAGEREF _Toc116986518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napToGrid w:val="0"/>
          <w:szCs w:val="22"/>
        </w:rPr>
        <w:t>16.</w:t>
      </w:r>
      <w:r>
        <w:rPr>
          <w:noProof/>
          <w:sz w:val="24"/>
          <w:szCs w:val="24"/>
        </w:rPr>
        <w:tab/>
      </w:r>
      <w:r>
        <w:rPr>
          <w:noProof/>
          <w:snapToGrid w:val="0"/>
          <w:szCs w:val="22"/>
        </w:rPr>
        <w:t>Settlement of bets on suspension or cancellation of licence of a bookmaker</w:t>
      </w:r>
      <w:r>
        <w:rPr>
          <w:noProof/>
        </w:rPr>
        <w:tab/>
      </w:r>
      <w:r>
        <w:rPr>
          <w:noProof/>
        </w:rPr>
        <w:fldChar w:fldCharType="begin"/>
      </w:r>
      <w:r>
        <w:rPr>
          <w:noProof/>
        </w:rPr>
        <w:instrText xml:space="preserve"> PAGEREF _Toc116986519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napToGrid w:val="0"/>
          <w:szCs w:val="22"/>
        </w:rPr>
        <w:t>17.</w:t>
      </w:r>
      <w:r>
        <w:rPr>
          <w:noProof/>
          <w:sz w:val="24"/>
          <w:szCs w:val="24"/>
        </w:rPr>
        <w:tab/>
      </w:r>
      <w:r>
        <w:rPr>
          <w:noProof/>
          <w:snapToGrid w:val="0"/>
          <w:szCs w:val="22"/>
        </w:rPr>
        <w:t>Settling</w:t>
      </w:r>
      <w:r>
        <w:rPr>
          <w:noProof/>
        </w:rPr>
        <w:tab/>
      </w:r>
      <w:r>
        <w:rPr>
          <w:noProof/>
        </w:rPr>
        <w:fldChar w:fldCharType="begin"/>
      </w:r>
      <w:r>
        <w:rPr>
          <w:noProof/>
        </w:rPr>
        <w:instrText xml:space="preserve"> PAGEREF _Toc116986520 \h </w:instrText>
      </w:r>
      <w:r>
        <w:rPr>
          <w:noProof/>
        </w:rPr>
      </w:r>
      <w:r>
        <w:rPr>
          <w:noProof/>
        </w:rPr>
        <w:fldChar w:fldCharType="separate"/>
      </w:r>
      <w:r>
        <w:rPr>
          <w:noProof/>
        </w:rPr>
        <w:t>47</w:t>
      </w:r>
      <w:r>
        <w:rPr>
          <w:noProof/>
        </w:rPr>
        <w:fldChar w:fldCharType="end"/>
      </w:r>
    </w:p>
    <w:p>
      <w:pPr>
        <w:pStyle w:val="TOC7"/>
        <w:rPr>
          <w:noProof/>
          <w:sz w:val="24"/>
          <w:szCs w:val="24"/>
        </w:rPr>
      </w:pPr>
      <w:r>
        <w:rPr>
          <w:noProof/>
          <w:szCs w:val="28"/>
        </w:rPr>
        <w:t>Part 2 — Betting on a sporting event, or a contingency, approved under section 4B</w:t>
      </w:r>
      <w:r>
        <w:rPr>
          <w:noProof/>
        </w:rPr>
        <w:tab/>
      </w:r>
      <w:r>
        <w:rPr>
          <w:noProof/>
        </w:rPr>
        <w:fldChar w:fldCharType="begin"/>
      </w:r>
      <w:r>
        <w:rPr>
          <w:noProof/>
        </w:rPr>
        <w:instrText xml:space="preserve"> PAGEREF _Toc116986521 \h </w:instrText>
      </w:r>
      <w:r>
        <w:rPr>
          <w:noProof/>
        </w:rPr>
      </w:r>
      <w:r>
        <w:rPr>
          <w:noProof/>
        </w:rPr>
        <w:fldChar w:fldCharType="separate"/>
      </w:r>
      <w:r>
        <w:rPr>
          <w:noProof/>
        </w:rPr>
        <w:t>47</w:t>
      </w:r>
      <w:r>
        <w:rPr>
          <w:noProof/>
        </w:rPr>
        <w:fldChar w:fldCharType="end"/>
      </w:r>
    </w:p>
    <w:p>
      <w:pPr>
        <w:pStyle w:val="TOC5"/>
        <w:rPr>
          <w:b w:val="0"/>
          <w:noProof/>
          <w:sz w:val="24"/>
          <w:szCs w:val="24"/>
        </w:rPr>
      </w:pPr>
      <w:r>
        <w:rPr>
          <w:noProof/>
          <w:szCs w:val="28"/>
        </w:rPr>
        <w:t>Schedule 1 — Forms</w:t>
      </w:r>
      <w:r>
        <w:rPr>
          <w:noProof/>
        </w:rPr>
        <w:tab/>
      </w:r>
    </w:p>
    <w:p>
      <w:pPr>
        <w:pStyle w:val="TOC2"/>
        <w:tabs>
          <w:tab w:val="right" w:leader="dot" w:pos="7078"/>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_Toc116986524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_Toc116986525 \h </w:instrText>
      </w:r>
      <w:r>
        <w:rPr>
          <w:noProof/>
        </w:rPr>
      </w:r>
      <w:r>
        <w:rPr>
          <w:noProof/>
        </w:rPr>
        <w:fldChar w:fldCharType="separate"/>
      </w:r>
      <w:r>
        <w:rPr>
          <w:noProof/>
        </w:rPr>
        <w:t>56</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Betting Control Act 1954</w:t>
      </w:r>
    </w:p>
    <w:p>
      <w:pPr>
        <w:pStyle w:val="NameofActReg"/>
      </w:pPr>
      <w:r>
        <w:t>Betting Control Regulations 1978</w:t>
      </w:r>
    </w:p>
    <w:p>
      <w:pPr>
        <w:pStyle w:val="Heading5"/>
        <w:spacing w:before="260"/>
        <w:rPr>
          <w:snapToGrid w:val="0"/>
        </w:rPr>
      </w:pPr>
      <w:bookmarkStart w:id="2" w:name="_Toc495993552"/>
      <w:bookmarkStart w:id="3" w:name="_Toc511525028"/>
      <w:bookmarkStart w:id="4" w:name="_Toc27803391"/>
      <w:bookmarkStart w:id="5" w:name="_Toc116986449"/>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spacing w:before="200"/>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spacing w:before="260"/>
        <w:rPr>
          <w:snapToGrid w:val="0"/>
        </w:rPr>
      </w:pPr>
      <w:bookmarkStart w:id="6" w:name="_Toc495993553"/>
      <w:bookmarkStart w:id="7" w:name="_Toc511525029"/>
      <w:bookmarkStart w:id="8" w:name="_Toc27803392"/>
      <w:bookmarkStart w:id="9" w:name="_Toc116986450"/>
      <w:r>
        <w:rPr>
          <w:rStyle w:val="CharSectno"/>
        </w:rPr>
        <w:t>2</w:t>
      </w:r>
      <w:r>
        <w:rPr>
          <w:snapToGrid w:val="0"/>
        </w:rPr>
        <w:t>.</w:t>
      </w:r>
      <w:r>
        <w:rPr>
          <w:snapToGrid w:val="0"/>
        </w:rPr>
        <w:tab/>
        <w:t>Transitional provision</w:t>
      </w:r>
      <w:bookmarkEnd w:id="6"/>
      <w:bookmarkEnd w:id="7"/>
      <w:bookmarkEnd w:id="8"/>
      <w:bookmarkEnd w:id="9"/>
      <w:r>
        <w:rPr>
          <w:snapToGrid w:val="0"/>
        </w:rPr>
        <w:t xml:space="preserve"> </w:t>
      </w:r>
    </w:p>
    <w:p>
      <w:pPr>
        <w:pStyle w:val="Subsection"/>
        <w:spacing w:before="200"/>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w:t>
      </w:r>
      <w:r>
        <w:rPr>
          <w:snapToGrid w:val="0"/>
          <w:vertAlign w:val="superscript"/>
        </w:rPr>
        <w:t>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rPr>
          <w:snapToGrid w:val="0"/>
        </w:rPr>
      </w:pPr>
      <w:bookmarkStart w:id="10" w:name="_Toc495993554"/>
      <w:bookmarkStart w:id="11" w:name="_Toc511525030"/>
      <w:bookmarkStart w:id="12" w:name="_Toc27803393"/>
      <w:bookmarkStart w:id="13" w:name="_Toc116986451"/>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tab/>
        <w:t>“</w:t>
      </w:r>
      <w:r>
        <w:rPr>
          <w:rStyle w:val="CharDefText"/>
        </w:rPr>
        <w:t>country</w:t>
      </w:r>
      <w:r>
        <w:rPr>
          <w:b/>
        </w:rPr>
        <w:t>”</w:t>
      </w:r>
      <w:r>
        <w:t xml:space="preserve"> means any part of the State outside the metropolitan area; </w:t>
      </w:r>
    </w:p>
    <w:p>
      <w:pPr>
        <w:pStyle w:val="Defstart"/>
      </w:pPr>
      <w:r>
        <w:rPr>
          <w:b/>
        </w:rPr>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Footnotesection"/>
      </w:pPr>
      <w:r>
        <w:tab/>
        <w:t>[Regulation 3 amended in Gazette 24 Jun 1988 p. 2003; 14 Feb 1992 p. 857; 10 Jul 1992 p. 3286</w:t>
      </w:r>
      <w:r>
        <w:noBreakHyphen/>
        <w:t xml:space="preserve">7; 21 Jul 1998 p. 3851, 3854, 3855 and 3856; 26 Nov 1999 p. 5908; 30 Jan 2004 p. 403.] </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14" w:name="_Toc495993560"/>
      <w:bookmarkStart w:id="15" w:name="_Toc511525036"/>
      <w:bookmarkStart w:id="16" w:name="_Toc27803400"/>
      <w:bookmarkStart w:id="17" w:name="_Toc116986452"/>
      <w:r>
        <w:rPr>
          <w:rStyle w:val="CharSectno"/>
        </w:rPr>
        <w:t>9</w:t>
      </w:r>
      <w:r>
        <w:rPr>
          <w:snapToGrid w:val="0"/>
        </w:rPr>
        <w:t>.</w:t>
      </w:r>
      <w:r>
        <w:rPr>
          <w:snapToGrid w:val="0"/>
        </w:rPr>
        <w:tab/>
        <w:t>Application for licence</w:t>
      </w:r>
      <w:bookmarkEnd w:id="14"/>
      <w:bookmarkEnd w:id="15"/>
      <w:bookmarkEnd w:id="16"/>
      <w:bookmarkEnd w:id="17"/>
      <w:r>
        <w:rPr>
          <w:snapToGrid w:val="0"/>
        </w:rPr>
        <w:t xml:space="preserve"> </w:t>
      </w:r>
    </w:p>
    <w:p>
      <w:pPr>
        <w:pStyle w:val="Subsection"/>
        <w:spacing w:before="180"/>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18" w:name="_Toc495993561"/>
      <w:bookmarkStart w:id="19" w:name="_Toc511525037"/>
      <w:bookmarkStart w:id="20" w:name="_Toc27803401"/>
      <w:bookmarkStart w:id="21" w:name="_Toc116986453"/>
      <w:r>
        <w:rPr>
          <w:rStyle w:val="CharSectno"/>
        </w:rPr>
        <w:t>9A</w:t>
      </w:r>
      <w:r>
        <w:t>.</w:t>
      </w:r>
      <w:r>
        <w:tab/>
        <w:t>Application to conduct a designated sporting event</w:t>
      </w:r>
      <w:bookmarkEnd w:id="18"/>
      <w:bookmarkEnd w:id="19"/>
      <w:bookmarkEnd w:id="20"/>
      <w:bookmarkEnd w:id="21"/>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22" w:name="_Toc27803402"/>
      <w:bookmarkStart w:id="23" w:name="_Toc116986454"/>
      <w:bookmarkStart w:id="24" w:name="_Toc495993562"/>
      <w:bookmarkStart w:id="25" w:name="_Toc511525038"/>
      <w:r>
        <w:rPr>
          <w:rStyle w:val="CharSectno"/>
        </w:rPr>
        <w:t>10</w:t>
      </w:r>
      <w:r>
        <w:t>.</w:t>
      </w:r>
      <w:r>
        <w:tab/>
        <w:t>Application for approval</w:t>
      </w:r>
      <w:bookmarkEnd w:id="22"/>
      <w:bookmarkEnd w:id="23"/>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26" w:name="_Toc27803403"/>
      <w:bookmarkStart w:id="27" w:name="_Toc116986455"/>
      <w:r>
        <w:rPr>
          <w:rStyle w:val="CharSectno"/>
        </w:rPr>
        <w:t>11</w:t>
      </w:r>
      <w:r>
        <w:rPr>
          <w:snapToGrid w:val="0"/>
        </w:rPr>
        <w:t>.</w:t>
      </w:r>
      <w:r>
        <w:rPr>
          <w:snapToGrid w:val="0"/>
        </w:rPr>
        <w:tab/>
        <w:t>When a licence may be renewed</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28" w:name="_Toc495993563"/>
      <w:bookmarkStart w:id="29" w:name="_Toc511525039"/>
      <w:bookmarkStart w:id="30" w:name="_Toc27803404"/>
      <w:bookmarkStart w:id="31" w:name="_Toc116986456"/>
      <w:r>
        <w:rPr>
          <w:rStyle w:val="CharSectno"/>
        </w:rPr>
        <w:t>12</w:t>
      </w:r>
      <w:r>
        <w:rPr>
          <w:snapToGrid w:val="0"/>
        </w:rPr>
        <w:t>.</w:t>
      </w:r>
      <w:r>
        <w:rPr>
          <w:snapToGrid w:val="0"/>
        </w:rPr>
        <w:tab/>
        <w:t xml:space="preserve">Grant of a </w:t>
      </w:r>
      <w:bookmarkEnd w:id="28"/>
      <w:r>
        <w:rPr>
          <w:snapToGrid w:val="0"/>
        </w:rPr>
        <w:t>licence</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32" w:name="_Toc495993565"/>
      <w:bookmarkStart w:id="33" w:name="_Toc511525041"/>
      <w:bookmarkStart w:id="34" w:name="_Toc27803405"/>
      <w:bookmarkStart w:id="35" w:name="_Toc116986457"/>
      <w:r>
        <w:rPr>
          <w:rStyle w:val="CharSectno"/>
        </w:rPr>
        <w:t>14</w:t>
      </w:r>
      <w:r>
        <w:rPr>
          <w:snapToGrid w:val="0"/>
        </w:rPr>
        <w:t>.</w:t>
      </w:r>
      <w:r>
        <w:rPr>
          <w:snapToGrid w:val="0"/>
        </w:rPr>
        <w:tab/>
        <w:t xml:space="preserve">Effect of a </w:t>
      </w:r>
      <w:bookmarkEnd w:id="32"/>
      <w:r>
        <w:rPr>
          <w:snapToGrid w:val="0"/>
        </w:rPr>
        <w:t>licence</w:t>
      </w:r>
      <w:bookmarkEnd w:id="33"/>
      <w:bookmarkEnd w:id="34"/>
      <w:bookmarkEnd w:id="35"/>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36" w:name="_Toc495993566"/>
      <w:bookmarkStart w:id="37" w:name="_Toc511525042"/>
      <w:bookmarkStart w:id="38" w:name="_Toc27803406"/>
      <w:bookmarkStart w:id="39" w:name="_Toc116986458"/>
      <w:r>
        <w:rPr>
          <w:rStyle w:val="CharSectno"/>
        </w:rPr>
        <w:t>16</w:t>
      </w:r>
      <w:r>
        <w:rPr>
          <w:snapToGrid w:val="0"/>
        </w:rPr>
        <w:t>.</w:t>
      </w:r>
      <w:r>
        <w:rPr>
          <w:snapToGrid w:val="0"/>
        </w:rPr>
        <w:tab/>
        <w:t>Duplicate licences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40" w:name="_Toc495993567"/>
      <w:bookmarkStart w:id="41" w:name="_Toc511525043"/>
      <w:bookmarkStart w:id="42" w:name="_Toc27803407"/>
      <w:bookmarkStart w:id="43" w:name="_Toc116986459"/>
      <w:r>
        <w:rPr>
          <w:rStyle w:val="CharSectno"/>
        </w:rPr>
        <w:t>17</w:t>
      </w:r>
      <w:r>
        <w:rPr>
          <w:snapToGrid w:val="0"/>
        </w:rPr>
        <w:t>.</w:t>
      </w:r>
      <w:r>
        <w:rPr>
          <w:snapToGrid w:val="0"/>
        </w:rPr>
        <w:tab/>
        <w:t>Fees</w:t>
      </w:r>
      <w:bookmarkEnd w:id="40"/>
      <w:bookmarkEnd w:id="41"/>
      <w:r>
        <w:rPr>
          <w:snapToGrid w:val="0"/>
        </w:rPr>
        <w:t xml:space="preserve"> and charges</w:t>
      </w:r>
      <w:bookmarkEnd w:id="42"/>
      <w:bookmarkEnd w:id="43"/>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iCs/>
          <w:snapToGrid w:val="0"/>
        </w:rPr>
        <w:t>(granted</w:t>
      </w:r>
      <w:r>
        <w:rPr>
          <w:i/>
          <w:iCs/>
          <w:snapToGrid w:val="0"/>
        </w:rPr>
        <w:br/>
        <w:t>under section 4B for betting on a sporting</w:t>
      </w:r>
      <w:r>
        <w:rPr>
          <w:i/>
          <w:iCs/>
          <w:snapToGrid w:val="0"/>
        </w:rPr>
        <w:br/>
        <w:t>event, or a contingency, or granted for</w:t>
      </w:r>
      <w:r>
        <w:rPr>
          <w:i/>
          <w:iCs/>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.......................................................$50;</w:t>
      </w:r>
    </w:p>
    <w:p>
      <w:pPr>
        <w:pStyle w:val="Indenta"/>
        <w:spacing w:before="100"/>
        <w:rPr>
          <w:snapToGrid w:val="0"/>
        </w:rPr>
      </w:pPr>
      <w:r>
        <w:rPr>
          <w:snapToGrid w:val="0"/>
        </w:rPr>
        <w:tab/>
        <w:t>(ac)</w:t>
      </w:r>
      <w:r>
        <w:rPr>
          <w:snapToGrid w:val="0"/>
        </w:rPr>
        <w:tab/>
        <w:t xml:space="preserve">On the endorsement of a permit </w:t>
      </w:r>
      <w:r>
        <w:rPr>
          <w:i/>
          <w:iCs/>
          <w:snapToGrid w:val="0"/>
        </w:rPr>
        <w:t>(granted</w:t>
      </w:r>
      <w:r>
        <w:rPr>
          <w:i/>
          <w:iCs/>
          <w:snapToGrid w:val="0"/>
        </w:rPr>
        <w:br/>
        <w:t>under section 4B for betting on a sporting</w:t>
      </w:r>
      <w:r>
        <w:rPr>
          <w:i/>
          <w:iCs/>
          <w:snapToGrid w:val="0"/>
        </w:rPr>
        <w:br/>
        <w:t>event, or a contingency, or granted for</w:t>
      </w:r>
      <w:r>
        <w:rPr>
          <w:i/>
          <w:iCs/>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betting.........................................................$265;</w:t>
      </w:r>
    </w:p>
    <w:p>
      <w:pPr>
        <w:pStyle w:val="Indenta"/>
        <w:spacing w:before="100"/>
        <w:rPr>
          <w:snapToGrid w:val="0"/>
        </w:rPr>
      </w:pPr>
      <w:r>
        <w:rPr>
          <w:snapToGrid w:val="0"/>
        </w:rPr>
        <w:tab/>
        <w:t>(ad)</w:t>
      </w:r>
      <w:r>
        <w:rPr>
          <w:snapToGrid w:val="0"/>
        </w:rPr>
        <w:tab/>
        <w:t xml:space="preserve">On an application for approval </w:t>
      </w:r>
      <w:r>
        <w:rPr>
          <w:i/>
          <w:iCs/>
          <w:snapToGrid w:val="0"/>
        </w:rPr>
        <w:t>(under</w:t>
      </w:r>
      <w:r>
        <w:rPr>
          <w:i/>
          <w:iCs/>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licence......................................................................$525;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licence.......................................................$125;</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licence....................................$65;</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dispute............................$120;</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............................................$500.</w:t>
      </w:r>
    </w:p>
    <w:p>
      <w:pPr>
        <w:pStyle w:val="Subsection"/>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$75.</w:t>
      </w:r>
    </w:p>
    <w:p>
      <w:pPr>
        <w:pStyle w:val="Subsection"/>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$75.</w:t>
      </w:r>
    </w:p>
    <w:p>
      <w:pPr>
        <w:pStyle w:val="Footnotesection"/>
      </w:pPr>
      <w:r>
        <w:tab/>
        <w:t xml:space="preserve">[Regulation 17 amended in Gazette 14 Jul 1989 p. 2133; 10 Jul 1992 p. 3288; 21 Jul 1998 p. 3852; 2 Oct 2001 p. 5454; 20 Sep 2002 p. 4699; 26 Sep 2003 p. 4226; 30 Jan 2004 p. 404 and 412; 9 Jul 2004 p. 2781.] </w:t>
      </w:r>
    </w:p>
    <w:p>
      <w:pPr>
        <w:pStyle w:val="Heading5"/>
        <w:rPr>
          <w:snapToGrid w:val="0"/>
        </w:rPr>
      </w:pPr>
      <w:bookmarkStart w:id="44" w:name="_Toc495993568"/>
      <w:bookmarkStart w:id="45" w:name="_Toc511525044"/>
      <w:bookmarkStart w:id="46" w:name="_Toc27803408"/>
      <w:bookmarkStart w:id="47" w:name="_Toc116986460"/>
      <w:r>
        <w:rPr>
          <w:rStyle w:val="CharSectno"/>
        </w:rPr>
        <w:t>17A</w:t>
      </w:r>
      <w:r>
        <w:rPr>
          <w:snapToGrid w:val="0"/>
        </w:rPr>
        <w:t>.</w:t>
      </w:r>
      <w:r>
        <w:rPr>
          <w:snapToGrid w:val="0"/>
        </w:rPr>
        <w:tab/>
        <w:t>Bookmakers’ annual licence fee</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$250 000.......................................................$290;</w:t>
      </w:r>
    </w:p>
    <w:p>
      <w:pPr>
        <w:pStyle w:val="Indenti"/>
      </w:pPr>
      <w:r>
        <w:tab/>
        <w:t>(ii)</w:t>
      </w:r>
      <w:r>
        <w:tab/>
        <w:t xml:space="preserve">on total turnover greater than </w:t>
      </w:r>
      <w:r>
        <w:br/>
        <w:t>$250 000 but not exceeding</w:t>
      </w:r>
      <w:r>
        <w:br/>
        <w:t>$1 000 000....................................................$580; and</w:t>
      </w:r>
    </w:p>
    <w:p>
      <w:pPr>
        <w:pStyle w:val="Indenti"/>
      </w:pPr>
      <w:r>
        <w:tab/>
        <w:t>(iii)</w:t>
      </w:r>
      <w:r>
        <w:tab/>
        <w:t>on total turnover greater than</w:t>
      </w:r>
      <w:r>
        <w:br/>
        <w:t>$1 000 000....................................................$875,</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w:t>
      </w:r>
    </w:p>
    <w:p>
      <w:pPr>
        <w:pStyle w:val="Heading5"/>
        <w:rPr>
          <w:snapToGrid w:val="0"/>
        </w:rPr>
      </w:pPr>
      <w:bookmarkStart w:id="48" w:name="_Toc495993569"/>
      <w:bookmarkStart w:id="49" w:name="_Toc511525045"/>
      <w:bookmarkStart w:id="50" w:name="_Toc27803409"/>
      <w:bookmarkStart w:id="51" w:name="_Toc116986461"/>
      <w:r>
        <w:rPr>
          <w:rStyle w:val="CharSectno"/>
        </w:rPr>
        <w:t>17B</w:t>
      </w:r>
      <w:r>
        <w:rPr>
          <w:snapToGrid w:val="0"/>
        </w:rPr>
        <w:t>.</w:t>
      </w:r>
      <w:r>
        <w:rPr>
          <w:snapToGrid w:val="0"/>
        </w:rPr>
        <w:tab/>
        <w:t>On</w:t>
      </w:r>
      <w:r>
        <w:rPr>
          <w:snapToGrid w:val="0"/>
        </w:rPr>
        <w:noBreakHyphen/>
        <w:t>course totalisator annual licence fee</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100 000.............................$35;</w:t>
      </w:r>
      <w:r>
        <w:br/>
        <w:t>and</w:t>
      </w:r>
    </w:p>
    <w:p>
      <w:pPr>
        <w:pStyle w:val="Indenti"/>
      </w:pPr>
      <w:r>
        <w:tab/>
        <w:t>(iii)</w:t>
      </w:r>
      <w:r>
        <w:tab/>
        <w:t>on total turnover greater than</w:t>
      </w:r>
      <w:r>
        <w:br/>
        <w:t>$100 000...............................................0.030%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w:t>
      </w:r>
    </w:p>
    <w:p>
      <w:pPr>
        <w:pStyle w:val="Heading5"/>
      </w:pPr>
      <w:bookmarkStart w:id="52" w:name="_Toc495993570"/>
      <w:bookmarkStart w:id="53" w:name="_Toc511525046"/>
      <w:bookmarkStart w:id="54" w:name="_Toc27803410"/>
      <w:bookmarkStart w:id="55" w:name="_Toc116986462"/>
      <w:r>
        <w:rPr>
          <w:rStyle w:val="CharSectno"/>
        </w:rPr>
        <w:t>17C</w:t>
      </w:r>
      <w:r>
        <w:rPr>
          <w:spacing w:val="-2"/>
        </w:rPr>
        <w:t>.</w:t>
      </w:r>
      <w:r>
        <w:rPr>
          <w:spacing w:val="-2"/>
        </w:rPr>
        <w:tab/>
      </w:r>
      <w:r>
        <w:t>Percentage of bets to belong to RWWA</w:t>
      </w:r>
      <w:bookmarkEnd w:id="52"/>
      <w:bookmarkEnd w:id="53"/>
      <w:bookmarkEnd w:id="54"/>
      <w:bookmarkEnd w:id="55"/>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other win and place bets, 14.25% of the gross takings of the totalisator pool;</w:t>
      </w:r>
    </w:p>
    <w:p>
      <w:pPr>
        <w:pStyle w:val="Indenta"/>
        <w:keepNext/>
        <w:keepLines/>
      </w:pPr>
      <w:r>
        <w:tab/>
        <w:t>(c)</w:t>
      </w:r>
      <w:r>
        <w:tab/>
        <w:t xml:space="preserve">for all novelty bets as described in regulation 38(1) of the </w:t>
      </w:r>
      <w:r>
        <w:rPr>
          <w:i/>
        </w:rPr>
        <w:t>Totalisator Agency Board (Betting) Regulations 1988</w:t>
      </w:r>
      <w:r>
        <w:rPr>
          <w:vertAlign w:val="superscript"/>
        </w:rPr>
        <w:t> 2</w:t>
      </w:r>
      <w:r>
        <w:t>, other than a favourite numbers bet, 20%; and</w:t>
      </w:r>
    </w:p>
    <w:p>
      <w:pPr>
        <w:pStyle w:val="Indenta"/>
        <w:keepNext/>
        <w:keepLines/>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w:t>
      </w:r>
    </w:p>
    <w:p>
      <w:pPr>
        <w:pStyle w:val="Heading5"/>
      </w:pPr>
      <w:bookmarkStart w:id="56" w:name="_Toc495993571"/>
      <w:bookmarkStart w:id="57" w:name="_Toc511525047"/>
      <w:bookmarkStart w:id="58" w:name="_Toc27803411"/>
      <w:bookmarkStart w:id="59" w:name="_Toc116986463"/>
      <w:r>
        <w:rPr>
          <w:rStyle w:val="CharSectno"/>
        </w:rPr>
        <w:t>17D</w:t>
      </w:r>
      <w:r>
        <w:t>.</w:t>
      </w:r>
      <w:r>
        <w:tab/>
        <w:t>Percentage of bets to belong to racing club</w:t>
      </w:r>
      <w:bookmarkEnd w:id="56"/>
      <w:bookmarkEnd w:id="57"/>
      <w:bookmarkEnd w:id="58"/>
      <w:bookmarkEnd w:id="59"/>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5"/>
      </w:pPr>
      <w:bookmarkStart w:id="60" w:name="_Toc495993572"/>
      <w:bookmarkStart w:id="61" w:name="_Toc511525048"/>
      <w:bookmarkStart w:id="62" w:name="_Toc27803412"/>
      <w:bookmarkStart w:id="63" w:name="_Toc116986464"/>
      <w:r>
        <w:rPr>
          <w:rStyle w:val="CharSectno"/>
        </w:rPr>
        <w:t>17E</w:t>
      </w:r>
      <w:r>
        <w:t>.</w:t>
      </w:r>
      <w:r>
        <w:tab/>
        <w:t>Levy which may be retained</w:t>
      </w:r>
      <w:bookmarkEnd w:id="60"/>
      <w:bookmarkEnd w:id="61"/>
      <w:bookmarkEnd w:id="62"/>
      <w:bookmarkEnd w:id="63"/>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64" w:name="_Toc495993573"/>
      <w:bookmarkStart w:id="65" w:name="_Toc511525049"/>
      <w:bookmarkStart w:id="66" w:name="_Toc27803413"/>
      <w:bookmarkStart w:id="67" w:name="_Toc116986465"/>
      <w:r>
        <w:rPr>
          <w:rStyle w:val="CharSectno"/>
        </w:rPr>
        <w:t>18</w:t>
      </w:r>
      <w:r>
        <w:t>.</w:t>
      </w:r>
      <w:r>
        <w:tab/>
        <w:t>Security to be given</w:t>
      </w:r>
      <w:bookmarkEnd w:id="64"/>
      <w:bookmarkEnd w:id="65"/>
      <w:bookmarkEnd w:id="66"/>
      <w:bookmarkEnd w:id="67"/>
    </w:p>
    <w:p>
      <w:pPr>
        <w:pStyle w:val="Subsection"/>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0" w:type="auto"/>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68" w:name="_Toc495993574"/>
      <w:bookmarkStart w:id="69" w:name="_Toc511525050"/>
      <w:bookmarkStart w:id="70" w:name="_Toc27803414"/>
      <w:bookmarkStart w:id="71" w:name="_Toc116986466"/>
      <w:r>
        <w:rPr>
          <w:rStyle w:val="CharSectno"/>
        </w:rPr>
        <w:t>25</w:t>
      </w:r>
      <w:r>
        <w:rPr>
          <w:snapToGrid w:val="0"/>
        </w:rPr>
        <w:t>.</w:t>
      </w:r>
      <w:r>
        <w:rPr>
          <w:snapToGrid w:val="0"/>
        </w:rPr>
        <w:tab/>
        <w:t>Register</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72" w:name="_Toc495993575"/>
      <w:bookmarkStart w:id="73" w:name="_Toc511525051"/>
      <w:bookmarkStart w:id="74" w:name="_Toc27803415"/>
      <w:bookmarkStart w:id="75" w:name="_Toc116986467"/>
      <w:r>
        <w:rPr>
          <w:rStyle w:val="CharSectno"/>
        </w:rPr>
        <w:t>27</w:t>
      </w:r>
      <w:r>
        <w:rPr>
          <w:snapToGrid w:val="0"/>
        </w:rPr>
        <w:t>.</w:t>
      </w:r>
      <w:r>
        <w:rPr>
          <w:snapToGrid w:val="0"/>
        </w:rPr>
        <w:tab/>
        <w:t>Change of address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76" w:name="_Toc495993576"/>
      <w:bookmarkStart w:id="77" w:name="_Toc511525052"/>
      <w:bookmarkStart w:id="78" w:name="_Toc27803416"/>
      <w:bookmarkStart w:id="79" w:name="_Toc116986468"/>
      <w:r>
        <w:rPr>
          <w:rStyle w:val="CharSectno"/>
        </w:rPr>
        <w:t>28</w:t>
      </w:r>
      <w:r>
        <w:rPr>
          <w:snapToGrid w:val="0"/>
        </w:rPr>
        <w:t>.</w:t>
      </w:r>
      <w:r>
        <w:rPr>
          <w:snapToGrid w:val="0"/>
        </w:rPr>
        <w:tab/>
        <w:t xml:space="preserve">Return of </w:t>
      </w:r>
      <w:bookmarkEnd w:id="76"/>
      <w:r>
        <w:rPr>
          <w:snapToGrid w:val="0"/>
        </w:rPr>
        <w:t>licence</w:t>
      </w:r>
      <w:bookmarkEnd w:id="77"/>
      <w:bookmarkEnd w:id="78"/>
      <w:bookmarkEnd w:id="79"/>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rPr>
          <w:snapToGrid w:val="0"/>
        </w:rPr>
      </w:pPr>
      <w:bookmarkStart w:id="80" w:name="_Toc495993577"/>
      <w:bookmarkStart w:id="81" w:name="_Toc511525053"/>
      <w:bookmarkStart w:id="82" w:name="_Toc27803417"/>
      <w:bookmarkStart w:id="83" w:name="_Toc116986469"/>
      <w:r>
        <w:rPr>
          <w:rStyle w:val="CharSectno"/>
        </w:rPr>
        <w:t>29</w:t>
      </w:r>
      <w:r>
        <w:rPr>
          <w:snapToGrid w:val="0"/>
        </w:rPr>
        <w:t>.</w:t>
      </w:r>
      <w:r>
        <w:rPr>
          <w:snapToGrid w:val="0"/>
        </w:rPr>
        <w:tab/>
        <w:t xml:space="preserve">Production of a </w:t>
      </w:r>
      <w:bookmarkEnd w:id="80"/>
      <w:r>
        <w:rPr>
          <w:snapToGrid w:val="0"/>
        </w:rPr>
        <w:t>licence</w:t>
      </w:r>
      <w:bookmarkEnd w:id="81"/>
      <w:bookmarkEnd w:id="82"/>
      <w:bookmarkEnd w:id="83"/>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rPr>
          <w:snapToGrid w:val="0"/>
        </w:rPr>
      </w:pPr>
      <w:bookmarkStart w:id="84" w:name="_Toc495993578"/>
      <w:bookmarkStart w:id="85" w:name="_Toc511525054"/>
      <w:bookmarkStart w:id="86" w:name="_Toc27803418"/>
      <w:bookmarkStart w:id="87" w:name="_Toc116986470"/>
      <w:r>
        <w:rPr>
          <w:rStyle w:val="CharSectno"/>
        </w:rPr>
        <w:t>30</w:t>
      </w:r>
      <w:r>
        <w:rPr>
          <w:snapToGrid w:val="0"/>
        </w:rPr>
        <w:t>.</w:t>
      </w:r>
      <w:r>
        <w:rPr>
          <w:snapToGrid w:val="0"/>
        </w:rPr>
        <w:tab/>
        <w:t>Advertising</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pPr>
      <w:r>
        <w:t>[</w:t>
      </w:r>
      <w:r>
        <w:rPr>
          <w:b/>
        </w:rPr>
        <w:t>31</w:t>
      </w:r>
      <w:r>
        <w:rPr>
          <w:b/>
        </w:rPr>
        <w:noBreakHyphen/>
        <w:t>35.</w:t>
      </w:r>
      <w:r>
        <w:tab/>
        <w:t xml:space="preserve">Repealed in Gazette 10 Jul 1992 p. 3289.] </w:t>
      </w:r>
    </w:p>
    <w:p>
      <w:pPr>
        <w:pStyle w:val="Heading5"/>
        <w:rPr>
          <w:snapToGrid w:val="0"/>
        </w:rPr>
      </w:pPr>
      <w:bookmarkStart w:id="88" w:name="_Toc495993579"/>
      <w:bookmarkStart w:id="89" w:name="_Toc511525055"/>
      <w:bookmarkStart w:id="90" w:name="_Toc27803419"/>
      <w:bookmarkStart w:id="91" w:name="_Toc116986471"/>
      <w:r>
        <w:rPr>
          <w:rStyle w:val="CharSectno"/>
        </w:rPr>
        <w:t>36</w:t>
      </w:r>
      <w:r>
        <w:rPr>
          <w:snapToGrid w:val="0"/>
        </w:rPr>
        <w:t>.</w:t>
      </w:r>
      <w:r>
        <w:rPr>
          <w:snapToGrid w:val="0"/>
        </w:rPr>
        <w:tab/>
        <w:t>Betting tickets</w:t>
      </w:r>
      <w:bookmarkEnd w:id="88"/>
      <w:bookmarkEnd w:id="89"/>
      <w:bookmarkEnd w:id="90"/>
      <w:bookmarkEnd w:id="91"/>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4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4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92" w:name="_Toc495993580"/>
      <w:bookmarkStart w:id="93" w:name="_Toc511525056"/>
      <w:bookmarkStart w:id="94" w:name="_Toc27803420"/>
      <w:bookmarkStart w:id="95" w:name="_Toc116986472"/>
      <w:r>
        <w:rPr>
          <w:rStyle w:val="CharSectno"/>
        </w:rPr>
        <w:t>37</w:t>
      </w:r>
      <w:r>
        <w:rPr>
          <w:snapToGrid w:val="0"/>
        </w:rPr>
        <w:t>.</w:t>
      </w:r>
      <w:r>
        <w:rPr>
          <w:snapToGrid w:val="0"/>
        </w:rPr>
        <w:tab/>
        <w:t>The written record</w:t>
      </w:r>
      <w:bookmarkEnd w:id="92"/>
      <w:r>
        <w:rPr>
          <w:snapToGrid w:val="0"/>
        </w:rPr>
        <w:t xml:space="preserve"> of betting transactions</w:t>
      </w:r>
      <w:bookmarkEnd w:id="93"/>
      <w:bookmarkEnd w:id="94"/>
      <w:bookmarkEnd w:id="95"/>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96" w:name="_Toc495993581"/>
      <w:bookmarkStart w:id="97" w:name="_Toc511525057"/>
      <w:bookmarkStart w:id="98" w:name="_Toc27803421"/>
      <w:bookmarkStart w:id="99" w:name="_Toc116986473"/>
      <w:r>
        <w:rPr>
          <w:rStyle w:val="CharSectno"/>
        </w:rPr>
        <w:t>38</w:t>
      </w:r>
      <w:r>
        <w:rPr>
          <w:snapToGrid w:val="0"/>
        </w:rPr>
        <w:t>.</w:t>
      </w:r>
      <w:r>
        <w:rPr>
          <w:snapToGrid w:val="0"/>
        </w:rPr>
        <w:tab/>
        <w:t>Supply of books</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100" w:name="_Toc495993582"/>
      <w:bookmarkStart w:id="101" w:name="_Toc511525058"/>
      <w:bookmarkStart w:id="102" w:name="_Toc27803422"/>
      <w:bookmarkStart w:id="103" w:name="_Toc116986474"/>
      <w:r>
        <w:rPr>
          <w:rStyle w:val="CharSectno"/>
        </w:rPr>
        <w:t>39</w:t>
      </w:r>
      <w:r>
        <w:rPr>
          <w:snapToGrid w:val="0"/>
        </w:rPr>
        <w:t>.</w:t>
      </w:r>
      <w:r>
        <w:rPr>
          <w:snapToGrid w:val="0"/>
        </w:rPr>
        <w:tab/>
        <w:t>Loss of books etc.</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pPr>
      <w:r>
        <w:t>[</w:t>
      </w:r>
      <w:r>
        <w:rPr>
          <w:b/>
        </w:rPr>
        <w:t>40</w:t>
      </w:r>
      <w:r>
        <w:rPr>
          <w:b/>
        </w:rPr>
        <w:noBreakHyphen/>
        <w:t>42.</w:t>
      </w:r>
      <w:r>
        <w:tab/>
        <w:t xml:space="preserve">Repealed in Gazette 10 Jul 1992 p. 3290.] </w:t>
      </w:r>
    </w:p>
    <w:p>
      <w:pPr>
        <w:pStyle w:val="Heading5"/>
        <w:rPr>
          <w:snapToGrid w:val="0"/>
        </w:rPr>
      </w:pPr>
      <w:bookmarkStart w:id="104" w:name="_Toc495993583"/>
      <w:bookmarkStart w:id="105" w:name="_Toc511525059"/>
      <w:bookmarkStart w:id="106" w:name="_Toc27803423"/>
      <w:bookmarkStart w:id="107" w:name="_Toc116986475"/>
      <w:r>
        <w:rPr>
          <w:rStyle w:val="CharSectno"/>
        </w:rPr>
        <w:t>43</w:t>
      </w:r>
      <w:r>
        <w:rPr>
          <w:snapToGrid w:val="0"/>
        </w:rPr>
        <w:t>.</w:t>
      </w:r>
      <w:r>
        <w:rPr>
          <w:snapToGrid w:val="0"/>
        </w:rPr>
        <w:tab/>
        <w:t>Betting material</w:t>
      </w:r>
      <w:bookmarkEnd w:id="104"/>
      <w:bookmarkEnd w:id="105"/>
      <w:bookmarkEnd w:id="106"/>
      <w:bookmarkEnd w:id="107"/>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pPr>
      <w:r>
        <w:t>[</w:t>
      </w:r>
      <w:r>
        <w:rPr>
          <w:b/>
        </w:rPr>
        <w:t>44</w:t>
      </w:r>
      <w:r>
        <w:rPr>
          <w:b/>
        </w:rPr>
        <w:noBreakHyphen/>
        <w:t>47.</w:t>
      </w:r>
      <w:r>
        <w:tab/>
        <w:t xml:space="preserve">Repealed in Gazette 10 Jul 1992 p. 3290.] </w:t>
      </w:r>
    </w:p>
    <w:p>
      <w:pPr>
        <w:pStyle w:val="Heading5"/>
        <w:rPr>
          <w:snapToGrid w:val="0"/>
        </w:rPr>
      </w:pPr>
      <w:bookmarkStart w:id="108" w:name="_Toc495993584"/>
      <w:bookmarkStart w:id="109" w:name="_Toc511525060"/>
      <w:bookmarkStart w:id="110" w:name="_Toc27803424"/>
      <w:bookmarkStart w:id="111" w:name="_Toc116986476"/>
      <w:r>
        <w:rPr>
          <w:rStyle w:val="CharSectno"/>
        </w:rPr>
        <w:t>48</w:t>
      </w:r>
      <w:r>
        <w:rPr>
          <w:snapToGrid w:val="0"/>
        </w:rPr>
        <w:t>.</w:t>
      </w:r>
      <w:r>
        <w:rPr>
          <w:snapToGrid w:val="0"/>
        </w:rPr>
        <w:tab/>
        <w:t>Rules of Betting</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pPr>
      <w:r>
        <w:tab/>
        <w:t>[Regulation 48 amended in Gazette 30 Jan 2004 p. 405.]</w:t>
      </w:r>
    </w:p>
    <w:p>
      <w:pPr>
        <w:pStyle w:val="Heading5"/>
      </w:pPr>
      <w:bookmarkStart w:id="112" w:name="_Toc116986477"/>
      <w:bookmarkStart w:id="113" w:name="_Toc495993585"/>
      <w:bookmarkStart w:id="114" w:name="_Toc511525061"/>
      <w:bookmarkStart w:id="115" w:name="_Toc27803425"/>
      <w:r>
        <w:rPr>
          <w:rStyle w:val="CharSectno"/>
        </w:rPr>
        <w:t>48A</w:t>
      </w:r>
      <w:r>
        <w:t>.</w:t>
      </w:r>
      <w:r>
        <w:tab/>
        <w:t>Minimum bet obligations</w:t>
      </w:r>
      <w:bookmarkEnd w:id="112"/>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16" w:name="_Toc116986478"/>
      <w:r>
        <w:rPr>
          <w:rStyle w:val="CharSectno"/>
        </w:rPr>
        <w:t>49</w:t>
      </w:r>
      <w:r>
        <w:t>.</w:t>
      </w:r>
      <w:r>
        <w:tab/>
        <w:t>Bets on more than one result</w:t>
      </w:r>
      <w:bookmarkEnd w:id="113"/>
      <w:bookmarkEnd w:id="114"/>
      <w:bookmarkEnd w:id="115"/>
      <w:bookmarkEnd w:id="116"/>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17" w:name="_Toc495993586"/>
      <w:bookmarkStart w:id="118" w:name="_Toc511525062"/>
      <w:bookmarkStart w:id="119" w:name="_Toc27803426"/>
      <w:bookmarkStart w:id="120" w:name="_Toc116986479"/>
      <w:r>
        <w:rPr>
          <w:rStyle w:val="CharSectno"/>
        </w:rPr>
        <w:t>50</w:t>
      </w:r>
      <w:r>
        <w:t>.</w:t>
      </w:r>
      <w:r>
        <w:tab/>
        <w:t>Permitted bets</w:t>
      </w:r>
      <w:bookmarkEnd w:id="117"/>
      <w:bookmarkEnd w:id="118"/>
      <w:bookmarkEnd w:id="119"/>
      <w:bookmarkEnd w:id="120"/>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21" w:name="_Toc495993587"/>
      <w:bookmarkStart w:id="122" w:name="_Toc511525063"/>
      <w:bookmarkStart w:id="123" w:name="_Toc27803427"/>
      <w:bookmarkStart w:id="124" w:name="_Toc116986480"/>
      <w:r>
        <w:rPr>
          <w:rStyle w:val="CharSectno"/>
        </w:rPr>
        <w:t>51</w:t>
      </w:r>
      <w:r>
        <w:rPr>
          <w:snapToGrid w:val="0"/>
        </w:rPr>
        <w:t>.</w:t>
      </w:r>
      <w:r>
        <w:rPr>
          <w:snapToGrid w:val="0"/>
        </w:rPr>
        <w:tab/>
        <w:t>Place betting</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spacing w:before="200"/>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125" w:name="_Toc495993588"/>
      <w:bookmarkStart w:id="126" w:name="_Toc511525064"/>
      <w:bookmarkStart w:id="127" w:name="_Toc27803428"/>
      <w:bookmarkStart w:id="128" w:name="_Toc116986481"/>
      <w:r>
        <w:rPr>
          <w:rStyle w:val="CharSectno"/>
        </w:rPr>
        <w:t>52</w:t>
      </w:r>
      <w:r>
        <w:rPr>
          <w:snapToGrid w:val="0"/>
        </w:rPr>
        <w:t>.</w:t>
      </w:r>
      <w:r>
        <w:rPr>
          <w:snapToGrid w:val="0"/>
        </w:rPr>
        <w:tab/>
        <w:t>Concession betting</w:t>
      </w:r>
      <w:bookmarkEnd w:id="125"/>
      <w:bookmarkEnd w:id="126"/>
      <w:bookmarkEnd w:id="127"/>
      <w:bookmarkEnd w:id="128"/>
      <w:r>
        <w:rPr>
          <w:snapToGrid w:val="0"/>
        </w:rPr>
        <w:t xml:space="preserve"> </w:t>
      </w:r>
    </w:p>
    <w:p>
      <w:pPr>
        <w:pStyle w:val="Subsection"/>
        <w:spacing w:before="20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spacing w:before="260"/>
        <w:rPr>
          <w:snapToGrid w:val="0"/>
        </w:rPr>
      </w:pPr>
      <w:bookmarkStart w:id="129" w:name="_Toc495993589"/>
      <w:bookmarkStart w:id="130" w:name="_Toc511525065"/>
      <w:bookmarkStart w:id="131" w:name="_Toc27803429"/>
      <w:bookmarkStart w:id="132" w:name="_Toc116986482"/>
      <w:r>
        <w:rPr>
          <w:snapToGrid w:val="0"/>
        </w:rPr>
        <w:t>53.</w:t>
      </w:r>
      <w:r>
        <w:rPr>
          <w:snapToGrid w:val="0"/>
        </w:rPr>
        <w:tab/>
        <w:t>Doubles other than multiple doubles</w:t>
      </w:r>
      <w:bookmarkEnd w:id="129"/>
      <w:bookmarkEnd w:id="130"/>
      <w:bookmarkEnd w:id="131"/>
      <w:bookmarkEnd w:id="132"/>
      <w:r>
        <w:rPr>
          <w:snapToGrid w:val="0"/>
        </w:rPr>
        <w:t xml:space="preserve"> </w:t>
      </w:r>
    </w:p>
    <w:p>
      <w:pPr>
        <w:pStyle w:val="Subsection"/>
        <w:spacing w:before="20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spacing w:before="260"/>
        <w:rPr>
          <w:snapToGrid w:val="0"/>
        </w:rPr>
      </w:pPr>
      <w:bookmarkStart w:id="133" w:name="_Toc495993590"/>
      <w:bookmarkStart w:id="134" w:name="_Toc511525066"/>
      <w:bookmarkStart w:id="135" w:name="_Toc27803430"/>
      <w:bookmarkStart w:id="136" w:name="_Toc116986483"/>
      <w:r>
        <w:rPr>
          <w:snapToGrid w:val="0"/>
        </w:rPr>
        <w:t>54.</w:t>
      </w:r>
      <w:r>
        <w:rPr>
          <w:snapToGrid w:val="0"/>
        </w:rPr>
        <w:tab/>
        <w:t>Trebles</w:t>
      </w:r>
      <w:bookmarkEnd w:id="133"/>
      <w:bookmarkEnd w:id="134"/>
      <w:bookmarkEnd w:id="135"/>
      <w:bookmarkEnd w:id="136"/>
      <w:r>
        <w:rPr>
          <w:snapToGrid w:val="0"/>
        </w:rPr>
        <w:t xml:space="preserve"> </w:t>
      </w:r>
    </w:p>
    <w:p>
      <w:pPr>
        <w:pStyle w:val="Subsection"/>
        <w:spacing w:before="20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260"/>
        <w:rPr>
          <w:snapToGrid w:val="0"/>
        </w:rPr>
      </w:pPr>
      <w:bookmarkStart w:id="137" w:name="_Toc495993591"/>
      <w:bookmarkStart w:id="138" w:name="_Toc511525067"/>
      <w:bookmarkStart w:id="139" w:name="_Toc27803431"/>
      <w:bookmarkStart w:id="140" w:name="_Toc116986484"/>
      <w:r>
        <w:rPr>
          <w:rStyle w:val="CharSectno"/>
        </w:rPr>
        <w:t>55</w:t>
      </w:r>
      <w:r>
        <w:rPr>
          <w:snapToGrid w:val="0"/>
        </w:rPr>
        <w:t>.</w:t>
      </w:r>
      <w:r>
        <w:rPr>
          <w:snapToGrid w:val="0"/>
        </w:rPr>
        <w:tab/>
        <w:t>All</w:t>
      </w:r>
      <w:r>
        <w:rPr>
          <w:snapToGrid w:val="0"/>
        </w:rPr>
        <w:noBreakHyphen/>
        <w:t>up</w:t>
      </w:r>
      <w:bookmarkEnd w:id="137"/>
      <w:bookmarkEnd w:id="138"/>
      <w:bookmarkEnd w:id="139"/>
      <w:bookmarkEnd w:id="140"/>
      <w:r>
        <w:rPr>
          <w:snapToGrid w:val="0"/>
        </w:rPr>
        <w:t xml:space="preserve"> </w:t>
      </w:r>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pPr>
      <w:r>
        <w:t>[</w:t>
      </w:r>
      <w:r>
        <w:rPr>
          <w:rStyle w:val="CharSectno"/>
          <w:b/>
        </w:rPr>
        <w:t>56</w:t>
      </w:r>
      <w:r>
        <w:rPr>
          <w:b/>
        </w:rPr>
        <w:t>.</w:t>
      </w:r>
      <w:r>
        <w:tab/>
        <w:t>Repealed in Gazette 13 Oct 2000 p. 5726.]</w:t>
      </w:r>
    </w:p>
    <w:p>
      <w:pPr>
        <w:pStyle w:val="Heading5"/>
        <w:spacing w:before="260"/>
        <w:rPr>
          <w:snapToGrid w:val="0"/>
        </w:rPr>
      </w:pPr>
      <w:bookmarkStart w:id="141" w:name="_Toc495993592"/>
      <w:bookmarkStart w:id="142" w:name="_Toc511525068"/>
      <w:bookmarkStart w:id="143" w:name="_Toc27803432"/>
      <w:bookmarkStart w:id="144" w:name="_Toc116986485"/>
      <w:r>
        <w:rPr>
          <w:rStyle w:val="CharSectno"/>
        </w:rPr>
        <w:t>57</w:t>
      </w:r>
      <w:r>
        <w:rPr>
          <w:snapToGrid w:val="0"/>
        </w:rPr>
        <w:t>.</w:t>
      </w:r>
      <w:r>
        <w:rPr>
          <w:snapToGrid w:val="0"/>
        </w:rPr>
        <w:tab/>
        <w:t>Stand</w:t>
      </w:r>
      <w:bookmarkEnd w:id="141"/>
      <w:bookmarkEnd w:id="142"/>
      <w:bookmarkEnd w:id="143"/>
      <w:bookmarkEnd w:id="144"/>
      <w:r>
        <w:rPr>
          <w:snapToGrid w:val="0"/>
        </w:rPr>
        <w:t xml:space="preserve"> </w:t>
      </w:r>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pPr>
      <w:r>
        <w:tab/>
        <w:t xml:space="preserve">[Regulation 57 amended in Gazette 24 Jun 1988 p. 2005; 10 Jul 1992 p. 3291; 21 Jul 1998 p. 3854.] </w:t>
      </w:r>
    </w:p>
    <w:p>
      <w:pPr>
        <w:pStyle w:val="Heading5"/>
        <w:spacing w:before="260"/>
        <w:rPr>
          <w:snapToGrid w:val="0"/>
        </w:rPr>
      </w:pPr>
      <w:bookmarkStart w:id="145" w:name="_Toc495993593"/>
      <w:bookmarkStart w:id="146" w:name="_Toc511525069"/>
      <w:bookmarkStart w:id="147" w:name="_Toc27803433"/>
      <w:bookmarkStart w:id="148" w:name="_Toc116986486"/>
      <w:r>
        <w:rPr>
          <w:rStyle w:val="CharSectno"/>
        </w:rPr>
        <w:t>58</w:t>
      </w:r>
      <w:r>
        <w:rPr>
          <w:snapToGrid w:val="0"/>
        </w:rPr>
        <w:t>.</w:t>
      </w:r>
      <w:r>
        <w:rPr>
          <w:snapToGrid w:val="0"/>
        </w:rPr>
        <w:tab/>
        <w:t>Use of stand</w:t>
      </w:r>
      <w:bookmarkEnd w:id="145"/>
      <w:bookmarkEnd w:id="146"/>
      <w:bookmarkEnd w:id="147"/>
      <w:bookmarkEnd w:id="148"/>
      <w:r>
        <w:rPr>
          <w:snapToGrid w:val="0"/>
        </w:rPr>
        <w:t xml:space="preserve"> </w:t>
      </w:r>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149" w:name="_Toc116986487"/>
      <w:bookmarkStart w:id="150" w:name="_Toc495993595"/>
      <w:bookmarkStart w:id="151" w:name="_Toc511525071"/>
      <w:bookmarkStart w:id="152" w:name="_Toc27803435"/>
      <w:r>
        <w:rPr>
          <w:rStyle w:val="CharSectno"/>
        </w:rPr>
        <w:t>59</w:t>
      </w:r>
      <w:r>
        <w:t>.</w:t>
      </w:r>
      <w:r>
        <w:tab/>
        <w:t>Name of bookmaker to be shown</w:t>
      </w:r>
      <w:bookmarkEnd w:id="149"/>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rPr>
          <w:snapToGrid w:val="0"/>
        </w:rPr>
      </w:pPr>
      <w:bookmarkStart w:id="153" w:name="_Toc116986488"/>
      <w:r>
        <w:rPr>
          <w:rStyle w:val="CharSectno"/>
        </w:rPr>
        <w:t>60</w:t>
      </w:r>
      <w:r>
        <w:rPr>
          <w:snapToGrid w:val="0"/>
        </w:rPr>
        <w:t>.</w:t>
      </w:r>
      <w:r>
        <w:rPr>
          <w:snapToGrid w:val="0"/>
        </w:rPr>
        <w:tab/>
        <w:t>Betting boards, etc., to be approved</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rPr>
          <w:snapToGrid w:val="0"/>
        </w:rPr>
      </w:pPr>
      <w:bookmarkStart w:id="154" w:name="_Toc495993596"/>
      <w:bookmarkStart w:id="155" w:name="_Toc511525072"/>
      <w:bookmarkStart w:id="156" w:name="_Toc27803436"/>
      <w:bookmarkStart w:id="157" w:name="_Toc116986489"/>
      <w:r>
        <w:rPr>
          <w:rStyle w:val="CharSectno"/>
        </w:rPr>
        <w:t>61</w:t>
      </w:r>
      <w:r>
        <w:rPr>
          <w:snapToGrid w:val="0"/>
        </w:rPr>
        <w:t>.</w:t>
      </w:r>
      <w:r>
        <w:rPr>
          <w:snapToGrid w:val="0"/>
        </w:rPr>
        <w:tab/>
        <w:t>Betting boards</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158" w:name="_Toc495993597"/>
      <w:bookmarkStart w:id="159" w:name="_Toc511525073"/>
      <w:bookmarkStart w:id="160" w:name="_Toc27803437"/>
      <w:bookmarkStart w:id="161" w:name="_Toc116986490"/>
      <w:r>
        <w:rPr>
          <w:rStyle w:val="CharSectno"/>
        </w:rPr>
        <w:t>62</w:t>
      </w:r>
      <w:r>
        <w:rPr>
          <w:snapToGrid w:val="0"/>
        </w:rPr>
        <w:t>.</w:t>
      </w:r>
      <w:r>
        <w:rPr>
          <w:snapToGrid w:val="0"/>
        </w:rPr>
        <w:tab/>
        <w:t>Omissions from betting board, etc.</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162" w:name="_Toc495993598"/>
      <w:bookmarkStart w:id="163" w:name="_Toc511525074"/>
      <w:bookmarkStart w:id="164" w:name="_Toc27803438"/>
      <w:bookmarkStart w:id="165" w:name="_Toc116986491"/>
      <w:r>
        <w:rPr>
          <w:rStyle w:val="CharSectno"/>
        </w:rPr>
        <w:t>63</w:t>
      </w:r>
      <w:r>
        <w:rPr>
          <w:snapToGrid w:val="0"/>
        </w:rPr>
        <w:t>.</w:t>
      </w:r>
      <w:r>
        <w:rPr>
          <w:snapToGrid w:val="0"/>
        </w:rPr>
        <w:tab/>
        <w:t>Bets with other bookmakers</w:t>
      </w:r>
      <w:bookmarkEnd w:id="162"/>
      <w:bookmarkEnd w:id="163"/>
      <w:bookmarkEnd w:id="164"/>
      <w:bookmarkEnd w:id="165"/>
      <w:r>
        <w:rPr>
          <w:snapToGrid w:val="0"/>
        </w:rPr>
        <w:t xml:space="preserve"> </w:t>
      </w:r>
    </w:p>
    <w:p>
      <w:pPr>
        <w:pStyle w:val="Subsection"/>
        <w:spacing w:before="140"/>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pPr>
      <w:r>
        <w:t>[</w:t>
      </w:r>
      <w:r>
        <w:rPr>
          <w:b/>
        </w:rPr>
        <w:t>66</w:t>
      </w:r>
      <w:r>
        <w:rPr>
          <w:b/>
        </w:rPr>
        <w:noBreakHyphen/>
        <w:t>67.</w:t>
      </w:r>
      <w:r>
        <w:rPr>
          <w:b/>
        </w:rPr>
        <w:tab/>
      </w:r>
      <w:r>
        <w:t xml:space="preserve">Repealed in Gazette 10 Jul 1992 p. 3293.] </w:t>
      </w:r>
    </w:p>
    <w:p>
      <w:pPr>
        <w:pStyle w:val="Heading5"/>
        <w:rPr>
          <w:snapToGrid w:val="0"/>
        </w:rPr>
      </w:pPr>
      <w:bookmarkStart w:id="166" w:name="_Toc495993599"/>
      <w:bookmarkStart w:id="167" w:name="_Toc511525075"/>
      <w:bookmarkStart w:id="168" w:name="_Toc27803439"/>
      <w:bookmarkStart w:id="169" w:name="_Toc116986492"/>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166"/>
      <w:bookmarkEnd w:id="167"/>
      <w:bookmarkEnd w:id="168"/>
      <w:bookmarkEnd w:id="169"/>
      <w:r>
        <w:rPr>
          <w:snapToGrid w:val="0"/>
        </w:rPr>
        <w:t xml:space="preserve"> </w:t>
      </w:r>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 xml:space="preserve">Repealed in Gazette 21 Jul 1998 p. 3854.] </w:t>
      </w:r>
    </w:p>
    <w:p>
      <w:pPr>
        <w:pStyle w:val="Heading5"/>
        <w:rPr>
          <w:snapToGrid w:val="0"/>
        </w:rPr>
      </w:pPr>
      <w:bookmarkStart w:id="170" w:name="_Toc495993600"/>
      <w:bookmarkStart w:id="171" w:name="_Toc511525076"/>
      <w:bookmarkStart w:id="172" w:name="_Toc27803440"/>
      <w:bookmarkStart w:id="173" w:name="_Toc116986493"/>
      <w:r>
        <w:rPr>
          <w:rStyle w:val="CharSectno"/>
        </w:rPr>
        <w:t>70</w:t>
      </w:r>
      <w:r>
        <w:rPr>
          <w:snapToGrid w:val="0"/>
        </w:rPr>
        <w:t>.</w:t>
      </w:r>
      <w:r>
        <w:rPr>
          <w:snapToGrid w:val="0"/>
        </w:rPr>
        <w:tab/>
        <w:t>Totalisator operation by a racing club</w:t>
      </w:r>
      <w:bookmarkEnd w:id="170"/>
      <w:bookmarkEnd w:id="171"/>
      <w:bookmarkEnd w:id="172"/>
      <w:bookmarkEnd w:id="173"/>
      <w:r>
        <w:rPr>
          <w:snapToGrid w:val="0"/>
        </w:rPr>
        <w:t xml:space="preserve"> </w:t>
      </w:r>
    </w:p>
    <w:p>
      <w:pPr>
        <w:pStyle w:val="Subsection"/>
        <w:spacing w:before="140"/>
        <w:rPr>
          <w:snapToGrid w:val="0"/>
        </w:rPr>
      </w:pPr>
      <w:r>
        <w:rPr>
          <w:snapToGrid w:val="0"/>
        </w:rPr>
        <w:tab/>
        <w:t>(1)</w:t>
      </w:r>
      <w:r>
        <w:rPr>
          <w:snapToGrid w:val="0"/>
        </w:rPr>
        <w:tab/>
        <w:t>In this regulation a reference to a club is a reference to a committee or another authority controlling a racecourse that operates a totalisator under an authorisation to which section 17B for the time being applies.</w:t>
      </w:r>
    </w:p>
    <w:p>
      <w:pPr>
        <w:pStyle w:val="Ednotesubsection"/>
        <w:spacing w:before="140"/>
      </w:pPr>
      <w:r>
        <w:tab/>
        <w:t>[(2)</w:t>
      </w:r>
      <w:r>
        <w:noBreakHyphen/>
        <w:t>(4)</w:t>
      </w:r>
      <w:r>
        <w:tab/>
        <w:t>repealed]</w:t>
      </w:r>
    </w:p>
    <w:p>
      <w:pPr>
        <w:pStyle w:val="Subsection"/>
      </w:pPr>
      <w:r>
        <w:tab/>
        <w:t>(5)</w:t>
      </w:r>
      <w:r>
        <w:tab/>
        <w:t>A bet received by a club may be transmitted by that club to a totalisator pool operated by RWWA under the RWWA Act if RWWA has authorised the club to so transmit the bet and that authorisation has not been withdrawn.</w:t>
      </w:r>
    </w:p>
    <w:p>
      <w:pPr>
        <w:pStyle w:val="Subsection"/>
        <w:rPr>
          <w:snapToGrid w:val="0"/>
        </w:rPr>
      </w:pPr>
      <w:r>
        <w:rPr>
          <w:snapToGrid w:val="0"/>
        </w:rPr>
        <w:tab/>
        <w:t>(6)</w:t>
      </w:r>
      <w:r>
        <w:rPr>
          <w:snapToGrid w:val="0"/>
        </w:rPr>
        <w:tab/>
        <w:t>Bets transmitted under section 17B and registered on a totalisator shall form part of the total amount invested on the totalisator in respect of the race, sporting event or contingency for which the bets were transmitted, and shall be taken into account in the calculation of the dividends to be declared payable on the result of that race, sporting event or contingency.</w:t>
      </w:r>
    </w:p>
    <w:p>
      <w:pPr>
        <w:pStyle w:val="Subsection"/>
        <w:rPr>
          <w:snapToGrid w:val="0"/>
        </w:rPr>
      </w:pPr>
      <w:r>
        <w:rPr>
          <w:snapToGrid w:val="0"/>
        </w:rPr>
        <w:tab/>
        <w:t>(7)</w:t>
      </w:r>
      <w:r>
        <w:rPr>
          <w:snapToGrid w:val="0"/>
        </w:rPr>
        <w:tab/>
        <w:t>Notwithstanding subregulation (6), bets that are transmitted and received under section 17B form part of the gross amount of the takings of the totalisator of the club with whom the bet was initially placed and the dividends declared payable on those bets shall be payable by that club.</w:t>
      </w:r>
    </w:p>
    <w:p>
      <w:pPr>
        <w:pStyle w:val="Ednotesubsection"/>
      </w:pPr>
      <w:r>
        <w:tab/>
        <w:t>[(8)</w:t>
      </w:r>
      <w:r>
        <w:tab/>
        <w:t>repealed]</w:t>
      </w:r>
    </w:p>
    <w:p>
      <w:pPr>
        <w:pStyle w:val="Subsection"/>
        <w:rPr>
          <w:snapToGrid w:val="0"/>
        </w:rPr>
      </w:pPr>
      <w:r>
        <w:rPr>
          <w:snapToGrid w:val="0"/>
        </w:rPr>
        <w:tab/>
        <w:t>(9)</w:t>
      </w:r>
      <w:r>
        <w:rPr>
          <w:snapToGrid w:val="0"/>
        </w:rPr>
        <w:tab/>
        <w:t xml:space="preserve">Where a combined totalisator pool scheme of a kind to which </w:t>
      </w:r>
      <w:r>
        <w:t>section 59 of the RWWA Act</w:t>
      </w:r>
      <w:r>
        <w:rPr>
          <w:snapToGrid w:val="0"/>
        </w:rPr>
        <w:t xml:space="preserve"> refers is being operated, whether or not by the TAB, a bet received by a club may be transmitted or further transmitted in accordance with the regulations or rules controlling the conduct of that pool for any of the purposes of that pool.</w:t>
      </w:r>
    </w:p>
    <w:p>
      <w:pPr>
        <w:pStyle w:val="Footnotesection"/>
      </w:pPr>
      <w:r>
        <w:tab/>
        <w:t>[Regulation 70 inserted in Gazette 10 Jul 1992 p. 3293</w:t>
      </w:r>
      <w:r>
        <w:noBreakHyphen/>
        <w:t>4; amended in Gazette 31 Jul 1992 p. 3796; 21 Jul 1998 p. 3854; 13 Oct 2000 p. 5726</w:t>
      </w:r>
      <w:r>
        <w:noBreakHyphen/>
        <w:t xml:space="preserve">7; 30 Jan 2004 p. 406.] </w:t>
      </w:r>
    </w:p>
    <w:p>
      <w:pPr>
        <w:pStyle w:val="Heading5"/>
        <w:rPr>
          <w:snapToGrid w:val="0"/>
        </w:rPr>
      </w:pPr>
      <w:bookmarkStart w:id="174" w:name="_Toc495993601"/>
      <w:bookmarkStart w:id="175" w:name="_Toc511525077"/>
      <w:bookmarkStart w:id="176" w:name="_Toc27803441"/>
      <w:bookmarkStart w:id="177" w:name="_Toc116986494"/>
      <w:r>
        <w:rPr>
          <w:rStyle w:val="CharSectno"/>
        </w:rPr>
        <w:t>71</w:t>
      </w:r>
      <w:r>
        <w:rPr>
          <w:snapToGrid w:val="0"/>
        </w:rPr>
        <w:t>.</w:t>
      </w:r>
      <w:r>
        <w:rPr>
          <w:snapToGrid w:val="0"/>
        </w:rPr>
        <w:tab/>
        <w:t>Telephone betting on sporting events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spacing w:before="140"/>
        <w:rPr>
          <w:snapToGrid w:val="0"/>
        </w:rPr>
      </w:pPr>
      <w:bookmarkStart w:id="178" w:name="_Toc495993602"/>
      <w:bookmarkStart w:id="179" w:name="_Toc511525078"/>
      <w:bookmarkStart w:id="180" w:name="_Toc27803442"/>
      <w:bookmarkStart w:id="181" w:name="_Toc116986495"/>
      <w:r>
        <w:rPr>
          <w:rStyle w:val="CharSectno"/>
        </w:rPr>
        <w:t>72</w:t>
      </w:r>
      <w:r>
        <w:rPr>
          <w:snapToGrid w:val="0"/>
        </w:rPr>
        <w:t>.</w:t>
      </w:r>
      <w:r>
        <w:rPr>
          <w:snapToGrid w:val="0"/>
        </w:rPr>
        <w:tab/>
        <w:t>Telephone betting on racing</w:t>
      </w:r>
      <w:bookmarkEnd w:id="178"/>
      <w:bookmarkEnd w:id="179"/>
      <w:bookmarkEnd w:id="180"/>
      <w:bookmarkEnd w:id="181"/>
      <w:r>
        <w:rPr>
          <w:snapToGrid w:val="0"/>
        </w:rPr>
        <w:t xml:space="preserve"> </w:t>
      </w:r>
    </w:p>
    <w:p>
      <w:pPr>
        <w:pStyle w:val="Subsection"/>
        <w:spacing w:before="90"/>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spacing w:before="50"/>
        <w:rPr>
          <w:snapToGrid w:val="0"/>
        </w:rPr>
      </w:pPr>
      <w:r>
        <w:rPr>
          <w:snapToGrid w:val="0"/>
        </w:rPr>
        <w:tab/>
        <w:t>(a)</w:t>
      </w:r>
      <w:r>
        <w:rPr>
          <w:snapToGrid w:val="0"/>
        </w:rPr>
        <w:tab/>
        <w:t>in accordance with the procedures established and approved by the Commission for the conduct of such betting;</w:t>
      </w:r>
    </w:p>
    <w:p>
      <w:pPr>
        <w:pStyle w:val="Indenta"/>
        <w:spacing w:before="50"/>
        <w:rPr>
          <w:snapToGrid w:val="0"/>
        </w:rPr>
      </w:pPr>
      <w:r>
        <w:rPr>
          <w:snapToGrid w:val="0"/>
        </w:rPr>
        <w:tab/>
        <w:t>(b)</w:t>
      </w:r>
      <w:r>
        <w:rPr>
          <w:snapToGrid w:val="0"/>
        </w:rPr>
        <w:tab/>
        <w:t>if the committee or other authority controlling the racecourse so permits;</w:t>
      </w:r>
    </w:p>
    <w:p>
      <w:pPr>
        <w:pStyle w:val="Indenta"/>
        <w:keepNext/>
        <w:keepLines/>
        <w:spacing w:before="50"/>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spacing w:before="50"/>
        <w:rPr>
          <w:snapToGrid w:val="0"/>
        </w:rPr>
      </w:pPr>
      <w:r>
        <w:rPr>
          <w:snapToGrid w:val="0"/>
        </w:rPr>
        <w:tab/>
      </w:r>
      <w:r>
        <w:rPr>
          <w:snapToGrid w:val="0"/>
        </w:rPr>
        <w:tab/>
        <w:t>and not otherwise.</w:t>
      </w:r>
    </w:p>
    <w:p>
      <w:pPr>
        <w:pStyle w:val="Subsection"/>
        <w:spacing w:before="90"/>
        <w:rPr>
          <w:snapToGrid w:val="0"/>
        </w:rPr>
      </w:pPr>
      <w:r>
        <w:rPr>
          <w:snapToGrid w:val="0"/>
        </w:rPr>
        <w:tab/>
        <w:t>(2)</w:t>
      </w:r>
      <w:r>
        <w:rPr>
          <w:snapToGrid w:val="0"/>
        </w:rPr>
        <w:tab/>
        <w:t>For the purposes of subregulation (1) the Commission has established and approved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spacing w:before="200"/>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182" w:name="_Toc495993603"/>
      <w:bookmarkStart w:id="183" w:name="_Toc511525079"/>
      <w:bookmarkStart w:id="184" w:name="_Toc27803443"/>
      <w:bookmarkStart w:id="185" w:name="_Toc116986496"/>
      <w:r>
        <w:rPr>
          <w:rStyle w:val="CharSectno"/>
        </w:rPr>
        <w:t>73</w:t>
      </w:r>
      <w:r>
        <w:t>.</w:t>
      </w:r>
      <w:r>
        <w:tab/>
        <w:t>Credit betting other than by telephone</w:t>
      </w:r>
      <w:bookmarkEnd w:id="182"/>
      <w:bookmarkEnd w:id="183"/>
      <w:bookmarkEnd w:id="184"/>
      <w:bookmarkEnd w:id="185"/>
    </w:p>
    <w:p>
      <w:pPr>
        <w:pStyle w:val="Subsection"/>
        <w:spacing w:before="200"/>
        <w:rPr>
          <w:spacing w:val="-4"/>
        </w:rPr>
      </w:pPr>
      <w:r>
        <w:tab/>
        <w:t>(1)</w:t>
      </w:r>
      <w:r>
        <w:tab/>
      </w:r>
      <w:r>
        <w:rPr>
          <w:spacing w:val="-4"/>
        </w:rPr>
        <w:t>For the purposes of section 31(1)(b)(iii) where a bet is made on credit the bookmaker may, instead of delivering the betting ticket to the bettor, make the ticket available for collection by the bettor.</w:t>
      </w:r>
    </w:p>
    <w:p>
      <w:pPr>
        <w:pStyle w:val="Subsection"/>
        <w:spacing w:before="200"/>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spacing w:before="260"/>
      </w:pPr>
      <w:bookmarkStart w:id="186" w:name="_Toc495993604"/>
      <w:bookmarkStart w:id="187" w:name="_Toc511525080"/>
      <w:bookmarkStart w:id="188" w:name="_Toc27803444"/>
      <w:bookmarkStart w:id="189" w:name="_Toc116986497"/>
      <w:r>
        <w:rPr>
          <w:rStyle w:val="CharSectno"/>
        </w:rPr>
        <w:t>74</w:t>
      </w:r>
      <w:r>
        <w:t>.</w:t>
      </w:r>
      <w:r>
        <w:tab/>
        <w:t>Internet betting (sporting events)</w:t>
      </w:r>
      <w:bookmarkEnd w:id="186"/>
      <w:bookmarkEnd w:id="187"/>
      <w:bookmarkEnd w:id="188"/>
      <w:bookmarkEnd w:id="189"/>
    </w:p>
    <w:p>
      <w:pPr>
        <w:pStyle w:val="Subsection"/>
        <w:spacing w:before="200"/>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200"/>
      </w:pPr>
      <w:r>
        <w:tab/>
      </w:r>
      <w:r>
        <w:tab/>
        <w:t>and not otherwise.</w:t>
      </w:r>
    </w:p>
    <w:p>
      <w:pPr>
        <w:pStyle w:val="Footnotesection"/>
        <w:keepLines w:val="0"/>
      </w:pPr>
      <w:r>
        <w:tab/>
        <w:t>[Regulation 74 inserted in Gazette 26 Nov 1999 p. 5909; amended in Gazette 30 Jan 2004 p. 412.]</w:t>
      </w:r>
    </w:p>
    <w:p>
      <w:pPr>
        <w:pStyle w:val="Heading5"/>
      </w:pPr>
      <w:bookmarkStart w:id="190" w:name="_Toc495993605"/>
      <w:bookmarkStart w:id="191" w:name="_Toc511525081"/>
      <w:bookmarkStart w:id="192" w:name="_Toc27803445"/>
      <w:bookmarkStart w:id="193" w:name="_Toc116986498"/>
      <w:r>
        <w:rPr>
          <w:rStyle w:val="CharSectno"/>
        </w:rPr>
        <w:t>75</w:t>
      </w:r>
      <w:r>
        <w:t>.</w:t>
      </w:r>
      <w:r>
        <w:tab/>
        <w:t>Internet betting (racing)</w:t>
      </w:r>
      <w:bookmarkEnd w:id="190"/>
      <w:bookmarkEnd w:id="191"/>
      <w:bookmarkEnd w:id="192"/>
      <w:bookmarkEnd w:id="193"/>
    </w:p>
    <w:p>
      <w:pPr>
        <w:pStyle w:val="Subsection"/>
        <w:spacing w:before="140"/>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94" w:name="_Toc495993606"/>
      <w:bookmarkStart w:id="195" w:name="_Toc511525082"/>
      <w:bookmarkStart w:id="196" w:name="_Toc27803446"/>
      <w:bookmarkStart w:id="197" w:name="_Toc116986499"/>
      <w:r>
        <w:rPr>
          <w:rStyle w:val="CharSectno"/>
        </w:rPr>
        <w:t>76</w:t>
      </w:r>
      <w:r>
        <w:t>.</w:t>
      </w:r>
      <w:r>
        <w:tab/>
        <w:t>Procedures for internet betting</w:t>
      </w:r>
      <w:bookmarkEnd w:id="194"/>
      <w:bookmarkEnd w:id="195"/>
      <w:bookmarkEnd w:id="196"/>
      <w:bookmarkEnd w:id="197"/>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98" w:name="_Toc116986500"/>
      <w:r>
        <w:rPr>
          <w:rStyle w:val="CharSectno"/>
        </w:rPr>
        <w:t>77</w:t>
      </w:r>
      <w:r>
        <w:t>.</w:t>
      </w:r>
      <w:r>
        <w:tab/>
        <w:t>Form of search warrant</w:t>
      </w:r>
      <w:bookmarkEnd w:id="198"/>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9" w:name="_Toc512675332"/>
      <w:bookmarkStart w:id="200" w:name="_Toc512918151"/>
      <w:bookmarkStart w:id="201" w:name="_Toc27803447"/>
      <w:bookmarkStart w:id="202" w:name="_Toc100975099"/>
      <w:bookmarkStart w:id="203" w:name="_Toc100977233"/>
      <w:bookmarkStart w:id="204" w:name="_Toc101081016"/>
      <w:bookmarkStart w:id="205" w:name="_Toc101774531"/>
      <w:bookmarkStart w:id="206" w:name="_Toc101774607"/>
      <w:bookmarkStart w:id="207" w:name="_Toc101774710"/>
      <w:bookmarkStart w:id="208" w:name="_Toc105391559"/>
      <w:bookmarkStart w:id="209" w:name="_Toc116986501"/>
      <w:r>
        <w:rPr>
          <w:rStyle w:val="CharSchNo"/>
        </w:rPr>
        <w:t>Appendix</w:t>
      </w:r>
      <w:bookmarkEnd w:id="199"/>
      <w:bookmarkEnd w:id="200"/>
      <w:bookmarkEnd w:id="201"/>
      <w:bookmarkEnd w:id="202"/>
      <w:bookmarkEnd w:id="203"/>
      <w:bookmarkEnd w:id="204"/>
      <w:bookmarkEnd w:id="205"/>
      <w:bookmarkEnd w:id="206"/>
      <w:bookmarkEnd w:id="207"/>
      <w:bookmarkEnd w:id="208"/>
      <w:bookmarkEnd w:id="209"/>
      <w:r>
        <w:t xml:space="preserve"> </w:t>
      </w:r>
    </w:p>
    <w:p>
      <w:pPr>
        <w:pStyle w:val="yHeading2"/>
        <w:rPr>
          <w:bCs/>
          <w:snapToGrid/>
        </w:rPr>
      </w:pPr>
      <w:bookmarkStart w:id="210" w:name="_Toc27803448"/>
      <w:bookmarkStart w:id="211" w:name="_Toc101774532"/>
      <w:bookmarkStart w:id="212" w:name="_Toc101774608"/>
      <w:bookmarkStart w:id="213" w:name="_Toc101774711"/>
      <w:bookmarkStart w:id="214" w:name="_Toc116986502"/>
      <w:r>
        <w:rPr>
          <w:rStyle w:val="CharSchText"/>
          <w:bCs/>
        </w:rPr>
        <w:t>Rules of Betting</w:t>
      </w:r>
      <w:bookmarkEnd w:id="210"/>
      <w:bookmarkEnd w:id="211"/>
      <w:bookmarkEnd w:id="212"/>
      <w:bookmarkEnd w:id="213"/>
      <w:bookmarkEnd w:id="214"/>
      <w:r>
        <w:rPr>
          <w:bCs/>
        </w:rPr>
        <w:t> </w:t>
      </w:r>
    </w:p>
    <w:p>
      <w:pPr>
        <w:pStyle w:val="yFootnoteheading"/>
      </w:pPr>
      <w:r>
        <w:rPr>
          <w:snapToGrid w:val="0"/>
        </w:rPr>
        <w:tab/>
        <w:t>[Heading inserted in Gazette 14 Sep 1990 p. 4864.]</w:t>
      </w:r>
    </w:p>
    <w:p>
      <w:pPr>
        <w:pStyle w:val="yHeading2"/>
        <w:rPr>
          <w:sz w:val="22"/>
        </w:rPr>
      </w:pPr>
      <w:bookmarkStart w:id="215" w:name="_Toc27803449"/>
      <w:bookmarkStart w:id="216" w:name="_Toc101774533"/>
      <w:bookmarkStart w:id="217" w:name="_Toc101774609"/>
      <w:bookmarkStart w:id="218" w:name="_Toc101774712"/>
      <w:bookmarkStart w:id="219" w:name="_Toc116986503"/>
      <w:r>
        <w:rPr>
          <w:sz w:val="22"/>
        </w:rPr>
        <w:t>Part 1 — </w:t>
      </w:r>
      <w:r>
        <w:rPr>
          <w:rStyle w:val="CharPartText"/>
          <w:sz w:val="22"/>
        </w:rPr>
        <w:t>Betting under the rules of racing</w:t>
      </w:r>
      <w:bookmarkEnd w:id="215"/>
      <w:bookmarkEnd w:id="216"/>
      <w:bookmarkEnd w:id="217"/>
      <w:bookmarkEnd w:id="218"/>
      <w:bookmarkEnd w:id="219"/>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220" w:name="_Toc511525083"/>
      <w:bookmarkStart w:id="221" w:name="_Toc27803450"/>
      <w:bookmarkStart w:id="222" w:name="_Toc116986504"/>
      <w:r>
        <w:rPr>
          <w:snapToGrid w:val="0"/>
        </w:rPr>
        <w:t>1.</w:t>
      </w:r>
      <w:r>
        <w:rPr>
          <w:snapToGrid w:val="0"/>
        </w:rPr>
        <w:tab/>
        <w:t>Interpretation</w:t>
      </w:r>
      <w:bookmarkEnd w:id="220"/>
      <w:bookmarkEnd w:id="221"/>
      <w:bookmarkEnd w:id="222"/>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223" w:name="_Toc511525084"/>
      <w:bookmarkStart w:id="224" w:name="_Toc27803451"/>
      <w:bookmarkStart w:id="225" w:name="_Toc116986505"/>
      <w:r>
        <w:rPr>
          <w:snapToGrid w:val="0"/>
        </w:rPr>
        <w:t>2.</w:t>
      </w:r>
      <w:r>
        <w:rPr>
          <w:snapToGrid w:val="0"/>
        </w:rPr>
        <w:tab/>
        <w:t>Bets void in certain circumstances</w:t>
      </w:r>
      <w:bookmarkEnd w:id="223"/>
      <w:bookmarkEnd w:id="224"/>
      <w:bookmarkEnd w:id="225"/>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226" w:name="_Toc511525085"/>
      <w:bookmarkStart w:id="227" w:name="_Toc27803452"/>
      <w:r>
        <w:tab/>
        <w:t>[Rule 2 amended in Gazette 21 Jul 1998 p. 3855 and 3856; 18 Jan 2002 p. 284; 20 Sep 2002 p. 4704; 30 Jan 2004 p. 406 and 412.]</w:t>
      </w:r>
    </w:p>
    <w:p>
      <w:pPr>
        <w:pStyle w:val="yHeading5"/>
        <w:keepLines w:val="0"/>
        <w:outlineLvl w:val="9"/>
        <w:rPr>
          <w:snapToGrid w:val="0"/>
        </w:rPr>
      </w:pPr>
      <w:bookmarkStart w:id="228" w:name="_Toc116986506"/>
      <w:r>
        <w:rPr>
          <w:snapToGrid w:val="0"/>
        </w:rPr>
        <w:t>3.</w:t>
      </w:r>
      <w:r>
        <w:rPr>
          <w:snapToGrid w:val="0"/>
        </w:rPr>
        <w:tab/>
        <w:t>When bets are off</w:t>
      </w:r>
      <w:bookmarkEnd w:id="226"/>
      <w:bookmarkEnd w:id="227"/>
      <w:bookmarkEnd w:id="228"/>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229" w:name="_Toc511525086"/>
      <w:bookmarkStart w:id="230" w:name="_Toc27803453"/>
      <w:r>
        <w:tab/>
        <w:t>[Rule 3 amended in Gazette 21 Jul 1998 p. 3855; 20 Sep 2002 p. 4704; 30 Jan 2004 p. 407</w:t>
      </w:r>
      <w:r>
        <w:noBreakHyphen/>
        <w:t>8 and 412.]</w:t>
      </w:r>
    </w:p>
    <w:p>
      <w:pPr>
        <w:pStyle w:val="yHeading5"/>
        <w:outlineLvl w:val="9"/>
        <w:rPr>
          <w:snapToGrid w:val="0"/>
        </w:rPr>
      </w:pPr>
      <w:bookmarkStart w:id="231" w:name="_Toc116986507"/>
      <w:r>
        <w:rPr>
          <w:snapToGrid w:val="0"/>
        </w:rPr>
        <w:t>4.</w:t>
      </w:r>
      <w:r>
        <w:rPr>
          <w:snapToGrid w:val="0"/>
        </w:rPr>
        <w:tab/>
        <w:t>Determination and settlement of bets</w:t>
      </w:r>
      <w:bookmarkEnd w:id="229"/>
      <w:bookmarkEnd w:id="230"/>
      <w:bookmarkEnd w:id="231"/>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232" w:name="_Toc511525087"/>
      <w:bookmarkStart w:id="233" w:name="_Toc27803454"/>
      <w:r>
        <w:tab/>
        <w:t>[Rule 4 amended in Gazette 21 Jul 1998 p 3856 and 3857; 18 Jan 2002 p. 284; 20 Sep 2002 p. 4704; 30 Jan 2004 p. 408.]</w:t>
      </w:r>
    </w:p>
    <w:p>
      <w:pPr>
        <w:pStyle w:val="yHeading5"/>
        <w:outlineLvl w:val="9"/>
        <w:rPr>
          <w:snapToGrid w:val="0"/>
        </w:rPr>
      </w:pPr>
      <w:bookmarkStart w:id="234" w:name="_Toc116986508"/>
      <w:r>
        <w:rPr>
          <w:snapToGrid w:val="0"/>
        </w:rPr>
        <w:t>5.</w:t>
      </w:r>
      <w:r>
        <w:rPr>
          <w:snapToGrid w:val="0"/>
        </w:rPr>
        <w:tab/>
        <w:t>Bets in respect of postponed race or race meeting</w:t>
      </w:r>
      <w:bookmarkEnd w:id="232"/>
      <w:bookmarkEnd w:id="233"/>
      <w:bookmarkEnd w:id="234"/>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outlineLvl w:val="9"/>
        <w:rPr>
          <w:snapToGrid w:val="0"/>
        </w:rPr>
      </w:pPr>
      <w:bookmarkStart w:id="235" w:name="_Toc511525088"/>
      <w:bookmarkStart w:id="236" w:name="_Toc27803455"/>
      <w:bookmarkStart w:id="237" w:name="_Toc116986509"/>
      <w:r>
        <w:rPr>
          <w:snapToGrid w:val="0"/>
        </w:rPr>
        <w:t>6.</w:t>
      </w:r>
      <w:r>
        <w:rPr>
          <w:snapToGrid w:val="0"/>
        </w:rPr>
        <w:tab/>
        <w:t>Each way bets</w:t>
      </w:r>
      <w:bookmarkEnd w:id="235"/>
      <w:bookmarkEnd w:id="236"/>
      <w:bookmarkEnd w:id="237"/>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238" w:name="_Toc511525089"/>
      <w:bookmarkStart w:id="239" w:name="_Toc27803456"/>
      <w:bookmarkStart w:id="240" w:name="_Toc116986510"/>
      <w:r>
        <w:rPr>
          <w:snapToGrid w:val="0"/>
        </w:rPr>
        <w:t>7.</w:t>
      </w:r>
      <w:r>
        <w:rPr>
          <w:snapToGrid w:val="0"/>
        </w:rPr>
        <w:tab/>
        <w:t>All bets to be “play or pay” except in certain circumstances</w:t>
      </w:r>
      <w:bookmarkEnd w:id="238"/>
      <w:bookmarkEnd w:id="239"/>
      <w:bookmarkEnd w:id="240"/>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241" w:name="_Toc511525090"/>
      <w:bookmarkStart w:id="242" w:name="_Toc27803457"/>
      <w:bookmarkStart w:id="243" w:name="_Toc116986511"/>
      <w:r>
        <w:rPr>
          <w:snapToGrid w:val="0"/>
        </w:rPr>
        <w:t>8.</w:t>
      </w:r>
      <w:r>
        <w:rPr>
          <w:snapToGrid w:val="0"/>
        </w:rPr>
        <w:tab/>
        <w:t>Provisions as to settlement of bets following a dead heat</w:t>
      </w:r>
      <w:bookmarkEnd w:id="241"/>
      <w:bookmarkEnd w:id="242"/>
      <w:bookmarkEnd w:id="243"/>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244" w:name="_Toc511525091"/>
      <w:bookmarkStart w:id="245" w:name="_Toc27803458"/>
      <w:bookmarkStart w:id="246" w:name="_Toc116986512"/>
      <w:r>
        <w:rPr>
          <w:snapToGrid w:val="0"/>
        </w:rPr>
        <w:t>9.</w:t>
      </w:r>
      <w:r>
        <w:rPr>
          <w:snapToGrid w:val="0"/>
        </w:rPr>
        <w:tab/>
        <w:t>Doubles</w:t>
      </w:r>
      <w:bookmarkEnd w:id="244"/>
      <w:bookmarkEnd w:id="245"/>
      <w:bookmarkEnd w:id="246"/>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247" w:name="_Toc511525092"/>
      <w:bookmarkStart w:id="248" w:name="_Toc27803459"/>
      <w:r>
        <w:tab/>
        <w:t>[Rule 9 amended in Gazette 21 Jul 1998 p. 3855 and 3856; 30 Jan 2004 p. 408.]</w:t>
      </w:r>
    </w:p>
    <w:p>
      <w:pPr>
        <w:pStyle w:val="yHeading5"/>
        <w:outlineLvl w:val="9"/>
        <w:rPr>
          <w:snapToGrid w:val="0"/>
        </w:rPr>
      </w:pPr>
      <w:bookmarkStart w:id="249" w:name="_Toc116986513"/>
      <w:r>
        <w:rPr>
          <w:snapToGrid w:val="0"/>
        </w:rPr>
        <w:t>10.</w:t>
      </w:r>
      <w:r>
        <w:rPr>
          <w:snapToGrid w:val="0"/>
        </w:rPr>
        <w:tab/>
        <w:t>Multiple doubles</w:t>
      </w:r>
      <w:bookmarkEnd w:id="247"/>
      <w:bookmarkEnd w:id="248"/>
      <w:bookmarkEnd w:id="249"/>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250" w:name="_Toc511525093"/>
      <w:bookmarkStart w:id="251" w:name="_Toc27803460"/>
      <w:r>
        <w:tab/>
        <w:t>[Rule 10 amended in Gazette 21 Jul 1998 p. 3856; 30 Jan 2004 p. 408.]</w:t>
      </w:r>
    </w:p>
    <w:p>
      <w:pPr>
        <w:pStyle w:val="yHeading5"/>
        <w:outlineLvl w:val="9"/>
        <w:rPr>
          <w:snapToGrid w:val="0"/>
        </w:rPr>
      </w:pPr>
      <w:bookmarkStart w:id="252" w:name="_Toc116986514"/>
      <w:r>
        <w:rPr>
          <w:snapToGrid w:val="0"/>
        </w:rPr>
        <w:t>11.</w:t>
      </w:r>
      <w:r>
        <w:rPr>
          <w:snapToGrid w:val="0"/>
        </w:rPr>
        <w:tab/>
        <w:t>“All up” bets</w:t>
      </w:r>
      <w:bookmarkEnd w:id="250"/>
      <w:bookmarkEnd w:id="251"/>
      <w:bookmarkEnd w:id="252"/>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253" w:name="_Toc511525094"/>
      <w:bookmarkStart w:id="254" w:name="_Toc27803461"/>
      <w:bookmarkStart w:id="255" w:name="_Toc116986515"/>
      <w:r>
        <w:rPr>
          <w:snapToGrid w:val="0"/>
        </w:rPr>
        <w:t>12.</w:t>
      </w:r>
      <w:r>
        <w:rPr>
          <w:snapToGrid w:val="0"/>
        </w:rPr>
        <w:tab/>
        <w:t>Provisions as to races that are re</w:t>
      </w:r>
      <w:r>
        <w:rPr>
          <w:snapToGrid w:val="0"/>
        </w:rPr>
        <w:noBreakHyphen/>
        <w:t>run</w:t>
      </w:r>
      <w:bookmarkEnd w:id="253"/>
      <w:bookmarkEnd w:id="254"/>
      <w:bookmarkEnd w:id="255"/>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outlineLvl w:val="9"/>
        <w:rPr>
          <w:snapToGrid w:val="0"/>
        </w:rPr>
      </w:pPr>
      <w:bookmarkStart w:id="256" w:name="_Toc511525095"/>
      <w:bookmarkStart w:id="257" w:name="_Toc27803462"/>
      <w:bookmarkStart w:id="258" w:name="_Toc116986516"/>
      <w:r>
        <w:rPr>
          <w:snapToGrid w:val="0"/>
        </w:rPr>
        <w:t>13.</w:t>
      </w:r>
      <w:r>
        <w:rPr>
          <w:snapToGrid w:val="0"/>
        </w:rPr>
        <w:tab/>
        <w:t>Provisions as to bets on runners that are entered for 2 or more races on the same day</w:t>
      </w:r>
      <w:bookmarkEnd w:id="256"/>
      <w:bookmarkEnd w:id="257"/>
      <w:bookmarkEnd w:id="258"/>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259" w:name="_Toc511525096"/>
      <w:bookmarkStart w:id="260" w:name="_Toc27803463"/>
      <w:bookmarkStart w:id="261" w:name="_Toc116986517"/>
      <w:r>
        <w:rPr>
          <w:snapToGrid w:val="0"/>
        </w:rPr>
        <w:t>14.</w:t>
      </w:r>
      <w:r>
        <w:rPr>
          <w:snapToGrid w:val="0"/>
        </w:rPr>
        <w:tab/>
        <w:t>Prohibition on betting after race</w:t>
      </w:r>
      <w:bookmarkEnd w:id="259"/>
      <w:bookmarkEnd w:id="260"/>
      <w:bookmarkEnd w:id="261"/>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262" w:name="_Toc511525097"/>
      <w:bookmarkStart w:id="263" w:name="_Toc27803464"/>
      <w:r>
        <w:tab/>
        <w:t>[Rule 14 amended in Gazette21 Jul 1998 p. 3855; 30 Jan 2004 p. 408.]</w:t>
      </w:r>
    </w:p>
    <w:p>
      <w:pPr>
        <w:pStyle w:val="yHeading5"/>
        <w:spacing w:before="260"/>
        <w:outlineLvl w:val="9"/>
        <w:rPr>
          <w:snapToGrid w:val="0"/>
        </w:rPr>
      </w:pPr>
      <w:bookmarkStart w:id="264" w:name="_Toc116986518"/>
      <w:r>
        <w:rPr>
          <w:snapToGrid w:val="0"/>
        </w:rPr>
        <w:t>15.</w:t>
      </w:r>
      <w:r>
        <w:rPr>
          <w:snapToGrid w:val="0"/>
        </w:rPr>
        <w:tab/>
        <w:t>Settlement of bets on deaths of parties thereto</w:t>
      </w:r>
      <w:bookmarkEnd w:id="262"/>
      <w:bookmarkEnd w:id="263"/>
      <w:bookmarkEnd w:id="264"/>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265" w:name="_Toc511525098"/>
      <w:bookmarkStart w:id="266" w:name="_Toc27803465"/>
      <w:bookmarkStart w:id="267" w:name="_Toc116986519"/>
      <w:r>
        <w:rPr>
          <w:snapToGrid w:val="0"/>
        </w:rPr>
        <w:t>16.</w:t>
      </w:r>
      <w:r>
        <w:rPr>
          <w:snapToGrid w:val="0"/>
        </w:rPr>
        <w:tab/>
        <w:t>Settlement of bets on suspension or cancellation of licence of a bookmaker</w:t>
      </w:r>
      <w:bookmarkEnd w:id="265"/>
      <w:bookmarkEnd w:id="266"/>
      <w:bookmarkEnd w:id="267"/>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268" w:name="_Toc511525099"/>
      <w:bookmarkStart w:id="269" w:name="_Toc27803466"/>
      <w:r>
        <w:tab/>
        <w:t>[Rule 16 amended in Gazette 20 Sep 2002 p. 4704; 30 Jan 2004 p. 412.]</w:t>
      </w:r>
    </w:p>
    <w:p>
      <w:pPr>
        <w:pStyle w:val="yHeading5"/>
        <w:outlineLvl w:val="9"/>
        <w:rPr>
          <w:snapToGrid w:val="0"/>
        </w:rPr>
      </w:pPr>
      <w:bookmarkStart w:id="270" w:name="_Toc116986520"/>
      <w:r>
        <w:rPr>
          <w:snapToGrid w:val="0"/>
        </w:rPr>
        <w:t>17.</w:t>
      </w:r>
      <w:r>
        <w:rPr>
          <w:snapToGrid w:val="0"/>
        </w:rPr>
        <w:tab/>
        <w:t>Settling</w:t>
      </w:r>
      <w:bookmarkEnd w:id="268"/>
      <w:bookmarkEnd w:id="269"/>
      <w:bookmarkEnd w:id="270"/>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271" w:name="_Toc27803467"/>
      <w:bookmarkStart w:id="272" w:name="_Toc116986521"/>
      <w:r>
        <w:rPr>
          <w:sz w:val="22"/>
        </w:rPr>
        <w:t>Part 2 — Betting on a sporting event, or a contingency,</w:t>
      </w:r>
      <w:r>
        <w:rPr>
          <w:rStyle w:val="CharPartText"/>
          <w:sz w:val="22"/>
        </w:rPr>
        <w:t xml:space="preserve"> approved under section 4B</w:t>
      </w:r>
      <w:bookmarkEnd w:id="271"/>
      <w:bookmarkEnd w:id="272"/>
      <w:r>
        <w:rPr>
          <w:sz w:val="22"/>
        </w:rPr>
        <w:t xml:space="preserve"> </w:t>
      </w:r>
    </w:p>
    <w:p>
      <w:pPr>
        <w:pStyle w:val="yFootnoteheading"/>
        <w:tabs>
          <w:tab w:val="clear" w:pos="879"/>
          <w:tab w:val="left" w:pos="720"/>
        </w:tabs>
        <w:rPr>
          <w:snapToGrid w:val="0"/>
        </w:rPr>
      </w:pPr>
      <w:r>
        <w:rPr>
          <w:snapToGrid w:val="0"/>
        </w:rPr>
        <w:tab/>
        <w:t xml:space="preserve">[Heading inserted in Gazette 10 Jul 1992 p. 3294.] </w:t>
      </w:r>
    </w:p>
    <w:p>
      <w:pPr>
        <w:pStyle w:val="MiscellaneousBody"/>
        <w:ind w:left="709" w:hanging="709"/>
        <w:rPr>
          <w:snapToGrid w:val="0"/>
          <w:sz w:val="22"/>
        </w:rPr>
      </w:pPr>
      <w:r>
        <w:rPr>
          <w:snapToGrid w:val="0"/>
          <w:sz w:val="22"/>
        </w:rPr>
        <w:t>1.</w:t>
      </w:r>
      <w:r>
        <w:rPr>
          <w:snapToGrid w:val="0"/>
          <w:sz w:val="22"/>
        </w:rPr>
        <w:tab/>
        <w:t>Bets shall be determined on the official results as declared by the controlling authority responsible for conducting the sporting event to which the bets relate.</w:t>
      </w:r>
    </w:p>
    <w:p>
      <w:pPr>
        <w:pStyle w:val="yFootnotesection"/>
        <w:tabs>
          <w:tab w:val="clear" w:pos="893"/>
          <w:tab w:val="left" w:pos="720"/>
        </w:tabs>
      </w:pPr>
      <w:r>
        <w:tab/>
        <w:t>[Rule 1 inserted in Gazette 10 Jul 1992 p. 3294.]</w:t>
      </w:r>
    </w:p>
    <w:p>
      <w:pPr>
        <w:pStyle w:val="MiscellaneousBody"/>
        <w:ind w:left="709" w:hanging="709"/>
        <w:rPr>
          <w:snapToGrid w:val="0"/>
          <w:sz w:val="22"/>
        </w:rPr>
      </w:pPr>
      <w:r>
        <w:rPr>
          <w:snapToGrid w:val="0"/>
          <w:sz w:val="22"/>
        </w:rPr>
        <w:t>2.</w:t>
      </w:r>
      <w:r>
        <w:rPr>
          <w:snapToGrid w:val="0"/>
          <w:sz w:val="22"/>
        </w:rPr>
        <w:tab/>
        <w:t>Any outcome not covered by these rules shall be determined by the stewards acting at the race meeting where the bet was laid.</w:t>
      </w:r>
    </w:p>
    <w:p>
      <w:pPr>
        <w:pStyle w:val="yFootnotesection"/>
        <w:ind w:hanging="170"/>
      </w:pPr>
      <w:r>
        <w:t>[Rule 2 inserted in Gazette 10 Jul 1992 p. 3294.]</w:t>
      </w:r>
    </w:p>
    <w:p>
      <w:pPr>
        <w:pStyle w:val="MiscellaneousBody"/>
        <w:ind w:left="709" w:hanging="709"/>
        <w:rPr>
          <w:snapToGrid w:val="0"/>
          <w:sz w:val="22"/>
        </w:rPr>
      </w:pPr>
      <w:r>
        <w:rPr>
          <w:snapToGrid w:val="0"/>
          <w:sz w:val="22"/>
        </w:rPr>
        <w:t>3.</w:t>
      </w:r>
      <w:r>
        <w:rPr>
          <w:snapToGrid w:val="0"/>
          <w:sz w:val="22"/>
        </w:rPr>
        <w:tab/>
        <w:t>Where betting on the outcome of a sporting contingency involves a points margin, such a points margin shall be declared to half a point in every case.</w:t>
      </w:r>
    </w:p>
    <w:p>
      <w:pPr>
        <w:pStyle w:val="yFootnotesection"/>
        <w:tabs>
          <w:tab w:val="clear" w:pos="893"/>
          <w:tab w:val="left" w:pos="720"/>
        </w:tabs>
        <w:ind w:hanging="170"/>
      </w:pPr>
      <w:r>
        <w:t>[Rule 3 inserted in Gazette 10 Jul 1992 p. 3294.]</w:t>
      </w:r>
    </w:p>
    <w:p>
      <w:pPr>
        <w:pStyle w:val="MiscellaneousBody"/>
        <w:ind w:left="709" w:hanging="709"/>
        <w:rPr>
          <w:snapToGrid w:val="0"/>
          <w:sz w:val="22"/>
        </w:rPr>
      </w:pPr>
      <w:r>
        <w:rPr>
          <w:snapToGrid w:val="0"/>
          <w:sz w:val="22"/>
        </w:rPr>
        <w:t>4.</w:t>
      </w:r>
      <w:r>
        <w:rPr>
          <w:snapToGrid w:val="0"/>
          <w:sz w:val="22"/>
        </w:rPr>
        <w:tab/>
        <w:t>Where a sporting event or contingency results in a tie, draw or dead heat, and odds are offered for that tie, draw or dead heat, any bet for a win is lost.</w:t>
      </w:r>
    </w:p>
    <w:p>
      <w:pPr>
        <w:pStyle w:val="yFootnotesection"/>
        <w:tabs>
          <w:tab w:val="clear" w:pos="893"/>
          <w:tab w:val="left" w:pos="720"/>
        </w:tabs>
        <w:ind w:hanging="170"/>
      </w:pPr>
      <w:r>
        <w:t>[Rule 4 inserted in Gazette 10 Jul 1992 p. 3294.]</w:t>
      </w:r>
    </w:p>
    <w:p>
      <w:pPr>
        <w:pStyle w:val="MiscellaneousBody"/>
        <w:ind w:left="709" w:hanging="709"/>
        <w:rPr>
          <w:snapToGrid w:val="0"/>
          <w:sz w:val="22"/>
        </w:rPr>
      </w:pPr>
      <w:r>
        <w:rPr>
          <w:snapToGrid w:val="0"/>
          <w:sz w:val="22"/>
        </w:rPr>
        <w:t>5.</w:t>
      </w:r>
      <w:r>
        <w:rPr>
          <w:snapToGrid w:val="0"/>
          <w:sz w:val="22"/>
        </w:rPr>
        <w:tab/>
        <w:t>If no odds are offered for a tie, draw or dead heat and the event or contingency results in a tie, draw or dead heat between 2 teams or 2 competitors, then any bet for a win shall be determined in the following manner —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tabs>
          <w:tab w:val="clear" w:pos="893"/>
          <w:tab w:val="left" w:pos="720"/>
        </w:tabs>
        <w:ind w:hanging="170"/>
      </w:pPr>
      <w:r>
        <w:t>[Rule 5 inserted in Gazette 10 Jul 1992 p. 3294.]</w:t>
      </w:r>
    </w:p>
    <w:p>
      <w:pPr>
        <w:pStyle w:val="MiscellaneousBody"/>
        <w:ind w:left="709" w:hanging="709"/>
        <w:rPr>
          <w:snapToGrid w:val="0"/>
          <w:sz w:val="22"/>
        </w:rPr>
      </w:pPr>
      <w:r>
        <w:rPr>
          <w:snapToGrid w:val="0"/>
          <w:sz w:val="22"/>
        </w:rPr>
        <w:t>6.</w:t>
      </w:r>
      <w:r>
        <w:rPr>
          <w:snapToGrid w:val="0"/>
          <w:sz w:val="22"/>
        </w:rPr>
        <w:tab/>
        <w:t>In bets involving more than one contingency of, or relating to, the same sporting event —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tabs>
          <w:tab w:val="clear" w:pos="893"/>
          <w:tab w:val="left" w:pos="720"/>
        </w:tabs>
        <w:ind w:hanging="170"/>
      </w:pPr>
      <w:r>
        <w:t>[Rule 6 inserted in Gazette 10 Jul 1992 p. 3294.]</w:t>
      </w:r>
    </w:p>
    <w:p>
      <w:pPr>
        <w:pStyle w:val="MiscellaneousBody"/>
        <w:keepNext/>
        <w:keepLines/>
        <w:ind w:left="709" w:hanging="709"/>
        <w:rPr>
          <w:snapToGrid w:val="0"/>
          <w:sz w:val="22"/>
        </w:rPr>
      </w:pPr>
      <w:r>
        <w:rPr>
          <w:snapToGrid w:val="0"/>
          <w:sz w:val="22"/>
        </w:rPr>
        <w:t>7.</w:t>
      </w:r>
      <w:r>
        <w:rPr>
          <w:snapToGrid w:val="0"/>
          <w:sz w:val="22"/>
        </w:rPr>
        <w:tab/>
        <w:t>Where a sporting event is abandoned, all bets are to be refunded except those laid in respect of contingencies that have been decided totally or in part.</w:t>
      </w:r>
    </w:p>
    <w:p>
      <w:pPr>
        <w:pStyle w:val="yFootnotesection"/>
        <w:tabs>
          <w:tab w:val="clear" w:pos="893"/>
          <w:tab w:val="left" w:pos="720"/>
        </w:tabs>
        <w:ind w:hanging="170"/>
      </w:pPr>
      <w:r>
        <w:t>[Rule 7 inserted in Gazette 10 Jul 1992 p. 3295.]</w:t>
      </w:r>
    </w:p>
    <w:p>
      <w:pPr>
        <w:pStyle w:val="MiscellaneousBody"/>
        <w:ind w:left="709" w:hanging="709"/>
        <w:rPr>
          <w:snapToGrid w:val="0"/>
          <w:sz w:val="22"/>
        </w:rPr>
      </w:pPr>
      <w:r>
        <w:rPr>
          <w:snapToGrid w:val="0"/>
          <w:sz w:val="22"/>
        </w:rPr>
        <w:t>8.</w:t>
      </w:r>
      <w:r>
        <w:rPr>
          <w:snapToGrid w:val="0"/>
          <w:sz w:val="22"/>
        </w:rPr>
        <w:tab/>
        <w:t>Where a sporting event is postponed to a later date, all bets on the event or contingent on the event shall stand.</w:t>
      </w:r>
    </w:p>
    <w:p>
      <w:pPr>
        <w:pStyle w:val="yFootnotesection"/>
        <w:tabs>
          <w:tab w:val="clear" w:pos="893"/>
          <w:tab w:val="left" w:pos="720"/>
        </w:tabs>
        <w:ind w:hanging="170"/>
      </w:pPr>
      <w:r>
        <w:t>[Rule 8 inserted in Gazette 10 Jul 1992 p. 3295.]</w:t>
      </w:r>
    </w:p>
    <w:p>
      <w:pPr>
        <w:pStyle w:val="MiscellaneousBody"/>
        <w:ind w:left="709" w:hanging="709"/>
        <w:rPr>
          <w:snapToGrid w:val="0"/>
          <w:sz w:val="22"/>
        </w:rPr>
      </w:pPr>
      <w:r>
        <w:rPr>
          <w:snapToGrid w:val="0"/>
          <w:sz w:val="22"/>
        </w:rPr>
        <w:t>9.</w:t>
      </w:r>
      <w:r>
        <w:rPr>
          <w:snapToGrid w:val="0"/>
          <w:sz w:val="22"/>
        </w:rPr>
        <w:tab/>
        <w:t>All bets in relation to sporting contingencies shall be “play or pay”, unless the parties mutually agree to the contrary.</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Footnotesection"/>
        <w:tabs>
          <w:tab w:val="clear" w:pos="893"/>
        </w:tabs>
        <w:ind w:left="0" w:firstLine="0"/>
      </w:pPr>
      <w:r>
        <w:t>[Rule 9 inserted in Gazette 10 Jul 1992 p. 3295; amended in Gazette 30 Jan 2004 p. 408</w:t>
      </w:r>
      <w:r>
        <w:noBreakHyphen/>
        <w:t>11.]</w:t>
      </w:r>
    </w:p>
    <w:p>
      <w:pPr>
        <w:pStyle w:val="yScheduleHeading"/>
      </w:pPr>
      <w:bookmarkStart w:id="273" w:name="_Toc116986522"/>
      <w:r>
        <w:rPr>
          <w:rStyle w:val="CharSchNo"/>
        </w:rPr>
        <w:t>Schedule 1</w:t>
      </w:r>
      <w:r>
        <w:t> — </w:t>
      </w:r>
      <w:r>
        <w:rPr>
          <w:rStyle w:val="CharSchText"/>
        </w:rPr>
        <w:t>Forms</w:t>
      </w:r>
      <w:bookmarkEnd w:id="273"/>
    </w:p>
    <w:p>
      <w:pPr>
        <w:pStyle w:val="yFootnoteheading"/>
      </w:pPr>
      <w:r>
        <w:t>[Heading inserted in Gazette 30 Jan 2004 p. 411.]</w:t>
      </w:r>
    </w:p>
    <w:p>
      <w:pPr>
        <w:pStyle w:val="yShoulderClause"/>
      </w:pPr>
      <w:r>
        <w:t>[r. 77]</w:t>
      </w:r>
    </w:p>
    <w:p>
      <w:pPr>
        <w:pStyle w:val="yTable"/>
        <w:tabs>
          <w:tab w:val="right" w:leader="dot" w:pos="7088"/>
        </w:tabs>
        <w:spacing w:before="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[Schedule 1 inserted in Gazette 30 Jan 2004 p. 411.]</w:t>
      </w:r>
    </w:p>
    <w:p>
      <w:pPr>
        <w:pStyle w:val="yFootnotesection"/>
        <w:jc w:val="cente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74" w:name="_Toc77066848"/>
      <w:bookmarkStart w:id="275" w:name="_Toc91479281"/>
      <w:bookmarkStart w:id="276" w:name="_Toc92427346"/>
      <w:bookmarkStart w:id="277" w:name="_Toc100974800"/>
      <w:bookmarkStart w:id="278" w:name="_Toc100975120"/>
      <w:bookmarkStart w:id="279" w:name="_Toc100977254"/>
      <w:bookmarkStart w:id="280" w:name="_Toc101064678"/>
      <w:bookmarkStart w:id="281" w:name="_Toc101081038"/>
      <w:bookmarkStart w:id="282" w:name="_Toc101774553"/>
      <w:bookmarkStart w:id="283" w:name="_Toc101774629"/>
      <w:bookmarkStart w:id="284" w:name="_Toc101774732"/>
      <w:bookmarkStart w:id="285" w:name="_Toc105391581"/>
      <w:bookmarkStart w:id="286" w:name="_Toc105577865"/>
      <w:bookmarkStart w:id="287" w:name="_Toc116984351"/>
      <w:bookmarkStart w:id="288" w:name="_Toc116986523"/>
      <w:r>
        <w:t>Notes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89" w:name="_Toc116986524"/>
      <w:r>
        <w:t>Compilation table</w:t>
      </w:r>
      <w:bookmarkEnd w:id="289"/>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4: The </w:t>
            </w:r>
            <w:r>
              <w:rPr>
                <w:b/>
                <w:i/>
                <w:sz w:val="19"/>
              </w:rPr>
              <w:t xml:space="preserve">Betting Control Regulations 1978 </w:t>
            </w:r>
            <w:r>
              <w:rPr>
                <w:b/>
                <w:iCs/>
                <w:sz w:val="19"/>
              </w:rPr>
              <w:t>as at 6 May 2005</w:t>
            </w:r>
            <w:r>
              <w:rPr>
                <w:bCs/>
                <w:iCs/>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0" w:name="_Toc7405065"/>
      <w:bookmarkStart w:id="291" w:name="_Toc116986525"/>
      <w:r>
        <w:t>Provisions that have not come into operation</w:t>
      </w:r>
      <w:bookmarkEnd w:id="290"/>
      <w:bookmarkEnd w:id="2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before="60" w:after="60"/>
              <w:ind w:right="113"/>
              <w:rPr>
                <w:b/>
                <w:sz w:val="19"/>
              </w:rPr>
            </w:pPr>
            <w:r>
              <w:rPr>
                <w:b/>
                <w:sz w:val="19"/>
              </w:rPr>
              <w:t>Citation</w:t>
            </w:r>
          </w:p>
        </w:tc>
        <w:tc>
          <w:tcPr>
            <w:tcW w:w="1276" w:type="dxa"/>
            <w:tcBorders>
              <w:top w:val="single" w:sz="4" w:space="0" w:color="auto"/>
              <w:bottom w:val="single" w:sz="4" w:space="0" w:color="auto"/>
            </w:tcBorders>
          </w:tcPr>
          <w:p>
            <w:pPr>
              <w:pStyle w:val="nTable"/>
              <w:spacing w:before="60" w:after="60"/>
              <w:rPr>
                <w:b/>
                <w:sz w:val="19"/>
              </w:rPr>
            </w:pPr>
            <w:r>
              <w:rPr>
                <w:b/>
                <w:sz w:val="19"/>
              </w:rPr>
              <w:t>Gazettal</w:t>
            </w:r>
          </w:p>
        </w:tc>
        <w:tc>
          <w:tcPr>
            <w:tcW w:w="2693" w:type="dxa"/>
            <w:tcBorders>
              <w:top w:val="single" w:sz="4" w:space="0" w:color="auto"/>
              <w:bottom w:val="single" w:sz="4" w:space="0" w:color="auto"/>
            </w:tcBorders>
          </w:tcPr>
          <w:p>
            <w:pPr>
              <w:pStyle w:val="nTable"/>
              <w:spacing w:before="60" w:after="60"/>
              <w:rPr>
                <w:b/>
                <w:sz w:val="19"/>
              </w:rPr>
            </w:pPr>
            <w:r>
              <w:rPr>
                <w:b/>
                <w:sz w:val="19"/>
              </w:rPr>
              <w:t>Commencement</w:t>
            </w:r>
          </w:p>
        </w:tc>
      </w:tr>
      <w:tr>
        <w:trPr>
          <w:cantSplit/>
        </w:trPr>
        <w:tc>
          <w:tcPr>
            <w:tcW w:w="3119" w:type="dxa"/>
            <w:tcBorders>
              <w:top w:val="single" w:sz="4" w:space="0" w:color="auto"/>
              <w:bottom w:val="single" w:sz="4" w:space="0" w:color="auto"/>
            </w:tcBorders>
          </w:tcPr>
          <w:p>
            <w:pPr>
              <w:pStyle w:val="nTable"/>
              <w:spacing w:before="120"/>
              <w:ind w:right="113"/>
              <w:rPr>
                <w:iCs/>
                <w:sz w:val="19"/>
              </w:rPr>
            </w:pPr>
            <w:r>
              <w:rPr>
                <w:i/>
                <w:sz w:val="19"/>
              </w:rPr>
              <w:t xml:space="preserve">Betting Control Amendment Regulations (No. 2) 2005 </w:t>
            </w:r>
            <w:r>
              <w:rPr>
                <w:iCs/>
                <w:sz w:val="19"/>
              </w:rPr>
              <w:t xml:space="preserve">r. 4 and 5 </w:t>
            </w:r>
            <w:r>
              <w:rPr>
                <w:iCs/>
                <w:sz w:val="19"/>
                <w:vertAlign w:val="superscript"/>
              </w:rPr>
              <w:t>3</w:t>
            </w:r>
          </w:p>
        </w:tc>
        <w:tc>
          <w:tcPr>
            <w:tcW w:w="1276" w:type="dxa"/>
            <w:tcBorders>
              <w:top w:val="single" w:sz="4" w:space="0" w:color="auto"/>
              <w:bottom w:val="single" w:sz="4" w:space="0" w:color="auto"/>
            </w:tcBorders>
          </w:tcPr>
          <w:p>
            <w:pPr>
              <w:pStyle w:val="nTable"/>
              <w:spacing w:before="120"/>
              <w:rPr>
                <w:sz w:val="19"/>
              </w:rPr>
            </w:pPr>
            <w:r>
              <w:rPr>
                <w:sz w:val="19"/>
              </w:rPr>
              <w:t>14 Oct 2005 p. 4558-9</w:t>
            </w:r>
          </w:p>
        </w:tc>
        <w:tc>
          <w:tcPr>
            <w:tcW w:w="2693" w:type="dxa"/>
            <w:tcBorders>
              <w:top w:val="single" w:sz="4" w:space="0" w:color="auto"/>
              <w:bottom w:val="single" w:sz="4" w:space="0" w:color="auto"/>
            </w:tcBorders>
          </w:tcPr>
          <w:p>
            <w:pPr>
              <w:pStyle w:val="nTable"/>
              <w:spacing w:before="120"/>
              <w:rPr>
                <w:sz w:val="19"/>
              </w:rPr>
            </w:pPr>
            <w:r>
              <w:rPr>
                <w:sz w:val="19"/>
              </w:rPr>
              <w:t>1 Jan 2006 (see r. 2)</w:t>
            </w:r>
          </w:p>
        </w:tc>
      </w:tr>
    </w:tbl>
    <w:p>
      <w:pPr>
        <w:pStyle w:val="nSubsection"/>
        <w:tabs>
          <w:tab w:val="clear" w:pos="454"/>
          <w:tab w:val="left" w:pos="567"/>
        </w:tabs>
        <w:spacing w:before="120"/>
        <w:ind w:left="567" w:hanging="567"/>
        <w:rPr>
          <w:spacing w:val="-2"/>
        </w:rPr>
      </w:pPr>
      <w:r>
        <w:rPr>
          <w:snapToGrid w:val="0"/>
          <w:vertAlign w:val="superscript"/>
        </w:rPr>
        <w:t>2</w:t>
      </w:r>
      <w:r>
        <w:rPr>
          <w:color w:val="FF0000"/>
          <w:spacing w:val="-2"/>
        </w:rPr>
        <w:tab/>
      </w:r>
      <w:r>
        <w:rPr>
          <w:spacing w:val="-2"/>
        </w:rPr>
        <w:t xml:space="preserve">Expired on 30 Jan 2005 (see </w:t>
      </w:r>
      <w:r>
        <w:rPr>
          <w:i/>
          <w:iCs/>
          <w:spacing w:val="-2"/>
        </w:rPr>
        <w:t>Racing and Gambling Legislation Amendment and Repeal Act 2003</w:t>
      </w:r>
      <w:r>
        <w:rPr>
          <w:spacing w:val="-2"/>
        </w:rPr>
        <w:t xml:space="preserve"> s. 48 &amp; 120).</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Betting Control Amendment Regulations (No. 2) 2005 </w:t>
      </w:r>
      <w:r>
        <w:rPr>
          <w:iCs/>
        </w:rPr>
        <w:t>r. 4 and 5</w:t>
      </w:r>
      <w:r>
        <w:rPr>
          <w:snapToGrid w:val="0"/>
        </w:rPr>
        <w:t xml:space="preserve"> had not come into operation.  They read as follows:</w:t>
      </w:r>
    </w:p>
    <w:p>
      <w:pPr>
        <w:pStyle w:val="MiscOpen"/>
        <w:keepNext w:val="0"/>
        <w:spacing w:before="60"/>
        <w:rPr>
          <w:sz w:val="20"/>
        </w:rPr>
      </w:pPr>
      <w:r>
        <w:rPr>
          <w:sz w:val="20"/>
        </w:rPr>
        <w:t>“</w:t>
      </w:r>
    </w:p>
    <w:p>
      <w:pPr>
        <w:pStyle w:val="nzHeading5"/>
      </w:pPr>
      <w:r>
        <w:rPr>
          <w:rStyle w:val="CharSectno"/>
        </w:rPr>
        <w:t>4</w:t>
      </w:r>
      <w:r>
        <w:t>.</w:t>
      </w:r>
      <w:r>
        <w:tab/>
        <w:t>Regulation 17 amended</w:t>
      </w:r>
    </w:p>
    <w:p>
      <w:pPr>
        <w:pStyle w:val="nzSubsection"/>
      </w:pPr>
      <w:r>
        <w:tab/>
        <w:t>(1)</w:t>
      </w:r>
      <w:r>
        <w:tab/>
        <w:t>Regulation 17(1) is amended as follows:</w:t>
      </w:r>
    </w:p>
    <w:p>
      <w:pPr>
        <w:pStyle w:val="nzIndenta"/>
      </w:pPr>
      <w:r>
        <w:tab/>
        <w:t>(a)</w:t>
      </w:r>
      <w:r>
        <w:tab/>
        <w:t>in paragraph (ab) by deleting “$50;” and inserting instead —</w:t>
      </w:r>
    </w:p>
    <w:p>
      <w:pPr>
        <w:pStyle w:val="nzIndenta"/>
      </w:pPr>
      <w:r>
        <w:tab/>
      </w:r>
      <w:r>
        <w:tab/>
        <w:t>“    $55;    ”;</w:t>
      </w:r>
    </w:p>
    <w:p>
      <w:pPr>
        <w:pStyle w:val="nzIndenta"/>
      </w:pPr>
      <w:r>
        <w:tab/>
        <w:t>(b)</w:t>
      </w:r>
      <w:r>
        <w:tab/>
        <w:t>in paragraph (ac) by deleting “$265;” and inserting instead —</w:t>
      </w:r>
    </w:p>
    <w:p>
      <w:pPr>
        <w:pStyle w:val="nzIndenta"/>
      </w:pPr>
      <w:r>
        <w:tab/>
      </w:r>
      <w:r>
        <w:tab/>
        <w:t>“    $270;    ”;</w:t>
      </w:r>
    </w:p>
    <w:p>
      <w:pPr>
        <w:pStyle w:val="nzIndenta"/>
      </w:pPr>
      <w:r>
        <w:tab/>
        <w:t>(c)</w:t>
      </w:r>
      <w:r>
        <w:tab/>
        <w:t>in paragraph (a) by deleting “$525;” and inserting instead —</w:t>
      </w:r>
    </w:p>
    <w:p>
      <w:pPr>
        <w:pStyle w:val="nzIndenta"/>
      </w:pPr>
      <w:r>
        <w:tab/>
      </w:r>
      <w:r>
        <w:tab/>
        <w:t>“    $535;    ”;</w:t>
      </w:r>
    </w:p>
    <w:p>
      <w:pPr>
        <w:pStyle w:val="nzIndenta"/>
      </w:pPr>
      <w:r>
        <w:tab/>
        <w:t>(d)</w:t>
      </w:r>
      <w:r>
        <w:tab/>
        <w:t>in paragraph (ba) by deleting “$125;” and inserting instead —</w:t>
      </w:r>
    </w:p>
    <w:p>
      <w:pPr>
        <w:pStyle w:val="nzIndenta"/>
      </w:pPr>
      <w:r>
        <w:tab/>
      </w:r>
      <w:r>
        <w:tab/>
        <w:t>“    $130;    ”;</w:t>
      </w:r>
    </w:p>
    <w:p>
      <w:pPr>
        <w:pStyle w:val="nzIndenta"/>
      </w:pPr>
      <w:r>
        <w:tab/>
        <w:t>(e)</w:t>
      </w:r>
      <w:r>
        <w:tab/>
        <w:t>in paragraph (bb) by deleting “$65;” and inserting instead —</w:t>
      </w:r>
    </w:p>
    <w:p>
      <w:pPr>
        <w:pStyle w:val="nzIndenta"/>
      </w:pPr>
      <w:r>
        <w:tab/>
      </w:r>
      <w:r>
        <w:tab/>
        <w:t>“    $70;    ”;</w:t>
      </w:r>
    </w:p>
    <w:p>
      <w:pPr>
        <w:pStyle w:val="nzIndenta"/>
      </w:pPr>
      <w:r>
        <w:tab/>
        <w:t>(f)</w:t>
      </w:r>
      <w:r>
        <w:tab/>
        <w:t>in paragraph (c) by deleting “$120;” and inserting instead —</w:t>
      </w:r>
    </w:p>
    <w:p>
      <w:pPr>
        <w:pStyle w:val="nzIndenta"/>
      </w:pPr>
      <w:r>
        <w:tab/>
      </w:r>
      <w:r>
        <w:tab/>
        <w:t>“    $125;    ”.</w:t>
      </w:r>
    </w:p>
    <w:p>
      <w:pPr>
        <w:pStyle w:val="nzSubsection"/>
      </w:pPr>
      <w:r>
        <w:tab/>
        <w:t>(2)</w:t>
      </w:r>
      <w:r>
        <w:tab/>
        <w:t>Regulation 17(2) is amended by deleting “$75.” and inserting instead —</w:t>
      </w:r>
    </w:p>
    <w:p>
      <w:pPr>
        <w:pStyle w:val="nzSubsection"/>
      </w:pPr>
      <w:r>
        <w:tab/>
      </w:r>
      <w:r>
        <w:tab/>
        <w:t>“    $80.    ”.</w:t>
      </w:r>
    </w:p>
    <w:p>
      <w:pPr>
        <w:pStyle w:val="nzSubsection"/>
      </w:pPr>
      <w:r>
        <w:tab/>
        <w:t>(3)</w:t>
      </w:r>
      <w:r>
        <w:tab/>
        <w:t>Regulation 17(3) is amended by deleting “$75.” and inserting instead —</w:t>
      </w:r>
    </w:p>
    <w:p>
      <w:pPr>
        <w:pStyle w:val="nzSubsection"/>
      </w:pPr>
      <w:r>
        <w:tab/>
      </w:r>
      <w:r>
        <w:tab/>
        <w:t>“    $80.    ”.</w:t>
      </w:r>
    </w:p>
    <w:p>
      <w:pPr>
        <w:pStyle w:val="nzHeading5"/>
      </w:pPr>
      <w:r>
        <w:rPr>
          <w:rStyle w:val="CharSectno"/>
        </w:rPr>
        <w:t>5</w:t>
      </w:r>
      <w:r>
        <w:t>.</w:t>
      </w:r>
      <w:r>
        <w:tab/>
        <w:t>Regulation 17A amended</w:t>
      </w:r>
    </w:p>
    <w:p>
      <w:pPr>
        <w:pStyle w:val="nzSubsection"/>
      </w:pPr>
      <w:r>
        <w:tab/>
      </w:r>
      <w:r>
        <w:tab/>
        <w:t>Regulation 17A(1)(a) is amended as follows:</w:t>
      </w:r>
    </w:p>
    <w:p>
      <w:pPr>
        <w:pStyle w:val="nzIndenta"/>
      </w:pPr>
      <w:r>
        <w:tab/>
        <w:t>(a)</w:t>
      </w:r>
      <w:r>
        <w:tab/>
        <w:t>in subparagraph (i) by deleting “$290;” and inserting instead —</w:t>
      </w:r>
    </w:p>
    <w:p>
      <w:pPr>
        <w:pStyle w:val="nzIndenta"/>
      </w:pPr>
      <w:r>
        <w:tab/>
      </w:r>
      <w:r>
        <w:tab/>
        <w:t>“    $295;    ”;</w:t>
      </w:r>
    </w:p>
    <w:p>
      <w:pPr>
        <w:pStyle w:val="nzIndenta"/>
      </w:pPr>
      <w:r>
        <w:tab/>
        <w:t>(b)</w:t>
      </w:r>
      <w:r>
        <w:tab/>
        <w:t>in subparagraph (ii) by deleting “$580;” and inserting instead —</w:t>
      </w:r>
    </w:p>
    <w:p>
      <w:pPr>
        <w:pStyle w:val="nzIndenta"/>
      </w:pPr>
      <w:r>
        <w:tab/>
      </w:r>
      <w:r>
        <w:tab/>
        <w:t>“    $595;    ”;</w:t>
      </w:r>
    </w:p>
    <w:p>
      <w:pPr>
        <w:pStyle w:val="nzIndenta"/>
      </w:pPr>
      <w:r>
        <w:tab/>
        <w:t>(c)</w:t>
      </w:r>
      <w:r>
        <w:tab/>
        <w:t>in subparagraph (iii) by deleting “$875,” and inserting instead —</w:t>
      </w:r>
    </w:p>
    <w:p>
      <w:pPr>
        <w:pStyle w:val="nzIndenta"/>
      </w:pPr>
      <w:r>
        <w:tab/>
      </w:r>
      <w:r>
        <w:tab/>
        <w:t>“    $895,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Rules of Betting</w: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Rules of Betting</w:t>
          </w:r>
          <w:r>
            <w:rPr>
              <w:b w:val="0"/>
              <w:bCs/>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9A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9</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0885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D4AF1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D623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101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A2CA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5AA7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68A4D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547F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60BC92"/>
    <w:lvl w:ilvl="0">
      <w:start w:val="1"/>
      <w:numFmt w:val="decimal"/>
      <w:pStyle w:val="ListNumber"/>
      <w:lvlText w:val="%1."/>
      <w:lvlJc w:val="left"/>
      <w:pPr>
        <w:tabs>
          <w:tab w:val="num" w:pos="360"/>
        </w:tabs>
        <w:ind w:left="360" w:hanging="360"/>
      </w:pPr>
    </w:lvl>
  </w:abstractNum>
  <w:abstractNum w:abstractNumId="9">
    <w:nsid w:val="FFFFFF89"/>
    <w:multiLevelType w:val="singleLevel"/>
    <w:tmpl w:val="BB1813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492C8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C22E9C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15954</Words>
  <Characters>73233</Characters>
  <Application>Microsoft Office Word</Application>
  <DocSecurity>0</DocSecurity>
  <Lines>2525</Lines>
  <Paragraphs>1651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1978 - 04-b0-03</dc:title>
  <dc:subject/>
  <dc:creator/>
  <cp:keywords/>
  <dc:description/>
  <cp:lastModifiedBy>svcMRProcess</cp:lastModifiedBy>
  <cp:revision>4</cp:revision>
  <cp:lastPrinted>2005-06-01T04:18:00Z</cp:lastPrinted>
  <dcterms:created xsi:type="dcterms:W3CDTF">2020-02-22T13:13:00Z</dcterms:created>
  <dcterms:modified xsi:type="dcterms:W3CDTF">2020-02-22T13:13:00Z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20051014</vt:lpwstr>
  </property>
  <property fmtid="{D5CDD505-2E9C-101B-9397-08002B2CF9AE}" pid="4" name="DocumentType">
    <vt:lpwstr>Reg</vt:lpwstr>
  </property>
  <property fmtid="{D5CDD505-2E9C-101B-9397-08002B2CF9AE}" pid="5" name="OwlsUID">
    <vt:i4>4296</vt:i4>
  </property>
  <property fmtid="{D5CDD505-2E9C-101B-9397-08002B2CF9AE}" pid="6" name="AsAtDate">
    <vt:lpwstr>14 Oct 2005</vt:lpwstr>
  </property>
  <property fmtid="{D5CDD505-2E9C-101B-9397-08002B2CF9AE}" pid="7" name="Suffix">
    <vt:lpwstr>04-b0-03</vt:lpwstr>
  </property>
</Properties>
</file>