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WA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-517525</wp:posOffset>
            </wp:positionV>
            <wp:extent cx="631190" cy="505460"/>
            <wp:effectExtent l="0" t="0" r="0" b="8890"/>
            <wp:wrapNone/>
            <wp:docPr id="11" name="Picture 11" descr="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re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Western Australia</w:t>
      </w:r>
    </w:p>
    <w:p>
      <w:pPr>
        <w:pStyle w:val="PrincipalActRegPage1"/>
      </w:pPr>
      <w:r>
        <w:fldChar w:fldCharType="begin"/>
      </w:r>
      <w:r>
        <w:instrText xml:space="preserve"> STYLEREF "PrincipalAct_Reg</w:instrText>
      </w:r>
      <w:r>
        <w:fldChar w:fldCharType="separate"/>
      </w:r>
      <w:r>
        <w:rPr>
          <w:noProof/>
        </w:rPr>
        <w:t>Environmental Protection Act 1986</w:t>
      </w:r>
      <w:r>
        <w:fldChar w:fldCharType="end"/>
      </w:r>
    </w:p>
    <w:p>
      <w:pPr>
        <w:pStyle w:val="NameofActRegPage1"/>
        <w:spacing w:before="1800" w:after="4200"/>
        <w:outlineLvl w:val="0"/>
      </w:pPr>
      <w:r>
        <w:fldChar w:fldCharType="begin"/>
      </w:r>
      <w:r>
        <w:instrText xml:space="preserve"> STYLEREF "Name Of Act/Reg"</w:instrText>
      </w:r>
      <w:r>
        <w:fldChar w:fldCharType="separate"/>
      </w:r>
      <w:r>
        <w:rPr>
          <w:noProof/>
        </w:rPr>
        <w:t>Environmental Protection (Goldfields Residential Areas) (Sulfur Dioxide) Regulations 2003</w:t>
      </w:r>
      <w:r>
        <w:fldChar w:fldCharType="end"/>
      </w:r>
    </w:p>
    <w:p>
      <w:pPr>
        <w:jc w:val="center"/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2376" w:right="2405" w:bottom="3542" w:left="2405" w:header="706" w:footer="3542" w:gutter="0"/>
          <w:pgNumType w:fmt="lowerRoman" w:start="1"/>
          <w:cols w:space="720"/>
          <w:noEndnote/>
          <w:titlePg/>
          <w:docGrid w:linePitch="326"/>
        </w:sectPr>
      </w:pPr>
    </w:p>
    <w:p>
      <w:pPr>
        <w:pStyle w:val="WA"/>
        <w:outlineLvl w:val="0"/>
      </w:pPr>
      <w:r>
        <w:lastRenderedPageBreak/>
        <w:t>Western Australia</w:t>
      </w:r>
    </w:p>
    <w:p>
      <w:pPr>
        <w:pStyle w:val="NameofActRegPage1"/>
      </w:pPr>
      <w:r>
        <w:fldChar w:fldCharType="begin"/>
      </w:r>
      <w:r>
        <w:instrText xml:space="preserve"> STYLEREF "Name Of Act/Reg"</w:instrText>
      </w:r>
      <w:r>
        <w:fldChar w:fldCharType="separate"/>
      </w:r>
      <w:r>
        <w:rPr>
          <w:noProof/>
        </w:rPr>
        <w:t>Environmental Protection (Goldfields Residential Areas) (Sulfur Dioxide) Regulations 2003</w:t>
      </w:r>
      <w:r>
        <w:fldChar w:fldCharType="end"/>
      </w:r>
    </w:p>
    <w:p>
      <w:pPr>
        <w:pStyle w:val="Arrangement"/>
      </w:pPr>
      <w:r>
        <w:t>Contents</w:t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fldChar w:fldCharType="begin"/>
      </w:r>
      <w:r>
        <w:instrText xml:space="preserve"> TOC \t "Heading 2,2,yScheduleHeading,2,yHeading 2,2,zHeading 2,3,zyScheduleHeading,3,zyHeading 2,3,Heading 3,4,yHeading 3,4,zHeading 3,5,zyHeading 3,5,Heading 4,6,yHeading 4,6,zHeading 4,7,zyHeading 4,7,Heading 5,8,yHeading 5,8,zHeading 5,9,zyHeading 5,9" \t "nHeading 2,2,nHeading 3,8" \n "2-7" \w \* MERGEFORMAT </w:instrText>
      </w:r>
      <w:r>
        <w:fldChar w:fldCharType="separate"/>
      </w:r>
      <w:r>
        <w:t>1.</w:t>
      </w:r>
      <w:r>
        <w:tab/>
        <w:t>Citation</w:t>
      </w:r>
      <w:r>
        <w:tab/>
      </w:r>
      <w:r>
        <w:fldChar w:fldCharType="begin"/>
      </w:r>
      <w:r>
        <w:instrText xml:space="preserve"> PAGEREF _Toc416789437 \h </w:instrText>
      </w:r>
      <w:r>
        <w:fldChar w:fldCharType="separate"/>
      </w:r>
      <w:r>
        <w:t>1</w:t>
      </w:r>
      <w:r>
        <w:fldChar w:fldCharType="end"/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t>2</w:t>
      </w:r>
      <w:r>
        <w:rPr>
          <w:spacing w:val="-2"/>
        </w:rPr>
        <w:t>.</w:t>
      </w:r>
      <w:r>
        <w:rPr>
          <w:spacing w:val="-2"/>
        </w:rPr>
        <w:tab/>
        <w:t>Commencement</w:t>
      </w:r>
      <w:r>
        <w:tab/>
      </w:r>
      <w:r>
        <w:fldChar w:fldCharType="begin"/>
      </w:r>
      <w:r>
        <w:instrText xml:space="preserve"> PAGEREF _Toc416789438 \h </w:instrText>
      </w:r>
      <w:r>
        <w:fldChar w:fldCharType="separate"/>
      </w:r>
      <w:r>
        <w:t>1</w:t>
      </w:r>
      <w:r>
        <w:fldChar w:fldCharType="end"/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t>3.</w:t>
      </w:r>
      <w:r>
        <w:tab/>
        <w:t>Terms used</w:t>
      </w:r>
      <w:r>
        <w:tab/>
      </w:r>
      <w:r>
        <w:fldChar w:fldCharType="begin"/>
      </w:r>
      <w:r>
        <w:instrText xml:space="preserve"> PAGEREF _Toc416789439 \h </w:instrText>
      </w:r>
      <w:r>
        <w:fldChar w:fldCharType="separate"/>
      </w:r>
      <w:r>
        <w:t>1</w:t>
      </w:r>
      <w:r>
        <w:fldChar w:fldCharType="end"/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t>4.</w:t>
      </w:r>
      <w:r>
        <w:tab/>
        <w:t>Prescribed licence conditions for premises discharging sulfur dioxide</w:t>
      </w:r>
      <w:r>
        <w:tab/>
      </w:r>
      <w:r>
        <w:fldChar w:fldCharType="begin"/>
      </w:r>
      <w:r>
        <w:instrText xml:space="preserve"> PAGEREF _Toc416789440 \h </w:instrText>
      </w:r>
      <w:r>
        <w:fldChar w:fldCharType="separate"/>
      </w:r>
      <w:r>
        <w:t>2</w:t>
      </w:r>
      <w:r>
        <w:fldChar w:fldCharType="end"/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t>5.</w:t>
      </w:r>
      <w:r>
        <w:tab/>
        <w:t>Repeal</w:t>
      </w:r>
      <w:r>
        <w:tab/>
      </w:r>
      <w:r>
        <w:fldChar w:fldCharType="begin"/>
      </w:r>
      <w:r>
        <w:instrText xml:space="preserve"> PAGEREF _Toc416789441 \h </w:instrText>
      </w:r>
      <w:r>
        <w:fldChar w:fldCharType="separate"/>
      </w:r>
      <w:r>
        <w:t>2</w:t>
      </w:r>
      <w:r>
        <w:fldChar w:fldCharType="end"/>
      </w:r>
    </w:p>
    <w:p>
      <w:pPr>
        <w:pStyle w:val="TOC2"/>
        <w:tabs>
          <w:tab w:val="right" w:leader="dot" w:pos="7077"/>
        </w:tabs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Notes</w:t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tab/>
        <w:t>Compilation table</w:t>
      </w:r>
      <w:r>
        <w:tab/>
      </w:r>
      <w:r>
        <w:fldChar w:fldCharType="begin"/>
      </w:r>
      <w:r>
        <w:instrText xml:space="preserve"> PAGEREF _Toc416789443 \h </w:instrText>
      </w:r>
      <w:r>
        <w:fldChar w:fldCharType="separate"/>
      </w:r>
      <w:r>
        <w:t>3</w:t>
      </w:r>
      <w:r>
        <w:fldChar w:fldCharType="end"/>
      </w:r>
    </w:p>
    <w:p>
      <w:pPr>
        <w:pStyle w:val="TOC2"/>
        <w:tabs>
          <w:tab w:val="right" w:leader="dot" w:pos="7077"/>
        </w:tabs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Defined terms</w:t>
      </w:r>
    </w:p>
    <w:p>
      <w:pPr>
        <w:pStyle w:val="NoteHeading"/>
      </w:pPr>
      <w:r>
        <w:fldChar w:fldCharType="end"/>
      </w:r>
      <w:r>
        <w:rPr>
          <w:rStyle w:val="CharPartNo"/>
        </w:rPr>
        <w:t xml:space="preserve"> </w:t>
      </w:r>
      <w:r>
        <w:rPr>
          <w:rStyle w:val="CharPartText"/>
        </w:rPr>
        <w:t xml:space="preserve"> </w:t>
      </w:r>
      <w:r>
        <w:rPr>
          <w:rStyle w:val="CharDivNo"/>
        </w:rPr>
        <w:t xml:space="preserve"> </w:t>
      </w:r>
      <w:r>
        <w:rPr>
          <w:rStyle w:val="CharDivText"/>
        </w:rPr>
        <w:t xml:space="preserve"> </w:t>
      </w:r>
      <w:r>
        <w:rPr>
          <w:rStyle w:val="CharSchNo"/>
        </w:rPr>
        <w:t xml:space="preserve"> </w:t>
      </w:r>
      <w:r>
        <w:rPr>
          <w:rStyle w:val="CharSchText"/>
        </w:rPr>
        <w:t xml:space="preserve"> </w:t>
      </w:r>
      <w:r>
        <w:rPr>
          <w:rStyle w:val="CharSDivNo"/>
        </w:rPr>
        <w:t xml:space="preserve"> </w:t>
      </w:r>
      <w:r>
        <w:rPr>
          <w:rStyle w:val="CharSDivText"/>
        </w:rPr>
        <w:t xml:space="preserve"> </w:t>
      </w:r>
      <w:r>
        <w:t xml:space="preserve"> </w:t>
      </w:r>
    </w:p>
    <w:p>
      <w:pPr>
        <w:pStyle w:val="NoteHeading"/>
        <w:sectPr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oddPage"/>
          <w:pgSz w:w="11907" w:h="16840" w:code="9"/>
          <w:pgMar w:top="2381" w:right="2410" w:bottom="3544" w:left="2410" w:header="720" w:footer="3544" w:gutter="0"/>
          <w:pgNumType w:fmt="lowerRoman" w:start="1"/>
          <w:cols w:space="720"/>
          <w:noEndnote/>
          <w:titlePg/>
        </w:sectPr>
      </w:pPr>
    </w:p>
    <w:p>
      <w:pPr>
        <w:pStyle w:val="WA"/>
      </w:pPr>
      <w:r>
        <w:t>Western Australia</w:t>
      </w:r>
    </w:p>
    <w:p>
      <w:pPr>
        <w:pStyle w:val="PrincipalActReg"/>
      </w:pPr>
      <w:r>
        <w:t>Environmental Protection Act 1986</w:t>
      </w:r>
    </w:p>
    <w:p>
      <w:pPr>
        <w:pStyle w:val="NameofActReg"/>
        <w:ind w:left="142" w:right="140"/>
      </w:pPr>
      <w:r>
        <w:t>Environmental Protection (Goldfields Residential Areas) (Sulfur Dioxide) Regulations 2003</w:t>
      </w:r>
    </w:p>
    <w:p>
      <w:pPr>
        <w:pStyle w:val="Heading5"/>
      </w:pPr>
      <w:bookmarkStart w:id="3" w:name="_Toc396396626"/>
      <w:bookmarkStart w:id="4" w:name="_Toc416789437"/>
      <w:r>
        <w:rPr>
          <w:rStyle w:val="CharSectno"/>
        </w:rPr>
        <w:t>1</w:t>
      </w:r>
      <w:r>
        <w:t>.</w:t>
      </w:r>
      <w:r>
        <w:tab/>
        <w:t>Citation</w:t>
      </w:r>
      <w:bookmarkEnd w:id="3"/>
      <w:bookmarkEnd w:id="4"/>
    </w:p>
    <w:p>
      <w:pPr>
        <w:pStyle w:val="Subsection"/>
        <w:ind w:right="282"/>
        <w:rPr>
          <w:i/>
        </w:rPr>
      </w:pPr>
      <w:r>
        <w:tab/>
      </w:r>
      <w:r>
        <w:tab/>
      </w:r>
      <w:bookmarkStart w:id="5" w:name="Start_Cursor"/>
      <w:bookmarkEnd w:id="5"/>
      <w:r>
        <w:rPr>
          <w:spacing w:val="-2"/>
        </w:rPr>
        <w:t>These</w:t>
      </w:r>
      <w:r>
        <w:t xml:space="preserve"> </w:t>
      </w:r>
      <w:r>
        <w:rPr>
          <w:spacing w:val="-2"/>
        </w:rPr>
        <w:t>regulations</w:t>
      </w:r>
      <w:r>
        <w:t xml:space="preserve"> may be cited as the </w:t>
      </w:r>
      <w:r>
        <w:rPr>
          <w:i/>
        </w:rPr>
        <w:t>Environmental Protection (Goldfields Residential Areas) (Sulfur Dioxide) Regulations 2003</w:t>
      </w:r>
      <w:r>
        <w:t>.</w:t>
      </w:r>
    </w:p>
    <w:p>
      <w:pPr>
        <w:pStyle w:val="Heading5"/>
        <w:rPr>
          <w:spacing w:val="-2"/>
        </w:rPr>
      </w:pPr>
      <w:bookmarkStart w:id="6" w:name="_Toc396396627"/>
      <w:bookmarkStart w:id="7" w:name="_Toc416789438"/>
      <w:r>
        <w:rPr>
          <w:rStyle w:val="CharSectno"/>
        </w:rPr>
        <w:t>2</w:t>
      </w:r>
      <w:r>
        <w:rPr>
          <w:spacing w:val="-2"/>
        </w:rPr>
        <w:t>.</w:t>
      </w:r>
      <w:r>
        <w:rPr>
          <w:spacing w:val="-2"/>
        </w:rPr>
        <w:tab/>
        <w:t>Commencement</w:t>
      </w:r>
      <w:bookmarkEnd w:id="6"/>
      <w:bookmarkEnd w:id="7"/>
    </w:p>
    <w:p>
      <w:pPr>
        <w:pStyle w:val="Subsection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These regulations come into operation on the day on which the policy comes into operation.</w:t>
      </w:r>
    </w:p>
    <w:p>
      <w:pPr>
        <w:pStyle w:val="Heading5"/>
        <w:rPr>
          <w:snapToGrid w:val="0"/>
        </w:rPr>
      </w:pPr>
      <w:bookmarkStart w:id="8" w:name="_Toc396396628"/>
      <w:bookmarkStart w:id="9" w:name="_Toc416789439"/>
      <w:r>
        <w:rPr>
          <w:rStyle w:val="CharSectno"/>
        </w:rPr>
        <w:t>3</w:t>
      </w:r>
      <w:r>
        <w:t>.</w:t>
      </w:r>
      <w:r>
        <w:tab/>
        <w:t>Terms used</w:t>
      </w:r>
      <w:bookmarkEnd w:id="8"/>
      <w:bookmarkEnd w:id="9"/>
    </w:p>
    <w:p>
      <w:pPr>
        <w:pStyle w:val="Subsection"/>
        <w:rPr>
          <w:snapToGrid w:val="0"/>
        </w:rPr>
      </w:pPr>
      <w:r>
        <w:rPr>
          <w:snapToGrid w:val="0"/>
        </w:rPr>
        <w:tab/>
        <w:t>(1)</w:t>
      </w:r>
      <w:r>
        <w:rPr>
          <w:snapToGrid w:val="0"/>
        </w:rPr>
        <w:tab/>
        <w:t>In these regulations —</w:t>
      </w:r>
    </w:p>
    <w:p>
      <w:pPr>
        <w:pStyle w:val="Defstart"/>
      </w:pPr>
      <w:r>
        <w:tab/>
      </w:r>
      <w:r>
        <w:rPr>
          <w:rStyle w:val="CharDefText"/>
        </w:rPr>
        <w:t>policy</w:t>
      </w:r>
      <w:r>
        <w:t xml:space="preserve"> means the </w:t>
      </w:r>
      <w:r>
        <w:rPr>
          <w:i/>
        </w:rPr>
        <w:t>Environmental Protection (Goldfields Residential Areas) (Sulfur Dioxide) Policy 2003</w:t>
      </w:r>
      <w:r>
        <w:t xml:space="preserve"> — </w:t>
      </w:r>
    </w:p>
    <w:p>
      <w:pPr>
        <w:pStyle w:val="Defpara"/>
      </w:pPr>
      <w:r>
        <w:tab/>
        <w:t>(a)</w:t>
      </w:r>
      <w:r>
        <w:tab/>
        <w:t xml:space="preserve">approved under the </w:t>
      </w:r>
      <w:r>
        <w:rPr>
          <w:i/>
        </w:rPr>
        <w:t>Environmental Protection (Goldfields Residential Areas) (Sulfur Dioxide) Policy Order 2003</w:t>
      </w:r>
      <w:r>
        <w:t xml:space="preserve"> (published in </w:t>
      </w:r>
      <w:r>
        <w:rPr>
          <w:i/>
        </w:rPr>
        <w:t>Gazette</w:t>
      </w:r>
      <w:r>
        <w:t xml:space="preserve"> 18 March 2003, p. 799</w:t>
      </w:r>
      <w:r>
        <w:noBreakHyphen/>
        <w:t>807); and</w:t>
      </w:r>
    </w:p>
    <w:p>
      <w:pPr>
        <w:pStyle w:val="Defpara"/>
      </w:pPr>
      <w:r>
        <w:tab/>
        <w:t>(b)</w:t>
      </w:r>
      <w:r>
        <w:tab/>
        <w:t xml:space="preserve">confirmed under the </w:t>
      </w:r>
      <w:r>
        <w:rPr>
          <w:i/>
        </w:rPr>
        <w:t>Environmental Protection (Goldfields Residential Areas) (Sulfur Dioxide) Policy Order (No. 2) 2003</w:t>
      </w:r>
      <w:r>
        <w:t xml:space="preserve"> (published in </w:t>
      </w:r>
      <w:r>
        <w:rPr>
          <w:i/>
        </w:rPr>
        <w:t>Gazette</w:t>
      </w:r>
      <w:r>
        <w:t xml:space="preserve"> 10 June 2003, p. 2085</w:t>
      </w:r>
      <w:r>
        <w:noBreakHyphen/>
        <w:t>92); and</w:t>
      </w:r>
    </w:p>
    <w:p>
      <w:pPr>
        <w:pStyle w:val="Defpara"/>
      </w:pPr>
      <w:r>
        <w:tab/>
        <w:t>(c)</w:t>
      </w:r>
      <w:r>
        <w:tab/>
        <w:t>set out in the Appendix to the order referred to in paragraph (b).</w:t>
      </w:r>
    </w:p>
    <w:p>
      <w:pPr>
        <w:pStyle w:val="Subsection"/>
      </w:pPr>
      <w:r>
        <w:tab/>
        <w:t>(2)</w:t>
      </w:r>
      <w:r>
        <w:tab/>
        <w:t>Unless the contrary intention appears, words and expressions defined in clause 2 of the policy and used in these regulations have the same respective meanings as they have in the policy.</w:t>
      </w:r>
    </w:p>
    <w:p>
      <w:pPr>
        <w:pStyle w:val="Footnotesection"/>
      </w:pPr>
      <w:r>
        <w:tab/>
        <w:t>[Regulation 3 amended: Gazette 22 Aug 2014 p. 3033.]</w:t>
      </w:r>
    </w:p>
    <w:p>
      <w:pPr>
        <w:pStyle w:val="Heading5"/>
        <w:rPr>
          <w:rStyle w:val="CharSectno"/>
        </w:rPr>
      </w:pPr>
      <w:bookmarkStart w:id="10" w:name="_Toc396396629"/>
      <w:bookmarkStart w:id="11" w:name="_Toc416789440"/>
      <w:r>
        <w:rPr>
          <w:rStyle w:val="CharSectno"/>
        </w:rPr>
        <w:t>4</w:t>
      </w:r>
      <w:r>
        <w:t>.</w:t>
      </w:r>
      <w:r>
        <w:tab/>
        <w:t>P</w:t>
      </w:r>
      <w:r>
        <w:rPr>
          <w:rStyle w:val="CharSectno"/>
        </w:rPr>
        <w:t>rescribed licence conditions for premises discharging sulfur dioxide</w:t>
      </w:r>
      <w:bookmarkEnd w:id="10"/>
      <w:bookmarkEnd w:id="11"/>
    </w:p>
    <w:p>
      <w:pPr>
        <w:pStyle w:val="Subsection"/>
      </w:pPr>
      <w:r>
        <w:tab/>
        <w:t>(1)</w:t>
      </w:r>
      <w:r>
        <w:tab/>
        <w:t>For the purposes of section 62(2) of the Act, the condition set out in subregulation (2) is prescribed as a condition that may be attached to a works approval or licence.</w:t>
      </w:r>
    </w:p>
    <w:p>
      <w:pPr>
        <w:pStyle w:val="Subsection"/>
      </w:pPr>
      <w:r>
        <w:tab/>
        <w:t>(2)</w:t>
      </w:r>
      <w:r>
        <w:tab/>
        <w:t>The occupier must ensure that the operations on the premises are conducted in such a way as neither to cause, nor to contribute to causing, the maximum sulfur dioxide concentration permitted in the ambient air of a protected area under clause 6 of the policy to be exceeded at any place within the area.</w:t>
      </w:r>
    </w:p>
    <w:p>
      <w:pPr>
        <w:pStyle w:val="Footnotesection"/>
      </w:pPr>
      <w:r>
        <w:tab/>
        <w:t>[Regulation 4 amended: Gazette 22 Aug 2014 p. 3034.]</w:t>
      </w:r>
    </w:p>
    <w:p>
      <w:pPr>
        <w:pStyle w:val="Heading5"/>
      </w:pPr>
      <w:bookmarkStart w:id="12" w:name="_Toc396396630"/>
      <w:bookmarkStart w:id="13" w:name="_Toc416789441"/>
      <w:r>
        <w:rPr>
          <w:rStyle w:val="CharSectno"/>
        </w:rPr>
        <w:t>5</w:t>
      </w:r>
      <w:r>
        <w:t>.</w:t>
      </w:r>
      <w:r>
        <w:tab/>
        <w:t>Repeal</w:t>
      </w:r>
      <w:bookmarkEnd w:id="12"/>
      <w:bookmarkEnd w:id="13"/>
    </w:p>
    <w:p>
      <w:pPr>
        <w:pStyle w:val="Subsection"/>
        <w:rPr>
          <w:snapToGrid w:val="0"/>
        </w:rPr>
      </w:pPr>
      <w:r>
        <w:tab/>
      </w:r>
      <w:r>
        <w:tab/>
        <w:t xml:space="preserve">The </w:t>
      </w:r>
      <w:r>
        <w:rPr>
          <w:i/>
        </w:rPr>
        <w:t>Environmental Protection (Goldfields Residential Areas) (Sulphur Dioxide) Regulations 1992</w:t>
      </w:r>
      <w:r>
        <w:t xml:space="preserve"> are repealed.</w:t>
      </w:r>
      <w:r>
        <w:rPr>
          <w:snapToGrid w:val="0"/>
        </w:rPr>
        <w:t xml:space="preserve"> </w:t>
      </w:r>
    </w:p>
    <w:p>
      <w:pPr>
        <w:sectPr>
          <w:headerReference w:type="even" r:id="rId21"/>
          <w:headerReference w:type="default" r:id="rId22"/>
          <w:headerReference w:type="first" r:id="rId23"/>
          <w:pgSz w:w="11907" w:h="16840" w:code="9"/>
          <w:pgMar w:top="2376" w:right="2405" w:bottom="3542" w:left="2405" w:header="706" w:footer="3380" w:gutter="0"/>
          <w:pgNumType w:start="1"/>
          <w:cols w:space="720"/>
          <w:noEndnote/>
          <w:titlePg/>
          <w:docGrid w:linePitch="326"/>
        </w:sectPr>
      </w:pPr>
    </w:p>
    <w:p>
      <w:pPr>
        <w:pStyle w:val="nHeading2"/>
      </w:pPr>
      <w:bookmarkStart w:id="14" w:name="_Toc378239361"/>
      <w:bookmarkStart w:id="15" w:name="_Toc396396631"/>
      <w:bookmarkStart w:id="16" w:name="_Toc416789344"/>
      <w:bookmarkStart w:id="17" w:name="_Toc416789442"/>
      <w:r>
        <w:t>Notes</w:t>
      </w:r>
      <w:bookmarkEnd w:id="14"/>
      <w:bookmarkEnd w:id="15"/>
      <w:bookmarkEnd w:id="16"/>
      <w:bookmarkEnd w:id="17"/>
    </w:p>
    <w:p>
      <w:pPr>
        <w:pStyle w:val="nSubsection"/>
        <w:rPr>
          <w:snapToGrid w:val="0"/>
        </w:rPr>
      </w:pPr>
      <w:r>
        <w:rPr>
          <w:snapToGrid w:val="0"/>
          <w:vertAlign w:val="superscript"/>
        </w:rPr>
        <w:t>1</w:t>
      </w:r>
      <w:r>
        <w:rPr>
          <w:snapToGrid w:val="0"/>
        </w:rPr>
        <w:tab/>
        <w:t xml:space="preserve">This is a compilation of the </w:t>
      </w:r>
      <w:r>
        <w:rPr>
          <w:i/>
        </w:rPr>
        <w:t>Environmental Protection (Goldfields Residential Areas) (Sulfur Dioxide) Regulations 2003</w:t>
      </w:r>
      <w:r>
        <w:rPr>
          <w:snapToGrid w:val="0"/>
        </w:rPr>
        <w:t xml:space="preserve"> and includes the amendments made by the other written laws referred to in the following table</w:t>
      </w:r>
      <w:r>
        <w:rPr>
          <w:i/>
        </w:rPr>
        <w:t>.</w:t>
      </w:r>
    </w:p>
    <w:p>
      <w:pPr>
        <w:pStyle w:val="nHeading3"/>
      </w:pPr>
      <w:bookmarkStart w:id="18" w:name="_Toc396396632"/>
      <w:bookmarkStart w:id="19" w:name="_Toc416789443"/>
      <w:r>
        <w:t>Compilation table</w:t>
      </w:r>
      <w:bookmarkEnd w:id="18"/>
      <w:bookmarkEnd w:id="19"/>
    </w:p>
    <w:tbl>
      <w:tblPr>
        <w:tblW w:w="0" w:type="auto"/>
        <w:tblInd w:w="28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119"/>
        <w:gridCol w:w="1276"/>
        <w:gridCol w:w="2693"/>
      </w:tblGrid>
      <w:tr>
        <w:trPr>
          <w:tblHeader/>
        </w:trPr>
        <w:tc>
          <w:tcPr>
            <w:tcW w:w="3119" w:type="dxa"/>
            <w:tcBorders>
              <w:top w:val="single" w:sz="8" w:space="0" w:color="auto"/>
            </w:tcBorders>
          </w:tcPr>
          <w:p>
            <w:pPr>
              <w:pStyle w:val="nTable"/>
              <w:spacing w:before="60" w:after="60"/>
              <w:rPr>
                <w:b/>
              </w:rPr>
            </w:pPr>
            <w:r>
              <w:rPr>
                <w:b/>
              </w:rPr>
              <w:t>Citation</w:t>
            </w:r>
          </w:p>
        </w:tc>
        <w:tc>
          <w:tcPr>
            <w:tcW w:w="1276" w:type="dxa"/>
            <w:tcBorders>
              <w:top w:val="single" w:sz="8" w:space="0" w:color="auto"/>
            </w:tcBorders>
          </w:tcPr>
          <w:p>
            <w:pPr>
              <w:pStyle w:val="nTable"/>
              <w:spacing w:before="60" w:after="60"/>
              <w:rPr>
                <w:b/>
              </w:rPr>
            </w:pPr>
            <w:r>
              <w:rPr>
                <w:b/>
              </w:rPr>
              <w:t>Gazettal</w:t>
            </w:r>
          </w:p>
        </w:tc>
        <w:tc>
          <w:tcPr>
            <w:tcW w:w="2693" w:type="dxa"/>
            <w:tcBorders>
              <w:top w:val="single" w:sz="8" w:space="0" w:color="auto"/>
            </w:tcBorders>
          </w:tcPr>
          <w:p>
            <w:pPr>
              <w:pStyle w:val="nTable"/>
              <w:spacing w:before="60" w:after="60"/>
              <w:rPr>
                <w:b/>
              </w:rPr>
            </w:pPr>
            <w:r>
              <w:rPr>
                <w:b/>
              </w:rPr>
              <w:t>Commencement</w:t>
            </w:r>
          </w:p>
        </w:tc>
      </w:tr>
      <w:tr>
        <w:tc>
          <w:tcPr>
            <w:tcW w:w="3119" w:type="dxa"/>
            <w:tcBorders>
              <w:top w:val="single" w:sz="8" w:space="0" w:color="auto"/>
            </w:tcBorders>
          </w:tcPr>
          <w:p>
            <w:pPr>
              <w:pStyle w:val="nTable"/>
            </w:pPr>
            <w:r>
              <w:rPr>
                <w:i/>
              </w:rPr>
              <w:t>Environmental Protection (Goldfields Residential Areas) (Sulfur Dioxide) Regulations 2003</w:t>
            </w:r>
          </w:p>
        </w:tc>
        <w:tc>
          <w:tcPr>
            <w:tcW w:w="1276" w:type="dxa"/>
            <w:tcBorders>
              <w:top w:val="single" w:sz="8" w:space="0" w:color="auto"/>
            </w:tcBorders>
          </w:tcPr>
          <w:p>
            <w:pPr>
              <w:pStyle w:val="nTable"/>
            </w:pPr>
            <w:r>
              <w:t>18 Mar 2003 p. 806-7</w:t>
            </w:r>
          </w:p>
        </w:tc>
        <w:tc>
          <w:tcPr>
            <w:tcW w:w="2693" w:type="dxa"/>
            <w:tcBorders>
              <w:top w:val="single" w:sz="8" w:space="0" w:color="auto"/>
            </w:tcBorders>
          </w:tcPr>
          <w:p>
            <w:pPr>
              <w:pStyle w:val="nTable"/>
            </w:pPr>
            <w:r>
              <w:t xml:space="preserve">18 Mar 2003 (see r. 2 and </w:t>
            </w:r>
            <w:r>
              <w:rPr>
                <w:i/>
              </w:rPr>
              <w:t>Gazette</w:t>
            </w:r>
            <w:r>
              <w:t xml:space="preserve"> 18 Mar 2003 p. 799)</w:t>
            </w:r>
          </w:p>
        </w:tc>
      </w:tr>
      <w:tr>
        <w:tc>
          <w:tcPr>
            <w:tcW w:w="3119" w:type="dxa"/>
            <w:tcBorders>
              <w:bottom w:val="single" w:sz="8" w:space="0" w:color="auto"/>
            </w:tcBorders>
          </w:tcPr>
          <w:p>
            <w:pPr>
              <w:pStyle w:val="nTable"/>
              <w:rPr>
                <w:i/>
              </w:rPr>
            </w:pPr>
            <w:r>
              <w:rPr>
                <w:i/>
              </w:rPr>
              <w:t>Environmental Protection (Goldfields Residential Areas) (Sulfur Dioxide) Amendment Regulations 2014</w:t>
            </w:r>
          </w:p>
        </w:tc>
        <w:tc>
          <w:tcPr>
            <w:tcW w:w="1276" w:type="dxa"/>
            <w:tcBorders>
              <w:bottom w:val="single" w:sz="8" w:space="0" w:color="auto"/>
            </w:tcBorders>
          </w:tcPr>
          <w:p>
            <w:pPr>
              <w:pStyle w:val="nTable"/>
            </w:pPr>
            <w:r>
              <w:t>22 Aug 2014 p. 3033</w:t>
            </w:r>
            <w:r>
              <w:noBreakHyphen/>
              <w:t>4</w:t>
            </w:r>
          </w:p>
        </w:tc>
        <w:tc>
          <w:tcPr>
            <w:tcW w:w="2693" w:type="dxa"/>
            <w:tcBorders>
              <w:bottom w:val="single" w:sz="8" w:space="0" w:color="auto"/>
            </w:tcBorders>
          </w:tcPr>
          <w:p>
            <w:pPr>
              <w:pStyle w:val="nTable"/>
            </w:pPr>
            <w:r>
              <w:t>r. 1 and 2: 22 Aug 2014 (see r. 2(a));</w:t>
            </w:r>
            <w:r>
              <w:br/>
              <w:t>Regulations other than r. 1 and 2: 23 Aug 2014 (see r. 2(b))</w:t>
            </w:r>
          </w:p>
        </w:tc>
      </w:tr>
    </w:tbl>
    <w:p/>
    <w:p>
      <w:pPr>
        <w:sectPr>
          <w:headerReference w:type="even" r:id="rId24"/>
          <w:headerReference w:type="default" r:id="rId25"/>
          <w:headerReference w:type="first" r:id="rId26"/>
          <w:pgSz w:w="11907" w:h="16840" w:code="9"/>
          <w:pgMar w:top="2376" w:right="2404" w:bottom="3544" w:left="2404" w:header="720" w:footer="3380" w:gutter="0"/>
          <w:cols w:space="720"/>
          <w:noEndnote/>
          <w:docGrid w:linePitch="326"/>
        </w:sectPr>
      </w:pPr>
    </w:p>
    <w:p>
      <w:pPr>
        <w:pStyle w:val="nHeading2"/>
        <w:rPr>
          <w:sz w:val="28"/>
        </w:rPr>
      </w:pPr>
      <w:bookmarkStart w:id="21" w:name="_Toc416789444"/>
      <w:r>
        <w:rPr>
          <w:sz w:val="28"/>
        </w:rPr>
        <w:t>Defined terms</w:t>
      </w:r>
      <w:bookmarkEnd w:id="21"/>
    </w:p>
    <w:p>
      <w:pPr>
        <w:ind w:left="850" w:right="850"/>
        <w:jc w:val="center"/>
        <w:rPr>
          <w:i/>
          <w:sz w:val="18"/>
        </w:rPr>
      </w:pPr>
    </w:p>
    <w:p>
      <w:pPr>
        <w:ind w:left="850" w:right="850"/>
        <w:jc w:val="center"/>
        <w:rPr>
          <w:i/>
          <w:sz w:val="18"/>
        </w:rPr>
      </w:pPr>
      <w:r>
        <w:rPr>
          <w:i/>
          <w:sz w:val="18"/>
        </w:rPr>
        <w:t>[This is a list of terms defined and the provisions where they are defined.  The list is not part of the law.]</w:t>
      </w:r>
    </w:p>
    <w:p>
      <w:pPr>
        <w:pBdr>
          <w:bottom w:val="single" w:sz="4" w:space="1" w:color="auto"/>
        </w:pBdr>
        <w:tabs>
          <w:tab w:val="right" w:pos="7070"/>
        </w:tabs>
        <w:ind w:left="578"/>
        <w:rPr>
          <w:b/>
          <w:sz w:val="20"/>
        </w:rPr>
      </w:pPr>
      <w:r>
        <w:rPr>
          <w:b/>
          <w:sz w:val="20"/>
        </w:rPr>
        <w:t>Defined term</w:t>
      </w:r>
      <w:r>
        <w:rPr>
          <w:b/>
          <w:sz w:val="20"/>
        </w:rPr>
        <w:tab/>
        <w:t>Provision(s)</w:t>
      </w:r>
    </w:p>
    <w:p>
      <w:pPr>
        <w:pStyle w:val="DefinedTerms"/>
      </w:pPr>
      <w:r>
        <w:t>policy</w:t>
      </w:r>
      <w:r>
        <w:tab/>
        <w:t>3(1)</w:t>
      </w:r>
    </w:p>
    <w:p/>
    <w:p>
      <w:pPr>
        <w:sectPr>
          <w:headerReference w:type="even" r:id="rId27"/>
          <w:headerReference w:type="default" r:id="rId28"/>
          <w:pgSz w:w="11907" w:h="16840" w:code="9"/>
          <w:pgMar w:top="2381" w:right="2409" w:bottom="3543" w:left="2409" w:header="720" w:footer="3380" w:gutter="0"/>
          <w:cols w:space="720"/>
          <w:noEndnote/>
          <w:docGrid w:linePitch="326"/>
        </w:sectPr>
      </w:pPr>
    </w:p>
    <w:p/>
    <w:sectPr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type w:val="continuous"/>
      <w:pgSz w:w="11907" w:h="16840" w:code="9"/>
      <w:pgMar w:top="2376" w:right="2404" w:bottom="3544" w:left="2404" w:header="720" w:footer="3380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798BA03-9CA8-4BE5-828E-56D34DA100FD}"/>
    <w:embedBold r:id="rId2" w:fontKey="{54626CF5-2339-468A-A9C3-9ACC02210CB7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2C3084F-1370-4DBF-8727-E46B77797E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68388BA-1B39-4543-920D-779759B731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00-b0-03</w:t>
    </w:r>
    <w:r>
      <w:rPr>
        <w:sz w:val="20"/>
      </w:rPr>
      <w:fldChar w:fldCharType="end"/>
    </w:r>
    <w:r>
      <w:rPr>
        <w:sz w:val="20"/>
      </w:rPr>
      <w:tab/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23 Aug 2014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23 Aug 2014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00-b0-03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23 Aug 2014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00-b0-03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4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00-b0-03</w:t>
    </w:r>
    <w:r>
      <w:rPr>
        <w:sz w:val="20"/>
      </w:rPr>
      <w:fldChar w:fldCharType="end"/>
    </w:r>
    <w:r>
      <w:rPr>
        <w:sz w:val="20"/>
      </w:rPr>
      <w:tab/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23 Aug 2014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23 Aug 2014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00-b0-03</w:t>
    </w:r>
    <w:r>
      <w:rPr>
        <w:sz w:val="20"/>
      </w:rPr>
      <w:fldChar w:fldCharType="end"/>
    </w:r>
    <w:r>
      <w:rPr>
        <w:sz w:val="20"/>
      </w:rPr>
      <w:tab/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3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23 Aug 2014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00-b0-03</w:t>
    </w:r>
    <w:r>
      <w:rPr>
        <w:sz w:val="20"/>
      </w:rPr>
      <w:fldChar w:fldCharType="end"/>
    </w:r>
    <w:r>
      <w:rPr>
        <w:sz w:val="20"/>
      </w:rPr>
      <w:tab/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i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Environmental Protection (Goldfields Residential Areas) (Sulfur Dioxide) Regulations 2003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</w:p>
      </w:tc>
    </w:tr>
  </w:tbl>
  <w:p>
    <w:pPr>
      <w:pStyle w:val="Header"/>
      <w:pBdr>
        <w:top w:val="single" w:sz="4" w:space="1" w:color="auto"/>
      </w:pBd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Environmental Protection (Goldfields Residential Areas) (Sulfur Dioxide) Regulations 2003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  <w:ind w:right="17"/>
            <w:jc w:val="right"/>
          </w:pPr>
        </w:p>
      </w:tc>
    </w:tr>
  </w:tbl>
  <w:p>
    <w:pPr>
      <w:pStyle w:val="Header"/>
      <w:pBdr>
        <w:top w:val="single" w:sz="4" w:space="1" w:color="auto"/>
      </w:pBdr>
    </w:pPr>
    <w:bookmarkStart w:id="20" w:name="Compilation"/>
    <w:bookmarkEnd w:id="20"/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348"/>
      <w:gridCol w:w="5915"/>
    </w:tblGrid>
    <w:tr>
      <w:trPr>
        <w:cantSplit/>
      </w:trPr>
      <w:tc>
        <w:tcPr>
          <w:tcW w:w="7263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Environmental Protection (Goldfields Residential Areas) (Sulfur Dioxide) Regulations 2003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348" w:type="dxa"/>
        </w:tcPr>
        <w:p>
          <w:pPr>
            <w:pStyle w:val="Header"/>
            <w:spacing w:before="40"/>
          </w:pPr>
        </w:p>
      </w:tc>
      <w:tc>
        <w:tcPr>
          <w:tcW w:w="5915" w:type="dxa"/>
        </w:tcPr>
        <w:p>
          <w:pPr>
            <w:pStyle w:val="Header"/>
            <w:spacing w:before="40"/>
          </w:pPr>
        </w:p>
      </w:tc>
    </w:tr>
    <w:tr>
      <w:tc>
        <w:tcPr>
          <w:tcW w:w="1348" w:type="dxa"/>
        </w:tcPr>
        <w:p>
          <w:pPr>
            <w:pStyle w:val="Header"/>
            <w:spacing w:before="40"/>
          </w:pPr>
        </w:p>
      </w:tc>
      <w:tc>
        <w:tcPr>
          <w:tcW w:w="5915" w:type="dxa"/>
        </w:tcPr>
        <w:p>
          <w:pPr>
            <w:pStyle w:val="Header"/>
            <w:spacing w:before="40"/>
          </w:pPr>
        </w:p>
      </w:tc>
    </w:tr>
    <w:tr>
      <w:trPr>
        <w:cantSplit/>
      </w:trPr>
      <w:tc>
        <w:tcPr>
          <w:tcW w:w="7263" w:type="dxa"/>
          <w:gridSpan w:val="2"/>
        </w:tcPr>
        <w:p>
          <w:pPr>
            <w:pStyle w:val="Header"/>
            <w:spacing w:before="40"/>
          </w:pPr>
          <w:r>
            <w:t>Defined terms</w:t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884"/>
      <w:gridCol w:w="1379"/>
    </w:tblGrid>
    <w:tr>
      <w:trPr>
        <w:cantSplit/>
      </w:trPr>
      <w:tc>
        <w:tcPr>
          <w:tcW w:w="7263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Environmental Protection (Goldfields Residential Areas) (Sulfur Dioxide) Regulations 2003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884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379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c>
        <w:tcPr>
          <w:tcW w:w="5884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379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cantSplit/>
      </w:trPr>
      <w:tc>
        <w:tcPr>
          <w:tcW w:w="7263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t>Defined terms</w:t>
          </w:r>
        </w:p>
      </w:tc>
    </w:tr>
  </w:tbl>
  <w:p>
    <w:pPr>
      <w:pStyle w:val="Header"/>
      <w:pBdr>
        <w:top w:val="single" w:sz="4" w:space="1" w:color="auto"/>
      </w:pBdr>
    </w:pPr>
    <w:bookmarkStart w:id="22" w:name="DefinedTerms"/>
    <w:bookmarkEnd w:id="22"/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  <w:bookmarkStart w:id="23" w:name="Coversheet"/>
    <w:bookmarkEnd w:id="23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  <w:bookmarkStart w:id="1" w:name="TitlePage"/>
    <w:bookmarkEnd w:id="1"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Environmental Protection (Goldfields Residential Areas) (Sulfur Dioxide) Regulations 2003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  <w:r>
            <w:t>Contents</w:t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Environmental Protection (Goldfields Residential Areas) (Sulfur Dioxide) Regulations 2003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t>Contents</w:t>
          </w:r>
        </w:p>
      </w:tc>
    </w:tr>
  </w:tbl>
  <w:p>
    <w:pPr>
      <w:pStyle w:val="Header"/>
      <w:pBdr>
        <w:top w:val="single" w:sz="4" w:space="1" w:color="auto"/>
      </w:pBdr>
    </w:pPr>
    <w:bookmarkStart w:id="2" w:name="TOC"/>
    <w:bookmarkEnd w:id="2"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Environmental Protection (Goldfields Residential Areas) (Sulfur Dioxide) Regulations 2003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CharPartNo </w:instrTex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CharPartText </w:instrText>
          </w:r>
          <w: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CharDivNo </w:instrTex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  <w:r>
            <w:rPr>
              <w:b/>
            </w:rPr>
            <w:t xml:space="preserve">r. </w: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CharSectno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Environmental Protection (Goldfields Residential Areas) (Sulfur Dioxide) Regulations 2003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CharPartText </w:instrText>
          </w:r>
          <w:r>
            <w:fldChar w:fldCharType="end"/>
          </w: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CharPartNo </w:instrText>
          </w:r>
          <w:r>
            <w:rPr>
              <w:b/>
            </w:rPr>
            <w:fldChar w:fldCharType="end"/>
          </w: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CharDivNo </w:instrText>
          </w:r>
          <w:r>
            <w:rPr>
              <w:b/>
            </w:rPr>
            <w:fldChar w:fldCharType="end"/>
          </w: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t xml:space="preserve">r. </w: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CharSectno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4CA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09C93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E9691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03C73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59C25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BC8BD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AF60B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DF8C5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610D4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38241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38B63E2"/>
    <w:multiLevelType w:val="multilevel"/>
    <w:tmpl w:val="3550C8FC"/>
    <w:name w:val="SectionNumbers"/>
    <w:lvl w:ilvl="0">
      <w:start w:val="1"/>
      <w:numFmt w:val="decimal"/>
      <w:lvlRestart w:val="0"/>
      <w:suff w:val="nothing"/>
      <w:lvlText w:val="%1"/>
      <w:lvlJc w:val="left"/>
    </w:lvl>
    <w:lvl w:ilvl="1">
      <w:start w:val="1"/>
      <w:numFmt w:val="decimal"/>
      <w:suff w:val="nothing"/>
      <w:lvlText w:val="(%2)"/>
      <w:lvlJc w:val="righ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1">
    <w:nsid w:val="17F0064C"/>
    <w:multiLevelType w:val="multilevel"/>
    <w:tmpl w:val="B978DF16"/>
    <w:name w:val="PartNumbers"/>
    <w:lvl w:ilvl="0">
      <w:start w:val="1"/>
      <w:numFmt w:val="decimal"/>
      <w:lvlRestart w:val="0"/>
      <w:suff w:val="nothing"/>
      <w:lvlText w:val="%1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decimal"/>
      <w:suff w:val="nothing"/>
      <w:lvlText w:val="%3"/>
      <w:lvlJc w:val="left"/>
    </w:lvl>
    <w:lvl w:ilvl="3">
      <w:start w:val="1"/>
      <w:numFmt w:val="decimal"/>
      <w:suff w:val="nothing"/>
      <w:lvlText w:val="%4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2">
    <w:nsid w:val="22FF52EA"/>
    <w:multiLevelType w:val="multilevel"/>
    <w:tmpl w:val="85E88ED1"/>
    <w:name w:val="PermanentNotesNumbering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3">
    <w:nsid w:val="22FF52EB"/>
    <w:multiLevelType w:val="multilevel"/>
    <w:tmpl w:val="85E88ED0"/>
    <w:name w:val="Definition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4">
    <w:nsid w:val="2BE82A86"/>
    <w:multiLevelType w:val="multilevel"/>
    <w:tmpl w:val="E1506BB2"/>
    <w:name w:val="ScheduleNumbers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decimal"/>
      <w:suff w:val="nothing"/>
      <w:lvlText w:val="%3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5">
    <w:nsid w:val="3C2808C0"/>
    <w:multiLevelType w:val="singleLevel"/>
    <w:tmpl w:val="8A823F8E"/>
    <w:lvl w:ilvl="0">
      <w:start w:val="1"/>
      <w:numFmt w:val="bullet"/>
      <w:lvlText w:val=""/>
      <w:lvlJc w:val="left"/>
      <w:pPr>
        <w:tabs>
          <w:tab w:val="num" w:pos="1446"/>
        </w:tabs>
        <w:ind w:left="1446" w:hanging="567"/>
      </w:pPr>
      <w:rPr>
        <w:rFonts w:ascii="Symbol" w:hAnsi="Symbol" w:hint="default"/>
      </w:rPr>
    </w:lvl>
  </w:abstractNum>
  <w:abstractNum w:abstractNumId="16">
    <w:nsid w:val="42C41A54"/>
    <w:multiLevelType w:val="multilevel"/>
    <w:tmpl w:val="3C54BBA6"/>
    <w:name w:val="ScheduleNumberedItems"/>
    <w:lvl w:ilvl="0">
      <w:start w:val="1"/>
      <w:numFmt w:val="decimal"/>
      <w:suff w:val="nothing"/>
      <w:lvlText w:val="%1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7">
    <w:nsid w:val="5E761E26"/>
    <w:multiLevelType w:val="multilevel"/>
    <w:tmpl w:val="9B2EA622"/>
    <w:name w:val="ScheduleSectionNumbers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(%2)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8">
    <w:nsid w:val="6FDE73CC"/>
    <w:multiLevelType w:val="multilevel"/>
    <w:tmpl w:val="F23471B8"/>
    <w:name w:val="Penalty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9">
    <w:nsid w:val="7AB12928"/>
    <w:multiLevelType w:val="multilevel"/>
    <w:tmpl w:val="4B987CFA"/>
    <w:name w:val="SchedulePenalty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0">
    <w:nsid w:val="7E512DEB"/>
    <w:multiLevelType w:val="multilevel"/>
    <w:tmpl w:val="9D2ACE92"/>
    <w:name w:val="ScheduleDefinition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revisionView w:formatting="0"/>
  <w:defaultTabStop w:val="1140"/>
  <w:evenAndOddHeaders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WAFER" w:val="20151105124538"/>
    <w:docVar w:name="WAFER_20140123110749" w:val="RemoveTocBookmarks,RemoveUnusedBookmarks,RemoveLanguageTags,UsedStyles,ResetPageSize,UpdateArrangement"/>
    <w:docVar w:name="WAFER_20140123110749_GUID" w:val="7c7a1332-ba7e-4f0e-85e9-deafcb4b7370"/>
    <w:docVar w:name="WAFER_20140123111547" w:val="RemoveTocBookmarks,RunningHeaders"/>
    <w:docVar w:name="WAFER_20140123111547_GUID" w:val="b4771e73-2435-4e84-9b99-af3cf5eb6f0d"/>
    <w:docVar w:name="WAFER_20150414151431" w:val="ResetPageSize,UpdateArrangement,UpdateNTable"/>
    <w:docVar w:name="WAFER_20150414151431_GUID" w:val="980029a5-3c63-4fef-8262-f59ae4c3d353"/>
    <w:docVar w:name="WAFER_20151105124538" w:val="UpdateStyles,UsedStyles"/>
    <w:docVar w:name="WAFER_20151105124538_GUID" w:val="9b8db627-78a5-4a20-880a-608184425b31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0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39"/>
    <w:lsdException w:name="toc 9" w:uiPriority="0"/>
    <w:lsdException w:name="header" w:uiPriority="0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b/>
      <w:kern w:val="28"/>
      <w:sz w:val="34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b/>
      <w:snapToGrid w:val="0"/>
      <w:sz w:val="30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b/>
      <w:sz w:val="26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b/>
      <w:sz w:val="24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b/>
      <w:sz w:val="24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i/>
      <w:noProof/>
      <w:sz w:val="24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b/>
      <w:snapToGrid w:val="0"/>
      <w:sz w:val="34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Arrangement">
    <w:name w:val="Arrangement"/>
    <w:pPr>
      <w:spacing w:after="480"/>
      <w:ind w:left="2304" w:right="2304"/>
      <w:jc w:val="center"/>
    </w:pPr>
    <w:rPr>
      <w:b/>
      <w:sz w:val="28"/>
    </w:rPr>
  </w:style>
  <w:style w:type="paragraph" w:customStyle="1" w:styleId="AssentNote">
    <w:name w:val="Assent Note"/>
    <w:pPr>
      <w:keepLines/>
      <w:spacing w:before="160" w:after="240"/>
      <w:jc w:val="right"/>
    </w:pPr>
    <w:rPr>
      <w:i/>
      <w:snapToGrid w:val="0"/>
      <w:sz w:val="24"/>
    </w:rPr>
  </w:style>
  <w:style w:type="paragraph" w:styleId="BlockText">
    <w:name w:val="Block Text"/>
    <w:basedOn w:val="Normal"/>
    <w:semiHidden/>
    <w:pPr>
      <w:spacing w:after="120"/>
      <w:ind w:left="1440" w:right="1440"/>
    </w:pPr>
  </w:style>
  <w:style w:type="paragraph" w:styleId="BodyText">
    <w:name w:val="Body Text"/>
    <w:basedOn w:val="Normal"/>
    <w:semiHidden/>
    <w:pPr>
      <w:spacing w:after="120"/>
    </w:pPr>
  </w:style>
  <w:style w:type="paragraph" w:styleId="BodyText2">
    <w:name w:val="Body Text 2"/>
    <w:basedOn w:val="Normal"/>
    <w:semiHidden/>
    <w:pPr>
      <w:spacing w:after="120" w:line="480" w:lineRule="auto"/>
    </w:pPr>
  </w:style>
  <w:style w:type="paragraph" w:styleId="BodyText3">
    <w:name w:val="Body Text 3"/>
    <w:basedOn w:val="Normal"/>
    <w:semiHidden/>
    <w:pPr>
      <w:spacing w:after="120"/>
    </w:pPr>
    <w:rPr>
      <w:sz w:val="18"/>
    </w:rPr>
  </w:style>
  <w:style w:type="paragraph" w:styleId="BodyTextFirstIndent">
    <w:name w:val="Body Text First Indent"/>
    <w:basedOn w:val="BodyText"/>
    <w:semiHidden/>
    <w:pPr>
      <w:ind w:firstLine="210"/>
    </w:pPr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pPr>
      <w:ind w:firstLine="210"/>
    </w:pPr>
  </w:style>
  <w:style w:type="paragraph" w:styleId="BodyTextIndent2">
    <w:name w:val="Body Text Indent 2"/>
    <w:basedOn w:val="Normal"/>
    <w:semiHidden/>
    <w:pPr>
      <w:spacing w:after="120" w:line="480" w:lineRule="auto"/>
      <w:ind w:left="283"/>
    </w:p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paragraph" w:customStyle="1" w:styleId="WA">
    <w:name w:val="WA"/>
    <w:pPr>
      <w:spacing w:after="720"/>
      <w:jc w:val="center"/>
    </w:pPr>
    <w:rPr>
      <w:sz w:val="24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sz w:val="24"/>
    </w:rPr>
  </w:style>
  <w:style w:type="paragraph" w:styleId="BodyTextIndent3">
    <w:name w:val="Body Text Indent 3"/>
    <w:basedOn w:val="Normal"/>
    <w:semiHidden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customStyle="1" w:styleId="CentredBaseLine">
    <w:name w:val="CentredBaseLine"/>
    <w:pPr>
      <w:suppressLineNumbers/>
      <w:spacing w:before="240"/>
    </w:pPr>
  </w:style>
  <w:style w:type="character" w:customStyle="1" w:styleId="CharChapNo">
    <w:name w:val="CharChapNo"/>
    <w:rPr>
      <w:noProof w:val="0"/>
    </w:rPr>
  </w:style>
  <w:style w:type="character" w:customStyle="1" w:styleId="CharChapText">
    <w:name w:val="CharChapText"/>
    <w:rPr>
      <w:noProof w:val="0"/>
    </w:rPr>
  </w:style>
  <w:style w:type="character" w:customStyle="1" w:styleId="CharDivNo">
    <w:name w:val="CharDivNo"/>
    <w:rPr>
      <w:noProof w:val="0"/>
    </w:rPr>
  </w:style>
  <w:style w:type="character" w:customStyle="1" w:styleId="CharDivText">
    <w:name w:val="CharDivText"/>
    <w:rPr>
      <w:noProof w:val="0"/>
    </w:rPr>
  </w:style>
  <w:style w:type="character" w:customStyle="1" w:styleId="CharPartNo">
    <w:name w:val="CharPartNo"/>
    <w:rPr>
      <w:noProof w:val="0"/>
    </w:rPr>
  </w:style>
  <w:style w:type="character" w:customStyle="1" w:styleId="CharPartText">
    <w:name w:val="CharPartText"/>
    <w:rPr>
      <w:noProof w:val="0"/>
    </w:rPr>
  </w:style>
  <w:style w:type="character" w:customStyle="1" w:styleId="CharProduced">
    <w:name w:val="CharProduced"/>
    <w:rPr>
      <w:noProof w:val="0"/>
      <w:spacing w:val="-3"/>
    </w:rPr>
  </w:style>
  <w:style w:type="character" w:customStyle="1" w:styleId="CharSchNo">
    <w:name w:val="CharSchNo"/>
    <w:rPr>
      <w:noProof w:val="0"/>
    </w:rPr>
  </w:style>
  <w:style w:type="character" w:customStyle="1" w:styleId="CharSectno">
    <w:name w:val="CharSectno"/>
    <w:rPr>
      <w:noProof w:val="0"/>
    </w:rPr>
  </w:style>
  <w:style w:type="paragraph" w:styleId="Closing">
    <w:name w:val="Closing"/>
    <w:basedOn w:val="Normal"/>
    <w:semiHidden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  <w:semiHidden/>
  </w:style>
  <w:style w:type="paragraph" w:customStyle="1" w:styleId="Defitem">
    <w:name w:val="Defitem"/>
    <w:pPr>
      <w:tabs>
        <w:tab w:val="right" w:pos="2892"/>
      </w:tabs>
      <w:spacing w:before="80" w:line="260" w:lineRule="atLeast"/>
      <w:ind w:left="3204" w:hanging="3204"/>
    </w:pPr>
    <w:rPr>
      <w:snapToGrid w:val="0"/>
      <w:sz w:val="24"/>
    </w:rPr>
  </w:style>
  <w:style w:type="paragraph" w:customStyle="1" w:styleId="Defpara">
    <w:name w:val="Defpara"/>
    <w:pPr>
      <w:tabs>
        <w:tab w:val="right" w:pos="1332"/>
      </w:tabs>
      <w:spacing w:before="80" w:line="260" w:lineRule="atLeast"/>
      <w:ind w:left="1616" w:hanging="1616"/>
    </w:pPr>
    <w:rPr>
      <w:snapToGrid w:val="0"/>
      <w:sz w:val="24"/>
    </w:rPr>
  </w:style>
  <w:style w:type="paragraph" w:customStyle="1" w:styleId="Defstart">
    <w:name w:val="Defstart"/>
    <w:pPr>
      <w:spacing w:before="80" w:line="260" w:lineRule="atLeast"/>
      <w:ind w:left="879" w:hanging="879"/>
    </w:pPr>
    <w:rPr>
      <w:snapToGrid w:val="0"/>
      <w:sz w:val="24"/>
    </w:rPr>
  </w:style>
  <w:style w:type="paragraph" w:customStyle="1" w:styleId="Defsubpara">
    <w:name w:val="Defsubpara"/>
    <w:pPr>
      <w:keepLines/>
      <w:tabs>
        <w:tab w:val="right" w:pos="2041"/>
      </w:tabs>
      <w:spacing w:before="80" w:line="260" w:lineRule="atLeast"/>
      <w:ind w:left="2325" w:hanging="2325"/>
    </w:pPr>
    <w:rPr>
      <w:snapToGrid w:val="0"/>
      <w:sz w:val="24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80" w:line="260" w:lineRule="atLeast"/>
      <w:ind w:left="3050" w:hanging="3050"/>
    </w:pPr>
    <w:rPr>
      <w:i/>
      <w:sz w:val="24"/>
    </w:rPr>
  </w:style>
  <w:style w:type="paragraph" w:customStyle="1" w:styleId="Ednotedefitem">
    <w:name w:val="Ednote(defitem)"/>
    <w:basedOn w:val="Defitem"/>
    <w:rPr>
      <w:i/>
    </w:r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i/>
      <w:sz w:val="24"/>
    </w:rPr>
  </w:style>
  <w:style w:type="paragraph" w:customStyle="1" w:styleId="Ednotedefpara">
    <w:name w:val="Ednote(defpara)"/>
    <w:basedOn w:val="Defpara"/>
    <w:rPr>
      <w:i/>
    </w:r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80" w:line="260" w:lineRule="atLeast"/>
      <w:ind w:left="2330" w:hanging="2330"/>
    </w:pPr>
    <w:rPr>
      <w:i/>
      <w:sz w:val="24"/>
    </w:rPr>
  </w:style>
  <w:style w:type="paragraph" w:customStyle="1" w:styleId="Ednotedefsubpara">
    <w:name w:val="Ednote(defsubpara)"/>
    <w:basedOn w:val="Defsubpara"/>
    <w:rPr>
      <w:i/>
    </w:r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left" w:pos="893"/>
      </w:tabs>
      <w:spacing w:before="220" w:line="260" w:lineRule="atLeast"/>
      <w:ind w:left="893" w:hanging="893"/>
      <w:outlineLvl w:val="4"/>
    </w:pPr>
    <w:rPr>
      <w:i/>
      <w:snapToGrid w:val="0"/>
      <w:sz w:val="24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80" w:line="260" w:lineRule="atLeast"/>
      <w:ind w:left="3771" w:hanging="3771"/>
    </w:pPr>
    <w:rPr>
      <w:i/>
      <w:sz w:val="24"/>
    </w:rPr>
  </w:style>
  <w:style w:type="paragraph" w:customStyle="1" w:styleId="Ednotesubsection">
    <w:name w:val="Ednote(subsection)"/>
    <w:basedOn w:val="Ednotesection"/>
    <w:pPr>
      <w:tabs>
        <w:tab w:val="clear" w:pos="893"/>
        <w:tab w:val="right" w:pos="595"/>
        <w:tab w:val="left" w:pos="879"/>
      </w:tabs>
      <w:spacing w:before="160"/>
      <w:ind w:left="890" w:hanging="890"/>
      <w:outlineLvl w:val="9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sz w:val="24"/>
    </w:r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styleId="EndnoteText">
    <w:name w:val="endnote text"/>
    <w:basedOn w:val="Normal"/>
    <w:semiHidden/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semiHidden/>
    <w:rPr>
      <w:rFonts w:ascii="Arial" w:hAnsi="Arial"/>
    </w:rPr>
  </w:style>
  <w:style w:type="paragraph" w:customStyle="1" w:styleId="Equation">
    <w:name w:val="Equation"/>
    <w:rPr>
      <w:noProof/>
      <w:sz w:val="24"/>
    </w:rPr>
  </w:style>
  <w:style w:type="character" w:styleId="FollowedHyperlink">
    <w:name w:val="FollowedHyperlink"/>
    <w:basedOn w:val="DefaultParagraphFont"/>
    <w:semiHidden/>
    <w:rPr>
      <w:color w:val="800080"/>
      <w:sz w:val="24"/>
      <w:u w:val="single"/>
    </w:rPr>
  </w:style>
  <w:style w:type="paragraph" w:styleId="Footer">
    <w:name w:val="footer"/>
    <w:basedOn w:val="Normal"/>
    <w:rPr>
      <w:rFonts w:ascii="Arial" w:hAnsi="Arial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tabs>
        <w:tab w:val="left" w:pos="879"/>
      </w:tabs>
      <w:spacing w:before="120" w:line="260" w:lineRule="atLeast"/>
      <w:ind w:left="879" w:hanging="879"/>
    </w:pPr>
    <w:rPr>
      <w:i/>
      <w:sz w:val="24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i/>
      <w:snapToGrid w:val="0"/>
      <w:sz w:val="24"/>
    </w:rPr>
  </w:style>
  <w:style w:type="paragraph" w:customStyle="1" w:styleId="Graphics">
    <w:name w:val="Graphics"/>
    <w:basedOn w:val="Equation"/>
  </w:style>
  <w:style w:type="character" w:styleId="Hyperlink">
    <w:name w:val="Hyperlink"/>
    <w:basedOn w:val="DefaultParagraphFont"/>
    <w:semiHidden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sz w:val="24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sz w:val="24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sz w:val="24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sz w:val="24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character" w:styleId="LineNumber">
    <w:name w:val="line number"/>
    <w:basedOn w:val="DefaultParagraphFont"/>
    <w:semiHidden/>
    <w:rPr>
      <w:rFonts w:ascii="Times" w:hAnsi="Times"/>
      <w:sz w:val="18"/>
    </w:rPr>
  </w:style>
  <w:style w:type="paragraph" w:styleId="List">
    <w:name w:val="List"/>
    <w:basedOn w:val="Normal"/>
    <w:semiHidden/>
    <w:pPr>
      <w:ind w:left="283" w:hanging="283"/>
    </w:pPr>
  </w:style>
  <w:style w:type="paragraph" w:styleId="List2">
    <w:name w:val="List 2"/>
    <w:basedOn w:val="Normal"/>
    <w:semiHidden/>
    <w:pPr>
      <w:ind w:left="566" w:hanging="283"/>
    </w:pPr>
  </w:style>
  <w:style w:type="paragraph" w:styleId="List3">
    <w:name w:val="List 3"/>
    <w:basedOn w:val="Normal"/>
    <w:semiHidden/>
    <w:pPr>
      <w:ind w:left="849" w:hanging="283"/>
    </w:pPr>
  </w:style>
  <w:style w:type="paragraph" w:styleId="List4">
    <w:name w:val="List 4"/>
    <w:basedOn w:val="Normal"/>
    <w:semiHidden/>
    <w:pPr>
      <w:ind w:left="1132" w:hanging="283"/>
    </w:pPr>
  </w:style>
  <w:style w:type="paragraph" w:styleId="List5">
    <w:name w:val="List 5"/>
    <w:basedOn w:val="Normal"/>
    <w:semiHidden/>
    <w:pPr>
      <w:ind w:left="1415" w:hanging="283"/>
    </w:pPr>
  </w:style>
  <w:style w:type="paragraph" w:styleId="ListBullet">
    <w:name w:val="List Bullet"/>
    <w:basedOn w:val="Normal"/>
    <w:autoRedefine/>
    <w:semiHidden/>
    <w:pPr>
      <w:tabs>
        <w:tab w:val="num" w:pos="360"/>
      </w:tabs>
    </w:pPr>
  </w:style>
  <w:style w:type="paragraph" w:styleId="ListBullet2">
    <w:name w:val="List Bullet 2"/>
    <w:basedOn w:val="Normal"/>
    <w:autoRedefine/>
    <w:semiHidden/>
    <w:pPr>
      <w:tabs>
        <w:tab w:val="num" w:pos="360"/>
        <w:tab w:val="num" w:pos="720"/>
      </w:tabs>
      <w:ind w:left="720"/>
    </w:pPr>
  </w:style>
  <w:style w:type="paragraph" w:styleId="ListBullet3">
    <w:name w:val="List Bullet 3"/>
    <w:basedOn w:val="Normal"/>
    <w:autoRedefine/>
    <w:semiHidden/>
    <w:pPr>
      <w:tabs>
        <w:tab w:val="num" w:pos="360"/>
        <w:tab w:val="num" w:pos="1080"/>
      </w:tabs>
      <w:ind w:left="1080"/>
    </w:pPr>
  </w:style>
  <w:style w:type="paragraph" w:styleId="ListBullet4">
    <w:name w:val="List Bullet 4"/>
    <w:basedOn w:val="Normal"/>
    <w:autoRedefine/>
    <w:semiHidden/>
    <w:pPr>
      <w:tabs>
        <w:tab w:val="num" w:pos="360"/>
        <w:tab w:val="num" w:pos="1440"/>
      </w:tabs>
      <w:ind w:left="1440"/>
    </w:pPr>
  </w:style>
  <w:style w:type="paragraph" w:styleId="ListBullet5">
    <w:name w:val="List Bullet 5"/>
    <w:basedOn w:val="Normal"/>
    <w:autoRedefine/>
    <w:semiHidden/>
    <w:pPr>
      <w:tabs>
        <w:tab w:val="num" w:pos="360"/>
        <w:tab w:val="num" w:pos="1800"/>
      </w:tabs>
      <w:ind w:left="1800"/>
    </w:pPr>
  </w:style>
  <w:style w:type="paragraph" w:styleId="ListContinue">
    <w:name w:val="List Continue"/>
    <w:basedOn w:val="Normal"/>
    <w:semiHidden/>
    <w:pPr>
      <w:spacing w:after="120"/>
      <w:ind w:left="283"/>
    </w:pPr>
  </w:style>
  <w:style w:type="paragraph" w:styleId="ListContinue2">
    <w:name w:val="List Continue 2"/>
    <w:basedOn w:val="Normal"/>
    <w:semiHidden/>
    <w:pPr>
      <w:spacing w:after="120"/>
      <w:ind w:left="566"/>
    </w:pPr>
  </w:style>
  <w:style w:type="paragraph" w:styleId="ListContinue3">
    <w:name w:val="List Continue 3"/>
    <w:basedOn w:val="Normal"/>
    <w:semiHidden/>
    <w:pPr>
      <w:spacing w:after="120"/>
      <w:ind w:left="849"/>
    </w:pPr>
  </w:style>
  <w:style w:type="paragraph" w:styleId="ListContinue4">
    <w:name w:val="List Continue 4"/>
    <w:basedOn w:val="Normal"/>
    <w:semiHidden/>
    <w:pPr>
      <w:spacing w:after="120"/>
      <w:ind w:left="1132"/>
    </w:pPr>
  </w:style>
  <w:style w:type="paragraph" w:styleId="ListContinue5">
    <w:name w:val="List Continue 5"/>
    <w:basedOn w:val="Normal"/>
    <w:semiHidden/>
    <w:pPr>
      <w:spacing w:after="120"/>
      <w:ind w:left="1415"/>
    </w:pPr>
  </w:style>
  <w:style w:type="paragraph" w:styleId="ListNumber">
    <w:name w:val="List Number"/>
    <w:basedOn w:val="Normal"/>
    <w:semiHidden/>
    <w:pPr>
      <w:tabs>
        <w:tab w:val="num" w:pos="360"/>
      </w:tabs>
    </w:pPr>
  </w:style>
  <w:style w:type="paragraph" w:styleId="ListNumber2">
    <w:name w:val="List Number 2"/>
    <w:basedOn w:val="Normal"/>
    <w:semiHidden/>
    <w:pPr>
      <w:tabs>
        <w:tab w:val="num" w:pos="360"/>
        <w:tab w:val="num" w:pos="720"/>
      </w:tabs>
      <w:ind w:left="720"/>
    </w:pPr>
  </w:style>
  <w:style w:type="paragraph" w:styleId="ListNumber3">
    <w:name w:val="List Number 3"/>
    <w:basedOn w:val="Normal"/>
    <w:semiHidden/>
    <w:pPr>
      <w:tabs>
        <w:tab w:val="num" w:pos="360"/>
        <w:tab w:val="num" w:pos="1080"/>
      </w:tabs>
      <w:ind w:left="1080"/>
    </w:pPr>
  </w:style>
  <w:style w:type="paragraph" w:styleId="ListNumber4">
    <w:name w:val="List Number 4"/>
    <w:basedOn w:val="Normal"/>
    <w:semiHidden/>
    <w:pPr>
      <w:tabs>
        <w:tab w:val="num" w:pos="360"/>
        <w:tab w:val="num" w:pos="1440"/>
      </w:tabs>
      <w:ind w:left="1440"/>
    </w:pPr>
  </w:style>
  <w:style w:type="paragraph" w:styleId="ListNumber5">
    <w:name w:val="List Number 5"/>
    <w:basedOn w:val="Normal"/>
    <w:semiHidden/>
    <w:pPr>
      <w:tabs>
        <w:tab w:val="num" w:pos="360"/>
        <w:tab w:val="num" w:pos="1800"/>
      </w:tabs>
      <w:ind w:left="1800"/>
    </w:pPr>
  </w:style>
  <w:style w:type="paragraph" w:customStyle="1" w:styleId="LongTitle">
    <w:name w:val="Long Title"/>
    <w:rPr>
      <w:b/>
      <w:sz w:val="24"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sz w:val="24"/>
    </w:rPr>
  </w:style>
  <w:style w:type="paragraph" w:customStyle="1" w:styleId="MadeBy">
    <w:name w:val="MadeBy"/>
    <w:pPr>
      <w:spacing w:before="600"/>
    </w:pPr>
    <w:rPr>
      <w:sz w:val="24"/>
    </w:rPr>
  </w:style>
  <w:style w:type="paragraph" w:styleId="MessageHeader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sz w:val="24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sz w:val="24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Heading2">
    <w:name w:val="nHeading 2"/>
    <w:basedOn w:val="Heading2"/>
    <w:pPr>
      <w:pageBreakBefore w:val="0"/>
      <w:spacing w:line="240" w:lineRule="auto"/>
    </w:pPr>
    <w:rPr>
      <w:sz w:val="26"/>
    </w:rPr>
  </w:style>
  <w:style w:type="paragraph" w:customStyle="1" w:styleId="nHeading3">
    <w:name w:val="nHeading 3"/>
    <w:basedOn w:val="Heading3"/>
    <w:pPr>
      <w:spacing w:after="120" w:line="240" w:lineRule="auto"/>
      <w:outlineLvl w:val="3"/>
    </w:pPr>
    <w:rPr>
      <w:sz w:val="24"/>
    </w:rPr>
  </w:style>
  <w:style w:type="paragraph" w:customStyle="1" w:styleId="nHeading4">
    <w:name w:val="nHeading 4"/>
    <w:basedOn w:val="Heading4"/>
    <w:pPr>
      <w:spacing w:before="120"/>
      <w:outlineLvl w:val="9"/>
    </w:pPr>
    <w:rPr>
      <w:sz w:val="20"/>
    </w:rPr>
  </w:style>
  <w:style w:type="paragraph" w:customStyle="1" w:styleId="nHeading5">
    <w:name w:val="nHeading 5"/>
    <w:basedOn w:val="Heading5"/>
    <w:pPr>
      <w:spacing w:before="100" w:line="240" w:lineRule="auto"/>
      <w:outlineLvl w:val="9"/>
    </w:pPr>
    <w:rPr>
      <w:sz w:val="20"/>
    </w:rPr>
  </w:style>
  <w:style w:type="paragraph" w:customStyle="1" w:styleId="nIndenta">
    <w:name w:val="nIndent(a)"/>
    <w:basedOn w:val="Indenta"/>
    <w:pPr>
      <w:spacing w:before="40" w:line="240" w:lineRule="auto"/>
    </w:pPr>
    <w:rPr>
      <w:sz w:val="20"/>
    </w:rPr>
  </w:style>
  <w:style w:type="paragraph" w:customStyle="1" w:styleId="nIndenti">
    <w:name w:val="nIndent(i)"/>
    <w:basedOn w:val="Indenti"/>
    <w:pPr>
      <w:spacing w:before="40" w:line="240" w:lineRule="auto"/>
    </w:pPr>
    <w:rPr>
      <w:sz w:val="20"/>
    </w:rPr>
  </w:style>
  <w:style w:type="paragraph" w:styleId="NormalIndent">
    <w:name w:val="Normal Indent"/>
    <w:basedOn w:val="Normal"/>
    <w:semiHidden/>
    <w:pPr>
      <w:ind w:left="720"/>
    </w:pPr>
  </w:style>
  <w:style w:type="paragraph" w:styleId="NoteHeading">
    <w:name w:val="Note Heading"/>
    <w:basedOn w:val="Normal"/>
    <w:next w:val="Normal"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sz w:val="24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nSubsection">
    <w:name w:val="nSubsection"/>
    <w:basedOn w:val="Subsection"/>
    <w:pPr>
      <w:tabs>
        <w:tab w:val="clear" w:pos="595"/>
        <w:tab w:val="clear" w:pos="879"/>
        <w:tab w:val="left" w:pos="454"/>
      </w:tabs>
      <w:spacing w:before="80" w:line="240" w:lineRule="auto"/>
      <w:ind w:left="454" w:hanging="454"/>
    </w:pPr>
    <w:rPr>
      <w:sz w:val="20"/>
    </w:rPr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paragraph" w:customStyle="1" w:styleId="nTable">
    <w:name w:val="nTable"/>
    <w:pPr>
      <w:spacing w:before="40"/>
    </w:pPr>
    <w:rPr>
      <w:sz w:val="19"/>
    </w:rPr>
  </w:style>
  <w:style w:type="paragraph" w:customStyle="1" w:styleId="zDefpara">
    <w:name w:val="zDefpara"/>
    <w:pPr>
      <w:tabs>
        <w:tab w:val="right" w:pos="1899"/>
      </w:tabs>
      <w:spacing w:before="80" w:line="260" w:lineRule="atLeast"/>
      <w:ind w:left="2183" w:right="284" w:hanging="1616"/>
    </w:pPr>
    <w:rPr>
      <w:snapToGrid w:val="0"/>
      <w:sz w:val="24"/>
    </w:rPr>
  </w:style>
  <w:style w:type="paragraph" w:customStyle="1" w:styleId="nzDefpara">
    <w:name w:val="nzDefpara"/>
    <w:pPr>
      <w:tabs>
        <w:tab w:val="right" w:pos="1899"/>
      </w:tabs>
      <w:spacing w:before="40"/>
      <w:ind w:left="2183" w:right="284" w:hanging="1616"/>
    </w:pPr>
    <w:rPr>
      <w:snapToGrid w:val="0"/>
    </w:rPr>
  </w:style>
  <w:style w:type="paragraph" w:customStyle="1" w:styleId="zDefstart">
    <w:name w:val="zDefstart"/>
    <w:pPr>
      <w:spacing w:before="80" w:line="260" w:lineRule="atLeast"/>
      <w:ind w:left="1446" w:right="284" w:hanging="879"/>
    </w:pPr>
    <w:rPr>
      <w:snapToGrid w:val="0"/>
      <w:sz w:val="24"/>
    </w:rPr>
  </w:style>
  <w:style w:type="paragraph" w:customStyle="1" w:styleId="nzDefstart">
    <w:name w:val="nzDefstart"/>
    <w:pPr>
      <w:spacing w:before="40"/>
      <w:ind w:left="1446" w:right="284" w:hanging="879"/>
    </w:pPr>
    <w:rPr>
      <w:snapToGrid w:val="0"/>
    </w:rPr>
  </w:style>
  <w:style w:type="paragraph" w:customStyle="1" w:styleId="zDefsubpara">
    <w:name w:val="zDefsubpara"/>
    <w:pPr>
      <w:keepLines/>
      <w:tabs>
        <w:tab w:val="right" w:pos="2608"/>
      </w:tabs>
      <w:spacing w:before="80" w:line="260" w:lineRule="atLeast"/>
      <w:ind w:left="2892" w:right="284" w:hanging="2325"/>
    </w:pPr>
    <w:rPr>
      <w:snapToGrid w:val="0"/>
      <w:sz w:val="24"/>
    </w:rPr>
  </w:style>
  <w:style w:type="paragraph" w:customStyle="1" w:styleId="nzDefsubpara">
    <w:name w:val="nzDefsubpara"/>
    <w:pPr>
      <w:keepLines/>
      <w:tabs>
        <w:tab w:val="right" w:pos="2608"/>
      </w:tabs>
      <w:spacing w:before="40"/>
      <w:ind w:left="2892" w:right="284" w:hanging="2325"/>
    </w:pPr>
    <w:rPr>
      <w:snapToGrid w:val="0"/>
    </w:rPr>
  </w:style>
  <w:style w:type="paragraph" w:customStyle="1" w:styleId="zHeading2">
    <w:name w:val="zHeading 2"/>
    <w:basedOn w:val="Heading2"/>
    <w:pPr>
      <w:pageBreakBefore w:val="0"/>
      <w:spacing w:before="240"/>
      <w:ind w:left="567" w:right="284"/>
      <w:outlineLvl w:val="9"/>
    </w:pPr>
  </w:style>
  <w:style w:type="paragraph" w:customStyle="1" w:styleId="nzHeading2">
    <w:name w:val="nzHeading 2"/>
    <w:basedOn w:val="zHeading2"/>
    <w:pPr>
      <w:spacing w:before="120" w:line="240" w:lineRule="auto"/>
    </w:pPr>
    <w:rPr>
      <w:sz w:val="26"/>
    </w:rPr>
  </w:style>
  <w:style w:type="paragraph" w:customStyle="1" w:styleId="zHeading3">
    <w:name w:val="zHeading 3"/>
    <w:basedOn w:val="Heading3"/>
    <w:pPr>
      <w:ind w:left="567" w:right="284"/>
      <w:outlineLvl w:val="9"/>
    </w:pPr>
  </w:style>
  <w:style w:type="paragraph" w:customStyle="1" w:styleId="nzHeading3">
    <w:name w:val="nzHeading 3"/>
    <w:basedOn w:val="zHeading3"/>
    <w:pPr>
      <w:spacing w:before="120" w:line="240" w:lineRule="auto"/>
    </w:pPr>
    <w:rPr>
      <w:sz w:val="22"/>
    </w:rPr>
  </w:style>
  <w:style w:type="paragraph" w:customStyle="1" w:styleId="zHeading4">
    <w:name w:val="zHeading 4"/>
    <w:basedOn w:val="Heading4"/>
    <w:pPr>
      <w:ind w:left="567" w:right="284"/>
      <w:outlineLvl w:val="9"/>
    </w:pPr>
  </w:style>
  <w:style w:type="paragraph" w:customStyle="1" w:styleId="nzHeading4">
    <w:name w:val="nzHeading 4"/>
    <w:basedOn w:val="zHeading4"/>
    <w:pPr>
      <w:spacing w:before="120"/>
    </w:pPr>
    <w:rPr>
      <w:sz w:val="20"/>
    </w:rPr>
  </w:style>
  <w:style w:type="paragraph" w:customStyle="1" w:styleId="zHeading5">
    <w:name w:val="zHeading 5"/>
    <w:basedOn w:val="Heading5"/>
    <w:pPr>
      <w:tabs>
        <w:tab w:val="clear" w:pos="879"/>
        <w:tab w:val="left" w:pos="1446"/>
      </w:tabs>
      <w:ind w:left="1446" w:right="284"/>
      <w:outlineLvl w:val="9"/>
    </w:pPr>
  </w:style>
  <w:style w:type="paragraph" w:customStyle="1" w:styleId="nzHeading5">
    <w:name w:val="nzHeading 5"/>
    <w:basedOn w:val="zHeading5"/>
    <w:pPr>
      <w:spacing w:before="100" w:line="240" w:lineRule="auto"/>
    </w:pPr>
    <w:rPr>
      <w:sz w:val="20"/>
    </w:rPr>
  </w:style>
  <w:style w:type="paragraph" w:customStyle="1" w:styleId="zIndenta">
    <w:name w:val="zIndent(a)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</w:style>
  <w:style w:type="paragraph" w:customStyle="1" w:styleId="nzIndenta">
    <w:name w:val="nzIndent(a)"/>
    <w:basedOn w:val="zIndenta"/>
    <w:pPr>
      <w:spacing w:before="40" w:line="240" w:lineRule="auto"/>
    </w:pPr>
    <w:rPr>
      <w:sz w:val="20"/>
    </w:rPr>
  </w:style>
  <w:style w:type="paragraph" w:customStyle="1" w:styleId="zIndentA0">
    <w:name w:val="zIndent(A)"/>
    <w:basedOn w:val="Normal"/>
    <w:pPr>
      <w:tabs>
        <w:tab w:val="right" w:pos="4253"/>
        <w:tab w:val="left" w:pos="4536"/>
      </w:tabs>
      <w:spacing w:before="80" w:line="260" w:lineRule="atLeast"/>
      <w:ind w:left="4537" w:right="284" w:hanging="851"/>
    </w:pPr>
  </w:style>
  <w:style w:type="paragraph" w:customStyle="1" w:styleId="nzIndentA0">
    <w:name w:val="nzIndent(A)"/>
    <w:basedOn w:val="zIndentA0"/>
    <w:pPr>
      <w:spacing w:before="40" w:line="240" w:lineRule="auto"/>
    </w:pPr>
    <w:rPr>
      <w:sz w:val="20"/>
    </w:rPr>
  </w:style>
  <w:style w:type="paragraph" w:customStyle="1" w:styleId="zIndenti">
    <w:name w:val="zIndent(i)"/>
    <w:basedOn w:val="Normal"/>
    <w:pPr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nzIndenti">
    <w:name w:val="nzIndent(i)"/>
    <w:basedOn w:val="zIndenti"/>
    <w:pPr>
      <w:spacing w:before="40" w:line="240" w:lineRule="auto"/>
    </w:pPr>
    <w:rPr>
      <w:sz w:val="20"/>
    </w:rPr>
  </w:style>
  <w:style w:type="paragraph" w:customStyle="1" w:styleId="zIndentI0">
    <w:name w:val="zIndent(I)"/>
    <w:basedOn w:val="Normal"/>
    <w:pPr>
      <w:tabs>
        <w:tab w:val="right" w:pos="3459"/>
        <w:tab w:val="left" w:pos="3771"/>
      </w:tabs>
      <w:spacing w:before="80" w:line="260" w:lineRule="atLeast"/>
      <w:ind w:left="3743" w:right="284" w:hanging="851"/>
    </w:pPr>
  </w:style>
  <w:style w:type="paragraph" w:customStyle="1" w:styleId="nzIndentI0">
    <w:name w:val="nzIndent(I)"/>
    <w:basedOn w:val="zIndentI0"/>
    <w:pPr>
      <w:spacing w:before="40" w:line="240" w:lineRule="auto"/>
    </w:pPr>
    <w:rPr>
      <w:sz w:val="20"/>
    </w:rPr>
  </w:style>
  <w:style w:type="paragraph" w:customStyle="1" w:styleId="zPenpara">
    <w:name w:val="zPenpara"/>
    <w:basedOn w:val="Normal"/>
    <w:pPr>
      <w:tabs>
        <w:tab w:val="right" w:pos="2155"/>
        <w:tab w:val="left" w:pos="2438"/>
      </w:tabs>
      <w:spacing w:before="80" w:line="260" w:lineRule="atLeast"/>
      <w:ind w:left="2552" w:right="284" w:hanging="2183"/>
    </w:pPr>
  </w:style>
  <w:style w:type="paragraph" w:customStyle="1" w:styleId="nzPenpara">
    <w:name w:val="nzPenpara"/>
    <w:basedOn w:val="zPenpara"/>
    <w:pPr>
      <w:spacing w:before="40" w:line="240" w:lineRule="auto"/>
    </w:pPr>
    <w:rPr>
      <w:sz w:val="20"/>
    </w:rPr>
  </w:style>
  <w:style w:type="paragraph" w:customStyle="1" w:styleId="zPenstart">
    <w:name w:val="zPenstart"/>
    <w:basedOn w:val="Normal"/>
    <w:pPr>
      <w:tabs>
        <w:tab w:val="left" w:pos="1446"/>
      </w:tabs>
      <w:spacing w:before="80" w:line="260" w:lineRule="atLeast"/>
      <w:ind w:left="1843" w:right="284" w:hanging="1021"/>
    </w:pPr>
  </w:style>
  <w:style w:type="paragraph" w:customStyle="1" w:styleId="nzPenstart">
    <w:name w:val="nzPenstart"/>
    <w:basedOn w:val="zPenstart"/>
    <w:pPr>
      <w:spacing w:before="40" w:line="240" w:lineRule="auto"/>
    </w:pPr>
    <w:rPr>
      <w:sz w:val="20"/>
    </w:rPr>
  </w:style>
  <w:style w:type="paragraph" w:customStyle="1" w:styleId="zSubsection">
    <w:name w:val="zSubsection"/>
    <w:basedOn w:val="Normal"/>
    <w:pPr>
      <w:tabs>
        <w:tab w:val="right" w:pos="1162"/>
        <w:tab w:val="left" w:pos="1446"/>
      </w:tabs>
      <w:spacing w:before="160" w:line="260" w:lineRule="atLeast"/>
      <w:ind w:left="1446" w:right="284" w:hanging="851"/>
    </w:pPr>
  </w:style>
  <w:style w:type="paragraph" w:customStyle="1" w:styleId="nzSubsection">
    <w:name w:val="nzSubsection"/>
    <w:basedOn w:val="zSubsection"/>
    <w:pPr>
      <w:spacing w:before="80" w:line="240" w:lineRule="auto"/>
    </w:pPr>
    <w:rPr>
      <w:sz w:val="20"/>
    </w:rPr>
  </w:style>
  <w:style w:type="paragraph" w:customStyle="1" w:styleId="nzTable">
    <w:name w:val="nzTable"/>
    <w:basedOn w:val="Normal"/>
    <w:rPr>
      <w:sz w:val="20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sz w:val="24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sz w:val="24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" w:hAnsi="Times"/>
      <w:sz w:val="24"/>
    </w:rPr>
  </w:style>
  <w:style w:type="paragraph" w:customStyle="1" w:styleId="PrincipalActReg">
    <w:name w:val="PrincipalAct_Reg"/>
    <w:pPr>
      <w:spacing w:after="480"/>
      <w:jc w:val="center"/>
    </w:pPr>
    <w:rPr>
      <w:sz w:val="24"/>
    </w:rPr>
  </w:style>
  <w:style w:type="paragraph" w:styleId="Salutation">
    <w:name w:val="Salutation"/>
    <w:basedOn w:val="Normal"/>
    <w:next w:val="Normal"/>
    <w:semiHidden/>
  </w:style>
  <w:style w:type="paragraph" w:styleId="Signature">
    <w:name w:val="Signature"/>
    <w:basedOn w:val="Normal"/>
    <w:semiHidden/>
    <w:pPr>
      <w:ind w:left="4252"/>
    </w:pPr>
  </w:style>
  <w:style w:type="character" w:styleId="Strong">
    <w:name w:val="Strong"/>
    <w:basedOn w:val="DefaultParagraphFont"/>
    <w:qFormat/>
    <w:rPr>
      <w:b/>
      <w:sz w:val="24"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styleId="TOC1">
    <w:name w:val="toc 1"/>
    <w:basedOn w:val="Heading1"/>
    <w:next w:val="Normal"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2">
    <w:name w:val="toc 2"/>
    <w:next w:val="Normal"/>
    <w:uiPriority w:val="39"/>
    <w:pPr>
      <w:keepNext/>
      <w:spacing w:before="120" w:after="60"/>
      <w:ind w:left="1985" w:right="1134" w:hanging="567"/>
    </w:pPr>
    <w:rPr>
      <w:b/>
      <w:noProof/>
      <w:sz w:val="28"/>
    </w:rPr>
  </w:style>
  <w:style w:type="paragraph" w:styleId="TOC3">
    <w:name w:val="toc 3"/>
    <w:next w:val="Normal"/>
    <w:semiHidden/>
    <w:pPr>
      <w:keepNext/>
      <w:spacing w:before="120" w:after="60"/>
      <w:ind w:left="1985" w:right="1134" w:hanging="567"/>
    </w:pPr>
    <w:rPr>
      <w:rFonts w:ascii="Helvetica" w:hAnsi="Helvetica"/>
      <w:b/>
      <w:noProof/>
      <w:sz w:val="18"/>
    </w:rPr>
  </w:style>
  <w:style w:type="paragraph" w:styleId="TOC4">
    <w:name w:val="toc 4"/>
    <w:next w:val="Normal"/>
    <w:pPr>
      <w:keepNext/>
      <w:spacing w:before="60" w:after="20"/>
      <w:ind w:left="1985" w:right="1134" w:hanging="567"/>
    </w:pPr>
    <w:rPr>
      <w:b/>
      <w:noProof/>
      <w:sz w:val="22"/>
    </w:rPr>
  </w:style>
  <w:style w:type="paragraph" w:styleId="TOC5">
    <w:name w:val="toc 5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noProof/>
      <w:sz w:val="18"/>
    </w:rPr>
  </w:style>
  <w:style w:type="paragraph" w:styleId="TOC6">
    <w:name w:val="toc 6"/>
    <w:next w:val="Normal"/>
    <w:semiHidden/>
    <w:pPr>
      <w:keepNext/>
      <w:spacing w:before="60" w:after="20"/>
      <w:ind w:left="1985" w:right="1134" w:hanging="567"/>
    </w:pPr>
    <w:rPr>
      <w:b/>
      <w:noProof/>
    </w:rPr>
  </w:style>
  <w:style w:type="paragraph" w:styleId="TOC7">
    <w:name w:val="toc 7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sz w:val="18"/>
    </w:rPr>
  </w:style>
  <w:style w:type="paragraph" w:styleId="TOC8">
    <w:name w:val="toc 8"/>
    <w:next w:val="Normal"/>
    <w:uiPriority w:val="39"/>
    <w:pPr>
      <w:tabs>
        <w:tab w:val="left" w:pos="1418"/>
        <w:tab w:val="right" w:pos="6804"/>
      </w:tabs>
      <w:ind w:left="1418" w:right="1134" w:hanging="851"/>
    </w:pPr>
    <w:rPr>
      <w:noProof/>
      <w:sz w:val="22"/>
    </w:rPr>
  </w:style>
  <w:style w:type="paragraph" w:styleId="TOC9">
    <w:name w:val="toc 9"/>
    <w:next w:val="Normal"/>
    <w:semiHidden/>
    <w:pPr>
      <w:tabs>
        <w:tab w:val="left" w:pos="2268"/>
        <w:tab w:val="right" w:pos="6237"/>
      </w:tabs>
      <w:ind w:left="2269" w:right="1418" w:hanging="851"/>
    </w:pPr>
    <w:rPr>
      <w:rFonts w:ascii="Helvetica" w:hAnsi="Helvetica"/>
      <w:sz w:val="18"/>
    </w:rPr>
  </w:style>
  <w:style w:type="paragraph" w:customStyle="1" w:styleId="yDefitem">
    <w:name w:val="yDefitem"/>
    <w:pPr>
      <w:tabs>
        <w:tab w:val="right" w:pos="2892"/>
      </w:tabs>
      <w:spacing w:before="80"/>
      <w:ind w:left="3204" w:hanging="3204"/>
    </w:pPr>
    <w:rPr>
      <w:snapToGrid w:val="0"/>
      <w:sz w:val="22"/>
    </w:rPr>
  </w:style>
  <w:style w:type="paragraph" w:customStyle="1" w:styleId="yDefpara">
    <w:name w:val="yDefpara"/>
    <w:pPr>
      <w:tabs>
        <w:tab w:val="right" w:pos="1332"/>
      </w:tabs>
      <w:spacing w:before="80"/>
      <w:ind w:left="1616" w:hanging="1616"/>
    </w:pPr>
    <w:rPr>
      <w:snapToGrid w:val="0"/>
      <w:sz w:val="22"/>
    </w:rPr>
  </w:style>
  <w:style w:type="paragraph" w:customStyle="1" w:styleId="yDefstart">
    <w:name w:val="yDefstart"/>
    <w:pPr>
      <w:spacing w:before="80"/>
      <w:ind w:left="879" w:hanging="879"/>
    </w:pPr>
    <w:rPr>
      <w:snapToGrid w:val="0"/>
      <w:sz w:val="22"/>
    </w:rPr>
  </w:style>
  <w:style w:type="paragraph" w:customStyle="1" w:styleId="yDefsubpara">
    <w:name w:val="yDefsubpara"/>
    <w:pPr>
      <w:keepLines/>
      <w:tabs>
        <w:tab w:val="right" w:pos="2041"/>
      </w:tabs>
      <w:spacing w:before="80"/>
      <w:ind w:left="2325" w:hanging="2325"/>
    </w:pPr>
    <w:rPr>
      <w:snapToGrid w:val="0"/>
      <w:sz w:val="22"/>
    </w:rPr>
  </w:style>
  <w:style w:type="paragraph" w:customStyle="1" w:styleId="yEdnoteitem">
    <w:name w:val="yEdnote(item)"/>
    <w:basedOn w:val="Ednoteitem"/>
    <w:pPr>
      <w:spacing w:line="240" w:lineRule="auto"/>
    </w:pPr>
    <w:rPr>
      <w:sz w:val="22"/>
    </w:rPr>
  </w:style>
  <w:style w:type="paragraph" w:customStyle="1" w:styleId="yEdnotepara">
    <w:name w:val="yEdnote(para)"/>
    <w:basedOn w:val="Ednotepara"/>
    <w:pPr>
      <w:spacing w:before="80"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</w:pPr>
    <w:rPr>
      <w:sz w:val="22"/>
    </w:rPr>
  </w:style>
  <w:style w:type="paragraph" w:customStyle="1" w:styleId="yEdnotesubpara">
    <w:name w:val="yEdnote(subpara)"/>
    <w:basedOn w:val="Ednotesubpara"/>
    <w:pPr>
      <w:spacing w:line="240" w:lineRule="auto"/>
    </w:pPr>
    <w:rPr>
      <w:sz w:val="22"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sz w:val="22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pPr>
      <w:tabs>
        <w:tab w:val="right" w:pos="3459"/>
      </w:tabs>
      <w:spacing w:before="80" w:line="260" w:lineRule="atLeast"/>
      <w:ind w:left="3686" w:right="284" w:hanging="3119"/>
    </w:pPr>
    <w:rPr>
      <w:snapToGrid w:val="0"/>
      <w:sz w:val="24"/>
    </w:rPr>
  </w:style>
  <w:style w:type="paragraph" w:customStyle="1" w:styleId="zHeading1">
    <w:name w:val="zHeading 1"/>
    <w:basedOn w:val="Heading1"/>
    <w:pPr>
      <w:ind w:left="567" w:right="284"/>
      <w:outlineLvl w:val="9"/>
    </w:pPr>
  </w:style>
  <w:style w:type="paragraph" w:customStyle="1" w:styleId="zMiscellaneousBody">
    <w:name w:val="zMiscellaneousBody"/>
    <w:basedOn w:val="Normal"/>
    <w:pPr>
      <w:spacing w:before="160" w:line="260" w:lineRule="atLeast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Penitem">
    <w:name w:val="zPen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zPensubpara">
    <w:name w:val="zPensubpara"/>
    <w:basedOn w:val="Normal"/>
    <w:pPr>
      <w:tabs>
        <w:tab w:val="right" w:pos="2608"/>
        <w:tab w:val="left" w:pos="2892"/>
      </w:tabs>
      <w:spacing w:before="160" w:line="260" w:lineRule="atLeast"/>
      <w:ind w:left="2892" w:right="284" w:hanging="851"/>
    </w:pPr>
  </w:style>
  <w:style w:type="paragraph" w:customStyle="1" w:styleId="zyDefitem">
    <w:name w:val="zyDefitem"/>
    <w:pPr>
      <w:tabs>
        <w:tab w:val="right" w:pos="3459"/>
      </w:tabs>
      <w:spacing w:before="80"/>
      <w:ind w:left="3686" w:right="284" w:hanging="3119"/>
    </w:pPr>
    <w:rPr>
      <w:snapToGrid w:val="0"/>
      <w:sz w:val="22"/>
    </w:rPr>
  </w:style>
  <w:style w:type="paragraph" w:customStyle="1" w:styleId="zyDefpara">
    <w:name w:val="zyDefpara"/>
    <w:pPr>
      <w:tabs>
        <w:tab w:val="right" w:pos="1899"/>
      </w:tabs>
      <w:spacing w:before="80"/>
      <w:ind w:left="2183" w:right="284" w:hanging="1616"/>
    </w:pPr>
    <w:rPr>
      <w:snapToGrid w:val="0"/>
      <w:sz w:val="22"/>
    </w:rPr>
  </w:style>
  <w:style w:type="paragraph" w:customStyle="1" w:styleId="zyDefstart">
    <w:name w:val="zyDefstart"/>
    <w:pPr>
      <w:spacing w:before="80"/>
      <w:ind w:left="1446" w:right="284" w:hanging="879"/>
    </w:pPr>
    <w:rPr>
      <w:snapToGrid w:val="0"/>
      <w:sz w:val="22"/>
    </w:rPr>
  </w:style>
  <w:style w:type="paragraph" w:customStyle="1" w:styleId="zyDefsubpara">
    <w:name w:val="zyDefsubpara"/>
    <w:pPr>
      <w:keepLines/>
      <w:tabs>
        <w:tab w:val="right" w:pos="2608"/>
      </w:tabs>
      <w:spacing w:before="80"/>
      <w:ind w:left="2892" w:right="284" w:hanging="2325"/>
    </w:pPr>
    <w:rPr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styleId="Header">
    <w:name w:val="header"/>
    <w:rPr>
      <w:rFonts w:ascii="Arial" w:hAnsi="Arial"/>
      <w:noProof/>
    </w:rPr>
  </w:style>
  <w:style w:type="character" w:customStyle="1" w:styleId="CharDefText">
    <w:name w:val="CharDefText"/>
    <w:basedOn w:val="DefaultParagraphFont"/>
    <w:rPr>
      <w:b/>
      <w:i/>
    </w:rPr>
  </w:style>
  <w:style w:type="paragraph" w:customStyle="1" w:styleId="ByCommand">
    <w:name w:val="ByCommand"/>
    <w:basedOn w:val="Normal"/>
    <w:pPr>
      <w:tabs>
        <w:tab w:val="left" w:pos="4536"/>
      </w:tabs>
      <w:spacing w:before="240"/>
    </w:pPr>
  </w:style>
  <w:style w:type="paragraph" w:customStyle="1" w:styleId="DraftNo">
    <w:name w:val="DraftNo"/>
    <w:basedOn w:val="WA"/>
    <w:pPr>
      <w:spacing w:before="120" w:after="120"/>
    </w:pPr>
  </w:style>
  <w:style w:type="character" w:customStyle="1" w:styleId="CharSchText">
    <w:name w:val="CharSchText"/>
    <w:rPr>
      <w:noProof w:val="0"/>
    </w:r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nzMiscellaneousBody">
    <w:name w:val="nzMiscellaneous Body"/>
    <w:basedOn w:val="zMiscellaneousBody"/>
    <w:pPr>
      <w:spacing w:before="80" w:line="240" w:lineRule="auto"/>
    </w:pPr>
    <w:rPr>
      <w:sz w:val="20"/>
    </w:rPr>
  </w:style>
  <w:style w:type="paragraph" w:customStyle="1" w:styleId="nzMiscellaneousHeading">
    <w:name w:val="nzMiscellaneous Heading"/>
    <w:basedOn w:val="zMiscellaneousHeading"/>
    <w:pPr>
      <w:spacing w:before="80" w:line="240" w:lineRule="auto"/>
    </w:pPr>
    <w:rPr>
      <w:sz w:val="20"/>
    </w:r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OmitFootnote">
    <w:name w:val="OmitFootnote"/>
    <w:basedOn w:val="yEdnotesection"/>
    <w:pPr>
      <w:spacing w:before="600"/>
      <w:outlineLvl w:val="1"/>
    </w:pPr>
  </w:style>
  <w:style w:type="paragraph" w:customStyle="1" w:styleId="yNumberedItem">
    <w:name w:val="yNumberedItem"/>
    <w:pPr>
      <w:spacing w:before="120"/>
      <w:ind w:left="879" w:hanging="879"/>
    </w:pPr>
    <w:rPr>
      <w:sz w:val="22"/>
    </w:rPr>
  </w:style>
  <w:style w:type="paragraph" w:customStyle="1" w:styleId="zyNumberedItem">
    <w:name w:val="zyNumberedItem"/>
    <w:pPr>
      <w:spacing w:before="120"/>
      <w:ind w:left="1446" w:right="284" w:hanging="879"/>
    </w:pPr>
    <w:rPr>
      <w:sz w:val="22"/>
    </w:rPr>
  </w:style>
  <w:style w:type="paragraph" w:customStyle="1" w:styleId="nzLongTitle">
    <w:name w:val="nzLong Title"/>
    <w:basedOn w:val="zLongTitle"/>
    <w:pPr>
      <w:spacing w:before="40"/>
    </w:pPr>
    <w:rPr>
      <w:sz w:val="20"/>
    </w:rPr>
  </w:style>
  <w:style w:type="paragraph" w:customStyle="1" w:styleId="nzNumberedItem">
    <w:name w:val="nzNumberedItem"/>
    <w:pPr>
      <w:spacing w:before="40"/>
      <w:ind w:left="1446" w:right="284" w:hanging="879"/>
    </w:p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character" w:customStyle="1" w:styleId="CharSClsNo">
    <w:name w:val="CharSClsNo"/>
    <w:basedOn w:val="DefaultParagraphFont"/>
    <w:rPr>
      <w:sz w:val="22"/>
    </w:rPr>
  </w:style>
  <w:style w:type="character" w:customStyle="1" w:styleId="CharSDivNo">
    <w:name w:val="CharSDivNo"/>
    <w:basedOn w:val="DefaultParagraphFont"/>
    <w:rPr>
      <w:sz w:val="24"/>
    </w:rPr>
  </w:style>
  <w:style w:type="character" w:customStyle="1" w:styleId="CharSDivText">
    <w:name w:val="CharSDivText"/>
    <w:basedOn w:val="DefaultParagraphFont"/>
    <w:rPr>
      <w:sz w:val="24"/>
    </w:rPr>
  </w:style>
  <w:style w:type="paragraph" w:customStyle="1" w:styleId="Ednotepart">
    <w:name w:val="Ednote(part)"/>
    <w:basedOn w:val="Ednotesection"/>
    <w:pPr>
      <w:tabs>
        <w:tab w:val="clear" w:pos="893"/>
      </w:tabs>
      <w:ind w:left="0" w:firstLine="0"/>
    </w:pPr>
  </w:style>
  <w:style w:type="paragraph" w:customStyle="1" w:styleId="Ednotedivision">
    <w:name w:val="Ednote(division)"/>
    <w:basedOn w:val="Ednotepart"/>
  </w:style>
  <w:style w:type="paragraph" w:customStyle="1" w:styleId="Ednotesubdivision">
    <w:name w:val="Ednote(subdivision)"/>
    <w:basedOn w:val="Ednotepart"/>
  </w:style>
  <w:style w:type="paragraph" w:customStyle="1" w:styleId="Footnotelongtitle">
    <w:name w:val="Footnote(longtitle)"/>
    <w:basedOn w:val="Footnotesection"/>
  </w:style>
  <w:style w:type="paragraph" w:customStyle="1" w:styleId="Footnotepreamble">
    <w:name w:val="Footnote(preamble)"/>
    <w:basedOn w:val="Footnotesection"/>
  </w:style>
  <w:style w:type="paragraph" w:customStyle="1" w:styleId="LongTitle2">
    <w:name w:val="Long Title2"/>
    <w:basedOn w:val="LongTitle"/>
    <w:pPr>
      <w:tabs>
        <w:tab w:val="right" w:pos="170"/>
        <w:tab w:val="left" w:pos="397"/>
      </w:tabs>
      <w:ind w:left="397" w:hanging="397"/>
    </w:pPr>
  </w:style>
  <w:style w:type="paragraph" w:customStyle="1" w:styleId="LongTitle3">
    <w:name w:val="Long Title3"/>
    <w:basedOn w:val="LongTitle"/>
    <w:pPr>
      <w:tabs>
        <w:tab w:val="right" w:pos="567"/>
        <w:tab w:val="left" w:pos="794"/>
      </w:tabs>
      <w:ind w:left="794" w:hanging="794"/>
    </w:pPr>
  </w:style>
  <w:style w:type="paragraph" w:customStyle="1" w:styleId="Preamble2">
    <w:name w:val="Preamble2"/>
    <w:basedOn w:val="Preamble"/>
    <w:pPr>
      <w:tabs>
        <w:tab w:val="clear" w:pos="567"/>
      </w:tabs>
      <w:spacing w:before="80"/>
      <w:ind w:left="0" w:firstLine="0"/>
    </w:pPr>
  </w:style>
  <w:style w:type="paragraph" w:customStyle="1" w:styleId="Preamble1">
    <w:name w:val="Preamble1"/>
    <w:basedOn w:val="Preamble2"/>
    <w:pPr>
      <w:spacing w:before="120"/>
    </w:pPr>
    <w:rPr>
      <w:b/>
    </w:rPr>
  </w:style>
  <w:style w:type="paragraph" w:customStyle="1" w:styleId="Preamble3">
    <w:name w:val="Preamble3"/>
    <w:basedOn w:val="Preamble2"/>
    <w:pPr>
      <w:tabs>
        <w:tab w:val="right" w:pos="595"/>
        <w:tab w:val="left" w:pos="879"/>
      </w:tabs>
      <w:ind w:left="879" w:hanging="879"/>
    </w:pPr>
  </w:style>
  <w:style w:type="paragraph" w:customStyle="1" w:styleId="Preamble4">
    <w:name w:val="Preamble4"/>
    <w:basedOn w:val="Preamble2"/>
    <w:pPr>
      <w:tabs>
        <w:tab w:val="right" w:pos="1332"/>
        <w:tab w:val="left" w:pos="1616"/>
      </w:tabs>
      <w:ind w:left="1616" w:hanging="1616"/>
    </w:pPr>
  </w:style>
  <w:style w:type="paragraph" w:customStyle="1" w:styleId="ReprintNo">
    <w:name w:val="ReprintNo"/>
    <w:rPr>
      <w:b/>
      <w:noProof/>
      <w:sz w:val="28"/>
    </w:rPr>
  </w:style>
  <w:style w:type="paragraph" w:customStyle="1" w:styleId="yEdnotedefitem">
    <w:name w:val="yEdnote(defitem)"/>
    <w:basedOn w:val="yDefitem"/>
    <w:rPr>
      <w:i/>
    </w:rPr>
  </w:style>
  <w:style w:type="paragraph" w:customStyle="1" w:styleId="yEdnotedefpara">
    <w:name w:val="yEdnote(defpara)"/>
    <w:basedOn w:val="yDefpara"/>
    <w:rPr>
      <w:i/>
    </w:rPr>
  </w:style>
  <w:style w:type="paragraph" w:customStyle="1" w:styleId="yEdnotedefsubpara">
    <w:name w:val="yEdnote(defsubpara)"/>
    <w:basedOn w:val="yDefsubpara"/>
    <w:rPr>
      <w:i/>
    </w:rPr>
  </w:style>
  <w:style w:type="paragraph" w:customStyle="1" w:styleId="yEdnoteschedule">
    <w:name w:val="yEdnote(schedule)"/>
    <w:basedOn w:val="yEdnotesection"/>
    <w:pPr>
      <w:tabs>
        <w:tab w:val="clear" w:pos="893"/>
      </w:tabs>
      <w:ind w:left="0" w:firstLine="0"/>
    </w:pPr>
  </w:style>
  <w:style w:type="paragraph" w:customStyle="1" w:styleId="yEdnotedivision">
    <w:name w:val="yEdnote(division)"/>
    <w:basedOn w:val="yEdnoteschedule"/>
  </w:style>
  <w:style w:type="paragraph" w:customStyle="1" w:styleId="yEdnotesubdivision">
    <w:name w:val="yEdnote(subdivision)"/>
    <w:basedOn w:val="yEdnoteschedule"/>
  </w:style>
  <w:style w:type="paragraph" w:customStyle="1" w:styleId="yEdnotesubsection">
    <w:name w:val="yEdnote(subsection)"/>
    <w:basedOn w:val="Ednotesubsection"/>
    <w:rPr>
      <w:sz w:val="22"/>
    </w:rPr>
  </w:style>
  <w:style w:type="paragraph" w:customStyle="1" w:styleId="TableAm">
    <w:name w:val="TableAm"/>
    <w:basedOn w:val="Normal"/>
    <w:pPr>
      <w:spacing w:before="120"/>
    </w:pPr>
  </w:style>
  <w:style w:type="paragraph" w:customStyle="1" w:styleId="TableAmNote">
    <w:name w:val="TableAmNote"/>
    <w:pPr>
      <w:spacing w:before="60"/>
    </w:pPr>
  </w:style>
  <w:style w:type="paragraph" w:customStyle="1" w:styleId="BlankOpen">
    <w:name w:val="BlankOpen"/>
    <w:basedOn w:val="Normal"/>
    <w:pPr>
      <w:keepNext/>
      <w:keepLines/>
      <w:jc w:val="center"/>
    </w:pPr>
    <w:rPr>
      <w:szCs w:val="24"/>
    </w:rPr>
  </w:style>
  <w:style w:type="paragraph" w:customStyle="1" w:styleId="BlankClose">
    <w:name w:val="BlankClose"/>
    <w:basedOn w:val="Normal"/>
    <w:pPr>
      <w:keepLines/>
      <w:jc w:val="center"/>
    </w:pPr>
    <w:rPr>
      <w:szCs w:val="24"/>
    </w:rPr>
  </w:style>
  <w:style w:type="paragraph" w:customStyle="1" w:styleId="PrincipalActRegPage1">
    <w:name w:val="PrincipalAct_Reg(Page 1)"/>
    <w:pPr>
      <w:spacing w:before="2600"/>
      <w:jc w:val="center"/>
    </w:pPr>
    <w:rPr>
      <w:sz w:val="24"/>
    </w:rPr>
  </w:style>
  <w:style w:type="paragraph" w:customStyle="1" w:styleId="nzDefitem">
    <w:name w:val="nzDefitem"/>
    <w:pPr>
      <w:tabs>
        <w:tab w:val="right" w:pos="3459"/>
      </w:tabs>
      <w:spacing w:before="40"/>
      <w:ind w:left="3686" w:right="284" w:hanging="3119"/>
    </w:pPr>
    <w:rPr>
      <w:snapToGrid w:val="0"/>
    </w:rPr>
  </w:style>
  <w:style w:type="paragraph" w:customStyle="1" w:styleId="Defsubitem">
    <w:name w:val="Defsubitem"/>
    <w:qFormat/>
    <w:pPr>
      <w:tabs>
        <w:tab w:val="right" w:pos="3686"/>
      </w:tabs>
      <w:spacing w:before="80" w:line="260" w:lineRule="atLeast"/>
      <w:ind w:left="3969" w:hanging="3969"/>
    </w:pPr>
    <w:rPr>
      <w:snapToGrid w:val="0"/>
      <w:sz w:val="24"/>
    </w:rPr>
  </w:style>
  <w:style w:type="paragraph" w:customStyle="1" w:styleId="Ednotedefsubitem">
    <w:name w:val="Ednote(defsubitem)"/>
    <w:basedOn w:val="Defsubitem"/>
    <w:rPr>
      <w:i/>
    </w:rPr>
  </w:style>
  <w:style w:type="paragraph" w:customStyle="1" w:styleId="yDefsubitem">
    <w:name w:val="yDefsubitem"/>
    <w:qFormat/>
    <w:pPr>
      <w:tabs>
        <w:tab w:val="right" w:pos="3686"/>
      </w:tabs>
      <w:spacing w:before="80"/>
      <w:ind w:left="3969" w:hanging="3969"/>
    </w:pPr>
    <w:rPr>
      <w:snapToGrid w:val="0"/>
      <w:sz w:val="22"/>
    </w:rPr>
  </w:style>
  <w:style w:type="paragraph" w:customStyle="1" w:styleId="yEdnotedefsubitem">
    <w:name w:val="yEdnote(defsubitem)"/>
    <w:basedOn w:val="yDefsubitem"/>
    <w:rPr>
      <w:i/>
    </w:rPr>
  </w:style>
  <w:style w:type="paragraph" w:customStyle="1" w:styleId="zDefsubitem">
    <w:name w:val="zDefsubitem"/>
    <w:qFormat/>
    <w:pPr>
      <w:tabs>
        <w:tab w:val="right" w:pos="4167"/>
      </w:tabs>
      <w:spacing w:before="80" w:line="260" w:lineRule="atLeast"/>
      <w:ind w:left="4451" w:right="284" w:hanging="3884"/>
    </w:pPr>
    <w:rPr>
      <w:snapToGrid w:val="0"/>
      <w:sz w:val="24"/>
    </w:rPr>
  </w:style>
  <w:style w:type="paragraph" w:customStyle="1" w:styleId="nzDefsubitem">
    <w:name w:val="nzDefsubitem"/>
    <w:qFormat/>
    <w:pPr>
      <w:tabs>
        <w:tab w:val="right" w:pos="4167"/>
      </w:tabs>
      <w:spacing w:before="40"/>
      <w:ind w:left="4451" w:right="284" w:hanging="3884"/>
    </w:pPr>
    <w:rPr>
      <w:snapToGrid w:val="0"/>
    </w:rPr>
  </w:style>
  <w:style w:type="paragraph" w:customStyle="1" w:styleId="zyDefsubitem">
    <w:name w:val="zyDefsubitem"/>
    <w:qFormat/>
    <w:pPr>
      <w:tabs>
        <w:tab w:val="right" w:pos="4167"/>
      </w:tabs>
      <w:spacing w:before="80"/>
      <w:ind w:left="4451" w:right="284" w:hanging="3884"/>
    </w:pPr>
    <w:rPr>
      <w:snapToGrid w:val="0"/>
      <w:sz w:val="22"/>
    </w:rPr>
  </w:style>
  <w:style w:type="paragraph" w:customStyle="1" w:styleId="nzPensubpara">
    <w:name w:val="nzPensubpara"/>
    <w:basedOn w:val="zPensubpara"/>
    <w:pPr>
      <w:spacing w:before="40" w:line="240" w:lineRule="auto"/>
    </w:pPr>
    <w:rPr>
      <w:sz w:val="20"/>
    </w:rPr>
  </w:style>
  <w:style w:type="paragraph" w:customStyle="1" w:styleId="nzPenitem">
    <w:name w:val="nzPenitem"/>
    <w:basedOn w:val="zPenitem"/>
    <w:pPr>
      <w:spacing w:before="40" w:line="240" w:lineRule="auto"/>
    </w:pPr>
    <w:rPr>
      <w:sz w:val="20"/>
    </w:rPr>
  </w:style>
  <w:style w:type="paragraph" w:customStyle="1" w:styleId="yEdnotenumbereditem">
    <w:name w:val="yEdnote(numbereditem)"/>
    <w:basedOn w:val="yNumberedItem"/>
    <w:rPr>
      <w:i/>
    </w:rPr>
  </w:style>
  <w:style w:type="paragraph" w:customStyle="1" w:styleId="yNumberedItemPara">
    <w:name w:val="yNumberedItemPara"/>
    <w:qFormat/>
    <w:pPr>
      <w:tabs>
        <w:tab w:val="right" w:pos="1332"/>
      </w:tabs>
      <w:spacing w:before="80"/>
      <w:ind w:left="1616" w:hanging="1616"/>
    </w:pPr>
    <w:rPr>
      <w:sz w:val="22"/>
    </w:rPr>
  </w:style>
  <w:style w:type="paragraph" w:customStyle="1" w:styleId="yEdnotenumbereditempara">
    <w:name w:val="yEdnote(numbereditempara)"/>
    <w:basedOn w:val="yNumberedItemPara"/>
    <w:rPr>
      <w:i/>
    </w:rPr>
  </w:style>
  <w:style w:type="paragraph" w:customStyle="1" w:styleId="zyNumberedItemPara">
    <w:name w:val="zyNumberedItemPara"/>
    <w:qFormat/>
    <w:pPr>
      <w:tabs>
        <w:tab w:val="right" w:pos="1899"/>
      </w:tabs>
      <w:spacing w:before="80"/>
      <w:ind w:left="2183" w:right="284" w:hanging="1616"/>
    </w:pPr>
    <w:rPr>
      <w:sz w:val="22"/>
    </w:rPr>
  </w:style>
  <w:style w:type="paragraph" w:customStyle="1" w:styleId="nzNumberedItemPara">
    <w:name w:val="nzNumberedItemPara"/>
    <w:pPr>
      <w:tabs>
        <w:tab w:val="right" w:pos="1899"/>
      </w:tabs>
      <w:spacing w:before="40"/>
      <w:ind w:left="2183" w:right="284" w:hanging="1616"/>
    </w:pPr>
  </w:style>
  <w:style w:type="paragraph" w:customStyle="1" w:styleId="yNumberedItemSubPara">
    <w:name w:val="yNumberedItemSubPara"/>
    <w:qFormat/>
    <w:pPr>
      <w:tabs>
        <w:tab w:val="right" w:pos="2041"/>
      </w:tabs>
      <w:spacing w:before="80"/>
      <w:ind w:left="2325" w:hanging="2325"/>
    </w:pPr>
    <w:rPr>
      <w:sz w:val="22"/>
    </w:rPr>
  </w:style>
  <w:style w:type="paragraph" w:customStyle="1" w:styleId="yEdnotenumbereditemsubpara">
    <w:name w:val="yEdnote(numbereditemsubpara)"/>
    <w:basedOn w:val="yNumberedItemSubPara"/>
    <w:rPr>
      <w:i/>
    </w:rPr>
  </w:style>
  <w:style w:type="paragraph" w:customStyle="1" w:styleId="zyNumberedItemSubPara">
    <w:name w:val="zyNumberedItemSubPara"/>
    <w:qFormat/>
    <w:pPr>
      <w:tabs>
        <w:tab w:val="right" w:pos="2608"/>
      </w:tabs>
      <w:spacing w:before="80"/>
      <w:ind w:left="2892" w:right="284" w:hanging="2325"/>
    </w:pPr>
    <w:rPr>
      <w:sz w:val="22"/>
    </w:rPr>
  </w:style>
  <w:style w:type="paragraph" w:customStyle="1" w:styleId="nzNumberedItemSubPara">
    <w:name w:val="nzNumberedItemSubPara"/>
    <w:pPr>
      <w:tabs>
        <w:tab w:val="right" w:pos="2608"/>
      </w:tabs>
      <w:spacing w:before="40"/>
      <w:ind w:left="2892" w:right="284" w:hanging="2325"/>
    </w:pPr>
  </w:style>
  <w:style w:type="paragraph" w:customStyle="1" w:styleId="PermNoteHeading">
    <w:name w:val="PermNoteHeading"/>
    <w:qFormat/>
    <w:pPr>
      <w:keepNext/>
      <w:spacing w:before="160"/>
      <w:ind w:left="879" w:hanging="879"/>
    </w:pPr>
    <w:rPr>
      <w:rFonts w:ascii="Arial" w:hAnsi="Arial"/>
      <w:sz w:val="18"/>
    </w:rPr>
  </w:style>
  <w:style w:type="paragraph" w:customStyle="1" w:styleId="Ednotepermnoteheading">
    <w:name w:val="Ednote(permnoteheading)"/>
    <w:basedOn w:val="PermNoteHeading"/>
    <w:rPr>
      <w:i/>
    </w:rPr>
  </w:style>
  <w:style w:type="paragraph" w:customStyle="1" w:styleId="zPermNoteHeading">
    <w:name w:val="zPermNoteHeading"/>
    <w:qFormat/>
    <w:pPr>
      <w:spacing w:before="160"/>
      <w:ind w:left="1446" w:right="284" w:hanging="879"/>
    </w:pPr>
    <w:rPr>
      <w:rFonts w:ascii="Arial" w:hAnsi="Arial"/>
      <w:sz w:val="18"/>
    </w:rPr>
  </w:style>
  <w:style w:type="paragraph" w:customStyle="1" w:styleId="nzPermNoteHeading">
    <w:name w:val="nzPermNoteHeading"/>
    <w:pPr>
      <w:spacing w:before="40"/>
      <w:ind w:left="1446" w:right="284" w:hanging="879"/>
    </w:pPr>
    <w:rPr>
      <w:rFonts w:ascii="Arial" w:hAnsi="Arial"/>
      <w:sz w:val="14"/>
    </w:rPr>
  </w:style>
  <w:style w:type="paragraph" w:customStyle="1" w:styleId="PermNoteText">
    <w:name w:val="PermNoteText"/>
    <w:qFormat/>
    <w:pPr>
      <w:tabs>
        <w:tab w:val="left" w:pos="879"/>
      </w:tabs>
      <w:spacing w:before="80"/>
      <w:ind w:left="1418" w:hanging="1418"/>
    </w:pPr>
    <w:rPr>
      <w:rFonts w:ascii="Arial" w:hAnsi="Arial"/>
      <w:sz w:val="18"/>
    </w:rPr>
  </w:style>
  <w:style w:type="paragraph" w:customStyle="1" w:styleId="Ednotepermnotetext">
    <w:name w:val="Ednote(permnotetext)"/>
    <w:basedOn w:val="PermNoteText"/>
    <w:rPr>
      <w:i/>
    </w:rPr>
  </w:style>
  <w:style w:type="paragraph" w:customStyle="1" w:styleId="zPermNoteText">
    <w:name w:val="zPermNoteText"/>
    <w:qFormat/>
    <w:pPr>
      <w:tabs>
        <w:tab w:val="left" w:pos="1446"/>
      </w:tabs>
      <w:spacing w:before="80"/>
      <w:ind w:left="2013" w:right="284" w:hanging="1446"/>
    </w:pPr>
    <w:rPr>
      <w:rFonts w:ascii="Arial" w:hAnsi="Arial"/>
      <w:sz w:val="18"/>
    </w:rPr>
  </w:style>
  <w:style w:type="paragraph" w:customStyle="1" w:styleId="nzPermNoteText">
    <w:name w:val="nzPermNoteText"/>
    <w:pPr>
      <w:tabs>
        <w:tab w:val="left" w:pos="1446"/>
      </w:tabs>
      <w:spacing w:before="40"/>
      <w:ind w:left="2013" w:right="284" w:hanging="1446"/>
    </w:pPr>
    <w:rPr>
      <w:rFonts w:ascii="Arial" w:hAnsi="Arial"/>
      <w:sz w:val="14"/>
    </w:rPr>
  </w:style>
  <w:style w:type="paragraph" w:customStyle="1" w:styleId="PermNotePara">
    <w:name w:val="PermNotePara"/>
    <w:qFormat/>
    <w:pPr>
      <w:tabs>
        <w:tab w:val="right" w:pos="1843"/>
      </w:tabs>
      <w:spacing w:before="80"/>
      <w:ind w:left="2013" w:hanging="2013"/>
    </w:pPr>
    <w:rPr>
      <w:rFonts w:ascii="Arial" w:hAnsi="Arial"/>
      <w:sz w:val="18"/>
    </w:rPr>
  </w:style>
  <w:style w:type="paragraph" w:customStyle="1" w:styleId="Ednotepermnotepara">
    <w:name w:val="Ednote(permnotepara)"/>
    <w:basedOn w:val="PermNotePara"/>
    <w:rPr>
      <w:i/>
    </w:rPr>
  </w:style>
  <w:style w:type="paragraph" w:customStyle="1" w:styleId="zPermNotePara">
    <w:name w:val="zPermNotePara"/>
    <w:qFormat/>
    <w:pPr>
      <w:tabs>
        <w:tab w:val="right" w:pos="2410"/>
      </w:tabs>
      <w:spacing w:before="80"/>
      <w:ind w:left="2580" w:right="284" w:hanging="2013"/>
    </w:pPr>
    <w:rPr>
      <w:rFonts w:ascii="Arial" w:hAnsi="Arial"/>
      <w:sz w:val="18"/>
    </w:rPr>
  </w:style>
  <w:style w:type="paragraph" w:customStyle="1" w:styleId="nzPermNotePara">
    <w:name w:val="nzPermNotePara"/>
    <w:pPr>
      <w:tabs>
        <w:tab w:val="right" w:pos="2410"/>
      </w:tabs>
      <w:spacing w:before="40"/>
      <w:ind w:left="2580" w:right="284" w:hanging="2013"/>
    </w:pPr>
    <w:rPr>
      <w:rFonts w:ascii="Arial" w:hAnsi="Arial"/>
      <w:sz w:val="14"/>
    </w:rPr>
  </w:style>
  <w:style w:type="paragraph" w:customStyle="1" w:styleId="PermNoteSubPara">
    <w:name w:val="PermNoteSubPara"/>
    <w:qFormat/>
    <w:pPr>
      <w:tabs>
        <w:tab w:val="right" w:pos="2296"/>
      </w:tabs>
      <w:spacing w:before="80"/>
      <w:ind w:left="2580" w:hanging="2580"/>
    </w:pPr>
    <w:rPr>
      <w:rFonts w:ascii="Arial" w:hAnsi="Arial"/>
      <w:sz w:val="18"/>
    </w:rPr>
  </w:style>
  <w:style w:type="paragraph" w:customStyle="1" w:styleId="Ednotepermnotesubpara">
    <w:name w:val="Ednote(permnotesubpara)"/>
    <w:basedOn w:val="PermNoteSubPara"/>
    <w:rPr>
      <w:i/>
    </w:rPr>
  </w:style>
  <w:style w:type="paragraph" w:customStyle="1" w:styleId="zPermNoteSubPara">
    <w:name w:val="zPermNoteSubPara"/>
    <w:qFormat/>
    <w:pPr>
      <w:tabs>
        <w:tab w:val="right" w:pos="2863"/>
      </w:tabs>
      <w:spacing w:before="80"/>
      <w:ind w:left="3147" w:right="284" w:hanging="2580"/>
    </w:pPr>
    <w:rPr>
      <w:rFonts w:ascii="Arial" w:hAnsi="Arial"/>
      <w:sz w:val="18"/>
    </w:rPr>
  </w:style>
  <w:style w:type="paragraph" w:customStyle="1" w:styleId="nzPermNoteSubPara">
    <w:name w:val="nzPermNoteSubPara"/>
    <w:pPr>
      <w:tabs>
        <w:tab w:val="right" w:pos="2863"/>
      </w:tabs>
      <w:spacing w:before="40"/>
      <w:ind w:left="3147" w:right="284" w:hanging="2580"/>
    </w:pPr>
    <w:rPr>
      <w:rFonts w:ascii="Arial" w:hAnsi="Arial"/>
      <w:sz w:val="14"/>
    </w:rPr>
  </w:style>
  <w:style w:type="paragraph" w:customStyle="1" w:styleId="SectAltNote">
    <w:name w:val="SectAltNote"/>
    <w:qFormat/>
    <w:pPr>
      <w:keepNext/>
      <w:tabs>
        <w:tab w:val="left" w:pos="879"/>
      </w:tabs>
      <w:spacing w:before="160"/>
      <w:ind w:left="1418" w:hanging="1418"/>
    </w:pPr>
    <w:rPr>
      <w:rFonts w:ascii="Arial" w:hAnsi="Arial"/>
      <w:sz w:val="18"/>
    </w:rPr>
  </w:style>
  <w:style w:type="paragraph" w:customStyle="1" w:styleId="nzSectAltNote">
    <w:name w:val="nzSectAltNote"/>
    <w:qFormat/>
    <w:pPr>
      <w:tabs>
        <w:tab w:val="left" w:pos="1446"/>
      </w:tabs>
      <w:spacing w:before="40"/>
      <w:ind w:left="1990" w:hanging="1423"/>
    </w:pPr>
    <w:rPr>
      <w:rFonts w:ascii="Arial" w:hAnsi="Arial"/>
      <w:sz w:val="14"/>
    </w:rPr>
  </w:style>
  <w:style w:type="paragraph" w:customStyle="1" w:styleId="SectAltHeading">
    <w:name w:val="SectAltHeading"/>
    <w:qFormat/>
    <w:pPr>
      <w:tabs>
        <w:tab w:val="left" w:pos="879"/>
      </w:tabs>
      <w:spacing w:before="80"/>
      <w:ind w:left="1418" w:hanging="1418"/>
    </w:pPr>
    <w:rPr>
      <w:rFonts w:ascii="Arial" w:hAnsi="Arial"/>
      <w:b/>
      <w:sz w:val="18"/>
    </w:rPr>
  </w:style>
  <w:style w:type="paragraph" w:customStyle="1" w:styleId="nzSectAltHeading">
    <w:name w:val="nzSectAltHeading"/>
    <w:qFormat/>
    <w:pPr>
      <w:tabs>
        <w:tab w:val="left" w:pos="1446"/>
      </w:tabs>
      <w:spacing w:before="40"/>
      <w:ind w:left="1990" w:hanging="1423"/>
    </w:pPr>
    <w:rPr>
      <w:rFonts w:ascii="Arial" w:hAnsi="Arial"/>
      <w:b/>
      <w:sz w:val="14"/>
    </w:rPr>
  </w:style>
  <w:style w:type="paragraph" w:customStyle="1" w:styleId="nzShoulderClause">
    <w:name w:val="nzShoulderClause"/>
    <w:next w:val="ySubsection"/>
    <w:pPr>
      <w:spacing w:before="80"/>
      <w:jc w:val="right"/>
    </w:pPr>
  </w:style>
  <w:style w:type="paragraph" w:customStyle="1" w:styleId="nzDeleteListSub">
    <w:name w:val="nzDeleteListSub"/>
    <w:pPr>
      <w:spacing w:before="80"/>
      <w:ind w:left="1446"/>
    </w:pPr>
  </w:style>
  <w:style w:type="paragraph" w:customStyle="1" w:styleId="nzDeleteListPara">
    <w:name w:val="nzDeleteListPara"/>
    <w:pPr>
      <w:spacing w:before="80"/>
      <w:ind w:left="2183"/>
    </w:pPr>
  </w:style>
  <w:style w:type="paragraph" w:customStyle="1" w:styleId="nzEdnotepart">
    <w:name w:val="nzEdnote(part)"/>
    <w:basedOn w:val="nzHeading2"/>
    <w:rPr>
      <w:b w:val="0"/>
      <w:i/>
    </w:rPr>
  </w:style>
  <w:style w:type="paragraph" w:customStyle="1" w:styleId="nzEdnotedivision">
    <w:name w:val="nzEdnote(division)"/>
    <w:basedOn w:val="nzHeading3"/>
    <w:rPr>
      <w:b w:val="0"/>
      <w:i/>
    </w:rPr>
  </w:style>
  <w:style w:type="paragraph" w:customStyle="1" w:styleId="nzEdnotesubdivision">
    <w:name w:val="nzEdnote(subdivision)"/>
    <w:basedOn w:val="nzHeading4"/>
    <w:rPr>
      <w:i/>
    </w:rPr>
  </w:style>
  <w:style w:type="paragraph" w:customStyle="1" w:styleId="nzEdnotesection">
    <w:name w:val="nzEdnote(section)"/>
    <w:basedOn w:val="nzHeading5"/>
    <w:rPr>
      <w:b w:val="0"/>
      <w:i/>
    </w:rPr>
  </w:style>
  <w:style w:type="paragraph" w:customStyle="1" w:styleId="nzEdnotesubsection">
    <w:name w:val="nzEdnote(subsection)"/>
    <w:basedOn w:val="nzSubsection"/>
    <w:rPr>
      <w:i/>
    </w:rPr>
  </w:style>
  <w:style w:type="paragraph" w:customStyle="1" w:styleId="nzEdnotepara">
    <w:name w:val="nzEdnote(para)"/>
    <w:basedOn w:val="nzIndenta"/>
    <w:rPr>
      <w:i/>
    </w:rPr>
  </w:style>
  <w:style w:type="paragraph" w:customStyle="1" w:styleId="nzEdnotesubpara">
    <w:name w:val="nzEdnote(subpara)"/>
    <w:basedOn w:val="nzIndenti"/>
    <w:rPr>
      <w:i/>
    </w:rPr>
  </w:style>
  <w:style w:type="paragraph" w:customStyle="1" w:styleId="nzEdnoteitem">
    <w:name w:val="nzEdnote(item)"/>
    <w:basedOn w:val="nzIndentI0"/>
    <w:rPr>
      <w:i/>
    </w:rPr>
  </w:style>
  <w:style w:type="paragraph" w:customStyle="1" w:styleId="nzEdnotesubitem">
    <w:name w:val="nzEdnote(subitem)"/>
    <w:basedOn w:val="nzIndentA0"/>
    <w:rPr>
      <w:i/>
    </w:rPr>
  </w:style>
  <w:style w:type="paragraph" w:customStyle="1" w:styleId="nzEdnotedefpara">
    <w:name w:val="nzEdnote(defpara)"/>
    <w:basedOn w:val="nzDefpara"/>
    <w:rPr>
      <w:i/>
    </w:rPr>
  </w:style>
  <w:style w:type="paragraph" w:customStyle="1" w:styleId="nzEdnotedefsubpara">
    <w:name w:val="nzEdnote(defsubpara)"/>
    <w:basedOn w:val="nzDefsubpara"/>
    <w:rPr>
      <w:i/>
    </w:rPr>
  </w:style>
  <w:style w:type="paragraph" w:customStyle="1" w:styleId="nzEdnotedefitem">
    <w:name w:val="nzEdnote(defitem)"/>
    <w:basedOn w:val="nzDefitem"/>
    <w:rPr>
      <w:i/>
    </w:rPr>
  </w:style>
  <w:style w:type="paragraph" w:customStyle="1" w:styleId="nzEdnotedefsubitem">
    <w:name w:val="nzEdnote(defsubitem)"/>
    <w:basedOn w:val="nzDefsubitem"/>
    <w:rPr>
      <w:i/>
    </w:rPr>
  </w:style>
  <w:style w:type="paragraph" w:customStyle="1" w:styleId="nzEdnotepenpara">
    <w:name w:val="nzEdnote(penpara)"/>
    <w:basedOn w:val="nzPenpara"/>
    <w:rPr>
      <w:i/>
    </w:rPr>
  </w:style>
  <w:style w:type="paragraph" w:customStyle="1" w:styleId="nzEdnotepensubpara">
    <w:name w:val="nzEdnote(pensubpara)"/>
    <w:basedOn w:val="nzPensubpara"/>
    <w:rPr>
      <w:i/>
    </w:rPr>
  </w:style>
  <w:style w:type="paragraph" w:customStyle="1" w:styleId="nzEdnotepenitem">
    <w:name w:val="nzEdnote(penitem)"/>
    <w:basedOn w:val="nzPenitem"/>
    <w:rPr>
      <w:i/>
    </w:rPr>
  </w:style>
  <w:style w:type="paragraph" w:customStyle="1" w:styleId="nzFootnoteheading">
    <w:name w:val="nzFootnote(heading)"/>
    <w:pPr>
      <w:tabs>
        <w:tab w:val="left" w:pos="879"/>
      </w:tabs>
      <w:spacing w:before="40"/>
      <w:ind w:left="879" w:hanging="879"/>
    </w:pPr>
    <w:rPr>
      <w:i/>
      <w:snapToGrid w:val="0"/>
    </w:rPr>
  </w:style>
  <w:style w:type="paragraph" w:customStyle="1" w:styleId="nzFootnotesection">
    <w:name w:val="nzFootnote(section)"/>
    <w:pPr>
      <w:keepLines/>
      <w:tabs>
        <w:tab w:val="left" w:pos="893"/>
      </w:tabs>
      <w:spacing w:before="40"/>
      <w:ind w:left="893" w:hanging="893"/>
    </w:pPr>
    <w:rPr>
      <w:i/>
      <w:snapToGrid w:val="0"/>
    </w:rPr>
  </w:style>
  <w:style w:type="paragraph" w:customStyle="1" w:styleId="nzFootnotelongtitle">
    <w:name w:val="nzFootnote(longtitle)"/>
    <w:basedOn w:val="nzFootnotesection"/>
  </w:style>
  <w:style w:type="paragraph" w:customStyle="1" w:styleId="nzFootnotepreamble">
    <w:name w:val="nzFootnote(preamble)"/>
    <w:basedOn w:val="nzFootnotesection"/>
  </w:style>
  <w:style w:type="paragraph" w:customStyle="1" w:styleId="nzOmitFootnote">
    <w:name w:val="nzOmitFootnote"/>
    <w:basedOn w:val="nzEdnotesection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0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39"/>
    <w:lsdException w:name="toc 9" w:uiPriority="0"/>
    <w:lsdException w:name="header" w:uiPriority="0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b/>
      <w:kern w:val="28"/>
      <w:sz w:val="34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b/>
      <w:snapToGrid w:val="0"/>
      <w:sz w:val="30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b/>
      <w:sz w:val="26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b/>
      <w:sz w:val="24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b/>
      <w:sz w:val="24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i/>
      <w:noProof/>
      <w:sz w:val="24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b/>
      <w:snapToGrid w:val="0"/>
      <w:sz w:val="34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Arrangement">
    <w:name w:val="Arrangement"/>
    <w:pPr>
      <w:spacing w:after="480"/>
      <w:ind w:left="2304" w:right="2304"/>
      <w:jc w:val="center"/>
    </w:pPr>
    <w:rPr>
      <w:b/>
      <w:sz w:val="28"/>
    </w:rPr>
  </w:style>
  <w:style w:type="paragraph" w:customStyle="1" w:styleId="AssentNote">
    <w:name w:val="Assent Note"/>
    <w:pPr>
      <w:keepLines/>
      <w:spacing w:before="160" w:after="240"/>
      <w:jc w:val="right"/>
    </w:pPr>
    <w:rPr>
      <w:i/>
      <w:snapToGrid w:val="0"/>
      <w:sz w:val="24"/>
    </w:rPr>
  </w:style>
  <w:style w:type="paragraph" w:styleId="BlockText">
    <w:name w:val="Block Text"/>
    <w:basedOn w:val="Normal"/>
    <w:semiHidden/>
    <w:pPr>
      <w:spacing w:after="120"/>
      <w:ind w:left="1440" w:right="1440"/>
    </w:pPr>
  </w:style>
  <w:style w:type="paragraph" w:styleId="BodyText">
    <w:name w:val="Body Text"/>
    <w:basedOn w:val="Normal"/>
    <w:semiHidden/>
    <w:pPr>
      <w:spacing w:after="120"/>
    </w:pPr>
  </w:style>
  <w:style w:type="paragraph" w:styleId="BodyText2">
    <w:name w:val="Body Text 2"/>
    <w:basedOn w:val="Normal"/>
    <w:semiHidden/>
    <w:pPr>
      <w:spacing w:after="120" w:line="480" w:lineRule="auto"/>
    </w:pPr>
  </w:style>
  <w:style w:type="paragraph" w:styleId="BodyText3">
    <w:name w:val="Body Text 3"/>
    <w:basedOn w:val="Normal"/>
    <w:semiHidden/>
    <w:pPr>
      <w:spacing w:after="120"/>
    </w:pPr>
    <w:rPr>
      <w:sz w:val="18"/>
    </w:rPr>
  </w:style>
  <w:style w:type="paragraph" w:styleId="BodyTextFirstIndent">
    <w:name w:val="Body Text First Indent"/>
    <w:basedOn w:val="BodyText"/>
    <w:semiHidden/>
    <w:pPr>
      <w:ind w:firstLine="210"/>
    </w:pPr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pPr>
      <w:ind w:firstLine="210"/>
    </w:pPr>
  </w:style>
  <w:style w:type="paragraph" w:styleId="BodyTextIndent2">
    <w:name w:val="Body Text Indent 2"/>
    <w:basedOn w:val="Normal"/>
    <w:semiHidden/>
    <w:pPr>
      <w:spacing w:after="120" w:line="480" w:lineRule="auto"/>
      <w:ind w:left="283"/>
    </w:p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paragraph" w:customStyle="1" w:styleId="WA">
    <w:name w:val="WA"/>
    <w:pPr>
      <w:spacing w:after="720"/>
      <w:jc w:val="center"/>
    </w:pPr>
    <w:rPr>
      <w:sz w:val="24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sz w:val="24"/>
    </w:rPr>
  </w:style>
  <w:style w:type="paragraph" w:styleId="BodyTextIndent3">
    <w:name w:val="Body Text Indent 3"/>
    <w:basedOn w:val="Normal"/>
    <w:semiHidden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customStyle="1" w:styleId="CentredBaseLine">
    <w:name w:val="CentredBaseLine"/>
    <w:pPr>
      <w:suppressLineNumbers/>
      <w:spacing w:before="240"/>
    </w:pPr>
  </w:style>
  <w:style w:type="character" w:customStyle="1" w:styleId="CharChapNo">
    <w:name w:val="CharChapNo"/>
    <w:rPr>
      <w:noProof w:val="0"/>
    </w:rPr>
  </w:style>
  <w:style w:type="character" w:customStyle="1" w:styleId="CharChapText">
    <w:name w:val="CharChapText"/>
    <w:rPr>
      <w:noProof w:val="0"/>
    </w:rPr>
  </w:style>
  <w:style w:type="character" w:customStyle="1" w:styleId="CharDivNo">
    <w:name w:val="CharDivNo"/>
    <w:rPr>
      <w:noProof w:val="0"/>
    </w:rPr>
  </w:style>
  <w:style w:type="character" w:customStyle="1" w:styleId="CharDivText">
    <w:name w:val="CharDivText"/>
    <w:rPr>
      <w:noProof w:val="0"/>
    </w:rPr>
  </w:style>
  <w:style w:type="character" w:customStyle="1" w:styleId="CharPartNo">
    <w:name w:val="CharPartNo"/>
    <w:rPr>
      <w:noProof w:val="0"/>
    </w:rPr>
  </w:style>
  <w:style w:type="character" w:customStyle="1" w:styleId="CharPartText">
    <w:name w:val="CharPartText"/>
    <w:rPr>
      <w:noProof w:val="0"/>
    </w:rPr>
  </w:style>
  <w:style w:type="character" w:customStyle="1" w:styleId="CharProduced">
    <w:name w:val="CharProduced"/>
    <w:rPr>
      <w:noProof w:val="0"/>
      <w:spacing w:val="-3"/>
    </w:rPr>
  </w:style>
  <w:style w:type="character" w:customStyle="1" w:styleId="CharSchNo">
    <w:name w:val="CharSchNo"/>
    <w:rPr>
      <w:noProof w:val="0"/>
    </w:rPr>
  </w:style>
  <w:style w:type="character" w:customStyle="1" w:styleId="CharSectno">
    <w:name w:val="CharSectno"/>
    <w:rPr>
      <w:noProof w:val="0"/>
    </w:rPr>
  </w:style>
  <w:style w:type="paragraph" w:styleId="Closing">
    <w:name w:val="Closing"/>
    <w:basedOn w:val="Normal"/>
    <w:semiHidden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  <w:semiHidden/>
  </w:style>
  <w:style w:type="paragraph" w:customStyle="1" w:styleId="Defitem">
    <w:name w:val="Defitem"/>
    <w:pPr>
      <w:tabs>
        <w:tab w:val="right" w:pos="2892"/>
      </w:tabs>
      <w:spacing w:before="80" w:line="260" w:lineRule="atLeast"/>
      <w:ind w:left="3204" w:hanging="3204"/>
    </w:pPr>
    <w:rPr>
      <w:snapToGrid w:val="0"/>
      <w:sz w:val="24"/>
    </w:rPr>
  </w:style>
  <w:style w:type="paragraph" w:customStyle="1" w:styleId="Defpara">
    <w:name w:val="Defpara"/>
    <w:pPr>
      <w:tabs>
        <w:tab w:val="right" w:pos="1332"/>
      </w:tabs>
      <w:spacing w:before="80" w:line="260" w:lineRule="atLeast"/>
      <w:ind w:left="1616" w:hanging="1616"/>
    </w:pPr>
    <w:rPr>
      <w:snapToGrid w:val="0"/>
      <w:sz w:val="24"/>
    </w:rPr>
  </w:style>
  <w:style w:type="paragraph" w:customStyle="1" w:styleId="Defstart">
    <w:name w:val="Defstart"/>
    <w:pPr>
      <w:spacing w:before="80" w:line="260" w:lineRule="atLeast"/>
      <w:ind w:left="879" w:hanging="879"/>
    </w:pPr>
    <w:rPr>
      <w:snapToGrid w:val="0"/>
      <w:sz w:val="24"/>
    </w:rPr>
  </w:style>
  <w:style w:type="paragraph" w:customStyle="1" w:styleId="Defsubpara">
    <w:name w:val="Defsubpara"/>
    <w:pPr>
      <w:keepLines/>
      <w:tabs>
        <w:tab w:val="right" w:pos="2041"/>
      </w:tabs>
      <w:spacing w:before="80" w:line="260" w:lineRule="atLeast"/>
      <w:ind w:left="2325" w:hanging="2325"/>
    </w:pPr>
    <w:rPr>
      <w:snapToGrid w:val="0"/>
      <w:sz w:val="24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80" w:line="260" w:lineRule="atLeast"/>
      <w:ind w:left="3050" w:hanging="3050"/>
    </w:pPr>
    <w:rPr>
      <w:i/>
      <w:sz w:val="24"/>
    </w:rPr>
  </w:style>
  <w:style w:type="paragraph" w:customStyle="1" w:styleId="Ednotedefitem">
    <w:name w:val="Ednote(defitem)"/>
    <w:basedOn w:val="Defitem"/>
    <w:rPr>
      <w:i/>
    </w:r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i/>
      <w:sz w:val="24"/>
    </w:rPr>
  </w:style>
  <w:style w:type="paragraph" w:customStyle="1" w:styleId="Ednotedefpara">
    <w:name w:val="Ednote(defpara)"/>
    <w:basedOn w:val="Defpara"/>
    <w:rPr>
      <w:i/>
    </w:r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80" w:line="260" w:lineRule="atLeast"/>
      <w:ind w:left="2330" w:hanging="2330"/>
    </w:pPr>
    <w:rPr>
      <w:i/>
      <w:sz w:val="24"/>
    </w:rPr>
  </w:style>
  <w:style w:type="paragraph" w:customStyle="1" w:styleId="Ednotedefsubpara">
    <w:name w:val="Ednote(defsubpara)"/>
    <w:basedOn w:val="Defsubpara"/>
    <w:rPr>
      <w:i/>
    </w:r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left" w:pos="893"/>
      </w:tabs>
      <w:spacing w:before="220" w:line="260" w:lineRule="atLeast"/>
      <w:ind w:left="893" w:hanging="893"/>
      <w:outlineLvl w:val="4"/>
    </w:pPr>
    <w:rPr>
      <w:i/>
      <w:snapToGrid w:val="0"/>
      <w:sz w:val="24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80" w:line="260" w:lineRule="atLeast"/>
      <w:ind w:left="3771" w:hanging="3771"/>
    </w:pPr>
    <w:rPr>
      <w:i/>
      <w:sz w:val="24"/>
    </w:rPr>
  </w:style>
  <w:style w:type="paragraph" w:customStyle="1" w:styleId="Ednotesubsection">
    <w:name w:val="Ednote(subsection)"/>
    <w:basedOn w:val="Ednotesection"/>
    <w:pPr>
      <w:tabs>
        <w:tab w:val="clear" w:pos="893"/>
        <w:tab w:val="right" w:pos="595"/>
        <w:tab w:val="left" w:pos="879"/>
      </w:tabs>
      <w:spacing w:before="160"/>
      <w:ind w:left="890" w:hanging="890"/>
      <w:outlineLvl w:val="9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sz w:val="24"/>
    </w:r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styleId="EndnoteText">
    <w:name w:val="endnote text"/>
    <w:basedOn w:val="Normal"/>
    <w:semiHidden/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semiHidden/>
    <w:rPr>
      <w:rFonts w:ascii="Arial" w:hAnsi="Arial"/>
    </w:rPr>
  </w:style>
  <w:style w:type="paragraph" w:customStyle="1" w:styleId="Equation">
    <w:name w:val="Equation"/>
    <w:rPr>
      <w:noProof/>
      <w:sz w:val="24"/>
    </w:rPr>
  </w:style>
  <w:style w:type="character" w:styleId="FollowedHyperlink">
    <w:name w:val="FollowedHyperlink"/>
    <w:basedOn w:val="DefaultParagraphFont"/>
    <w:semiHidden/>
    <w:rPr>
      <w:color w:val="800080"/>
      <w:sz w:val="24"/>
      <w:u w:val="single"/>
    </w:rPr>
  </w:style>
  <w:style w:type="paragraph" w:styleId="Footer">
    <w:name w:val="footer"/>
    <w:basedOn w:val="Normal"/>
    <w:rPr>
      <w:rFonts w:ascii="Arial" w:hAnsi="Arial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tabs>
        <w:tab w:val="left" w:pos="879"/>
      </w:tabs>
      <w:spacing w:before="120" w:line="260" w:lineRule="atLeast"/>
      <w:ind w:left="879" w:hanging="879"/>
    </w:pPr>
    <w:rPr>
      <w:i/>
      <w:sz w:val="24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i/>
      <w:snapToGrid w:val="0"/>
      <w:sz w:val="24"/>
    </w:rPr>
  </w:style>
  <w:style w:type="paragraph" w:customStyle="1" w:styleId="Graphics">
    <w:name w:val="Graphics"/>
    <w:basedOn w:val="Equation"/>
  </w:style>
  <w:style w:type="character" w:styleId="Hyperlink">
    <w:name w:val="Hyperlink"/>
    <w:basedOn w:val="DefaultParagraphFont"/>
    <w:semiHidden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sz w:val="24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sz w:val="24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sz w:val="24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sz w:val="24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character" w:styleId="LineNumber">
    <w:name w:val="line number"/>
    <w:basedOn w:val="DefaultParagraphFont"/>
    <w:semiHidden/>
    <w:rPr>
      <w:rFonts w:ascii="Times" w:hAnsi="Times"/>
      <w:sz w:val="18"/>
    </w:rPr>
  </w:style>
  <w:style w:type="paragraph" w:styleId="List">
    <w:name w:val="List"/>
    <w:basedOn w:val="Normal"/>
    <w:semiHidden/>
    <w:pPr>
      <w:ind w:left="283" w:hanging="283"/>
    </w:pPr>
  </w:style>
  <w:style w:type="paragraph" w:styleId="List2">
    <w:name w:val="List 2"/>
    <w:basedOn w:val="Normal"/>
    <w:semiHidden/>
    <w:pPr>
      <w:ind w:left="566" w:hanging="283"/>
    </w:pPr>
  </w:style>
  <w:style w:type="paragraph" w:styleId="List3">
    <w:name w:val="List 3"/>
    <w:basedOn w:val="Normal"/>
    <w:semiHidden/>
    <w:pPr>
      <w:ind w:left="849" w:hanging="283"/>
    </w:pPr>
  </w:style>
  <w:style w:type="paragraph" w:styleId="List4">
    <w:name w:val="List 4"/>
    <w:basedOn w:val="Normal"/>
    <w:semiHidden/>
    <w:pPr>
      <w:ind w:left="1132" w:hanging="283"/>
    </w:pPr>
  </w:style>
  <w:style w:type="paragraph" w:styleId="List5">
    <w:name w:val="List 5"/>
    <w:basedOn w:val="Normal"/>
    <w:semiHidden/>
    <w:pPr>
      <w:ind w:left="1415" w:hanging="283"/>
    </w:pPr>
  </w:style>
  <w:style w:type="paragraph" w:styleId="ListBullet">
    <w:name w:val="List Bullet"/>
    <w:basedOn w:val="Normal"/>
    <w:autoRedefine/>
    <w:semiHidden/>
    <w:pPr>
      <w:tabs>
        <w:tab w:val="num" w:pos="360"/>
      </w:tabs>
    </w:pPr>
  </w:style>
  <w:style w:type="paragraph" w:styleId="ListBullet2">
    <w:name w:val="List Bullet 2"/>
    <w:basedOn w:val="Normal"/>
    <w:autoRedefine/>
    <w:semiHidden/>
    <w:pPr>
      <w:tabs>
        <w:tab w:val="num" w:pos="360"/>
        <w:tab w:val="num" w:pos="720"/>
      </w:tabs>
      <w:ind w:left="720"/>
    </w:pPr>
  </w:style>
  <w:style w:type="paragraph" w:styleId="ListBullet3">
    <w:name w:val="List Bullet 3"/>
    <w:basedOn w:val="Normal"/>
    <w:autoRedefine/>
    <w:semiHidden/>
    <w:pPr>
      <w:tabs>
        <w:tab w:val="num" w:pos="360"/>
        <w:tab w:val="num" w:pos="1080"/>
      </w:tabs>
      <w:ind w:left="1080"/>
    </w:pPr>
  </w:style>
  <w:style w:type="paragraph" w:styleId="ListBullet4">
    <w:name w:val="List Bullet 4"/>
    <w:basedOn w:val="Normal"/>
    <w:autoRedefine/>
    <w:semiHidden/>
    <w:pPr>
      <w:tabs>
        <w:tab w:val="num" w:pos="360"/>
        <w:tab w:val="num" w:pos="1440"/>
      </w:tabs>
      <w:ind w:left="1440"/>
    </w:pPr>
  </w:style>
  <w:style w:type="paragraph" w:styleId="ListBullet5">
    <w:name w:val="List Bullet 5"/>
    <w:basedOn w:val="Normal"/>
    <w:autoRedefine/>
    <w:semiHidden/>
    <w:pPr>
      <w:tabs>
        <w:tab w:val="num" w:pos="360"/>
        <w:tab w:val="num" w:pos="1800"/>
      </w:tabs>
      <w:ind w:left="1800"/>
    </w:pPr>
  </w:style>
  <w:style w:type="paragraph" w:styleId="ListContinue">
    <w:name w:val="List Continue"/>
    <w:basedOn w:val="Normal"/>
    <w:semiHidden/>
    <w:pPr>
      <w:spacing w:after="120"/>
      <w:ind w:left="283"/>
    </w:pPr>
  </w:style>
  <w:style w:type="paragraph" w:styleId="ListContinue2">
    <w:name w:val="List Continue 2"/>
    <w:basedOn w:val="Normal"/>
    <w:semiHidden/>
    <w:pPr>
      <w:spacing w:after="120"/>
      <w:ind w:left="566"/>
    </w:pPr>
  </w:style>
  <w:style w:type="paragraph" w:styleId="ListContinue3">
    <w:name w:val="List Continue 3"/>
    <w:basedOn w:val="Normal"/>
    <w:semiHidden/>
    <w:pPr>
      <w:spacing w:after="120"/>
      <w:ind w:left="849"/>
    </w:pPr>
  </w:style>
  <w:style w:type="paragraph" w:styleId="ListContinue4">
    <w:name w:val="List Continue 4"/>
    <w:basedOn w:val="Normal"/>
    <w:semiHidden/>
    <w:pPr>
      <w:spacing w:after="120"/>
      <w:ind w:left="1132"/>
    </w:pPr>
  </w:style>
  <w:style w:type="paragraph" w:styleId="ListContinue5">
    <w:name w:val="List Continue 5"/>
    <w:basedOn w:val="Normal"/>
    <w:semiHidden/>
    <w:pPr>
      <w:spacing w:after="120"/>
      <w:ind w:left="1415"/>
    </w:pPr>
  </w:style>
  <w:style w:type="paragraph" w:styleId="ListNumber">
    <w:name w:val="List Number"/>
    <w:basedOn w:val="Normal"/>
    <w:semiHidden/>
    <w:pPr>
      <w:tabs>
        <w:tab w:val="num" w:pos="360"/>
      </w:tabs>
    </w:pPr>
  </w:style>
  <w:style w:type="paragraph" w:styleId="ListNumber2">
    <w:name w:val="List Number 2"/>
    <w:basedOn w:val="Normal"/>
    <w:semiHidden/>
    <w:pPr>
      <w:tabs>
        <w:tab w:val="num" w:pos="360"/>
        <w:tab w:val="num" w:pos="720"/>
      </w:tabs>
      <w:ind w:left="720"/>
    </w:pPr>
  </w:style>
  <w:style w:type="paragraph" w:styleId="ListNumber3">
    <w:name w:val="List Number 3"/>
    <w:basedOn w:val="Normal"/>
    <w:semiHidden/>
    <w:pPr>
      <w:tabs>
        <w:tab w:val="num" w:pos="360"/>
        <w:tab w:val="num" w:pos="1080"/>
      </w:tabs>
      <w:ind w:left="1080"/>
    </w:pPr>
  </w:style>
  <w:style w:type="paragraph" w:styleId="ListNumber4">
    <w:name w:val="List Number 4"/>
    <w:basedOn w:val="Normal"/>
    <w:semiHidden/>
    <w:pPr>
      <w:tabs>
        <w:tab w:val="num" w:pos="360"/>
        <w:tab w:val="num" w:pos="1440"/>
      </w:tabs>
      <w:ind w:left="1440"/>
    </w:pPr>
  </w:style>
  <w:style w:type="paragraph" w:styleId="ListNumber5">
    <w:name w:val="List Number 5"/>
    <w:basedOn w:val="Normal"/>
    <w:semiHidden/>
    <w:pPr>
      <w:tabs>
        <w:tab w:val="num" w:pos="360"/>
        <w:tab w:val="num" w:pos="1800"/>
      </w:tabs>
      <w:ind w:left="1800"/>
    </w:pPr>
  </w:style>
  <w:style w:type="paragraph" w:customStyle="1" w:styleId="LongTitle">
    <w:name w:val="Long Title"/>
    <w:rPr>
      <w:b/>
      <w:sz w:val="24"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sz w:val="24"/>
    </w:rPr>
  </w:style>
  <w:style w:type="paragraph" w:customStyle="1" w:styleId="MadeBy">
    <w:name w:val="MadeBy"/>
    <w:pPr>
      <w:spacing w:before="600"/>
    </w:pPr>
    <w:rPr>
      <w:sz w:val="24"/>
    </w:rPr>
  </w:style>
  <w:style w:type="paragraph" w:styleId="MessageHeader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sz w:val="24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sz w:val="24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Heading2">
    <w:name w:val="nHeading 2"/>
    <w:basedOn w:val="Heading2"/>
    <w:pPr>
      <w:pageBreakBefore w:val="0"/>
      <w:spacing w:line="240" w:lineRule="auto"/>
    </w:pPr>
    <w:rPr>
      <w:sz w:val="26"/>
    </w:rPr>
  </w:style>
  <w:style w:type="paragraph" w:customStyle="1" w:styleId="nHeading3">
    <w:name w:val="nHeading 3"/>
    <w:basedOn w:val="Heading3"/>
    <w:pPr>
      <w:spacing w:after="120" w:line="240" w:lineRule="auto"/>
      <w:outlineLvl w:val="3"/>
    </w:pPr>
    <w:rPr>
      <w:sz w:val="24"/>
    </w:rPr>
  </w:style>
  <w:style w:type="paragraph" w:customStyle="1" w:styleId="nHeading4">
    <w:name w:val="nHeading 4"/>
    <w:basedOn w:val="Heading4"/>
    <w:pPr>
      <w:spacing w:before="120"/>
      <w:outlineLvl w:val="9"/>
    </w:pPr>
    <w:rPr>
      <w:sz w:val="20"/>
    </w:rPr>
  </w:style>
  <w:style w:type="paragraph" w:customStyle="1" w:styleId="nHeading5">
    <w:name w:val="nHeading 5"/>
    <w:basedOn w:val="Heading5"/>
    <w:pPr>
      <w:spacing w:before="100" w:line="240" w:lineRule="auto"/>
      <w:outlineLvl w:val="9"/>
    </w:pPr>
    <w:rPr>
      <w:sz w:val="20"/>
    </w:rPr>
  </w:style>
  <w:style w:type="paragraph" w:customStyle="1" w:styleId="nIndenta">
    <w:name w:val="nIndent(a)"/>
    <w:basedOn w:val="Indenta"/>
    <w:pPr>
      <w:spacing w:before="40" w:line="240" w:lineRule="auto"/>
    </w:pPr>
    <w:rPr>
      <w:sz w:val="20"/>
    </w:rPr>
  </w:style>
  <w:style w:type="paragraph" w:customStyle="1" w:styleId="nIndenti">
    <w:name w:val="nIndent(i)"/>
    <w:basedOn w:val="Indenti"/>
    <w:pPr>
      <w:spacing w:before="40" w:line="240" w:lineRule="auto"/>
    </w:pPr>
    <w:rPr>
      <w:sz w:val="20"/>
    </w:rPr>
  </w:style>
  <w:style w:type="paragraph" w:styleId="NormalIndent">
    <w:name w:val="Normal Indent"/>
    <w:basedOn w:val="Normal"/>
    <w:semiHidden/>
    <w:pPr>
      <w:ind w:left="720"/>
    </w:pPr>
  </w:style>
  <w:style w:type="paragraph" w:styleId="NoteHeading">
    <w:name w:val="Note Heading"/>
    <w:basedOn w:val="Normal"/>
    <w:next w:val="Normal"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sz w:val="24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nSubsection">
    <w:name w:val="nSubsection"/>
    <w:basedOn w:val="Subsection"/>
    <w:pPr>
      <w:tabs>
        <w:tab w:val="clear" w:pos="595"/>
        <w:tab w:val="clear" w:pos="879"/>
        <w:tab w:val="left" w:pos="454"/>
      </w:tabs>
      <w:spacing w:before="80" w:line="240" w:lineRule="auto"/>
      <w:ind w:left="454" w:hanging="454"/>
    </w:pPr>
    <w:rPr>
      <w:sz w:val="20"/>
    </w:rPr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paragraph" w:customStyle="1" w:styleId="nTable">
    <w:name w:val="nTable"/>
    <w:pPr>
      <w:spacing w:before="40"/>
    </w:pPr>
    <w:rPr>
      <w:sz w:val="19"/>
    </w:rPr>
  </w:style>
  <w:style w:type="paragraph" w:customStyle="1" w:styleId="zDefpara">
    <w:name w:val="zDefpara"/>
    <w:pPr>
      <w:tabs>
        <w:tab w:val="right" w:pos="1899"/>
      </w:tabs>
      <w:spacing w:before="80" w:line="260" w:lineRule="atLeast"/>
      <w:ind w:left="2183" w:right="284" w:hanging="1616"/>
    </w:pPr>
    <w:rPr>
      <w:snapToGrid w:val="0"/>
      <w:sz w:val="24"/>
    </w:rPr>
  </w:style>
  <w:style w:type="paragraph" w:customStyle="1" w:styleId="nzDefpara">
    <w:name w:val="nzDefpara"/>
    <w:pPr>
      <w:tabs>
        <w:tab w:val="right" w:pos="1899"/>
      </w:tabs>
      <w:spacing w:before="40"/>
      <w:ind w:left="2183" w:right="284" w:hanging="1616"/>
    </w:pPr>
    <w:rPr>
      <w:snapToGrid w:val="0"/>
    </w:rPr>
  </w:style>
  <w:style w:type="paragraph" w:customStyle="1" w:styleId="zDefstart">
    <w:name w:val="zDefstart"/>
    <w:pPr>
      <w:spacing w:before="80" w:line="260" w:lineRule="atLeast"/>
      <w:ind w:left="1446" w:right="284" w:hanging="879"/>
    </w:pPr>
    <w:rPr>
      <w:snapToGrid w:val="0"/>
      <w:sz w:val="24"/>
    </w:rPr>
  </w:style>
  <w:style w:type="paragraph" w:customStyle="1" w:styleId="nzDefstart">
    <w:name w:val="nzDefstart"/>
    <w:pPr>
      <w:spacing w:before="40"/>
      <w:ind w:left="1446" w:right="284" w:hanging="879"/>
    </w:pPr>
    <w:rPr>
      <w:snapToGrid w:val="0"/>
    </w:rPr>
  </w:style>
  <w:style w:type="paragraph" w:customStyle="1" w:styleId="zDefsubpara">
    <w:name w:val="zDefsubpara"/>
    <w:pPr>
      <w:keepLines/>
      <w:tabs>
        <w:tab w:val="right" w:pos="2608"/>
      </w:tabs>
      <w:spacing w:before="80" w:line="260" w:lineRule="atLeast"/>
      <w:ind w:left="2892" w:right="284" w:hanging="2325"/>
    </w:pPr>
    <w:rPr>
      <w:snapToGrid w:val="0"/>
      <w:sz w:val="24"/>
    </w:rPr>
  </w:style>
  <w:style w:type="paragraph" w:customStyle="1" w:styleId="nzDefsubpara">
    <w:name w:val="nzDefsubpara"/>
    <w:pPr>
      <w:keepLines/>
      <w:tabs>
        <w:tab w:val="right" w:pos="2608"/>
      </w:tabs>
      <w:spacing w:before="40"/>
      <w:ind w:left="2892" w:right="284" w:hanging="2325"/>
    </w:pPr>
    <w:rPr>
      <w:snapToGrid w:val="0"/>
    </w:rPr>
  </w:style>
  <w:style w:type="paragraph" w:customStyle="1" w:styleId="zHeading2">
    <w:name w:val="zHeading 2"/>
    <w:basedOn w:val="Heading2"/>
    <w:pPr>
      <w:pageBreakBefore w:val="0"/>
      <w:spacing w:before="240"/>
      <w:ind w:left="567" w:right="284"/>
      <w:outlineLvl w:val="9"/>
    </w:pPr>
  </w:style>
  <w:style w:type="paragraph" w:customStyle="1" w:styleId="nzHeading2">
    <w:name w:val="nzHeading 2"/>
    <w:basedOn w:val="zHeading2"/>
    <w:pPr>
      <w:spacing w:before="120" w:line="240" w:lineRule="auto"/>
    </w:pPr>
    <w:rPr>
      <w:sz w:val="26"/>
    </w:rPr>
  </w:style>
  <w:style w:type="paragraph" w:customStyle="1" w:styleId="zHeading3">
    <w:name w:val="zHeading 3"/>
    <w:basedOn w:val="Heading3"/>
    <w:pPr>
      <w:ind w:left="567" w:right="284"/>
      <w:outlineLvl w:val="9"/>
    </w:pPr>
  </w:style>
  <w:style w:type="paragraph" w:customStyle="1" w:styleId="nzHeading3">
    <w:name w:val="nzHeading 3"/>
    <w:basedOn w:val="zHeading3"/>
    <w:pPr>
      <w:spacing w:before="120" w:line="240" w:lineRule="auto"/>
    </w:pPr>
    <w:rPr>
      <w:sz w:val="22"/>
    </w:rPr>
  </w:style>
  <w:style w:type="paragraph" w:customStyle="1" w:styleId="zHeading4">
    <w:name w:val="zHeading 4"/>
    <w:basedOn w:val="Heading4"/>
    <w:pPr>
      <w:ind w:left="567" w:right="284"/>
      <w:outlineLvl w:val="9"/>
    </w:pPr>
  </w:style>
  <w:style w:type="paragraph" w:customStyle="1" w:styleId="nzHeading4">
    <w:name w:val="nzHeading 4"/>
    <w:basedOn w:val="zHeading4"/>
    <w:pPr>
      <w:spacing w:before="120"/>
    </w:pPr>
    <w:rPr>
      <w:sz w:val="20"/>
    </w:rPr>
  </w:style>
  <w:style w:type="paragraph" w:customStyle="1" w:styleId="zHeading5">
    <w:name w:val="zHeading 5"/>
    <w:basedOn w:val="Heading5"/>
    <w:pPr>
      <w:tabs>
        <w:tab w:val="clear" w:pos="879"/>
        <w:tab w:val="left" w:pos="1446"/>
      </w:tabs>
      <w:ind w:left="1446" w:right="284"/>
      <w:outlineLvl w:val="9"/>
    </w:pPr>
  </w:style>
  <w:style w:type="paragraph" w:customStyle="1" w:styleId="nzHeading5">
    <w:name w:val="nzHeading 5"/>
    <w:basedOn w:val="zHeading5"/>
    <w:pPr>
      <w:spacing w:before="100" w:line="240" w:lineRule="auto"/>
    </w:pPr>
    <w:rPr>
      <w:sz w:val="20"/>
    </w:rPr>
  </w:style>
  <w:style w:type="paragraph" w:customStyle="1" w:styleId="zIndenta">
    <w:name w:val="zIndent(a)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</w:style>
  <w:style w:type="paragraph" w:customStyle="1" w:styleId="nzIndenta">
    <w:name w:val="nzIndent(a)"/>
    <w:basedOn w:val="zIndenta"/>
    <w:pPr>
      <w:spacing w:before="40" w:line="240" w:lineRule="auto"/>
    </w:pPr>
    <w:rPr>
      <w:sz w:val="20"/>
    </w:rPr>
  </w:style>
  <w:style w:type="paragraph" w:customStyle="1" w:styleId="zIndentA0">
    <w:name w:val="zIndent(A)"/>
    <w:basedOn w:val="Normal"/>
    <w:pPr>
      <w:tabs>
        <w:tab w:val="right" w:pos="4253"/>
        <w:tab w:val="left" w:pos="4536"/>
      </w:tabs>
      <w:spacing w:before="80" w:line="260" w:lineRule="atLeast"/>
      <w:ind w:left="4537" w:right="284" w:hanging="851"/>
    </w:pPr>
  </w:style>
  <w:style w:type="paragraph" w:customStyle="1" w:styleId="nzIndentA0">
    <w:name w:val="nzIndent(A)"/>
    <w:basedOn w:val="zIndentA0"/>
    <w:pPr>
      <w:spacing w:before="40" w:line="240" w:lineRule="auto"/>
    </w:pPr>
    <w:rPr>
      <w:sz w:val="20"/>
    </w:rPr>
  </w:style>
  <w:style w:type="paragraph" w:customStyle="1" w:styleId="zIndenti">
    <w:name w:val="zIndent(i)"/>
    <w:basedOn w:val="Normal"/>
    <w:pPr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nzIndenti">
    <w:name w:val="nzIndent(i)"/>
    <w:basedOn w:val="zIndenti"/>
    <w:pPr>
      <w:spacing w:before="40" w:line="240" w:lineRule="auto"/>
    </w:pPr>
    <w:rPr>
      <w:sz w:val="20"/>
    </w:rPr>
  </w:style>
  <w:style w:type="paragraph" w:customStyle="1" w:styleId="zIndentI0">
    <w:name w:val="zIndent(I)"/>
    <w:basedOn w:val="Normal"/>
    <w:pPr>
      <w:tabs>
        <w:tab w:val="right" w:pos="3459"/>
        <w:tab w:val="left" w:pos="3771"/>
      </w:tabs>
      <w:spacing w:before="80" w:line="260" w:lineRule="atLeast"/>
      <w:ind w:left="3743" w:right="284" w:hanging="851"/>
    </w:pPr>
  </w:style>
  <w:style w:type="paragraph" w:customStyle="1" w:styleId="nzIndentI0">
    <w:name w:val="nzIndent(I)"/>
    <w:basedOn w:val="zIndentI0"/>
    <w:pPr>
      <w:spacing w:before="40" w:line="240" w:lineRule="auto"/>
    </w:pPr>
    <w:rPr>
      <w:sz w:val="20"/>
    </w:rPr>
  </w:style>
  <w:style w:type="paragraph" w:customStyle="1" w:styleId="zPenpara">
    <w:name w:val="zPenpara"/>
    <w:basedOn w:val="Normal"/>
    <w:pPr>
      <w:tabs>
        <w:tab w:val="right" w:pos="2155"/>
        <w:tab w:val="left" w:pos="2438"/>
      </w:tabs>
      <w:spacing w:before="80" w:line="260" w:lineRule="atLeast"/>
      <w:ind w:left="2552" w:right="284" w:hanging="2183"/>
    </w:pPr>
  </w:style>
  <w:style w:type="paragraph" w:customStyle="1" w:styleId="nzPenpara">
    <w:name w:val="nzPenpara"/>
    <w:basedOn w:val="zPenpara"/>
    <w:pPr>
      <w:spacing w:before="40" w:line="240" w:lineRule="auto"/>
    </w:pPr>
    <w:rPr>
      <w:sz w:val="20"/>
    </w:rPr>
  </w:style>
  <w:style w:type="paragraph" w:customStyle="1" w:styleId="zPenstart">
    <w:name w:val="zPenstart"/>
    <w:basedOn w:val="Normal"/>
    <w:pPr>
      <w:tabs>
        <w:tab w:val="left" w:pos="1446"/>
      </w:tabs>
      <w:spacing w:before="80" w:line="260" w:lineRule="atLeast"/>
      <w:ind w:left="1843" w:right="284" w:hanging="1021"/>
    </w:pPr>
  </w:style>
  <w:style w:type="paragraph" w:customStyle="1" w:styleId="nzPenstart">
    <w:name w:val="nzPenstart"/>
    <w:basedOn w:val="zPenstart"/>
    <w:pPr>
      <w:spacing w:before="40" w:line="240" w:lineRule="auto"/>
    </w:pPr>
    <w:rPr>
      <w:sz w:val="20"/>
    </w:rPr>
  </w:style>
  <w:style w:type="paragraph" w:customStyle="1" w:styleId="zSubsection">
    <w:name w:val="zSubsection"/>
    <w:basedOn w:val="Normal"/>
    <w:pPr>
      <w:tabs>
        <w:tab w:val="right" w:pos="1162"/>
        <w:tab w:val="left" w:pos="1446"/>
      </w:tabs>
      <w:spacing w:before="160" w:line="260" w:lineRule="atLeast"/>
      <w:ind w:left="1446" w:right="284" w:hanging="851"/>
    </w:pPr>
  </w:style>
  <w:style w:type="paragraph" w:customStyle="1" w:styleId="nzSubsection">
    <w:name w:val="nzSubsection"/>
    <w:basedOn w:val="zSubsection"/>
    <w:pPr>
      <w:spacing w:before="80" w:line="240" w:lineRule="auto"/>
    </w:pPr>
    <w:rPr>
      <w:sz w:val="20"/>
    </w:rPr>
  </w:style>
  <w:style w:type="paragraph" w:customStyle="1" w:styleId="nzTable">
    <w:name w:val="nzTable"/>
    <w:basedOn w:val="Normal"/>
    <w:rPr>
      <w:sz w:val="20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sz w:val="24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sz w:val="24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" w:hAnsi="Times"/>
      <w:sz w:val="24"/>
    </w:rPr>
  </w:style>
  <w:style w:type="paragraph" w:customStyle="1" w:styleId="PrincipalActReg">
    <w:name w:val="PrincipalAct_Reg"/>
    <w:pPr>
      <w:spacing w:after="480"/>
      <w:jc w:val="center"/>
    </w:pPr>
    <w:rPr>
      <w:sz w:val="24"/>
    </w:rPr>
  </w:style>
  <w:style w:type="paragraph" w:styleId="Salutation">
    <w:name w:val="Salutation"/>
    <w:basedOn w:val="Normal"/>
    <w:next w:val="Normal"/>
    <w:semiHidden/>
  </w:style>
  <w:style w:type="paragraph" w:styleId="Signature">
    <w:name w:val="Signature"/>
    <w:basedOn w:val="Normal"/>
    <w:semiHidden/>
    <w:pPr>
      <w:ind w:left="4252"/>
    </w:pPr>
  </w:style>
  <w:style w:type="character" w:styleId="Strong">
    <w:name w:val="Strong"/>
    <w:basedOn w:val="DefaultParagraphFont"/>
    <w:qFormat/>
    <w:rPr>
      <w:b/>
      <w:sz w:val="24"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styleId="TOC1">
    <w:name w:val="toc 1"/>
    <w:basedOn w:val="Heading1"/>
    <w:next w:val="Normal"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2">
    <w:name w:val="toc 2"/>
    <w:next w:val="Normal"/>
    <w:uiPriority w:val="39"/>
    <w:pPr>
      <w:keepNext/>
      <w:spacing w:before="120" w:after="60"/>
      <w:ind w:left="1985" w:right="1134" w:hanging="567"/>
    </w:pPr>
    <w:rPr>
      <w:b/>
      <w:noProof/>
      <w:sz w:val="28"/>
    </w:rPr>
  </w:style>
  <w:style w:type="paragraph" w:styleId="TOC3">
    <w:name w:val="toc 3"/>
    <w:next w:val="Normal"/>
    <w:semiHidden/>
    <w:pPr>
      <w:keepNext/>
      <w:spacing w:before="120" w:after="60"/>
      <w:ind w:left="1985" w:right="1134" w:hanging="567"/>
    </w:pPr>
    <w:rPr>
      <w:rFonts w:ascii="Helvetica" w:hAnsi="Helvetica"/>
      <w:b/>
      <w:noProof/>
      <w:sz w:val="18"/>
    </w:rPr>
  </w:style>
  <w:style w:type="paragraph" w:styleId="TOC4">
    <w:name w:val="toc 4"/>
    <w:next w:val="Normal"/>
    <w:pPr>
      <w:keepNext/>
      <w:spacing w:before="60" w:after="20"/>
      <w:ind w:left="1985" w:right="1134" w:hanging="567"/>
    </w:pPr>
    <w:rPr>
      <w:b/>
      <w:noProof/>
      <w:sz w:val="22"/>
    </w:rPr>
  </w:style>
  <w:style w:type="paragraph" w:styleId="TOC5">
    <w:name w:val="toc 5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noProof/>
      <w:sz w:val="18"/>
    </w:rPr>
  </w:style>
  <w:style w:type="paragraph" w:styleId="TOC6">
    <w:name w:val="toc 6"/>
    <w:next w:val="Normal"/>
    <w:semiHidden/>
    <w:pPr>
      <w:keepNext/>
      <w:spacing w:before="60" w:after="20"/>
      <w:ind w:left="1985" w:right="1134" w:hanging="567"/>
    </w:pPr>
    <w:rPr>
      <w:b/>
      <w:noProof/>
    </w:rPr>
  </w:style>
  <w:style w:type="paragraph" w:styleId="TOC7">
    <w:name w:val="toc 7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sz w:val="18"/>
    </w:rPr>
  </w:style>
  <w:style w:type="paragraph" w:styleId="TOC8">
    <w:name w:val="toc 8"/>
    <w:next w:val="Normal"/>
    <w:uiPriority w:val="39"/>
    <w:pPr>
      <w:tabs>
        <w:tab w:val="left" w:pos="1418"/>
        <w:tab w:val="right" w:pos="6804"/>
      </w:tabs>
      <w:ind w:left="1418" w:right="1134" w:hanging="851"/>
    </w:pPr>
    <w:rPr>
      <w:noProof/>
      <w:sz w:val="22"/>
    </w:rPr>
  </w:style>
  <w:style w:type="paragraph" w:styleId="TOC9">
    <w:name w:val="toc 9"/>
    <w:next w:val="Normal"/>
    <w:semiHidden/>
    <w:pPr>
      <w:tabs>
        <w:tab w:val="left" w:pos="2268"/>
        <w:tab w:val="right" w:pos="6237"/>
      </w:tabs>
      <w:ind w:left="2269" w:right="1418" w:hanging="851"/>
    </w:pPr>
    <w:rPr>
      <w:rFonts w:ascii="Helvetica" w:hAnsi="Helvetica"/>
      <w:sz w:val="18"/>
    </w:rPr>
  </w:style>
  <w:style w:type="paragraph" w:customStyle="1" w:styleId="yDefitem">
    <w:name w:val="yDefitem"/>
    <w:pPr>
      <w:tabs>
        <w:tab w:val="right" w:pos="2892"/>
      </w:tabs>
      <w:spacing w:before="80"/>
      <w:ind w:left="3204" w:hanging="3204"/>
    </w:pPr>
    <w:rPr>
      <w:snapToGrid w:val="0"/>
      <w:sz w:val="22"/>
    </w:rPr>
  </w:style>
  <w:style w:type="paragraph" w:customStyle="1" w:styleId="yDefpara">
    <w:name w:val="yDefpara"/>
    <w:pPr>
      <w:tabs>
        <w:tab w:val="right" w:pos="1332"/>
      </w:tabs>
      <w:spacing w:before="80"/>
      <w:ind w:left="1616" w:hanging="1616"/>
    </w:pPr>
    <w:rPr>
      <w:snapToGrid w:val="0"/>
      <w:sz w:val="22"/>
    </w:rPr>
  </w:style>
  <w:style w:type="paragraph" w:customStyle="1" w:styleId="yDefstart">
    <w:name w:val="yDefstart"/>
    <w:pPr>
      <w:spacing w:before="80"/>
      <w:ind w:left="879" w:hanging="879"/>
    </w:pPr>
    <w:rPr>
      <w:snapToGrid w:val="0"/>
      <w:sz w:val="22"/>
    </w:rPr>
  </w:style>
  <w:style w:type="paragraph" w:customStyle="1" w:styleId="yDefsubpara">
    <w:name w:val="yDefsubpara"/>
    <w:pPr>
      <w:keepLines/>
      <w:tabs>
        <w:tab w:val="right" w:pos="2041"/>
      </w:tabs>
      <w:spacing w:before="80"/>
      <w:ind w:left="2325" w:hanging="2325"/>
    </w:pPr>
    <w:rPr>
      <w:snapToGrid w:val="0"/>
      <w:sz w:val="22"/>
    </w:rPr>
  </w:style>
  <w:style w:type="paragraph" w:customStyle="1" w:styleId="yEdnoteitem">
    <w:name w:val="yEdnote(item)"/>
    <w:basedOn w:val="Ednoteitem"/>
    <w:pPr>
      <w:spacing w:line="240" w:lineRule="auto"/>
    </w:pPr>
    <w:rPr>
      <w:sz w:val="22"/>
    </w:rPr>
  </w:style>
  <w:style w:type="paragraph" w:customStyle="1" w:styleId="yEdnotepara">
    <w:name w:val="yEdnote(para)"/>
    <w:basedOn w:val="Ednotepara"/>
    <w:pPr>
      <w:spacing w:before="80"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</w:pPr>
    <w:rPr>
      <w:sz w:val="22"/>
    </w:rPr>
  </w:style>
  <w:style w:type="paragraph" w:customStyle="1" w:styleId="yEdnotesubpara">
    <w:name w:val="yEdnote(subpara)"/>
    <w:basedOn w:val="Ednotesubpara"/>
    <w:pPr>
      <w:spacing w:line="240" w:lineRule="auto"/>
    </w:pPr>
    <w:rPr>
      <w:sz w:val="22"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sz w:val="22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pPr>
      <w:tabs>
        <w:tab w:val="right" w:pos="3459"/>
      </w:tabs>
      <w:spacing w:before="80" w:line="260" w:lineRule="atLeast"/>
      <w:ind w:left="3686" w:right="284" w:hanging="3119"/>
    </w:pPr>
    <w:rPr>
      <w:snapToGrid w:val="0"/>
      <w:sz w:val="24"/>
    </w:rPr>
  </w:style>
  <w:style w:type="paragraph" w:customStyle="1" w:styleId="zHeading1">
    <w:name w:val="zHeading 1"/>
    <w:basedOn w:val="Heading1"/>
    <w:pPr>
      <w:ind w:left="567" w:right="284"/>
      <w:outlineLvl w:val="9"/>
    </w:pPr>
  </w:style>
  <w:style w:type="paragraph" w:customStyle="1" w:styleId="zMiscellaneousBody">
    <w:name w:val="zMiscellaneousBody"/>
    <w:basedOn w:val="Normal"/>
    <w:pPr>
      <w:spacing w:before="160" w:line="260" w:lineRule="atLeast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Penitem">
    <w:name w:val="zPen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zPensubpara">
    <w:name w:val="zPensubpara"/>
    <w:basedOn w:val="Normal"/>
    <w:pPr>
      <w:tabs>
        <w:tab w:val="right" w:pos="2608"/>
        <w:tab w:val="left" w:pos="2892"/>
      </w:tabs>
      <w:spacing w:before="160" w:line="260" w:lineRule="atLeast"/>
      <w:ind w:left="2892" w:right="284" w:hanging="851"/>
    </w:pPr>
  </w:style>
  <w:style w:type="paragraph" w:customStyle="1" w:styleId="zyDefitem">
    <w:name w:val="zyDefitem"/>
    <w:pPr>
      <w:tabs>
        <w:tab w:val="right" w:pos="3459"/>
      </w:tabs>
      <w:spacing w:before="80"/>
      <w:ind w:left="3686" w:right="284" w:hanging="3119"/>
    </w:pPr>
    <w:rPr>
      <w:snapToGrid w:val="0"/>
      <w:sz w:val="22"/>
    </w:rPr>
  </w:style>
  <w:style w:type="paragraph" w:customStyle="1" w:styleId="zyDefpara">
    <w:name w:val="zyDefpara"/>
    <w:pPr>
      <w:tabs>
        <w:tab w:val="right" w:pos="1899"/>
      </w:tabs>
      <w:spacing w:before="80"/>
      <w:ind w:left="2183" w:right="284" w:hanging="1616"/>
    </w:pPr>
    <w:rPr>
      <w:snapToGrid w:val="0"/>
      <w:sz w:val="22"/>
    </w:rPr>
  </w:style>
  <w:style w:type="paragraph" w:customStyle="1" w:styleId="zyDefstart">
    <w:name w:val="zyDefstart"/>
    <w:pPr>
      <w:spacing w:before="80"/>
      <w:ind w:left="1446" w:right="284" w:hanging="879"/>
    </w:pPr>
    <w:rPr>
      <w:snapToGrid w:val="0"/>
      <w:sz w:val="22"/>
    </w:rPr>
  </w:style>
  <w:style w:type="paragraph" w:customStyle="1" w:styleId="zyDefsubpara">
    <w:name w:val="zyDefsubpara"/>
    <w:pPr>
      <w:keepLines/>
      <w:tabs>
        <w:tab w:val="right" w:pos="2608"/>
      </w:tabs>
      <w:spacing w:before="80"/>
      <w:ind w:left="2892" w:right="284" w:hanging="2325"/>
    </w:pPr>
    <w:rPr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styleId="Header">
    <w:name w:val="header"/>
    <w:rPr>
      <w:rFonts w:ascii="Arial" w:hAnsi="Arial"/>
      <w:noProof/>
    </w:rPr>
  </w:style>
  <w:style w:type="character" w:customStyle="1" w:styleId="CharDefText">
    <w:name w:val="CharDefText"/>
    <w:basedOn w:val="DefaultParagraphFont"/>
    <w:rPr>
      <w:b/>
      <w:i/>
    </w:rPr>
  </w:style>
  <w:style w:type="paragraph" w:customStyle="1" w:styleId="ByCommand">
    <w:name w:val="ByCommand"/>
    <w:basedOn w:val="Normal"/>
    <w:pPr>
      <w:tabs>
        <w:tab w:val="left" w:pos="4536"/>
      </w:tabs>
      <w:spacing w:before="240"/>
    </w:pPr>
  </w:style>
  <w:style w:type="paragraph" w:customStyle="1" w:styleId="DraftNo">
    <w:name w:val="DraftNo"/>
    <w:basedOn w:val="WA"/>
    <w:pPr>
      <w:spacing w:before="120" w:after="120"/>
    </w:pPr>
  </w:style>
  <w:style w:type="character" w:customStyle="1" w:styleId="CharSchText">
    <w:name w:val="CharSchText"/>
    <w:rPr>
      <w:noProof w:val="0"/>
    </w:r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nzMiscellaneousBody">
    <w:name w:val="nzMiscellaneous Body"/>
    <w:basedOn w:val="zMiscellaneousBody"/>
    <w:pPr>
      <w:spacing w:before="80" w:line="240" w:lineRule="auto"/>
    </w:pPr>
    <w:rPr>
      <w:sz w:val="20"/>
    </w:rPr>
  </w:style>
  <w:style w:type="paragraph" w:customStyle="1" w:styleId="nzMiscellaneousHeading">
    <w:name w:val="nzMiscellaneous Heading"/>
    <w:basedOn w:val="zMiscellaneousHeading"/>
    <w:pPr>
      <w:spacing w:before="80" w:line="240" w:lineRule="auto"/>
    </w:pPr>
    <w:rPr>
      <w:sz w:val="20"/>
    </w:r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OmitFootnote">
    <w:name w:val="OmitFootnote"/>
    <w:basedOn w:val="yEdnotesection"/>
    <w:pPr>
      <w:spacing w:before="600"/>
      <w:outlineLvl w:val="1"/>
    </w:pPr>
  </w:style>
  <w:style w:type="paragraph" w:customStyle="1" w:styleId="yNumberedItem">
    <w:name w:val="yNumberedItem"/>
    <w:pPr>
      <w:spacing w:before="120"/>
      <w:ind w:left="879" w:hanging="879"/>
    </w:pPr>
    <w:rPr>
      <w:sz w:val="22"/>
    </w:rPr>
  </w:style>
  <w:style w:type="paragraph" w:customStyle="1" w:styleId="zyNumberedItem">
    <w:name w:val="zyNumberedItem"/>
    <w:pPr>
      <w:spacing w:before="120"/>
      <w:ind w:left="1446" w:right="284" w:hanging="879"/>
    </w:pPr>
    <w:rPr>
      <w:sz w:val="22"/>
    </w:rPr>
  </w:style>
  <w:style w:type="paragraph" w:customStyle="1" w:styleId="nzLongTitle">
    <w:name w:val="nzLong Title"/>
    <w:basedOn w:val="zLongTitle"/>
    <w:pPr>
      <w:spacing w:before="40"/>
    </w:pPr>
    <w:rPr>
      <w:sz w:val="20"/>
    </w:rPr>
  </w:style>
  <w:style w:type="paragraph" w:customStyle="1" w:styleId="nzNumberedItem">
    <w:name w:val="nzNumberedItem"/>
    <w:pPr>
      <w:spacing w:before="40"/>
      <w:ind w:left="1446" w:right="284" w:hanging="879"/>
    </w:p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character" w:customStyle="1" w:styleId="CharSClsNo">
    <w:name w:val="CharSClsNo"/>
    <w:basedOn w:val="DefaultParagraphFont"/>
    <w:rPr>
      <w:sz w:val="22"/>
    </w:rPr>
  </w:style>
  <w:style w:type="character" w:customStyle="1" w:styleId="CharSDivNo">
    <w:name w:val="CharSDivNo"/>
    <w:basedOn w:val="DefaultParagraphFont"/>
    <w:rPr>
      <w:sz w:val="24"/>
    </w:rPr>
  </w:style>
  <w:style w:type="character" w:customStyle="1" w:styleId="CharSDivText">
    <w:name w:val="CharSDivText"/>
    <w:basedOn w:val="DefaultParagraphFont"/>
    <w:rPr>
      <w:sz w:val="24"/>
    </w:rPr>
  </w:style>
  <w:style w:type="paragraph" w:customStyle="1" w:styleId="Ednotepart">
    <w:name w:val="Ednote(part)"/>
    <w:basedOn w:val="Ednotesection"/>
    <w:pPr>
      <w:tabs>
        <w:tab w:val="clear" w:pos="893"/>
      </w:tabs>
      <w:ind w:left="0" w:firstLine="0"/>
    </w:pPr>
  </w:style>
  <w:style w:type="paragraph" w:customStyle="1" w:styleId="Ednotedivision">
    <w:name w:val="Ednote(division)"/>
    <w:basedOn w:val="Ednotepart"/>
  </w:style>
  <w:style w:type="paragraph" w:customStyle="1" w:styleId="Ednotesubdivision">
    <w:name w:val="Ednote(subdivision)"/>
    <w:basedOn w:val="Ednotepart"/>
  </w:style>
  <w:style w:type="paragraph" w:customStyle="1" w:styleId="Footnotelongtitle">
    <w:name w:val="Footnote(longtitle)"/>
    <w:basedOn w:val="Footnotesection"/>
  </w:style>
  <w:style w:type="paragraph" w:customStyle="1" w:styleId="Footnotepreamble">
    <w:name w:val="Footnote(preamble)"/>
    <w:basedOn w:val="Footnotesection"/>
  </w:style>
  <w:style w:type="paragraph" w:customStyle="1" w:styleId="LongTitle2">
    <w:name w:val="Long Title2"/>
    <w:basedOn w:val="LongTitle"/>
    <w:pPr>
      <w:tabs>
        <w:tab w:val="right" w:pos="170"/>
        <w:tab w:val="left" w:pos="397"/>
      </w:tabs>
      <w:ind w:left="397" w:hanging="397"/>
    </w:pPr>
  </w:style>
  <w:style w:type="paragraph" w:customStyle="1" w:styleId="LongTitle3">
    <w:name w:val="Long Title3"/>
    <w:basedOn w:val="LongTitle"/>
    <w:pPr>
      <w:tabs>
        <w:tab w:val="right" w:pos="567"/>
        <w:tab w:val="left" w:pos="794"/>
      </w:tabs>
      <w:ind w:left="794" w:hanging="794"/>
    </w:pPr>
  </w:style>
  <w:style w:type="paragraph" w:customStyle="1" w:styleId="Preamble2">
    <w:name w:val="Preamble2"/>
    <w:basedOn w:val="Preamble"/>
    <w:pPr>
      <w:tabs>
        <w:tab w:val="clear" w:pos="567"/>
      </w:tabs>
      <w:spacing w:before="80"/>
      <w:ind w:left="0" w:firstLine="0"/>
    </w:pPr>
  </w:style>
  <w:style w:type="paragraph" w:customStyle="1" w:styleId="Preamble1">
    <w:name w:val="Preamble1"/>
    <w:basedOn w:val="Preamble2"/>
    <w:pPr>
      <w:spacing w:before="120"/>
    </w:pPr>
    <w:rPr>
      <w:b/>
    </w:rPr>
  </w:style>
  <w:style w:type="paragraph" w:customStyle="1" w:styleId="Preamble3">
    <w:name w:val="Preamble3"/>
    <w:basedOn w:val="Preamble2"/>
    <w:pPr>
      <w:tabs>
        <w:tab w:val="right" w:pos="595"/>
        <w:tab w:val="left" w:pos="879"/>
      </w:tabs>
      <w:ind w:left="879" w:hanging="879"/>
    </w:pPr>
  </w:style>
  <w:style w:type="paragraph" w:customStyle="1" w:styleId="Preamble4">
    <w:name w:val="Preamble4"/>
    <w:basedOn w:val="Preamble2"/>
    <w:pPr>
      <w:tabs>
        <w:tab w:val="right" w:pos="1332"/>
        <w:tab w:val="left" w:pos="1616"/>
      </w:tabs>
      <w:ind w:left="1616" w:hanging="1616"/>
    </w:pPr>
  </w:style>
  <w:style w:type="paragraph" w:customStyle="1" w:styleId="ReprintNo">
    <w:name w:val="ReprintNo"/>
    <w:rPr>
      <w:b/>
      <w:noProof/>
      <w:sz w:val="28"/>
    </w:rPr>
  </w:style>
  <w:style w:type="paragraph" w:customStyle="1" w:styleId="yEdnotedefitem">
    <w:name w:val="yEdnote(defitem)"/>
    <w:basedOn w:val="yDefitem"/>
    <w:rPr>
      <w:i/>
    </w:rPr>
  </w:style>
  <w:style w:type="paragraph" w:customStyle="1" w:styleId="yEdnotedefpara">
    <w:name w:val="yEdnote(defpara)"/>
    <w:basedOn w:val="yDefpara"/>
    <w:rPr>
      <w:i/>
    </w:rPr>
  </w:style>
  <w:style w:type="paragraph" w:customStyle="1" w:styleId="yEdnotedefsubpara">
    <w:name w:val="yEdnote(defsubpara)"/>
    <w:basedOn w:val="yDefsubpara"/>
    <w:rPr>
      <w:i/>
    </w:rPr>
  </w:style>
  <w:style w:type="paragraph" w:customStyle="1" w:styleId="yEdnoteschedule">
    <w:name w:val="yEdnote(schedule)"/>
    <w:basedOn w:val="yEdnotesection"/>
    <w:pPr>
      <w:tabs>
        <w:tab w:val="clear" w:pos="893"/>
      </w:tabs>
      <w:ind w:left="0" w:firstLine="0"/>
    </w:pPr>
  </w:style>
  <w:style w:type="paragraph" w:customStyle="1" w:styleId="yEdnotedivision">
    <w:name w:val="yEdnote(division)"/>
    <w:basedOn w:val="yEdnoteschedule"/>
  </w:style>
  <w:style w:type="paragraph" w:customStyle="1" w:styleId="yEdnotesubdivision">
    <w:name w:val="yEdnote(subdivision)"/>
    <w:basedOn w:val="yEdnoteschedule"/>
  </w:style>
  <w:style w:type="paragraph" w:customStyle="1" w:styleId="yEdnotesubsection">
    <w:name w:val="yEdnote(subsection)"/>
    <w:basedOn w:val="Ednotesubsection"/>
    <w:rPr>
      <w:sz w:val="22"/>
    </w:rPr>
  </w:style>
  <w:style w:type="paragraph" w:customStyle="1" w:styleId="TableAm">
    <w:name w:val="TableAm"/>
    <w:basedOn w:val="Normal"/>
    <w:pPr>
      <w:spacing w:before="120"/>
    </w:pPr>
  </w:style>
  <w:style w:type="paragraph" w:customStyle="1" w:styleId="TableAmNote">
    <w:name w:val="TableAmNote"/>
    <w:pPr>
      <w:spacing w:before="60"/>
    </w:pPr>
  </w:style>
  <w:style w:type="paragraph" w:customStyle="1" w:styleId="BlankOpen">
    <w:name w:val="BlankOpen"/>
    <w:basedOn w:val="Normal"/>
    <w:pPr>
      <w:keepNext/>
      <w:keepLines/>
      <w:jc w:val="center"/>
    </w:pPr>
    <w:rPr>
      <w:szCs w:val="24"/>
    </w:rPr>
  </w:style>
  <w:style w:type="paragraph" w:customStyle="1" w:styleId="BlankClose">
    <w:name w:val="BlankClose"/>
    <w:basedOn w:val="Normal"/>
    <w:pPr>
      <w:keepLines/>
      <w:jc w:val="center"/>
    </w:pPr>
    <w:rPr>
      <w:szCs w:val="24"/>
    </w:rPr>
  </w:style>
  <w:style w:type="paragraph" w:customStyle="1" w:styleId="PrincipalActRegPage1">
    <w:name w:val="PrincipalAct_Reg(Page 1)"/>
    <w:pPr>
      <w:spacing w:before="2600"/>
      <w:jc w:val="center"/>
    </w:pPr>
    <w:rPr>
      <w:sz w:val="24"/>
    </w:rPr>
  </w:style>
  <w:style w:type="paragraph" w:customStyle="1" w:styleId="nzDefitem">
    <w:name w:val="nzDefitem"/>
    <w:pPr>
      <w:tabs>
        <w:tab w:val="right" w:pos="3459"/>
      </w:tabs>
      <w:spacing w:before="40"/>
      <w:ind w:left="3686" w:right="284" w:hanging="3119"/>
    </w:pPr>
    <w:rPr>
      <w:snapToGrid w:val="0"/>
    </w:rPr>
  </w:style>
  <w:style w:type="paragraph" w:customStyle="1" w:styleId="Defsubitem">
    <w:name w:val="Defsubitem"/>
    <w:qFormat/>
    <w:pPr>
      <w:tabs>
        <w:tab w:val="right" w:pos="3686"/>
      </w:tabs>
      <w:spacing w:before="80" w:line="260" w:lineRule="atLeast"/>
      <w:ind w:left="3969" w:hanging="3969"/>
    </w:pPr>
    <w:rPr>
      <w:snapToGrid w:val="0"/>
      <w:sz w:val="24"/>
    </w:rPr>
  </w:style>
  <w:style w:type="paragraph" w:customStyle="1" w:styleId="Ednotedefsubitem">
    <w:name w:val="Ednote(defsubitem)"/>
    <w:basedOn w:val="Defsubitem"/>
    <w:rPr>
      <w:i/>
    </w:rPr>
  </w:style>
  <w:style w:type="paragraph" w:customStyle="1" w:styleId="yDefsubitem">
    <w:name w:val="yDefsubitem"/>
    <w:qFormat/>
    <w:pPr>
      <w:tabs>
        <w:tab w:val="right" w:pos="3686"/>
      </w:tabs>
      <w:spacing w:before="80"/>
      <w:ind w:left="3969" w:hanging="3969"/>
    </w:pPr>
    <w:rPr>
      <w:snapToGrid w:val="0"/>
      <w:sz w:val="22"/>
    </w:rPr>
  </w:style>
  <w:style w:type="paragraph" w:customStyle="1" w:styleId="yEdnotedefsubitem">
    <w:name w:val="yEdnote(defsubitem)"/>
    <w:basedOn w:val="yDefsubitem"/>
    <w:rPr>
      <w:i/>
    </w:rPr>
  </w:style>
  <w:style w:type="paragraph" w:customStyle="1" w:styleId="zDefsubitem">
    <w:name w:val="zDefsubitem"/>
    <w:qFormat/>
    <w:pPr>
      <w:tabs>
        <w:tab w:val="right" w:pos="4167"/>
      </w:tabs>
      <w:spacing w:before="80" w:line="260" w:lineRule="atLeast"/>
      <w:ind w:left="4451" w:right="284" w:hanging="3884"/>
    </w:pPr>
    <w:rPr>
      <w:snapToGrid w:val="0"/>
      <w:sz w:val="24"/>
    </w:rPr>
  </w:style>
  <w:style w:type="paragraph" w:customStyle="1" w:styleId="nzDefsubitem">
    <w:name w:val="nzDefsubitem"/>
    <w:qFormat/>
    <w:pPr>
      <w:tabs>
        <w:tab w:val="right" w:pos="4167"/>
      </w:tabs>
      <w:spacing w:before="40"/>
      <w:ind w:left="4451" w:right="284" w:hanging="3884"/>
    </w:pPr>
    <w:rPr>
      <w:snapToGrid w:val="0"/>
    </w:rPr>
  </w:style>
  <w:style w:type="paragraph" w:customStyle="1" w:styleId="zyDefsubitem">
    <w:name w:val="zyDefsubitem"/>
    <w:qFormat/>
    <w:pPr>
      <w:tabs>
        <w:tab w:val="right" w:pos="4167"/>
      </w:tabs>
      <w:spacing w:before="80"/>
      <w:ind w:left="4451" w:right="284" w:hanging="3884"/>
    </w:pPr>
    <w:rPr>
      <w:snapToGrid w:val="0"/>
      <w:sz w:val="22"/>
    </w:rPr>
  </w:style>
  <w:style w:type="paragraph" w:customStyle="1" w:styleId="nzPensubpara">
    <w:name w:val="nzPensubpara"/>
    <w:basedOn w:val="zPensubpara"/>
    <w:pPr>
      <w:spacing w:before="40" w:line="240" w:lineRule="auto"/>
    </w:pPr>
    <w:rPr>
      <w:sz w:val="20"/>
    </w:rPr>
  </w:style>
  <w:style w:type="paragraph" w:customStyle="1" w:styleId="nzPenitem">
    <w:name w:val="nzPenitem"/>
    <w:basedOn w:val="zPenitem"/>
    <w:pPr>
      <w:spacing w:before="40" w:line="240" w:lineRule="auto"/>
    </w:pPr>
    <w:rPr>
      <w:sz w:val="20"/>
    </w:rPr>
  </w:style>
  <w:style w:type="paragraph" w:customStyle="1" w:styleId="yEdnotenumbereditem">
    <w:name w:val="yEdnote(numbereditem)"/>
    <w:basedOn w:val="yNumberedItem"/>
    <w:rPr>
      <w:i/>
    </w:rPr>
  </w:style>
  <w:style w:type="paragraph" w:customStyle="1" w:styleId="yNumberedItemPara">
    <w:name w:val="yNumberedItemPara"/>
    <w:qFormat/>
    <w:pPr>
      <w:tabs>
        <w:tab w:val="right" w:pos="1332"/>
      </w:tabs>
      <w:spacing w:before="80"/>
      <w:ind w:left="1616" w:hanging="1616"/>
    </w:pPr>
    <w:rPr>
      <w:sz w:val="22"/>
    </w:rPr>
  </w:style>
  <w:style w:type="paragraph" w:customStyle="1" w:styleId="yEdnotenumbereditempara">
    <w:name w:val="yEdnote(numbereditempara)"/>
    <w:basedOn w:val="yNumberedItemPara"/>
    <w:rPr>
      <w:i/>
    </w:rPr>
  </w:style>
  <w:style w:type="paragraph" w:customStyle="1" w:styleId="zyNumberedItemPara">
    <w:name w:val="zyNumberedItemPara"/>
    <w:qFormat/>
    <w:pPr>
      <w:tabs>
        <w:tab w:val="right" w:pos="1899"/>
      </w:tabs>
      <w:spacing w:before="80"/>
      <w:ind w:left="2183" w:right="284" w:hanging="1616"/>
    </w:pPr>
    <w:rPr>
      <w:sz w:val="22"/>
    </w:rPr>
  </w:style>
  <w:style w:type="paragraph" w:customStyle="1" w:styleId="nzNumberedItemPara">
    <w:name w:val="nzNumberedItemPara"/>
    <w:pPr>
      <w:tabs>
        <w:tab w:val="right" w:pos="1899"/>
      </w:tabs>
      <w:spacing w:before="40"/>
      <w:ind w:left="2183" w:right="284" w:hanging="1616"/>
    </w:pPr>
  </w:style>
  <w:style w:type="paragraph" w:customStyle="1" w:styleId="yNumberedItemSubPara">
    <w:name w:val="yNumberedItemSubPara"/>
    <w:qFormat/>
    <w:pPr>
      <w:tabs>
        <w:tab w:val="right" w:pos="2041"/>
      </w:tabs>
      <w:spacing w:before="80"/>
      <w:ind w:left="2325" w:hanging="2325"/>
    </w:pPr>
    <w:rPr>
      <w:sz w:val="22"/>
    </w:rPr>
  </w:style>
  <w:style w:type="paragraph" w:customStyle="1" w:styleId="yEdnotenumbereditemsubpara">
    <w:name w:val="yEdnote(numbereditemsubpara)"/>
    <w:basedOn w:val="yNumberedItemSubPara"/>
    <w:rPr>
      <w:i/>
    </w:rPr>
  </w:style>
  <w:style w:type="paragraph" w:customStyle="1" w:styleId="zyNumberedItemSubPara">
    <w:name w:val="zyNumberedItemSubPara"/>
    <w:qFormat/>
    <w:pPr>
      <w:tabs>
        <w:tab w:val="right" w:pos="2608"/>
      </w:tabs>
      <w:spacing w:before="80"/>
      <w:ind w:left="2892" w:right="284" w:hanging="2325"/>
    </w:pPr>
    <w:rPr>
      <w:sz w:val="22"/>
    </w:rPr>
  </w:style>
  <w:style w:type="paragraph" w:customStyle="1" w:styleId="nzNumberedItemSubPara">
    <w:name w:val="nzNumberedItemSubPara"/>
    <w:pPr>
      <w:tabs>
        <w:tab w:val="right" w:pos="2608"/>
      </w:tabs>
      <w:spacing w:before="40"/>
      <w:ind w:left="2892" w:right="284" w:hanging="2325"/>
    </w:pPr>
  </w:style>
  <w:style w:type="paragraph" w:customStyle="1" w:styleId="PermNoteHeading">
    <w:name w:val="PermNoteHeading"/>
    <w:qFormat/>
    <w:pPr>
      <w:keepNext/>
      <w:spacing w:before="160"/>
      <w:ind w:left="879" w:hanging="879"/>
    </w:pPr>
    <w:rPr>
      <w:rFonts w:ascii="Arial" w:hAnsi="Arial"/>
      <w:sz w:val="18"/>
    </w:rPr>
  </w:style>
  <w:style w:type="paragraph" w:customStyle="1" w:styleId="Ednotepermnoteheading">
    <w:name w:val="Ednote(permnoteheading)"/>
    <w:basedOn w:val="PermNoteHeading"/>
    <w:rPr>
      <w:i/>
    </w:rPr>
  </w:style>
  <w:style w:type="paragraph" w:customStyle="1" w:styleId="zPermNoteHeading">
    <w:name w:val="zPermNoteHeading"/>
    <w:qFormat/>
    <w:pPr>
      <w:spacing w:before="160"/>
      <w:ind w:left="1446" w:right="284" w:hanging="879"/>
    </w:pPr>
    <w:rPr>
      <w:rFonts w:ascii="Arial" w:hAnsi="Arial"/>
      <w:sz w:val="18"/>
    </w:rPr>
  </w:style>
  <w:style w:type="paragraph" w:customStyle="1" w:styleId="nzPermNoteHeading">
    <w:name w:val="nzPermNoteHeading"/>
    <w:pPr>
      <w:spacing w:before="40"/>
      <w:ind w:left="1446" w:right="284" w:hanging="879"/>
    </w:pPr>
    <w:rPr>
      <w:rFonts w:ascii="Arial" w:hAnsi="Arial"/>
      <w:sz w:val="14"/>
    </w:rPr>
  </w:style>
  <w:style w:type="paragraph" w:customStyle="1" w:styleId="PermNoteText">
    <w:name w:val="PermNoteText"/>
    <w:qFormat/>
    <w:pPr>
      <w:tabs>
        <w:tab w:val="left" w:pos="879"/>
      </w:tabs>
      <w:spacing w:before="80"/>
      <w:ind w:left="1418" w:hanging="1418"/>
    </w:pPr>
    <w:rPr>
      <w:rFonts w:ascii="Arial" w:hAnsi="Arial"/>
      <w:sz w:val="18"/>
    </w:rPr>
  </w:style>
  <w:style w:type="paragraph" w:customStyle="1" w:styleId="Ednotepermnotetext">
    <w:name w:val="Ednote(permnotetext)"/>
    <w:basedOn w:val="PermNoteText"/>
    <w:rPr>
      <w:i/>
    </w:rPr>
  </w:style>
  <w:style w:type="paragraph" w:customStyle="1" w:styleId="zPermNoteText">
    <w:name w:val="zPermNoteText"/>
    <w:qFormat/>
    <w:pPr>
      <w:tabs>
        <w:tab w:val="left" w:pos="1446"/>
      </w:tabs>
      <w:spacing w:before="80"/>
      <w:ind w:left="2013" w:right="284" w:hanging="1446"/>
    </w:pPr>
    <w:rPr>
      <w:rFonts w:ascii="Arial" w:hAnsi="Arial"/>
      <w:sz w:val="18"/>
    </w:rPr>
  </w:style>
  <w:style w:type="paragraph" w:customStyle="1" w:styleId="nzPermNoteText">
    <w:name w:val="nzPermNoteText"/>
    <w:pPr>
      <w:tabs>
        <w:tab w:val="left" w:pos="1446"/>
      </w:tabs>
      <w:spacing w:before="40"/>
      <w:ind w:left="2013" w:right="284" w:hanging="1446"/>
    </w:pPr>
    <w:rPr>
      <w:rFonts w:ascii="Arial" w:hAnsi="Arial"/>
      <w:sz w:val="14"/>
    </w:rPr>
  </w:style>
  <w:style w:type="paragraph" w:customStyle="1" w:styleId="PermNotePara">
    <w:name w:val="PermNotePara"/>
    <w:qFormat/>
    <w:pPr>
      <w:tabs>
        <w:tab w:val="right" w:pos="1843"/>
      </w:tabs>
      <w:spacing w:before="80"/>
      <w:ind w:left="2013" w:hanging="2013"/>
    </w:pPr>
    <w:rPr>
      <w:rFonts w:ascii="Arial" w:hAnsi="Arial"/>
      <w:sz w:val="18"/>
    </w:rPr>
  </w:style>
  <w:style w:type="paragraph" w:customStyle="1" w:styleId="Ednotepermnotepara">
    <w:name w:val="Ednote(permnotepara)"/>
    <w:basedOn w:val="PermNotePara"/>
    <w:rPr>
      <w:i/>
    </w:rPr>
  </w:style>
  <w:style w:type="paragraph" w:customStyle="1" w:styleId="zPermNotePara">
    <w:name w:val="zPermNotePara"/>
    <w:qFormat/>
    <w:pPr>
      <w:tabs>
        <w:tab w:val="right" w:pos="2410"/>
      </w:tabs>
      <w:spacing w:before="80"/>
      <w:ind w:left="2580" w:right="284" w:hanging="2013"/>
    </w:pPr>
    <w:rPr>
      <w:rFonts w:ascii="Arial" w:hAnsi="Arial"/>
      <w:sz w:val="18"/>
    </w:rPr>
  </w:style>
  <w:style w:type="paragraph" w:customStyle="1" w:styleId="nzPermNotePara">
    <w:name w:val="nzPermNotePara"/>
    <w:pPr>
      <w:tabs>
        <w:tab w:val="right" w:pos="2410"/>
      </w:tabs>
      <w:spacing w:before="40"/>
      <w:ind w:left="2580" w:right="284" w:hanging="2013"/>
    </w:pPr>
    <w:rPr>
      <w:rFonts w:ascii="Arial" w:hAnsi="Arial"/>
      <w:sz w:val="14"/>
    </w:rPr>
  </w:style>
  <w:style w:type="paragraph" w:customStyle="1" w:styleId="PermNoteSubPara">
    <w:name w:val="PermNoteSubPara"/>
    <w:qFormat/>
    <w:pPr>
      <w:tabs>
        <w:tab w:val="right" w:pos="2296"/>
      </w:tabs>
      <w:spacing w:before="80"/>
      <w:ind w:left="2580" w:hanging="2580"/>
    </w:pPr>
    <w:rPr>
      <w:rFonts w:ascii="Arial" w:hAnsi="Arial"/>
      <w:sz w:val="18"/>
    </w:rPr>
  </w:style>
  <w:style w:type="paragraph" w:customStyle="1" w:styleId="Ednotepermnotesubpara">
    <w:name w:val="Ednote(permnotesubpara)"/>
    <w:basedOn w:val="PermNoteSubPara"/>
    <w:rPr>
      <w:i/>
    </w:rPr>
  </w:style>
  <w:style w:type="paragraph" w:customStyle="1" w:styleId="zPermNoteSubPara">
    <w:name w:val="zPermNoteSubPara"/>
    <w:qFormat/>
    <w:pPr>
      <w:tabs>
        <w:tab w:val="right" w:pos="2863"/>
      </w:tabs>
      <w:spacing w:before="80"/>
      <w:ind w:left="3147" w:right="284" w:hanging="2580"/>
    </w:pPr>
    <w:rPr>
      <w:rFonts w:ascii="Arial" w:hAnsi="Arial"/>
      <w:sz w:val="18"/>
    </w:rPr>
  </w:style>
  <w:style w:type="paragraph" w:customStyle="1" w:styleId="nzPermNoteSubPara">
    <w:name w:val="nzPermNoteSubPara"/>
    <w:pPr>
      <w:tabs>
        <w:tab w:val="right" w:pos="2863"/>
      </w:tabs>
      <w:spacing w:before="40"/>
      <w:ind w:left="3147" w:right="284" w:hanging="2580"/>
    </w:pPr>
    <w:rPr>
      <w:rFonts w:ascii="Arial" w:hAnsi="Arial"/>
      <w:sz w:val="14"/>
    </w:rPr>
  </w:style>
  <w:style w:type="paragraph" w:customStyle="1" w:styleId="SectAltNote">
    <w:name w:val="SectAltNote"/>
    <w:qFormat/>
    <w:pPr>
      <w:keepNext/>
      <w:tabs>
        <w:tab w:val="left" w:pos="879"/>
      </w:tabs>
      <w:spacing w:before="160"/>
      <w:ind w:left="1418" w:hanging="1418"/>
    </w:pPr>
    <w:rPr>
      <w:rFonts w:ascii="Arial" w:hAnsi="Arial"/>
      <w:sz w:val="18"/>
    </w:rPr>
  </w:style>
  <w:style w:type="paragraph" w:customStyle="1" w:styleId="nzSectAltNote">
    <w:name w:val="nzSectAltNote"/>
    <w:qFormat/>
    <w:pPr>
      <w:tabs>
        <w:tab w:val="left" w:pos="1446"/>
      </w:tabs>
      <w:spacing w:before="40"/>
      <w:ind w:left="1990" w:hanging="1423"/>
    </w:pPr>
    <w:rPr>
      <w:rFonts w:ascii="Arial" w:hAnsi="Arial"/>
      <w:sz w:val="14"/>
    </w:rPr>
  </w:style>
  <w:style w:type="paragraph" w:customStyle="1" w:styleId="SectAltHeading">
    <w:name w:val="SectAltHeading"/>
    <w:qFormat/>
    <w:pPr>
      <w:tabs>
        <w:tab w:val="left" w:pos="879"/>
      </w:tabs>
      <w:spacing w:before="80"/>
      <w:ind w:left="1418" w:hanging="1418"/>
    </w:pPr>
    <w:rPr>
      <w:rFonts w:ascii="Arial" w:hAnsi="Arial"/>
      <w:b/>
      <w:sz w:val="18"/>
    </w:rPr>
  </w:style>
  <w:style w:type="paragraph" w:customStyle="1" w:styleId="nzSectAltHeading">
    <w:name w:val="nzSectAltHeading"/>
    <w:qFormat/>
    <w:pPr>
      <w:tabs>
        <w:tab w:val="left" w:pos="1446"/>
      </w:tabs>
      <w:spacing w:before="40"/>
      <w:ind w:left="1990" w:hanging="1423"/>
    </w:pPr>
    <w:rPr>
      <w:rFonts w:ascii="Arial" w:hAnsi="Arial"/>
      <w:b/>
      <w:sz w:val="14"/>
    </w:rPr>
  </w:style>
  <w:style w:type="paragraph" w:customStyle="1" w:styleId="nzShoulderClause">
    <w:name w:val="nzShoulderClause"/>
    <w:next w:val="ySubsection"/>
    <w:pPr>
      <w:spacing w:before="80"/>
      <w:jc w:val="right"/>
    </w:pPr>
  </w:style>
  <w:style w:type="paragraph" w:customStyle="1" w:styleId="nzDeleteListSub">
    <w:name w:val="nzDeleteListSub"/>
    <w:pPr>
      <w:spacing w:before="80"/>
      <w:ind w:left="1446"/>
    </w:pPr>
  </w:style>
  <w:style w:type="paragraph" w:customStyle="1" w:styleId="nzDeleteListPara">
    <w:name w:val="nzDeleteListPara"/>
    <w:pPr>
      <w:spacing w:before="80"/>
      <w:ind w:left="2183"/>
    </w:pPr>
  </w:style>
  <w:style w:type="paragraph" w:customStyle="1" w:styleId="nzEdnotepart">
    <w:name w:val="nzEdnote(part)"/>
    <w:basedOn w:val="nzHeading2"/>
    <w:rPr>
      <w:b w:val="0"/>
      <w:i/>
    </w:rPr>
  </w:style>
  <w:style w:type="paragraph" w:customStyle="1" w:styleId="nzEdnotedivision">
    <w:name w:val="nzEdnote(division)"/>
    <w:basedOn w:val="nzHeading3"/>
    <w:rPr>
      <w:b w:val="0"/>
      <w:i/>
    </w:rPr>
  </w:style>
  <w:style w:type="paragraph" w:customStyle="1" w:styleId="nzEdnotesubdivision">
    <w:name w:val="nzEdnote(subdivision)"/>
    <w:basedOn w:val="nzHeading4"/>
    <w:rPr>
      <w:i/>
    </w:rPr>
  </w:style>
  <w:style w:type="paragraph" w:customStyle="1" w:styleId="nzEdnotesection">
    <w:name w:val="nzEdnote(section)"/>
    <w:basedOn w:val="nzHeading5"/>
    <w:rPr>
      <w:b w:val="0"/>
      <w:i/>
    </w:rPr>
  </w:style>
  <w:style w:type="paragraph" w:customStyle="1" w:styleId="nzEdnotesubsection">
    <w:name w:val="nzEdnote(subsection)"/>
    <w:basedOn w:val="nzSubsection"/>
    <w:rPr>
      <w:i/>
    </w:rPr>
  </w:style>
  <w:style w:type="paragraph" w:customStyle="1" w:styleId="nzEdnotepara">
    <w:name w:val="nzEdnote(para)"/>
    <w:basedOn w:val="nzIndenta"/>
    <w:rPr>
      <w:i/>
    </w:rPr>
  </w:style>
  <w:style w:type="paragraph" w:customStyle="1" w:styleId="nzEdnotesubpara">
    <w:name w:val="nzEdnote(subpara)"/>
    <w:basedOn w:val="nzIndenti"/>
    <w:rPr>
      <w:i/>
    </w:rPr>
  </w:style>
  <w:style w:type="paragraph" w:customStyle="1" w:styleId="nzEdnoteitem">
    <w:name w:val="nzEdnote(item)"/>
    <w:basedOn w:val="nzIndentI0"/>
    <w:rPr>
      <w:i/>
    </w:rPr>
  </w:style>
  <w:style w:type="paragraph" w:customStyle="1" w:styleId="nzEdnotesubitem">
    <w:name w:val="nzEdnote(subitem)"/>
    <w:basedOn w:val="nzIndentA0"/>
    <w:rPr>
      <w:i/>
    </w:rPr>
  </w:style>
  <w:style w:type="paragraph" w:customStyle="1" w:styleId="nzEdnotedefpara">
    <w:name w:val="nzEdnote(defpara)"/>
    <w:basedOn w:val="nzDefpara"/>
    <w:rPr>
      <w:i/>
    </w:rPr>
  </w:style>
  <w:style w:type="paragraph" w:customStyle="1" w:styleId="nzEdnotedefsubpara">
    <w:name w:val="nzEdnote(defsubpara)"/>
    <w:basedOn w:val="nzDefsubpara"/>
    <w:rPr>
      <w:i/>
    </w:rPr>
  </w:style>
  <w:style w:type="paragraph" w:customStyle="1" w:styleId="nzEdnotedefitem">
    <w:name w:val="nzEdnote(defitem)"/>
    <w:basedOn w:val="nzDefitem"/>
    <w:rPr>
      <w:i/>
    </w:rPr>
  </w:style>
  <w:style w:type="paragraph" w:customStyle="1" w:styleId="nzEdnotedefsubitem">
    <w:name w:val="nzEdnote(defsubitem)"/>
    <w:basedOn w:val="nzDefsubitem"/>
    <w:rPr>
      <w:i/>
    </w:rPr>
  </w:style>
  <w:style w:type="paragraph" w:customStyle="1" w:styleId="nzEdnotepenpara">
    <w:name w:val="nzEdnote(penpara)"/>
    <w:basedOn w:val="nzPenpara"/>
    <w:rPr>
      <w:i/>
    </w:rPr>
  </w:style>
  <w:style w:type="paragraph" w:customStyle="1" w:styleId="nzEdnotepensubpara">
    <w:name w:val="nzEdnote(pensubpara)"/>
    <w:basedOn w:val="nzPensubpara"/>
    <w:rPr>
      <w:i/>
    </w:rPr>
  </w:style>
  <w:style w:type="paragraph" w:customStyle="1" w:styleId="nzEdnotepenitem">
    <w:name w:val="nzEdnote(penitem)"/>
    <w:basedOn w:val="nzPenitem"/>
    <w:rPr>
      <w:i/>
    </w:rPr>
  </w:style>
  <w:style w:type="paragraph" w:customStyle="1" w:styleId="nzFootnoteheading">
    <w:name w:val="nzFootnote(heading)"/>
    <w:pPr>
      <w:tabs>
        <w:tab w:val="left" w:pos="879"/>
      </w:tabs>
      <w:spacing w:before="40"/>
      <w:ind w:left="879" w:hanging="879"/>
    </w:pPr>
    <w:rPr>
      <w:i/>
      <w:snapToGrid w:val="0"/>
    </w:rPr>
  </w:style>
  <w:style w:type="paragraph" w:customStyle="1" w:styleId="nzFootnotesection">
    <w:name w:val="nzFootnote(section)"/>
    <w:pPr>
      <w:keepLines/>
      <w:tabs>
        <w:tab w:val="left" w:pos="893"/>
      </w:tabs>
      <w:spacing w:before="40"/>
      <w:ind w:left="893" w:hanging="893"/>
    </w:pPr>
    <w:rPr>
      <w:i/>
      <w:snapToGrid w:val="0"/>
    </w:rPr>
  </w:style>
  <w:style w:type="paragraph" w:customStyle="1" w:styleId="nzFootnotelongtitle">
    <w:name w:val="nzFootnote(longtitle)"/>
    <w:basedOn w:val="nzFootnotesection"/>
  </w:style>
  <w:style w:type="paragraph" w:customStyle="1" w:styleId="nzFootnotepreamble">
    <w:name w:val="nzFootnote(preamble)"/>
    <w:basedOn w:val="nzFootnotesection"/>
  </w:style>
  <w:style w:type="paragraph" w:customStyle="1" w:styleId="nzOmitFootnote">
    <w:name w:val="nzOmitFootnote"/>
    <w:basedOn w:val="nzEdnotesecti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header" Target="header12.xml"/><Relationship Id="rId3" Type="http://schemas.microsoft.com/office/2007/relationships/stylesWithEffects" Target="stylesWithEffects.xml"/><Relationship Id="rId21" Type="http://schemas.openxmlformats.org/officeDocument/2006/relationships/header" Target="header7.xml"/><Relationship Id="rId34" Type="http://schemas.openxmlformats.org/officeDocument/2006/relationships/footer" Target="footer9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11.xml"/><Relationship Id="rId33" Type="http://schemas.openxmlformats.org/officeDocument/2006/relationships/header" Target="header17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header" Target="header1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10.xml"/><Relationship Id="rId32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9.xml"/><Relationship Id="rId28" Type="http://schemas.openxmlformats.org/officeDocument/2006/relationships/header" Target="header14.xml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header" Target="header13.xml"/><Relationship Id="rId30" Type="http://schemas.openxmlformats.org/officeDocument/2006/relationships/header" Target="header16.xm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575</Words>
  <Characters>3232</Characters>
  <Application>Microsoft Office Word</Application>
  <DocSecurity>0</DocSecurity>
  <Lines>124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Drafting Template (Regs)</vt:lpstr>
    </vt:vector>
  </TitlesOfParts>
  <Manager/>
  <Company/>
  <LinksUpToDate>false</LinksUpToDate>
  <CharactersWithSpaces>3736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Environmental Protection (Goldfields Residential Areas) (Sulfur Dioxide) Regulations 2003 - 00-b0-03</dc:title>
  <dc:subject/>
  <dc:creator/>
  <cp:keywords/>
  <dc:description/>
  <cp:lastModifiedBy>svcMRProcess</cp:lastModifiedBy>
  <cp:revision>4</cp:revision>
  <cp:lastPrinted>2003-03-17T09:00:00Z</cp:lastPrinted>
  <dcterms:created xsi:type="dcterms:W3CDTF">2019-01-16T08:27:00Z</dcterms:created>
  <dcterms:modified xsi:type="dcterms:W3CDTF">2019-01-16T08:27:00Z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">
    <vt:lpwstr>18 March 2003 p.806-7</vt:lpwstr>
  </property>
  <property fmtid="{D5CDD505-2E9C-101B-9397-08002B2CF9AE}" pid="3" name="CommencementDate">
    <vt:lpwstr>20140823</vt:lpwstr>
  </property>
  <property fmtid="{D5CDD505-2E9C-101B-9397-08002B2CF9AE}" pid="4" name="OWLSUId">
    <vt:i4>4024</vt:i4>
  </property>
  <property fmtid="{D5CDD505-2E9C-101B-9397-08002B2CF9AE}" pid="5" name="DocumentType">
    <vt:lpwstr>Reg</vt:lpwstr>
  </property>
  <property fmtid="{D5CDD505-2E9C-101B-9397-08002B2CF9AE}" pid="6" name="AsAtDate">
    <vt:lpwstr>23 Aug 2014</vt:lpwstr>
  </property>
  <property fmtid="{D5CDD505-2E9C-101B-9397-08002B2CF9AE}" pid="7" name="Suffix">
    <vt:lpwstr>00-b0-03</vt:lpwstr>
  </property>
</Properties>
</file>