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right="292"/>
      </w:pPr>
      <w:bookmarkStart w:id="2" w:name="Citation"/>
      <w:bookmarkEnd w:id="2"/>
      <w:r>
        <w:t>Industrial Lands Development Authority Act 1966</w:t>
      </w:r>
    </w:p>
    <w:p>
      <w:pPr>
        <w:pStyle w:val="Subsection"/>
      </w:pPr>
    </w:p>
    <w:p>
      <w:pPr>
        <w:pStyle w:val="Subsection"/>
        <w:ind w:right="292" w:hanging="326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Western Australian Land Authority Act 1992</w:t>
      </w:r>
      <w:r>
        <w:rPr>
          <w:color w:val="000000"/>
          <w:sz w:val="22"/>
          <w:szCs w:val="22"/>
        </w:rPr>
        <w:t xml:space="preserve"> s. 50(1)(a) (No. 35 of 1992) as at 1 Jul 1992.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3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33" w:val="UsedStyles"/>
    <w:docVar w:name="WAFER_20160415161033_GUID" w:val="7032934d-70cc-47a0-a396-3eef9d8727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233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Lands Development Authority Act 1966 - 02-b0-02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1992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19920701</vt:lpwstr>
  </property>
</Properties>
</file>