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2014</w:t>
      </w:r>
      <w:r>
        <w:fldChar w:fldCharType="end"/>
      </w:r>
    </w:p>
    <w:p>
      <w:pPr>
        <w:pStyle w:val="Subsection"/>
        <w:rPr>
          <w:color w:val="000000"/>
          <w:sz w:val="22"/>
          <w:szCs w:val="22"/>
        </w:rPr>
      </w:pPr>
      <w:r>
        <w:tab/>
      </w:r>
      <w:r>
        <w:tab/>
      </w:r>
      <w:r>
        <w:rPr>
          <w:color w:val="000000"/>
          <w:sz w:val="22"/>
          <w:szCs w:val="22"/>
        </w:rPr>
        <w:t>These regulations expired on 30 Sep 2014 (see r. 3(2)).</w:t>
      </w:r>
    </w:p>
    <w:p>
      <w:pPr>
        <w:pStyle w:val="Subsection"/>
      </w:pP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2014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_Toc435101052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_Toc435101053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_Toc435101054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in the code of practice</w:t>
      </w:r>
      <w:r>
        <w:tab/>
      </w:r>
      <w:r>
        <w:fldChar w:fldCharType="begin"/>
      </w:r>
      <w:r>
        <w:instrText xml:space="preserve"> PAGEREF _Toc435101055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Fair Trading (Retirement Villages Interim Code) Regulations (No. 2) 2013</w:t>
      </w:r>
      <w:r>
        <w:t xml:space="preserve"> repealed</w:t>
      </w:r>
      <w:r>
        <w:tab/>
      </w:r>
      <w:r>
        <w:fldChar w:fldCharType="begin"/>
      </w:r>
      <w:r>
        <w:instrText xml:space="preserve"> PAGEREF _Toc435101056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Fair Practice for Retirement Villages 2014</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_Toc435101059 \h </w:instrText>
      </w:r>
      <w:r>
        <w:fldChar w:fldCharType="separate"/>
      </w:r>
      <w:r>
        <w:t>5</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_Toc435101060 \h </w:instrText>
      </w:r>
      <w:r>
        <w:fldChar w:fldCharType="separate"/>
      </w:r>
      <w:r>
        <w:t>8</w:t>
      </w:r>
      <w:r>
        <w:fldChar w:fldCharType="end"/>
      </w:r>
    </w:p>
    <w:p>
      <w:pPr>
        <w:pStyle w:val="TOC8"/>
        <w:rPr>
          <w:rFonts w:asciiTheme="minorHAnsi" w:eastAsiaTheme="minorEastAsia" w:hAnsiTheme="minorHAnsi" w:cstheme="minorBidi"/>
          <w:szCs w:val="22"/>
        </w:rPr>
      </w:pPr>
      <w:r>
        <w:t>1.3</w:t>
      </w:r>
      <w:r>
        <w:tab/>
        <w:t>General principles</w:t>
      </w:r>
      <w:r>
        <w:tab/>
      </w:r>
      <w:r>
        <w:fldChar w:fldCharType="begin"/>
      </w:r>
      <w:r>
        <w:instrText xml:space="preserve"> PAGEREF _Toc435101061 \h </w:instrText>
      </w:r>
      <w:r>
        <w:fldChar w:fldCharType="separate"/>
      </w:r>
      <w:r>
        <w:t>10</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_Toc435101062 \h </w:instrText>
      </w:r>
      <w:r>
        <w:fldChar w:fldCharType="separate"/>
      </w:r>
      <w:r>
        <w:t>10</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_Toc435101063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_Toc435101065 \h </w:instrText>
      </w:r>
      <w:r>
        <w:fldChar w:fldCharType="separate"/>
      </w:r>
      <w:r>
        <w:t>12</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_Toc435101066 \h </w:instrText>
      </w:r>
      <w:r>
        <w:fldChar w:fldCharType="separate"/>
      </w:r>
      <w:r>
        <w:t>12</w:t>
      </w:r>
      <w:r>
        <w:fldChar w:fldCharType="end"/>
      </w:r>
    </w:p>
    <w:p>
      <w:pPr>
        <w:pStyle w:val="TOC8"/>
        <w:rPr>
          <w:rFonts w:asciiTheme="minorHAnsi" w:eastAsiaTheme="minorEastAsia" w:hAnsiTheme="minorHAnsi" w:cstheme="minorBidi"/>
          <w:szCs w:val="22"/>
        </w:rPr>
      </w:pPr>
      <w:r>
        <w:t>2.3</w:t>
      </w:r>
      <w:r>
        <w:tab/>
        <w:t>Proposed amenities and services</w:t>
      </w:r>
      <w:r>
        <w:tab/>
      </w:r>
      <w:r>
        <w:fldChar w:fldCharType="begin"/>
      </w:r>
      <w:r>
        <w:instrText xml:space="preserve"> PAGEREF _Toc435101067 \h </w:instrText>
      </w:r>
      <w:r>
        <w:fldChar w:fldCharType="separate"/>
      </w:r>
      <w:r>
        <w:t>13</w:t>
      </w:r>
      <w:r>
        <w:fldChar w:fldCharType="end"/>
      </w:r>
    </w:p>
    <w:p>
      <w:pPr>
        <w:pStyle w:val="TOC8"/>
        <w:rPr>
          <w:rFonts w:asciiTheme="minorHAnsi" w:eastAsiaTheme="minorEastAsia" w:hAnsiTheme="minorHAnsi" w:cstheme="minorBidi"/>
          <w:szCs w:val="22"/>
        </w:rPr>
      </w:pPr>
      <w:r>
        <w:t>2.4</w:t>
      </w:r>
      <w:r>
        <w:tab/>
        <w:t>Approvals for facilities that provide residential aged care services</w:t>
      </w:r>
      <w:r>
        <w:tab/>
      </w:r>
      <w:r>
        <w:fldChar w:fldCharType="begin"/>
      </w:r>
      <w:r>
        <w:instrText xml:space="preserve"> PAGEREF _Toc435101068 \h </w:instrText>
      </w:r>
      <w:r>
        <w:fldChar w:fldCharType="separate"/>
      </w:r>
      <w:r>
        <w:t>13</w:t>
      </w:r>
      <w:r>
        <w:fldChar w:fldCharType="end"/>
      </w:r>
    </w:p>
    <w:p>
      <w:pPr>
        <w:pStyle w:val="TOC8"/>
        <w:rPr>
          <w:rFonts w:asciiTheme="minorHAnsi" w:eastAsiaTheme="minorEastAsia" w:hAnsiTheme="minorHAnsi" w:cstheme="minorBidi"/>
          <w:szCs w:val="22"/>
        </w:rPr>
      </w:pPr>
      <w:r>
        <w:t>2.5</w:t>
      </w:r>
      <w:r>
        <w:tab/>
        <w:t>Access to residential aged care services</w:t>
      </w:r>
      <w:r>
        <w:tab/>
      </w:r>
      <w:r>
        <w:fldChar w:fldCharType="begin"/>
      </w:r>
      <w:r>
        <w:instrText xml:space="preserve"> PAGEREF _Toc435101069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residence contract or service contract</w:t>
      </w:r>
    </w:p>
    <w:p>
      <w:pPr>
        <w:pStyle w:val="TOC8"/>
        <w:rPr>
          <w:rFonts w:asciiTheme="minorHAnsi" w:eastAsiaTheme="minorEastAsia" w:hAnsiTheme="minorHAnsi" w:cstheme="minorBidi"/>
          <w:szCs w:val="22"/>
        </w:rPr>
      </w:pPr>
      <w:r>
        <w:t>3.1</w:t>
      </w:r>
      <w:r>
        <w:tab/>
        <w:t>Before entering into a residence contract</w:t>
      </w:r>
      <w:r>
        <w:tab/>
      </w:r>
      <w:r>
        <w:fldChar w:fldCharType="begin"/>
      </w:r>
      <w:r>
        <w:instrText xml:space="preserve"> PAGEREF _Toc435101071 \h </w:instrText>
      </w:r>
      <w:r>
        <w:fldChar w:fldCharType="separate"/>
      </w:r>
      <w:r>
        <w:t>14</w:t>
      </w:r>
      <w:r>
        <w:fldChar w:fldCharType="end"/>
      </w:r>
    </w:p>
    <w:p>
      <w:pPr>
        <w:pStyle w:val="TOC8"/>
        <w:rPr>
          <w:rFonts w:asciiTheme="minorHAnsi" w:eastAsiaTheme="minorEastAsia" w:hAnsiTheme="minorHAnsi" w:cstheme="minorBidi"/>
          <w:szCs w:val="22"/>
        </w:rPr>
      </w:pPr>
      <w:r>
        <w:t>3.2</w:t>
      </w:r>
      <w:r>
        <w:tab/>
        <w:t>Before entering into a service contract</w:t>
      </w:r>
      <w:r>
        <w:tab/>
      </w:r>
      <w:r>
        <w:fldChar w:fldCharType="begin"/>
      </w:r>
      <w:r>
        <w:instrText xml:space="preserve"> PAGEREF _Toc435101072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Residence contract and service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_Toc435101074 \h </w:instrText>
      </w:r>
      <w:r>
        <w:fldChar w:fldCharType="separate"/>
      </w:r>
      <w:r>
        <w:t>16</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_Toc435101075 \h </w:instrText>
      </w:r>
      <w:r>
        <w:fldChar w:fldCharType="separate"/>
      </w:r>
      <w:r>
        <w:t>18</w:t>
      </w:r>
      <w:r>
        <w:fldChar w:fldCharType="end"/>
      </w:r>
    </w:p>
    <w:p>
      <w:pPr>
        <w:pStyle w:val="TOC8"/>
        <w:rPr>
          <w:rFonts w:asciiTheme="minorHAnsi" w:eastAsiaTheme="minorEastAsia" w:hAnsiTheme="minorHAnsi" w:cstheme="minorBidi"/>
          <w:szCs w:val="22"/>
        </w:rPr>
      </w:pPr>
      <w:r>
        <w:t>4.3</w:t>
      </w:r>
      <w:r>
        <w:tab/>
        <w:t>Residential premises</w:t>
      </w:r>
      <w:r>
        <w:tab/>
      </w:r>
      <w:r>
        <w:fldChar w:fldCharType="begin"/>
      </w:r>
      <w:r>
        <w:instrText xml:space="preserve"> PAGEREF _Toc435101076 \h </w:instrText>
      </w:r>
      <w:r>
        <w:fldChar w:fldCharType="separate"/>
      </w:r>
      <w:r>
        <w:t>18</w:t>
      </w:r>
      <w:r>
        <w:fldChar w:fldCharType="end"/>
      </w:r>
    </w:p>
    <w:p>
      <w:pPr>
        <w:pStyle w:val="TOC8"/>
        <w:rPr>
          <w:rFonts w:asciiTheme="minorHAnsi" w:eastAsiaTheme="minorEastAsia" w:hAnsiTheme="minorHAnsi" w:cstheme="minorBidi"/>
          <w:szCs w:val="22"/>
        </w:rPr>
      </w:pPr>
      <w:r>
        <w:t>4.4</w:t>
      </w:r>
      <w:r>
        <w:tab/>
        <w:t>Amenities</w:t>
      </w:r>
      <w:r>
        <w:tab/>
      </w:r>
      <w:r>
        <w:fldChar w:fldCharType="begin"/>
      </w:r>
      <w:r>
        <w:instrText xml:space="preserve"> PAGEREF _Toc435101077 \h </w:instrText>
      </w:r>
      <w:r>
        <w:fldChar w:fldCharType="separate"/>
      </w:r>
      <w:r>
        <w:t>19</w:t>
      </w:r>
      <w:r>
        <w:fldChar w:fldCharType="end"/>
      </w:r>
    </w:p>
    <w:p>
      <w:pPr>
        <w:pStyle w:val="TOC8"/>
        <w:rPr>
          <w:rFonts w:asciiTheme="minorHAnsi" w:eastAsiaTheme="minorEastAsia" w:hAnsiTheme="minorHAnsi" w:cstheme="minorBidi"/>
          <w:szCs w:val="22"/>
        </w:rPr>
      </w:pPr>
      <w:r>
        <w:t>4.5</w:t>
      </w:r>
      <w:r>
        <w:tab/>
        <w:t>Services</w:t>
      </w:r>
      <w:r>
        <w:tab/>
      </w:r>
      <w:r>
        <w:fldChar w:fldCharType="begin"/>
      </w:r>
      <w:r>
        <w:instrText xml:space="preserve"> PAGEREF _Toc435101078 \h </w:instrText>
      </w:r>
      <w:r>
        <w:fldChar w:fldCharType="separate"/>
      </w:r>
      <w:r>
        <w:t>19</w:t>
      </w:r>
      <w:r>
        <w:fldChar w:fldCharType="end"/>
      </w:r>
    </w:p>
    <w:p>
      <w:pPr>
        <w:pStyle w:val="TOC8"/>
        <w:rPr>
          <w:rFonts w:asciiTheme="minorHAnsi" w:eastAsiaTheme="minorEastAsia" w:hAnsiTheme="minorHAnsi" w:cstheme="minorBidi"/>
          <w:szCs w:val="22"/>
        </w:rPr>
      </w:pPr>
      <w:r>
        <w:t>4.6</w:t>
      </w:r>
      <w:r>
        <w:tab/>
        <w:t>Payment of premium and refund entitlement</w:t>
      </w:r>
      <w:r>
        <w:tab/>
      </w:r>
      <w:r>
        <w:fldChar w:fldCharType="begin"/>
      </w:r>
      <w:r>
        <w:instrText xml:space="preserve"> PAGEREF _Toc435101079 \h </w:instrText>
      </w:r>
      <w:r>
        <w:fldChar w:fldCharType="separate"/>
      </w:r>
      <w:r>
        <w:t>20</w:t>
      </w:r>
      <w:r>
        <w:fldChar w:fldCharType="end"/>
      </w:r>
    </w:p>
    <w:p>
      <w:pPr>
        <w:pStyle w:val="TOC8"/>
        <w:rPr>
          <w:rFonts w:asciiTheme="minorHAnsi" w:eastAsiaTheme="minorEastAsia" w:hAnsiTheme="minorHAnsi" w:cstheme="minorBidi"/>
          <w:szCs w:val="22"/>
        </w:rPr>
      </w:pPr>
      <w:r>
        <w:t>4.7</w:t>
      </w:r>
      <w:r>
        <w:tab/>
        <w:t>Charges for village operating costs</w:t>
      </w:r>
      <w:r>
        <w:tab/>
      </w:r>
      <w:r>
        <w:fldChar w:fldCharType="begin"/>
      </w:r>
      <w:r>
        <w:instrText xml:space="preserve"> PAGEREF _Toc435101080 \h </w:instrText>
      </w:r>
      <w:r>
        <w:fldChar w:fldCharType="separate"/>
      </w:r>
      <w:r>
        <w:t>20</w:t>
      </w:r>
      <w:r>
        <w:fldChar w:fldCharType="end"/>
      </w:r>
    </w:p>
    <w:p>
      <w:pPr>
        <w:pStyle w:val="TOC8"/>
        <w:rPr>
          <w:rFonts w:asciiTheme="minorHAnsi" w:eastAsiaTheme="minorEastAsia" w:hAnsiTheme="minorHAnsi" w:cstheme="minorBidi"/>
          <w:szCs w:val="22"/>
        </w:rPr>
      </w:pPr>
      <w:r>
        <w:t>4.8</w:t>
      </w:r>
      <w:r>
        <w:tab/>
        <w:t>Reserve funds</w:t>
      </w:r>
      <w:r>
        <w:tab/>
      </w:r>
      <w:r>
        <w:fldChar w:fldCharType="begin"/>
      </w:r>
      <w:r>
        <w:instrText xml:space="preserve"> PAGEREF _Toc435101081 \h </w:instrText>
      </w:r>
      <w:r>
        <w:fldChar w:fldCharType="separate"/>
      </w:r>
      <w:r>
        <w:t>21</w:t>
      </w:r>
      <w:r>
        <w:fldChar w:fldCharType="end"/>
      </w:r>
    </w:p>
    <w:p>
      <w:pPr>
        <w:pStyle w:val="TOC8"/>
        <w:rPr>
          <w:rFonts w:asciiTheme="minorHAnsi" w:eastAsiaTheme="minorEastAsia" w:hAnsiTheme="minorHAnsi" w:cstheme="minorBidi"/>
          <w:szCs w:val="22"/>
        </w:rPr>
      </w:pPr>
      <w:r>
        <w:t>4.9</w:t>
      </w:r>
      <w:r>
        <w:tab/>
        <w:t>Relocation</w:t>
      </w:r>
      <w:r>
        <w:tab/>
      </w:r>
      <w:r>
        <w:fldChar w:fldCharType="begin"/>
      </w:r>
      <w:r>
        <w:instrText xml:space="preserve"> PAGEREF _Toc435101082 \h </w:instrText>
      </w:r>
      <w:r>
        <w:fldChar w:fldCharType="separate"/>
      </w:r>
      <w:r>
        <w:t>21</w:t>
      </w:r>
      <w:r>
        <w:fldChar w:fldCharType="end"/>
      </w:r>
    </w:p>
    <w:p>
      <w:pPr>
        <w:pStyle w:val="TOC8"/>
        <w:rPr>
          <w:rFonts w:asciiTheme="minorHAnsi" w:eastAsiaTheme="minorEastAsia" w:hAnsiTheme="minorHAnsi" w:cstheme="minorBidi"/>
          <w:szCs w:val="22"/>
        </w:rPr>
      </w:pPr>
      <w:r>
        <w:t>4.10</w:t>
      </w:r>
      <w:r>
        <w:tab/>
        <w:t>Termination of residence contract and fees payable on termination</w:t>
      </w:r>
      <w:r>
        <w:tab/>
      </w:r>
      <w:r>
        <w:fldChar w:fldCharType="begin"/>
      </w:r>
      <w:r>
        <w:instrText xml:space="preserve"> PAGEREF _Toc435101083 \h </w:instrText>
      </w:r>
      <w:r>
        <w:fldChar w:fldCharType="separate"/>
      </w:r>
      <w:r>
        <w:t>22</w:t>
      </w:r>
      <w:r>
        <w:fldChar w:fldCharType="end"/>
      </w:r>
    </w:p>
    <w:p>
      <w:pPr>
        <w:pStyle w:val="TOC8"/>
        <w:rPr>
          <w:rFonts w:asciiTheme="minorHAnsi" w:eastAsiaTheme="minorEastAsia" w:hAnsiTheme="minorHAnsi" w:cstheme="minorBidi"/>
          <w:szCs w:val="22"/>
        </w:rPr>
      </w:pPr>
      <w:r>
        <w:t>4.11</w:t>
      </w:r>
      <w:r>
        <w:tab/>
        <w:t xml:space="preserve">Residence contract to refer to this Code and the </w:t>
      </w:r>
      <w:r>
        <w:rPr>
          <w:i/>
        </w:rPr>
        <w:t>Retirement Villages Act 1992</w:t>
      </w:r>
      <w:r>
        <w:tab/>
      </w:r>
      <w:r>
        <w:fldChar w:fldCharType="begin"/>
      </w:r>
      <w:r>
        <w:instrText xml:space="preserve"> PAGEREF _Toc435101084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Interpretation</w:t>
      </w:r>
      <w:r>
        <w:tab/>
      </w:r>
      <w:r>
        <w:fldChar w:fldCharType="begin"/>
      </w:r>
      <w:r>
        <w:instrText xml:space="preserve"> PAGEREF _Toc435101086 \h </w:instrText>
      </w:r>
      <w:r>
        <w:fldChar w:fldCharType="separate"/>
      </w:r>
      <w:r>
        <w:t>23</w:t>
      </w:r>
      <w:r>
        <w:fldChar w:fldCharType="end"/>
      </w:r>
    </w:p>
    <w:p>
      <w:pPr>
        <w:pStyle w:val="TOC8"/>
        <w:rPr>
          <w:rFonts w:asciiTheme="minorHAnsi" w:eastAsiaTheme="minorEastAsia" w:hAnsiTheme="minorHAnsi" w:cstheme="minorBidi"/>
          <w:szCs w:val="22"/>
        </w:rPr>
      </w:pPr>
      <w:r>
        <w:t>5.2</w:t>
      </w:r>
      <w:r>
        <w:tab/>
        <w:t>Management procedures and resident consultation</w:t>
      </w:r>
      <w:r>
        <w:tab/>
      </w:r>
      <w:r>
        <w:fldChar w:fldCharType="begin"/>
      </w:r>
      <w:r>
        <w:instrText xml:space="preserve"> PAGEREF _Toc435101087 \h </w:instrText>
      </w:r>
      <w:r>
        <w:fldChar w:fldCharType="separate"/>
      </w:r>
      <w:r>
        <w:t>24</w:t>
      </w:r>
      <w:r>
        <w:fldChar w:fldCharType="end"/>
      </w:r>
    </w:p>
    <w:p>
      <w:pPr>
        <w:pStyle w:val="TOC8"/>
        <w:rPr>
          <w:rFonts w:asciiTheme="minorHAnsi" w:eastAsiaTheme="minorEastAsia" w:hAnsiTheme="minorHAnsi" w:cstheme="minorBidi"/>
          <w:szCs w:val="22"/>
        </w:rPr>
      </w:pPr>
      <w:r>
        <w:t>5.3</w:t>
      </w:r>
      <w:r>
        <w:tab/>
        <w:t>Village operating budget</w:t>
      </w:r>
      <w:r>
        <w:tab/>
      </w:r>
      <w:r>
        <w:fldChar w:fldCharType="begin"/>
      </w:r>
      <w:r>
        <w:instrText xml:space="preserve"> PAGEREF _Toc435101088 \h </w:instrText>
      </w:r>
      <w:r>
        <w:fldChar w:fldCharType="separate"/>
      </w:r>
      <w:r>
        <w:t>26</w:t>
      </w:r>
      <w:r>
        <w:fldChar w:fldCharType="end"/>
      </w:r>
    </w:p>
    <w:p>
      <w:pPr>
        <w:pStyle w:val="TOC8"/>
        <w:rPr>
          <w:rFonts w:asciiTheme="minorHAnsi" w:eastAsiaTheme="minorEastAsia" w:hAnsiTheme="minorHAnsi" w:cstheme="minorBidi"/>
          <w:szCs w:val="22"/>
        </w:rPr>
      </w:pPr>
      <w:r>
        <w:t>5.4</w:t>
      </w:r>
      <w:r>
        <w:tab/>
        <w:t>Quarterly operating income and expenditure statements</w:t>
      </w:r>
      <w:r>
        <w:tab/>
      </w:r>
      <w:r>
        <w:fldChar w:fldCharType="begin"/>
      </w:r>
      <w:r>
        <w:instrText xml:space="preserve"> PAGEREF _Toc435101089 \h </w:instrText>
      </w:r>
      <w:r>
        <w:fldChar w:fldCharType="separate"/>
      </w:r>
      <w:r>
        <w:t>27</w:t>
      </w:r>
      <w:r>
        <w:fldChar w:fldCharType="end"/>
      </w:r>
    </w:p>
    <w:p>
      <w:pPr>
        <w:pStyle w:val="TOC8"/>
        <w:rPr>
          <w:rFonts w:asciiTheme="minorHAnsi" w:eastAsiaTheme="minorEastAsia" w:hAnsiTheme="minorHAnsi" w:cstheme="minorBidi"/>
          <w:szCs w:val="22"/>
        </w:rPr>
      </w:pPr>
      <w:r>
        <w:t>5.5</w:t>
      </w:r>
      <w:r>
        <w:tab/>
        <w:t>Annual accounts</w:t>
      </w:r>
      <w:r>
        <w:tab/>
      </w:r>
      <w:r>
        <w:fldChar w:fldCharType="begin"/>
      </w:r>
      <w:r>
        <w:instrText xml:space="preserve"> PAGEREF _Toc435101090 \h </w:instrText>
      </w:r>
      <w:r>
        <w:fldChar w:fldCharType="separate"/>
      </w:r>
      <w:r>
        <w:t>28</w:t>
      </w:r>
      <w:r>
        <w:fldChar w:fldCharType="end"/>
      </w:r>
    </w:p>
    <w:p>
      <w:pPr>
        <w:pStyle w:val="TOC8"/>
        <w:rPr>
          <w:rFonts w:asciiTheme="minorHAnsi" w:eastAsiaTheme="minorEastAsia" w:hAnsiTheme="minorHAnsi" w:cstheme="minorBidi"/>
          <w:szCs w:val="22"/>
        </w:rPr>
      </w:pPr>
      <w:r>
        <w:t>5.6</w:t>
      </w:r>
      <w:r>
        <w:tab/>
        <w:t>Budget surplus</w:t>
      </w:r>
      <w:r>
        <w:tab/>
      </w:r>
      <w:r>
        <w:fldChar w:fldCharType="begin"/>
      </w:r>
      <w:r>
        <w:instrText xml:space="preserve"> PAGEREF _Toc435101091 \h </w:instrText>
      </w:r>
      <w:r>
        <w:fldChar w:fldCharType="separate"/>
      </w:r>
      <w:r>
        <w:t>29</w:t>
      </w:r>
      <w:r>
        <w:fldChar w:fldCharType="end"/>
      </w:r>
    </w:p>
    <w:p>
      <w:pPr>
        <w:pStyle w:val="TOC8"/>
        <w:rPr>
          <w:rFonts w:asciiTheme="minorHAnsi" w:eastAsiaTheme="minorEastAsia" w:hAnsiTheme="minorHAnsi" w:cstheme="minorBidi"/>
          <w:szCs w:val="22"/>
        </w:rPr>
      </w:pPr>
      <w:r>
        <w:t>5.7</w:t>
      </w:r>
      <w:r>
        <w:tab/>
        <w:t>Marketing of residential premises</w:t>
      </w:r>
      <w:r>
        <w:tab/>
      </w:r>
      <w:r>
        <w:fldChar w:fldCharType="begin"/>
      </w:r>
      <w:r>
        <w:instrText xml:space="preserve"> PAGEREF _Toc435101092 \h </w:instrText>
      </w:r>
      <w:r>
        <w:fldChar w:fldCharType="separate"/>
      </w:r>
      <w:r>
        <w:t>29</w:t>
      </w:r>
      <w:r>
        <w:fldChar w:fldCharType="end"/>
      </w:r>
    </w:p>
    <w:p>
      <w:pPr>
        <w:pStyle w:val="TOC8"/>
        <w:rPr>
          <w:rFonts w:asciiTheme="minorHAnsi" w:eastAsiaTheme="minorEastAsia" w:hAnsiTheme="minorHAnsi" w:cstheme="minorBidi"/>
          <w:szCs w:val="22"/>
        </w:rPr>
      </w:pPr>
      <w:r>
        <w:t>5.8</w:t>
      </w:r>
      <w:r>
        <w:tab/>
        <w:t>Repair and refurbishment of residential premises</w:t>
      </w:r>
      <w:r>
        <w:tab/>
      </w:r>
      <w:r>
        <w:fldChar w:fldCharType="begin"/>
      </w:r>
      <w:r>
        <w:instrText xml:space="preserve"> PAGEREF _Toc435101093 \h </w:instrText>
      </w:r>
      <w:r>
        <w:fldChar w:fldCharType="separate"/>
      </w:r>
      <w:r>
        <w:t>29</w:t>
      </w:r>
      <w:r>
        <w:fldChar w:fldCharType="end"/>
      </w:r>
    </w:p>
    <w:p>
      <w:pPr>
        <w:pStyle w:val="TOC8"/>
        <w:rPr>
          <w:rFonts w:asciiTheme="minorHAnsi" w:eastAsiaTheme="minorEastAsia" w:hAnsiTheme="minorHAnsi" w:cstheme="minorBidi"/>
          <w:szCs w:val="22"/>
        </w:rPr>
      </w:pPr>
      <w:r>
        <w:t>5.9</w:t>
      </w:r>
      <w:r>
        <w:tab/>
        <w:t>Residence rules</w:t>
      </w:r>
      <w:r>
        <w:tab/>
      </w:r>
      <w:r>
        <w:fldChar w:fldCharType="begin"/>
      </w:r>
      <w:r>
        <w:instrText xml:space="preserve"> PAGEREF _Toc435101094 \h </w:instrText>
      </w:r>
      <w:r>
        <w:fldChar w:fldCharType="separate"/>
      </w:r>
      <w:r>
        <w:t>30</w:t>
      </w:r>
      <w:r>
        <w:fldChar w:fldCharType="end"/>
      </w:r>
    </w:p>
    <w:p>
      <w:pPr>
        <w:pStyle w:val="TOC8"/>
        <w:rPr>
          <w:rFonts w:asciiTheme="minorHAnsi" w:eastAsiaTheme="minorEastAsia" w:hAnsiTheme="minorHAnsi" w:cstheme="minorBidi"/>
          <w:szCs w:val="22"/>
        </w:rPr>
      </w:pPr>
      <w:r>
        <w:t>5.10</w:t>
      </w:r>
      <w:r>
        <w:tab/>
        <w:t>Residents’ committee</w:t>
      </w:r>
      <w:r>
        <w:tab/>
      </w:r>
      <w:r>
        <w:fldChar w:fldCharType="begin"/>
      </w:r>
      <w:r>
        <w:instrText xml:space="preserve"> PAGEREF _Toc435101095 \h </w:instrText>
      </w:r>
      <w:r>
        <w:fldChar w:fldCharType="separate"/>
      </w:r>
      <w:r>
        <w:t>31</w:t>
      </w:r>
      <w:r>
        <w:fldChar w:fldCharType="end"/>
      </w:r>
    </w:p>
    <w:p>
      <w:pPr>
        <w:pStyle w:val="TOC8"/>
        <w:rPr>
          <w:rFonts w:asciiTheme="minorHAnsi" w:eastAsiaTheme="minorEastAsia" w:hAnsiTheme="minorHAnsi" w:cstheme="minorBidi"/>
          <w:szCs w:val="22"/>
        </w:rPr>
      </w:pPr>
      <w:r>
        <w:t>5.11</w:t>
      </w:r>
      <w:r>
        <w:tab/>
        <w:t>Residents’ meetings</w:t>
      </w:r>
      <w:r>
        <w:tab/>
      </w:r>
      <w:r>
        <w:fldChar w:fldCharType="begin"/>
      </w:r>
      <w:r>
        <w:instrText xml:space="preserve"> PAGEREF _Toc435101096 \h </w:instrText>
      </w:r>
      <w:r>
        <w:fldChar w:fldCharType="separate"/>
      </w:r>
      <w:r>
        <w:t>32</w:t>
      </w:r>
      <w:r>
        <w:fldChar w:fldCharType="end"/>
      </w:r>
    </w:p>
    <w:p>
      <w:pPr>
        <w:pStyle w:val="TOC8"/>
        <w:rPr>
          <w:rFonts w:asciiTheme="minorHAnsi" w:eastAsiaTheme="minorEastAsia" w:hAnsiTheme="minorHAnsi" w:cstheme="minorBidi"/>
          <w:szCs w:val="22"/>
        </w:rPr>
      </w:pPr>
      <w:r>
        <w:t>5.12</w:t>
      </w:r>
      <w:r>
        <w:tab/>
        <w:t>Proxy voting</w:t>
      </w:r>
      <w:r>
        <w:tab/>
      </w:r>
      <w:r>
        <w:fldChar w:fldCharType="begin"/>
      </w:r>
      <w:r>
        <w:instrText xml:space="preserve"> PAGEREF _Toc435101097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Interpretation</w:t>
      </w:r>
      <w:r>
        <w:tab/>
      </w:r>
      <w:r>
        <w:fldChar w:fldCharType="begin"/>
      </w:r>
      <w:r>
        <w:instrText xml:space="preserve"> PAGEREF _Toc435101099 \h </w:instrText>
      </w:r>
      <w:r>
        <w:fldChar w:fldCharType="separate"/>
      </w:r>
      <w:r>
        <w:t>35</w:t>
      </w:r>
      <w:r>
        <w:fldChar w:fldCharType="end"/>
      </w:r>
    </w:p>
    <w:p>
      <w:pPr>
        <w:pStyle w:val="TOC8"/>
        <w:rPr>
          <w:rFonts w:asciiTheme="minorHAnsi" w:eastAsiaTheme="minorEastAsia" w:hAnsiTheme="minorHAnsi" w:cstheme="minorBidi"/>
          <w:szCs w:val="22"/>
        </w:rPr>
      </w:pPr>
      <w:r>
        <w:t>6.2</w:t>
      </w:r>
      <w:r>
        <w:tab/>
        <w:t>Village dispute process</w:t>
      </w:r>
      <w:r>
        <w:tab/>
      </w:r>
      <w:r>
        <w:fldChar w:fldCharType="begin"/>
      </w:r>
      <w:r>
        <w:instrText xml:space="preserve"> PAGEREF _Toc435101100 \h </w:instrText>
      </w:r>
      <w:r>
        <w:fldChar w:fldCharType="separate"/>
      </w:r>
      <w:r>
        <w:t>35</w:t>
      </w:r>
      <w:r>
        <w:fldChar w:fldCharType="end"/>
      </w:r>
    </w:p>
    <w:p>
      <w:pPr>
        <w:pStyle w:val="TOC8"/>
        <w:rPr>
          <w:rFonts w:asciiTheme="minorHAnsi" w:eastAsiaTheme="minorEastAsia" w:hAnsiTheme="minorHAnsi" w:cstheme="minorBidi"/>
          <w:szCs w:val="22"/>
        </w:rPr>
      </w:pPr>
      <w:r>
        <w:t>6.3</w:t>
      </w:r>
      <w:r>
        <w:tab/>
        <w:t>Mediation of dispute</w:t>
      </w:r>
      <w:r>
        <w:tab/>
      </w:r>
      <w:r>
        <w:fldChar w:fldCharType="begin"/>
      </w:r>
      <w:r>
        <w:instrText xml:space="preserve"> PAGEREF _Toc435101101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7.1</w:t>
      </w:r>
      <w:r>
        <w:tab/>
        <w:t>Notice of intention to terminate</w:t>
      </w:r>
      <w:r>
        <w:tab/>
      </w:r>
      <w:r>
        <w:fldChar w:fldCharType="begin"/>
      </w:r>
      <w:r>
        <w:instrText xml:space="preserve"> PAGEREF _Toc435101103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8.1</w:t>
      </w:r>
      <w:r>
        <w:tab/>
        <w:t>Service of documents</w:t>
      </w:r>
      <w:r>
        <w:tab/>
      </w:r>
      <w:r>
        <w:fldChar w:fldCharType="begin"/>
      </w:r>
      <w:r>
        <w:instrText xml:space="preserve"> PAGEREF _Toc435101105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Appendix 1 — Checklist for prospective resident</w:t>
      </w:r>
    </w:p>
    <w:p>
      <w:pPr>
        <w:pStyle w:val="TOC2"/>
        <w:tabs>
          <w:tab w:val="right" w:leader="dot" w:pos="7077"/>
        </w:tabs>
        <w:rPr>
          <w:rFonts w:asciiTheme="minorHAnsi" w:eastAsiaTheme="minorEastAsia" w:hAnsiTheme="minorHAnsi" w:cstheme="minorBidi"/>
          <w:b w:val="0"/>
          <w:sz w:val="22"/>
          <w:szCs w:val="22"/>
        </w:rPr>
      </w:pPr>
      <w:r>
        <w:t>Appendix 2 — Model proposed operating budget form</w:t>
      </w:r>
    </w:p>
    <w:p>
      <w:pPr>
        <w:pStyle w:val="TOC2"/>
        <w:tabs>
          <w:tab w:val="right" w:leader="dot" w:pos="7077"/>
        </w:tabs>
        <w:rPr>
          <w:rFonts w:asciiTheme="minorHAnsi" w:eastAsiaTheme="minorEastAsia" w:hAnsiTheme="minorHAnsi" w:cstheme="minorBidi"/>
          <w:b w:val="0"/>
          <w:sz w:val="22"/>
          <w:szCs w:val="22"/>
        </w:rPr>
      </w:pPr>
      <w:r>
        <w:t>Appendix 3 — Model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4 — Model reserve fund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5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_Toc435101112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2010</w:t>
      </w:r>
    </w:p>
    <w:p>
      <w:pPr>
        <w:pStyle w:val="NameofActReg"/>
      </w:pPr>
      <w:r>
        <w:t>Fair Trading (Retirement Villages Interim Code) Regulations 2014</w:t>
      </w:r>
    </w:p>
    <w:p>
      <w:pPr>
        <w:pStyle w:val="Heading5"/>
      </w:pPr>
      <w:bookmarkStart w:id="3" w:name="_Toc383184769"/>
      <w:bookmarkStart w:id="4" w:name="_Toc435101052"/>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Fair Trading (Retirement Villages Interim Code) Regulations 2014</w:t>
      </w:r>
      <w:r>
        <w:t>.</w:t>
      </w:r>
    </w:p>
    <w:p>
      <w:pPr>
        <w:pStyle w:val="Heading5"/>
        <w:rPr>
          <w:spacing w:val="-2"/>
        </w:rPr>
      </w:pPr>
      <w:bookmarkStart w:id="6" w:name="_Toc383184770"/>
      <w:bookmarkStart w:id="7" w:name="_Toc435101053"/>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2014.</w:t>
      </w:r>
    </w:p>
    <w:p>
      <w:pPr>
        <w:pStyle w:val="Heading5"/>
        <w:rPr>
          <w:snapToGrid w:val="0"/>
        </w:rPr>
      </w:pPr>
      <w:bookmarkStart w:id="8" w:name="_Toc383184771"/>
      <w:bookmarkStart w:id="9" w:name="_Toc435101054"/>
      <w:r>
        <w:rPr>
          <w:rStyle w:val="CharSectno"/>
        </w:rPr>
        <w:t>3</w:t>
      </w:r>
      <w:r>
        <w:rPr>
          <w:snapToGrid w:val="0"/>
        </w:rPr>
        <w:t>.</w:t>
      </w:r>
      <w:r>
        <w:rPr>
          <w:snapToGrid w:val="0"/>
        </w:rPr>
        <w:tab/>
        <w:t>Code of practice prescribed</w:t>
      </w:r>
      <w:bookmarkEnd w:id="8"/>
      <w:bookmarkEnd w:id="9"/>
    </w:p>
    <w:p>
      <w:pPr>
        <w:pStyle w:val="Subsection"/>
      </w:pPr>
      <w:r>
        <w:tab/>
        <w:t>(1)</w:t>
      </w:r>
      <w:r>
        <w:tab/>
        <w:t xml:space="preserve">The code of practice set out in Schedule 1 and cited as the </w:t>
      </w:r>
      <w:r>
        <w:rPr>
          <w:i/>
        </w:rPr>
        <w:t>Interim Code of Fair Practice for Retirement Villages 2014</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w:t>
      </w:r>
    </w:p>
    <w:p>
      <w:pPr>
        <w:pStyle w:val="Subsection"/>
      </w:pPr>
      <w:r>
        <w:tab/>
        <w:t>(2)</w:t>
      </w:r>
      <w:r>
        <w:tab/>
        <w:t xml:space="preserve">The </w:t>
      </w:r>
      <w:r>
        <w:rPr>
          <w:i/>
        </w:rPr>
        <w:t>Interim Code of Fair Practice for Retirement Villages 2014</w:t>
      </w:r>
      <w:r>
        <w:t xml:space="preserve"> is to remain in force for the period of 6 months beginning on 1 April 2014.</w:t>
      </w:r>
    </w:p>
    <w:p>
      <w:pPr>
        <w:pStyle w:val="Heading5"/>
      </w:pPr>
      <w:bookmarkStart w:id="10" w:name="_Toc383184772"/>
      <w:bookmarkStart w:id="11" w:name="_Toc435101055"/>
      <w:r>
        <w:rPr>
          <w:rStyle w:val="CharSectno"/>
        </w:rPr>
        <w:t>4</w:t>
      </w:r>
      <w:r>
        <w:t>.</w:t>
      </w:r>
      <w:r>
        <w:tab/>
        <w:t>Terms used in the code of practice</w:t>
      </w:r>
      <w:bookmarkEnd w:id="10"/>
      <w:bookmarkEnd w:id="11"/>
    </w:p>
    <w:p>
      <w:pPr>
        <w:pStyle w:val="Subsection"/>
      </w:pPr>
      <w:r>
        <w:tab/>
        <w:t>(1)</w:t>
      </w:r>
      <w:r>
        <w:tab/>
        <w:t xml:space="preserve">Except where the contrary intention appears, words and expressions used in the </w:t>
      </w:r>
      <w:r>
        <w:rPr>
          <w:i/>
        </w:rPr>
        <w:t>Interim Code of Fair Practice for Retirement Villages 2014</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2014</w:t>
      </w:r>
      <w:r>
        <w:t xml:space="preserve"> are not part of the Code and are included only to assist readers of the Code.</w:t>
      </w:r>
    </w:p>
    <w:p>
      <w:pPr>
        <w:pStyle w:val="Heading5"/>
      </w:pPr>
      <w:bookmarkStart w:id="12" w:name="_Toc383184773"/>
      <w:bookmarkStart w:id="13" w:name="_Toc435101056"/>
      <w:r>
        <w:rPr>
          <w:rStyle w:val="CharSectno"/>
        </w:rPr>
        <w:t>5</w:t>
      </w:r>
      <w:r>
        <w:t>.</w:t>
      </w:r>
      <w:r>
        <w:tab/>
      </w:r>
      <w:r>
        <w:rPr>
          <w:i/>
        </w:rPr>
        <w:t>Fair Trading (Retirement Villages Interim Code) Regulations (No. 2) 2013</w:t>
      </w:r>
      <w:r>
        <w:t xml:space="preserve"> repealed</w:t>
      </w:r>
      <w:bookmarkEnd w:id="12"/>
      <w:bookmarkEnd w:id="13"/>
    </w:p>
    <w:p>
      <w:pPr>
        <w:pStyle w:val="Subsection"/>
      </w:pPr>
      <w:r>
        <w:tab/>
      </w:r>
      <w:r>
        <w:tab/>
        <w:t xml:space="preserve">The </w:t>
      </w:r>
      <w:r>
        <w:rPr>
          <w:i/>
        </w:rPr>
        <w:t>Fair Trading (Retirement Villages Interim Code) Regulations (No. 2) 2013</w:t>
      </w:r>
      <w:r>
        <w:t xml:space="preserve"> are repealed.</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4" w:name="_Toc383166180"/>
      <w:bookmarkStart w:id="15" w:name="_Toc383172878"/>
      <w:bookmarkStart w:id="16" w:name="_Toc383172996"/>
      <w:bookmarkStart w:id="17" w:name="_Toc383184575"/>
      <w:bookmarkStart w:id="18" w:name="_Toc383184654"/>
      <w:bookmarkStart w:id="19" w:name="_Toc383184774"/>
      <w:bookmarkStart w:id="20" w:name="_Toc426551658"/>
      <w:bookmarkStart w:id="21" w:name="_Toc426551792"/>
      <w:bookmarkStart w:id="22" w:name="_Toc435101057"/>
      <w:r>
        <w:rPr>
          <w:rStyle w:val="CharSchNo"/>
        </w:rPr>
        <w:t>Schedule 1</w:t>
      </w:r>
      <w:r>
        <w:rPr>
          <w:rStyle w:val="CharSDivNo"/>
        </w:rPr>
        <w:t> </w:t>
      </w:r>
      <w:r>
        <w:t>—</w:t>
      </w:r>
      <w:r>
        <w:rPr>
          <w:rStyle w:val="CharSDivText"/>
        </w:rPr>
        <w:t> </w:t>
      </w:r>
      <w:r>
        <w:rPr>
          <w:rStyle w:val="CharSchText"/>
          <w:i/>
        </w:rPr>
        <w:t>Interim Code of Fair Practice for Retirement Villages 2014</w:t>
      </w:r>
      <w:bookmarkEnd w:id="14"/>
      <w:bookmarkEnd w:id="15"/>
      <w:bookmarkEnd w:id="16"/>
      <w:bookmarkEnd w:id="17"/>
      <w:bookmarkEnd w:id="18"/>
      <w:bookmarkEnd w:id="19"/>
      <w:bookmarkEnd w:id="20"/>
      <w:bookmarkEnd w:id="21"/>
      <w:bookmarkEnd w:id="22"/>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sz w:val="24"/>
          <w:szCs w:val="24"/>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46.  It is, in substance, the same as the </w:t>
      </w:r>
      <w:r>
        <w:rPr>
          <w:i/>
          <w:sz w:val="24"/>
          <w:szCs w:val="24"/>
        </w:rPr>
        <w:t>Interim Code of Fair Practice for Retirement Villages (No. 2) 2013</w:t>
      </w:r>
      <w:r>
        <w:rPr>
          <w:sz w:val="24"/>
          <w:szCs w:val="24"/>
        </w:rPr>
        <w:t>, which lapsed on 31 March 2014.  This Code will remain in force for 6 months from 1 April 2014, to allow time for consultation and development of a new revised Code, in accordance with 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b/>
          <w:sz w:val="24"/>
          <w:szCs w:val="24"/>
        </w:rPr>
        <w:sectPr>
          <w:headerReference w:type="even" r:id="rId26"/>
          <w:headerReference w:type="default" r:id="rId27"/>
          <w:pgSz w:w="11907" w:h="16840" w:code="9"/>
          <w:pgMar w:top="2381" w:right="2410" w:bottom="3544" w:left="2410" w:header="720" w:footer="3380" w:gutter="0"/>
          <w:cols w:space="720"/>
          <w:docGrid w:linePitch="326"/>
        </w:sectPr>
      </w:pP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101"/>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101" w:hanging="567"/>
        <w:rPr>
          <w:sz w:val="24"/>
          <w:szCs w:val="24"/>
        </w:rPr>
      </w:pPr>
      <w:r>
        <w:rPr>
          <w:rFonts w:ascii="Symbol" w:hAnsi="Symbol"/>
          <w:sz w:val="24"/>
          <w:szCs w:val="24"/>
        </w:rPr>
        <w:t></w:t>
      </w:r>
      <w:r>
        <w:rPr>
          <w:rFonts w:ascii="Symbol" w:hAnsi="Symbol"/>
          <w:sz w:val="24"/>
          <w:szCs w:val="24"/>
        </w:rPr>
        <w:tab/>
      </w:r>
      <w:r>
        <w:rPr>
          <w:sz w:val="24"/>
          <w:szCs w:val="24"/>
        </w:rPr>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101" w:hanging="567"/>
        <w:rPr>
          <w:sz w:val="24"/>
          <w:szCs w:val="24"/>
        </w:rPr>
      </w:pPr>
      <w:r>
        <w:rPr>
          <w:rFonts w:ascii="Symbol" w:hAnsi="Symbol"/>
          <w:sz w:val="24"/>
          <w:szCs w:val="24"/>
        </w:rPr>
        <w:t></w:t>
      </w:r>
      <w:r>
        <w:rPr>
          <w:rFonts w:ascii="Symbol" w:hAnsi="Symbol"/>
          <w:sz w:val="24"/>
          <w:szCs w:val="24"/>
        </w:rPr>
        <w:tab/>
      </w:r>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101"/>
        <w:rPr>
          <w:sz w:val="24"/>
          <w:szCs w:val="24"/>
        </w:rPr>
      </w:pPr>
      <w:r>
        <w:rPr>
          <w:sz w:val="24"/>
          <w:szCs w:val="24"/>
        </w:rPr>
        <w:t>An administering body that fails to comply with an order made by the State Administrative Tribunal commits an offence that is punishable by a fine of up to $50,000.</w:t>
      </w:r>
    </w:p>
    <w:p>
      <w:pPr>
        <w:pStyle w:val="yHeading3"/>
      </w:pPr>
      <w:bookmarkStart w:id="24" w:name="_Toc383166181"/>
      <w:bookmarkStart w:id="25" w:name="_Toc383172879"/>
      <w:bookmarkStart w:id="26" w:name="_Toc383172997"/>
      <w:bookmarkStart w:id="27" w:name="_Toc383184576"/>
      <w:bookmarkStart w:id="28" w:name="_Toc383184655"/>
      <w:bookmarkStart w:id="29" w:name="_Toc383184775"/>
      <w:bookmarkStart w:id="30" w:name="_Toc426551659"/>
      <w:bookmarkStart w:id="31" w:name="_Toc426551793"/>
      <w:bookmarkStart w:id="32" w:name="_Toc435101058"/>
      <w:r>
        <w:rPr>
          <w:rStyle w:val="CharSDivNo"/>
        </w:rPr>
        <w:t>Division 1</w:t>
      </w:r>
      <w:r>
        <w:t> — </w:t>
      </w:r>
      <w:r>
        <w:rPr>
          <w:rStyle w:val="CharSDivText"/>
        </w:rPr>
        <w:t>Preliminary</w:t>
      </w:r>
      <w:bookmarkEnd w:id="24"/>
      <w:bookmarkEnd w:id="25"/>
      <w:bookmarkEnd w:id="26"/>
      <w:bookmarkEnd w:id="27"/>
      <w:bookmarkEnd w:id="28"/>
      <w:bookmarkEnd w:id="29"/>
      <w:bookmarkEnd w:id="30"/>
      <w:bookmarkEnd w:id="31"/>
      <w:bookmarkEnd w:id="32"/>
    </w:p>
    <w:p>
      <w:pPr>
        <w:pStyle w:val="yHeading5"/>
        <w:rPr>
          <w:sz w:val="24"/>
          <w:szCs w:val="24"/>
        </w:rPr>
      </w:pPr>
      <w:bookmarkStart w:id="33" w:name="_Toc383184776"/>
      <w:bookmarkStart w:id="34" w:name="_Toc435101059"/>
      <w:r>
        <w:rPr>
          <w:rStyle w:val="CharSClsNo"/>
          <w:sz w:val="24"/>
          <w:szCs w:val="24"/>
        </w:rPr>
        <w:t>1.1</w:t>
      </w:r>
      <w:r>
        <w:rPr>
          <w:sz w:val="24"/>
          <w:szCs w:val="24"/>
        </w:rPr>
        <w:tab/>
        <w:t>Citation</w:t>
      </w:r>
      <w:bookmarkEnd w:id="33"/>
      <w:bookmarkEnd w:id="34"/>
    </w:p>
    <w:p>
      <w:pPr>
        <w:pStyle w:val="ySubsection"/>
        <w:rPr>
          <w:sz w:val="24"/>
          <w:szCs w:val="24"/>
        </w:rPr>
      </w:pPr>
      <w:r>
        <w:tab/>
      </w:r>
      <w:r>
        <w:tab/>
      </w:r>
      <w:r>
        <w:rPr>
          <w:sz w:val="24"/>
          <w:szCs w:val="24"/>
        </w:rPr>
        <w:t xml:space="preserve">This Code is the </w:t>
      </w:r>
      <w:r>
        <w:rPr>
          <w:i/>
          <w:sz w:val="24"/>
          <w:szCs w:val="24"/>
        </w:rPr>
        <w:t>Interim Code of Fair Practice for Retirement Villages 2014</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residential premises are occupied in pursuance of a residential tenancy agreement or any other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a right to occupation of residential premises is conferred by ownership of shares;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(c)</w:t>
      </w:r>
      <w:r>
        <w:rPr>
          <w:sz w:val="24"/>
          <w:szCs w:val="24"/>
        </w:rPr>
        <w:tab/>
        <w:t>residential premises are purchased from the administering body subject to a right or option of repurchase;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hostel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infirmary care;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(c)</w:t>
      </w:r>
      <w:r>
        <w:rPr>
          <w:sz w:val="24"/>
          <w:szCs w:val="24"/>
        </w:rPr>
        <w:tab/>
        <w:t>medical or nursing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(d)</w:t>
      </w:r>
      <w:r>
        <w:rPr>
          <w:sz w:val="24"/>
          <w:szCs w:val="24"/>
        </w:rPr>
        <w:tab/>
        <w:t>meals;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(e)</w:t>
      </w:r>
      <w:r>
        <w:rPr>
          <w:sz w:val="24"/>
          <w:szCs w:val="24"/>
        </w:rPr>
        <w:tab/>
        <w:t>administrative and management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(f)</w:t>
      </w:r>
      <w:r>
        <w:rPr>
          <w:sz w:val="24"/>
          <w:szCs w:val="24"/>
        </w:rPr>
        <w:tab/>
        <w:t>maintenance and repair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(g)</w:t>
      </w:r>
      <w:r>
        <w:rPr>
          <w:sz w:val="24"/>
          <w:szCs w:val="24"/>
        </w:rPr>
        <w:tab/>
        <w:t>recreation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working day</w:t>
      </w:r>
      <w:r>
        <w:rPr>
          <w:sz w:val="24"/>
          <w:szCs w:val="24"/>
        </w:rPr>
        <w:t xml:space="preserve"> means a day other than a Saturday, a Sunday or a public holiday.</w:t>
      </w:r>
    </w:p>
    <w:p>
      <w:pPr>
        <w:pStyle w:val="yHeading5"/>
      </w:pPr>
      <w:bookmarkStart w:id="35" w:name="_Toc383184777"/>
      <w:bookmarkStart w:id="36" w:name="_Toc435101060"/>
      <w:r>
        <w:rPr>
          <w:rStyle w:val="CharSClsNo"/>
          <w:sz w:val="24"/>
          <w:szCs w:val="24"/>
        </w:rPr>
        <w:t>1.2</w:t>
      </w:r>
      <w:r>
        <w:tab/>
      </w:r>
      <w:r>
        <w:rPr>
          <w:sz w:val="24"/>
          <w:szCs w:val="24"/>
        </w:rPr>
        <w:t>Application</w:t>
      </w:r>
      <w:bookmarkEnd w:id="35"/>
      <w:bookmarkEnd w:id="36"/>
    </w:p>
    <w:p>
      <w:pPr>
        <w:pStyle w:val="ySubsection"/>
        <w:rPr>
          <w:sz w:val="24"/>
        </w:rPr>
      </w:pPr>
      <w:r>
        <w:rPr>
          <w:sz w:val="24"/>
          <w:szCs w:val="24"/>
        </w:rPr>
        <w:tab/>
        <w:t>(1)</w:t>
      </w:r>
      <w:r>
        <w:rPr>
          <w:sz w:val="24"/>
          <w:szCs w:val="24"/>
        </w:rPr>
        <w:tab/>
      </w:r>
      <w:r>
        <w:rPr>
          <w:sz w:val="24"/>
        </w:rPr>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szCs w:val="24"/>
        </w:rPr>
        <w:tab/>
        <w:t>(2)</w:t>
      </w:r>
      <w:r>
        <w:rPr>
          <w:sz w:val="24"/>
          <w:szCs w:val="24"/>
        </w:rPr>
        <w:tab/>
      </w:r>
      <w:r>
        <w:rPr>
          <w:sz w:val="24"/>
        </w:rPr>
        <w:t xml:space="preserve">This Code does not apply to the administering body or a resident or prospective resident of a retirement village if — </w:t>
      </w:r>
    </w:p>
    <w:p>
      <w:pPr>
        <w:pStyle w:val="yIndenta"/>
        <w:rPr>
          <w:sz w:val="24"/>
        </w:rPr>
      </w:pPr>
      <w:r>
        <w:rPr>
          <w:sz w:val="24"/>
          <w:szCs w:val="24"/>
        </w:rPr>
        <w:tab/>
        <w:t>(a)</w:t>
      </w:r>
      <w:r>
        <w:rPr>
          <w:sz w:val="24"/>
          <w:szCs w:val="24"/>
        </w:rPr>
        <w:tab/>
      </w:r>
      <w:r>
        <w:rPr>
          <w:sz w:val="24"/>
        </w:rPr>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szCs w:val="24"/>
        </w:rPr>
        <w:tab/>
        <w:t>(b)</w:t>
      </w:r>
      <w:r>
        <w:rPr>
          <w:sz w:val="24"/>
          <w:szCs w:val="24"/>
        </w:rPr>
        <w:tab/>
      </w:r>
      <w:r>
        <w:rPr>
          <w:sz w:val="24"/>
        </w:rPr>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szCs w:val="24"/>
        </w:rPr>
        <w:tab/>
        <w:t>(c)</w:t>
      </w:r>
      <w:r>
        <w:rPr>
          <w:sz w:val="24"/>
          <w:szCs w:val="24"/>
        </w:rPr>
        <w:tab/>
      </w:r>
      <w:r>
        <w:rPr>
          <w:sz w:val="24"/>
        </w:rPr>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szCs w:val="24"/>
        </w:rPr>
        <w:tab/>
        <w:t>(3)</w:t>
      </w:r>
      <w:r>
        <w:rPr>
          <w:sz w:val="24"/>
          <w:szCs w:val="24"/>
        </w:rPr>
        <w:tab/>
      </w:r>
      <w:r>
        <w:rPr>
          <w:sz w:val="24"/>
        </w:rPr>
        <w:t>Except as provided in subclause (4), Division 2 of this Code does not apply to any contract, agreement or arrangement made or entered into prior to the commencement of the Code.</w:t>
      </w:r>
    </w:p>
    <w:p>
      <w:pPr>
        <w:pStyle w:val="ySubsection"/>
        <w:rPr>
          <w:sz w:val="24"/>
        </w:rPr>
      </w:pPr>
      <w:r>
        <w:rPr>
          <w:sz w:val="24"/>
          <w:szCs w:val="24"/>
        </w:rPr>
        <w:tab/>
        <w:t>(4)</w:t>
      </w:r>
      <w:r>
        <w:rPr>
          <w:sz w:val="24"/>
          <w:szCs w:val="24"/>
        </w:rP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(Cwlth).</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Note that under the </w:t>
      </w:r>
      <w:r>
        <w:rPr>
          <w:i/>
          <w:sz w:val="24"/>
          <w:szCs w:val="24"/>
        </w:rPr>
        <w:t>Fair Trading Act 2010</w:t>
      </w:r>
      <w:r>
        <w:rPr>
          <w:sz w:val="24"/>
          <w:szCs w:val="24"/>
        </w:rPr>
        <w:t xml:space="preserve"> section 10 this Code binds the Crown.</w:t>
      </w:r>
    </w:p>
    <w:p>
      <w:pPr>
        <w:pStyle w:val="yHeading5"/>
        <w:keepNext w:val="0"/>
        <w:keepLines w:val="0"/>
        <w:pageBreakBefore/>
        <w:widowControl w:val="0"/>
        <w:rPr>
          <w:sz w:val="24"/>
        </w:rPr>
      </w:pPr>
      <w:bookmarkStart w:id="37" w:name="_Toc383184778"/>
      <w:bookmarkStart w:id="38" w:name="_Toc435101061"/>
      <w:r>
        <w:rPr>
          <w:rStyle w:val="CharSClsNo"/>
          <w:sz w:val="24"/>
        </w:rPr>
        <w:t>1.3</w:t>
      </w:r>
      <w:r>
        <w:tab/>
      </w:r>
      <w:r>
        <w:rPr>
          <w:sz w:val="24"/>
        </w:rPr>
        <w:t>General principles</w:t>
      </w:r>
      <w:bookmarkEnd w:id="37"/>
      <w:bookmarkEnd w:id="38"/>
    </w:p>
    <w:p>
      <w:pPr>
        <w:pStyle w:val="ySubsection"/>
        <w:rPr>
          <w:sz w:val="24"/>
        </w:rPr>
      </w:pPr>
      <w:r>
        <w:rPr>
          <w:sz w:val="24"/>
          <w:szCs w:val="24"/>
        </w:rPr>
        <w:tab/>
      </w:r>
      <w:r>
        <w:rPr>
          <w:sz w:val="24"/>
          <w:szCs w:val="24"/>
        </w:rPr>
        <w:tab/>
      </w:r>
      <w:r>
        <w:rPr>
          <w:sz w:val="24"/>
        </w:rPr>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39" w:name="_Toc383184779"/>
      <w:bookmarkStart w:id="40" w:name="_Toc435101062"/>
      <w:r>
        <w:rPr>
          <w:rStyle w:val="CharSClsNo"/>
          <w:sz w:val="24"/>
        </w:rPr>
        <w:t>1.4</w:t>
      </w:r>
      <w:r>
        <w:rPr>
          <w:sz w:val="24"/>
        </w:rPr>
        <w:tab/>
        <w:t>Objectives of the Code</w:t>
      </w:r>
      <w:bookmarkEnd w:id="39"/>
      <w:bookmarkEnd w:id="40"/>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41" w:name="_Toc383184780"/>
      <w:bookmarkStart w:id="42" w:name="_Toc435101063"/>
      <w:r>
        <w:rPr>
          <w:rStyle w:val="CharSClsNo"/>
          <w:sz w:val="24"/>
        </w:rPr>
        <w:t>1.5</w:t>
      </w:r>
      <w:r>
        <w:rPr>
          <w:sz w:val="24"/>
        </w:rPr>
        <w:tab/>
        <w:t>Resident’s basic rights</w:t>
      </w:r>
      <w:bookmarkEnd w:id="41"/>
      <w:bookmarkEnd w:id="42"/>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Other relevant legislation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pPr>
      <w:r>
        <w:rPr>
          <w:sz w:val="24"/>
          <w:szCs w:val="24"/>
        </w:rPr>
        <w:t>The</w:t>
      </w:r>
      <w:r>
        <w:rPr>
          <w:i/>
          <w:sz w:val="24"/>
          <w:szCs w:val="24"/>
        </w:rPr>
        <w:t xml:space="preserve"> Aged Care Act 1997 </w:t>
      </w:r>
      <w:r>
        <w:rPr>
          <w:sz w:val="24"/>
          <w:szCs w:val="24"/>
        </w:rPr>
        <w:t>(Cwlth) has application to residential care services provided under that Act by the administering body of a retirement village.</w:t>
      </w:r>
    </w:p>
    <w:p>
      <w:pPr>
        <w:pStyle w:val="yHeading3"/>
      </w:pPr>
      <w:bookmarkStart w:id="43" w:name="_Toc383166187"/>
      <w:bookmarkStart w:id="44" w:name="_Toc383172885"/>
      <w:bookmarkStart w:id="45" w:name="_Toc383173003"/>
      <w:bookmarkStart w:id="46" w:name="_Toc383184582"/>
      <w:bookmarkStart w:id="47" w:name="_Toc383184661"/>
      <w:bookmarkStart w:id="48" w:name="_Toc383184781"/>
      <w:bookmarkStart w:id="49" w:name="_Toc426551665"/>
      <w:bookmarkStart w:id="50" w:name="_Toc426551799"/>
      <w:bookmarkStart w:id="51" w:name="_Toc435101064"/>
      <w:r>
        <w:rPr>
          <w:rStyle w:val="CharSDivNo"/>
        </w:rPr>
        <w:t>Division 2</w:t>
      </w:r>
      <w:r>
        <w:t> — </w:t>
      </w:r>
      <w:r>
        <w:rPr>
          <w:rStyle w:val="CharSDivText"/>
        </w:rPr>
        <w:t>Advertising and promotion of retirement villages</w:t>
      </w:r>
      <w:bookmarkEnd w:id="43"/>
      <w:bookmarkEnd w:id="44"/>
      <w:bookmarkEnd w:id="45"/>
      <w:bookmarkEnd w:id="46"/>
      <w:bookmarkEnd w:id="47"/>
      <w:bookmarkEnd w:id="48"/>
      <w:bookmarkEnd w:id="49"/>
      <w:bookmarkEnd w:id="50"/>
      <w:bookmarkEnd w:id="51"/>
    </w:p>
    <w:p>
      <w:pPr>
        <w:pStyle w:val="yHeading5"/>
        <w:rPr>
          <w:sz w:val="24"/>
        </w:rPr>
      </w:pPr>
      <w:bookmarkStart w:id="52" w:name="_Toc383184782"/>
      <w:bookmarkStart w:id="53" w:name="_Toc435101065"/>
      <w:r>
        <w:rPr>
          <w:rStyle w:val="CharSClsNo"/>
          <w:sz w:val="24"/>
        </w:rPr>
        <w:t>2.1</w:t>
      </w:r>
      <w:r>
        <w:rPr>
          <w:sz w:val="24"/>
        </w:rPr>
        <w:tab/>
        <w:t>General</w:t>
      </w:r>
      <w:bookmarkEnd w:id="52"/>
      <w:bookmarkEnd w:id="53"/>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54" w:name="_Toc383184783"/>
      <w:bookmarkStart w:id="55" w:name="_Toc435101066"/>
      <w:r>
        <w:rPr>
          <w:rStyle w:val="CharSClsNo"/>
          <w:sz w:val="24"/>
        </w:rPr>
        <w:t>2.2</w:t>
      </w:r>
      <w:r>
        <w:rPr>
          <w:sz w:val="24"/>
        </w:rPr>
        <w:tab/>
        <w:t>Retirement village developments</w:t>
      </w:r>
      <w:bookmarkEnd w:id="54"/>
      <w:bookmarkEnd w:id="55"/>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56" w:name="_Toc383184784"/>
      <w:bookmarkStart w:id="57" w:name="_Toc435101067"/>
      <w:r>
        <w:rPr>
          <w:rStyle w:val="CharSClsNo"/>
          <w:sz w:val="24"/>
        </w:rPr>
        <w:t>2.3</w:t>
      </w:r>
      <w:r>
        <w:rPr>
          <w:sz w:val="24"/>
        </w:rPr>
        <w:tab/>
        <w:t>Proposed amenities and services</w:t>
      </w:r>
      <w:bookmarkEnd w:id="56"/>
      <w:bookmarkEnd w:id="57"/>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58" w:name="_Toc383184785"/>
      <w:bookmarkStart w:id="59" w:name="_Toc435101068"/>
      <w:r>
        <w:rPr>
          <w:rStyle w:val="CharSClsNo"/>
          <w:sz w:val="24"/>
        </w:rPr>
        <w:t>2.4</w:t>
      </w:r>
      <w:r>
        <w:rPr>
          <w:sz w:val="24"/>
        </w:rPr>
        <w:tab/>
        <w:t>Approvals for facilities that provide residential aged care services</w:t>
      </w:r>
      <w:bookmarkEnd w:id="58"/>
      <w:bookmarkEnd w:id="59"/>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60" w:name="_Toc383184786"/>
      <w:bookmarkStart w:id="61" w:name="_Toc435101069"/>
      <w:r>
        <w:rPr>
          <w:rStyle w:val="CharSClsNo"/>
          <w:sz w:val="24"/>
        </w:rPr>
        <w:t>2.5</w:t>
      </w:r>
      <w:r>
        <w:tab/>
      </w:r>
      <w:r>
        <w:rPr>
          <w:sz w:val="24"/>
        </w:rPr>
        <w:t>Access to residential aged care services</w:t>
      </w:r>
      <w:bookmarkEnd w:id="60"/>
      <w:bookmarkEnd w:id="61"/>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rPr>
          <w:rStyle w:val="CharSDivText"/>
        </w:rPr>
      </w:pPr>
      <w:bookmarkStart w:id="62" w:name="_Toc383166193"/>
      <w:bookmarkStart w:id="63" w:name="_Toc383172891"/>
      <w:bookmarkStart w:id="64" w:name="_Toc383173009"/>
      <w:bookmarkStart w:id="65" w:name="_Toc383184588"/>
      <w:bookmarkStart w:id="66" w:name="_Toc383184667"/>
      <w:bookmarkStart w:id="67" w:name="_Toc383184787"/>
      <w:bookmarkStart w:id="68" w:name="_Toc426551671"/>
      <w:bookmarkStart w:id="69" w:name="_Toc426551805"/>
      <w:bookmarkStart w:id="70" w:name="_Toc435101070"/>
      <w:r>
        <w:rPr>
          <w:rStyle w:val="CharSDivNo"/>
        </w:rPr>
        <w:t>Division 3</w:t>
      </w:r>
      <w:r>
        <w:t> — </w:t>
      </w:r>
      <w:r>
        <w:rPr>
          <w:rStyle w:val="CharSDivText"/>
        </w:rPr>
        <w:t>Prospective resident’s right to information before entering into a residence contract or service contract</w:t>
      </w:r>
      <w:bookmarkEnd w:id="62"/>
      <w:bookmarkEnd w:id="63"/>
      <w:bookmarkEnd w:id="64"/>
      <w:bookmarkEnd w:id="65"/>
      <w:bookmarkEnd w:id="66"/>
      <w:bookmarkEnd w:id="67"/>
      <w:bookmarkEnd w:id="68"/>
      <w:bookmarkEnd w:id="69"/>
      <w:bookmarkEnd w:id="70"/>
    </w:p>
    <w:p>
      <w:pPr>
        <w:pStyle w:val="yHeading5"/>
        <w:spacing w:before="160"/>
        <w:rPr>
          <w:sz w:val="24"/>
        </w:rPr>
      </w:pPr>
      <w:bookmarkStart w:id="71" w:name="_Toc383184788"/>
      <w:bookmarkStart w:id="72" w:name="_Toc435101071"/>
      <w:r>
        <w:rPr>
          <w:rStyle w:val="CharSClsNo"/>
          <w:sz w:val="24"/>
        </w:rPr>
        <w:t>3.1</w:t>
      </w:r>
      <w:r>
        <w:tab/>
      </w:r>
      <w:r>
        <w:rPr>
          <w:sz w:val="24"/>
        </w:rPr>
        <w:t>Before entering into a residence contract</w:t>
      </w:r>
      <w:bookmarkEnd w:id="71"/>
      <w:bookmarkEnd w:id="72"/>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w:t>
      </w:r>
      <w:r>
        <w:rPr>
          <w:sz w:val="24"/>
          <w:szCs w:val="24"/>
        </w:rPr>
        <w:t>The questions</w:t>
      </w:r>
      <w:r>
        <w:rPr>
          <w:rStyle w:val="CharPartNo"/>
          <w:sz w:val="24"/>
          <w:szCs w:val="24"/>
        </w:rPr>
        <w:t xml:space="preserve"> </w:t>
      </w:r>
      <w:r>
        <w:rPr>
          <w:sz w:val="24"/>
          <w:szCs w:val="24"/>
        </w:rPr>
        <w:t>require the owner to disclose such things as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premium (i.e. the ingoing contribution) and other costs payable by the resident to enter the retirement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village operating costs payable by the resident and the method or calculation used to determine and vary those costs;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the amenities and services that are provided or made available to the resident and the charges or fees payable by the resident to access or use those amenities and services;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iCs/>
          <w:sz w:val="24"/>
          <w:szCs w:val="24"/>
        </w:rPr>
      </w:pPr>
      <w:r>
        <w:rPr>
          <w:rFonts w:ascii="Symbol" w:hAnsi="Symbol"/>
          <w:iCs/>
          <w:sz w:val="24"/>
          <w:szCs w:val="24"/>
        </w:rPr>
        <w:t></w:t>
      </w:r>
      <w:r>
        <w:rPr>
          <w:rFonts w:ascii="Symbol" w:hAnsi="Symbol"/>
          <w:iCs/>
          <w:sz w:val="24"/>
          <w:szCs w:val="24"/>
        </w:rPr>
        <w:tab/>
      </w:r>
      <w:r>
        <w:rPr>
          <w:iCs/>
          <w:sz w:val="24"/>
          <w:szCs w:val="24"/>
        </w:rPr>
        <w:t>details of costs associated with moving to and living in alternative accommodation within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424" w:hanging="567"/>
        <w:rPr>
          <w:sz w:val="24"/>
          <w:szCs w:val="24"/>
        </w:rPr>
      </w:pPr>
      <w:r>
        <w:rPr>
          <w:rFonts w:ascii="Symbol" w:hAnsi="Symbol"/>
          <w:sz w:val="24"/>
          <w:szCs w:val="24"/>
        </w:rPr>
        <w:t></w:t>
      </w:r>
      <w:r>
        <w:rPr>
          <w:rFonts w:ascii="Symbol" w:hAnsi="Symbol"/>
          <w:sz w:val="24"/>
          <w:szCs w:val="24"/>
        </w:rPr>
        <w:tab/>
      </w:r>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73" w:name="_Toc383184789"/>
      <w:bookmarkStart w:id="74" w:name="_Toc435101072"/>
      <w:r>
        <w:rPr>
          <w:rStyle w:val="CharSClsNo"/>
          <w:sz w:val="24"/>
        </w:rPr>
        <w:t>3.2</w:t>
      </w:r>
      <w:r>
        <w:rPr>
          <w:sz w:val="24"/>
        </w:rPr>
        <w:tab/>
        <w:t>Before entering into a service contract</w:t>
      </w:r>
      <w:bookmarkEnd w:id="73"/>
      <w:bookmarkEnd w:id="74"/>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Pr>
      <w:bookmarkStart w:id="75" w:name="_Toc383166196"/>
      <w:bookmarkStart w:id="76" w:name="_Toc383172894"/>
      <w:bookmarkStart w:id="77" w:name="_Toc383173012"/>
      <w:bookmarkStart w:id="78" w:name="_Toc383184591"/>
      <w:bookmarkStart w:id="79" w:name="_Toc383184670"/>
      <w:bookmarkStart w:id="80" w:name="_Toc383184790"/>
      <w:bookmarkStart w:id="81" w:name="_Toc426551674"/>
      <w:bookmarkStart w:id="82" w:name="_Toc426551808"/>
      <w:bookmarkStart w:id="83" w:name="_Toc435101073"/>
      <w:r>
        <w:rPr>
          <w:rStyle w:val="CharSDivNo"/>
        </w:rPr>
        <w:t>Division 4</w:t>
      </w:r>
      <w:r>
        <w:t> — </w:t>
      </w:r>
      <w:r>
        <w:rPr>
          <w:rStyle w:val="CharSDivText"/>
        </w:rPr>
        <w:t>Residence contract and service contract</w:t>
      </w:r>
      <w:bookmarkEnd w:id="75"/>
      <w:bookmarkEnd w:id="76"/>
      <w:bookmarkEnd w:id="77"/>
      <w:bookmarkEnd w:id="78"/>
      <w:bookmarkEnd w:id="79"/>
      <w:bookmarkEnd w:id="80"/>
      <w:bookmarkEnd w:id="81"/>
      <w:bookmarkEnd w:id="82"/>
      <w:bookmarkEnd w:id="83"/>
    </w:p>
    <w:p>
      <w:pPr>
        <w:pStyle w:val="yHeading5"/>
        <w:rPr>
          <w:sz w:val="24"/>
        </w:rPr>
      </w:pPr>
      <w:bookmarkStart w:id="84" w:name="_Toc383184791"/>
      <w:bookmarkStart w:id="85" w:name="_Toc435101074"/>
      <w:r>
        <w:rPr>
          <w:rStyle w:val="CharSClsNo"/>
          <w:sz w:val="24"/>
        </w:rPr>
        <w:t>4.1</w:t>
      </w:r>
      <w:r>
        <w:rPr>
          <w:sz w:val="24"/>
        </w:rPr>
        <w:tab/>
        <w:t>Legibility and presentation requirements</w:t>
      </w:r>
      <w:bookmarkEnd w:id="84"/>
      <w:bookmarkEnd w:id="85"/>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keepNext/>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5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5 days before a residence contract is entered into, the cooling</w:t>
      </w:r>
      <w:r>
        <w:rPr>
          <w:sz w:val="24"/>
          <w:szCs w:val="24"/>
        </w:rPr>
        <w:noBreakHyphen/>
        <w:t>off period for that contract is 10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pacing w:val="-4"/>
          <w:sz w:val="24"/>
          <w:szCs w:val="24"/>
        </w:rPr>
        <w:t xml:space="preserve">Where a facility provides a residential care service to a person under the </w:t>
      </w:r>
      <w:r>
        <w:rPr>
          <w:i/>
          <w:spacing w:val="-4"/>
          <w:sz w:val="24"/>
          <w:szCs w:val="24"/>
        </w:rPr>
        <w:t>Aged Care Act 1997</w:t>
      </w:r>
      <w:r>
        <w:rPr>
          <w:spacing w:val="-4"/>
          <w:sz w:val="24"/>
          <w:szCs w:val="24"/>
        </w:rPr>
        <w:t xml:space="preserve"> </w:t>
      </w:r>
      <w:r>
        <w:rPr>
          <w:sz w:val="24"/>
          <w:szCs w:val="24"/>
        </w:rPr>
        <w:t>(Cwlth)</w:t>
      </w:r>
      <w:r>
        <w:rPr>
          <w:spacing w:val="-4"/>
          <w:sz w:val="24"/>
          <w:szCs w:val="24"/>
        </w:rPr>
        <w:t>, Subdivision 57</w:t>
      </w:r>
      <w:r>
        <w:rPr>
          <w:spacing w:val="-4"/>
          <w:sz w:val="24"/>
          <w:szCs w:val="24"/>
        </w:rPr>
        <w:noBreakHyphen/>
        <w:t>G of that Act will apply to the refund of any entry payment made by the person for the provision of the service.</w:t>
      </w:r>
    </w:p>
    <w:p>
      <w:pPr>
        <w:pStyle w:val="yHeading5"/>
        <w:rPr>
          <w:sz w:val="24"/>
        </w:rPr>
      </w:pPr>
      <w:bookmarkStart w:id="86" w:name="_Toc383184792"/>
      <w:bookmarkStart w:id="87" w:name="_Toc435101075"/>
      <w:r>
        <w:rPr>
          <w:rStyle w:val="CharSClsNo"/>
          <w:sz w:val="24"/>
        </w:rPr>
        <w:t>4.2</w:t>
      </w:r>
      <w:r>
        <w:rPr>
          <w:sz w:val="24"/>
        </w:rPr>
        <w:tab/>
        <w:t>Title and tenure</w:t>
      </w:r>
      <w:bookmarkEnd w:id="86"/>
      <w:bookmarkEnd w:id="87"/>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88" w:name="_Toc383184793"/>
      <w:bookmarkStart w:id="89" w:name="_Toc435101076"/>
      <w:r>
        <w:rPr>
          <w:rStyle w:val="CharSClsNo"/>
          <w:sz w:val="24"/>
        </w:rPr>
        <w:t>4.3</w:t>
      </w:r>
      <w:r>
        <w:tab/>
      </w:r>
      <w:r>
        <w:rPr>
          <w:sz w:val="24"/>
        </w:rPr>
        <w:t>Residential premises</w:t>
      </w:r>
      <w:bookmarkEnd w:id="88"/>
      <w:bookmarkEnd w:id="89"/>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90" w:name="_Toc383184794"/>
      <w:bookmarkStart w:id="91" w:name="_Toc435101077"/>
      <w:r>
        <w:rPr>
          <w:rStyle w:val="CharSClsNo"/>
          <w:sz w:val="24"/>
        </w:rPr>
        <w:t>4.4</w:t>
      </w:r>
      <w:r>
        <w:tab/>
      </w:r>
      <w:r>
        <w:rPr>
          <w:sz w:val="24"/>
        </w:rPr>
        <w:t>Amenities</w:t>
      </w:r>
      <w:bookmarkEnd w:id="90"/>
      <w:bookmarkEnd w:id="91"/>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92" w:name="_Toc383184795"/>
      <w:bookmarkStart w:id="93" w:name="_Toc435101078"/>
      <w:r>
        <w:rPr>
          <w:rStyle w:val="CharSClsNo"/>
          <w:sz w:val="24"/>
        </w:rPr>
        <w:t>4.5</w:t>
      </w:r>
      <w:r>
        <w:tab/>
      </w:r>
      <w:r>
        <w:rPr>
          <w:sz w:val="24"/>
        </w:rPr>
        <w:t>Services</w:t>
      </w:r>
      <w:bookmarkEnd w:id="92"/>
      <w:bookmarkEnd w:id="93"/>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94" w:name="_Toc383184796"/>
      <w:bookmarkStart w:id="95" w:name="_Toc435101079"/>
      <w:r>
        <w:rPr>
          <w:rStyle w:val="CharSClsNo"/>
          <w:sz w:val="24"/>
        </w:rPr>
        <w:t>4.6</w:t>
      </w:r>
      <w:r>
        <w:tab/>
      </w:r>
      <w:r>
        <w:rPr>
          <w:sz w:val="24"/>
        </w:rPr>
        <w:t>Payment of premium and refund entitlement</w:t>
      </w:r>
      <w:bookmarkEnd w:id="94"/>
      <w:bookmarkEnd w:id="95"/>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An example of a cost referred to in paragraph (b)(iii) above is the cost of any repair or refurbishment of the residential premises.</w:t>
      </w:r>
    </w:p>
    <w:p>
      <w:pPr>
        <w:pStyle w:val="yHeading5"/>
      </w:pPr>
      <w:bookmarkStart w:id="96" w:name="_Toc383184797"/>
      <w:bookmarkStart w:id="97" w:name="_Toc435101080"/>
      <w:r>
        <w:rPr>
          <w:rStyle w:val="CharSClsNo"/>
          <w:sz w:val="24"/>
        </w:rPr>
        <w:t>4.7</w:t>
      </w:r>
      <w:r>
        <w:tab/>
      </w:r>
      <w:r>
        <w:rPr>
          <w:sz w:val="24"/>
        </w:rPr>
        <w:t>Charges for village operating costs</w:t>
      </w:r>
      <w:bookmarkEnd w:id="96"/>
      <w:bookmarkEnd w:id="97"/>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98" w:name="_Toc383184798"/>
      <w:bookmarkStart w:id="99" w:name="_Toc435101081"/>
      <w:r>
        <w:rPr>
          <w:rStyle w:val="CharSClsNo"/>
          <w:sz w:val="24"/>
        </w:rPr>
        <w:t>4.8</w:t>
      </w:r>
      <w:r>
        <w:tab/>
      </w:r>
      <w:r>
        <w:rPr>
          <w:sz w:val="24"/>
        </w:rPr>
        <w:t>Reserve funds</w:t>
      </w:r>
      <w:bookmarkEnd w:id="98"/>
      <w:bookmarkEnd w:id="99"/>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100" w:name="_Toc383184799"/>
      <w:bookmarkStart w:id="101" w:name="_Toc435101082"/>
      <w:r>
        <w:rPr>
          <w:rStyle w:val="CharSClsNo"/>
          <w:sz w:val="24"/>
        </w:rPr>
        <w:t>4.9</w:t>
      </w:r>
      <w:r>
        <w:tab/>
      </w:r>
      <w:r>
        <w:rPr>
          <w:sz w:val="24"/>
        </w:rPr>
        <w:t>Relocation</w:t>
      </w:r>
      <w:bookmarkEnd w:id="100"/>
      <w:bookmarkEnd w:id="101"/>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102" w:name="_Toc383184800"/>
      <w:bookmarkStart w:id="103" w:name="_Toc435101083"/>
      <w:r>
        <w:rPr>
          <w:rStyle w:val="CharSClsNo"/>
          <w:sz w:val="24"/>
        </w:rPr>
        <w:t>4.10</w:t>
      </w:r>
      <w:r>
        <w:tab/>
      </w:r>
      <w:r>
        <w:rPr>
          <w:sz w:val="24"/>
        </w:rPr>
        <w:t>Termination of residence contract and fees payable on termination</w:t>
      </w:r>
      <w:bookmarkEnd w:id="102"/>
      <w:bookmarkEnd w:id="103"/>
    </w:p>
    <w:p>
      <w:pPr>
        <w:pStyle w:val="ySubsection"/>
        <w:keepNext/>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b w:val="0"/>
          <w:sz w:val="24"/>
        </w:rPr>
      </w:pPr>
      <w:bookmarkStart w:id="104" w:name="_Toc383184801"/>
      <w:bookmarkStart w:id="105" w:name="_Toc435101084"/>
      <w:r>
        <w:rPr>
          <w:rStyle w:val="CharSClsNo"/>
          <w:sz w:val="24"/>
        </w:rPr>
        <w:t>4.11</w:t>
      </w:r>
      <w:r>
        <w:rPr>
          <w:sz w:val="24"/>
        </w:rPr>
        <w:tab/>
        <w:t xml:space="preserve">Residence contract to refer to this Code and the </w:t>
      </w:r>
      <w:r>
        <w:rPr>
          <w:i/>
          <w:sz w:val="24"/>
        </w:rPr>
        <w:t>Retirement Villages Act 1992</w:t>
      </w:r>
      <w:bookmarkEnd w:id="104"/>
      <w:bookmarkEnd w:id="105"/>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106" w:name="_Toc383166208"/>
      <w:bookmarkStart w:id="107" w:name="_Toc383172906"/>
      <w:bookmarkStart w:id="108" w:name="_Toc383173024"/>
      <w:bookmarkStart w:id="109" w:name="_Toc383184603"/>
      <w:bookmarkStart w:id="110" w:name="_Toc383184682"/>
      <w:bookmarkStart w:id="111" w:name="_Toc383184802"/>
      <w:bookmarkStart w:id="112" w:name="_Toc426551686"/>
      <w:bookmarkStart w:id="113" w:name="_Toc426551820"/>
      <w:bookmarkStart w:id="114" w:name="_Toc435101085"/>
      <w:r>
        <w:rPr>
          <w:rStyle w:val="CharSDivNo"/>
        </w:rPr>
        <w:t>Division 5</w:t>
      </w:r>
      <w:r>
        <w:t> — </w:t>
      </w:r>
      <w:r>
        <w:rPr>
          <w:rStyle w:val="CharSDivText"/>
        </w:rPr>
        <w:t>Village management</w:t>
      </w:r>
      <w:bookmarkEnd w:id="106"/>
      <w:bookmarkEnd w:id="107"/>
      <w:bookmarkEnd w:id="108"/>
      <w:bookmarkEnd w:id="109"/>
      <w:bookmarkEnd w:id="110"/>
      <w:bookmarkEnd w:id="111"/>
      <w:bookmarkEnd w:id="112"/>
      <w:bookmarkEnd w:id="113"/>
      <w:bookmarkEnd w:id="114"/>
    </w:p>
    <w:p>
      <w:pPr>
        <w:pStyle w:val="yHeading5"/>
      </w:pPr>
      <w:bookmarkStart w:id="115" w:name="_Toc383184803"/>
      <w:bookmarkStart w:id="116" w:name="_Toc435101086"/>
      <w:r>
        <w:rPr>
          <w:rStyle w:val="CharSClsNo"/>
          <w:sz w:val="24"/>
        </w:rPr>
        <w:t>5.1</w:t>
      </w:r>
      <w:r>
        <w:tab/>
      </w:r>
      <w:r>
        <w:rPr>
          <w:sz w:val="24"/>
        </w:rPr>
        <w:t>Interpretation</w:t>
      </w:r>
      <w:bookmarkEnd w:id="115"/>
      <w:bookmarkEnd w:id="116"/>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117" w:name="_Toc383184804"/>
      <w:bookmarkStart w:id="118" w:name="_Toc435101087"/>
      <w:r>
        <w:rPr>
          <w:rStyle w:val="CharSClsNo"/>
          <w:sz w:val="24"/>
        </w:rPr>
        <w:t>5.2</w:t>
      </w:r>
      <w:r>
        <w:tab/>
      </w:r>
      <w:r>
        <w:rPr>
          <w:sz w:val="24"/>
        </w:rPr>
        <w:t>Management procedures and resident consultation</w:t>
      </w:r>
      <w:bookmarkEnd w:id="117"/>
      <w:bookmarkEnd w:id="118"/>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widowControl w:val="0"/>
        <w:spacing w:before="160"/>
      </w:pPr>
      <w:bookmarkStart w:id="119" w:name="_Toc383184805"/>
      <w:bookmarkStart w:id="120" w:name="_Toc435101088"/>
      <w:r>
        <w:rPr>
          <w:rStyle w:val="CharSClsNo"/>
          <w:sz w:val="24"/>
        </w:rPr>
        <w:t>5.3</w:t>
      </w:r>
      <w:r>
        <w:tab/>
      </w:r>
      <w:r>
        <w:rPr>
          <w:sz w:val="24"/>
        </w:rPr>
        <w:t>Village operating budget</w:t>
      </w:r>
      <w:bookmarkEnd w:id="119"/>
      <w:bookmarkEnd w:id="120"/>
    </w:p>
    <w:p>
      <w:pPr>
        <w:pStyle w:val="ySubsection"/>
        <w:keepNext/>
        <w:keepLines/>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keepNext/>
        <w:rPr>
          <w:sz w:val="24"/>
        </w:rPr>
      </w:pPr>
      <w:r>
        <w:rPr>
          <w:sz w:val="24"/>
        </w:rPr>
        <w:tab/>
        <w:t>(a)</w:t>
      </w:r>
      <w:r>
        <w:rPr>
          <w:sz w:val="24"/>
        </w:rPr>
        <w:tab/>
        <w:t>a proposed operating budget for the next financial year of the retirement village;</w:t>
      </w:r>
    </w:p>
    <w:p>
      <w:pPr>
        <w:pStyle w:val="yIndenta"/>
        <w:keepNext/>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121" w:name="_Toc383184806"/>
      <w:bookmarkStart w:id="122" w:name="_Toc435101089"/>
      <w:r>
        <w:rPr>
          <w:rStyle w:val="CharSClsNo"/>
          <w:sz w:val="24"/>
        </w:rPr>
        <w:t>5.4</w:t>
      </w:r>
      <w:r>
        <w:tab/>
      </w:r>
      <w:r>
        <w:rPr>
          <w:sz w:val="24"/>
        </w:rPr>
        <w:t>Quarterly operating income and expenditure statements</w:t>
      </w:r>
      <w:bookmarkEnd w:id="121"/>
      <w:bookmarkEnd w:id="122"/>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123" w:name="_Toc383184807"/>
      <w:bookmarkStart w:id="124" w:name="_Toc435101090"/>
      <w:r>
        <w:rPr>
          <w:rStyle w:val="CharSClsNo"/>
          <w:sz w:val="24"/>
        </w:rPr>
        <w:t>5.5</w:t>
      </w:r>
      <w:r>
        <w:tab/>
      </w:r>
      <w:r>
        <w:rPr>
          <w:sz w:val="24"/>
        </w:rPr>
        <w:t>Annual accounts</w:t>
      </w:r>
      <w:bookmarkEnd w:id="123"/>
      <w:bookmarkEnd w:id="124"/>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125" w:name="_Toc383184808"/>
      <w:bookmarkStart w:id="126" w:name="_Toc435101091"/>
      <w:r>
        <w:rPr>
          <w:rStyle w:val="CharSClsNo"/>
          <w:sz w:val="24"/>
        </w:rPr>
        <w:t>5.6</w:t>
      </w:r>
      <w:r>
        <w:tab/>
      </w:r>
      <w:r>
        <w:rPr>
          <w:sz w:val="24"/>
        </w:rPr>
        <w:t>Budget surplus</w:t>
      </w:r>
      <w:bookmarkEnd w:id="125"/>
      <w:bookmarkEnd w:id="126"/>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127" w:name="_Toc383184809"/>
      <w:bookmarkStart w:id="128" w:name="_Toc435101092"/>
      <w:r>
        <w:rPr>
          <w:rStyle w:val="CharSClsNo"/>
          <w:sz w:val="24"/>
        </w:rPr>
        <w:t>5.7</w:t>
      </w:r>
      <w:r>
        <w:tab/>
      </w:r>
      <w:r>
        <w:rPr>
          <w:sz w:val="24"/>
        </w:rPr>
        <w:t>Marketing of residential premises</w:t>
      </w:r>
      <w:bookmarkEnd w:id="127"/>
      <w:bookmarkEnd w:id="128"/>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129" w:name="_Toc383184810"/>
      <w:bookmarkStart w:id="130" w:name="_Toc435101093"/>
      <w:r>
        <w:rPr>
          <w:rStyle w:val="CharSClsNo"/>
          <w:sz w:val="24"/>
        </w:rPr>
        <w:t>5.8</w:t>
      </w:r>
      <w:r>
        <w:tab/>
      </w:r>
      <w:r>
        <w:rPr>
          <w:sz w:val="24"/>
        </w:rPr>
        <w:t>Repair and refurbishment of residential premises</w:t>
      </w:r>
      <w:bookmarkEnd w:id="129"/>
      <w:bookmarkEnd w:id="130"/>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131" w:name="_Toc383184811"/>
      <w:bookmarkStart w:id="132" w:name="_Toc435101094"/>
      <w:r>
        <w:rPr>
          <w:rStyle w:val="CharSClsNo"/>
          <w:sz w:val="24"/>
        </w:rPr>
        <w:t>5.9</w:t>
      </w:r>
      <w:r>
        <w:tab/>
      </w:r>
      <w:r>
        <w:rPr>
          <w:sz w:val="24"/>
        </w:rPr>
        <w:t>Residence rules</w:t>
      </w:r>
      <w:bookmarkEnd w:id="131"/>
      <w:bookmarkEnd w:id="132"/>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r>
        <w:rPr>
          <w:sz w:val="24"/>
        </w:rPr>
        <w:t>.</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133" w:name="_Toc383184812"/>
      <w:bookmarkStart w:id="134" w:name="_Toc435101095"/>
      <w:r>
        <w:rPr>
          <w:rStyle w:val="CharSClsNo"/>
          <w:sz w:val="24"/>
        </w:rPr>
        <w:t>5.10</w:t>
      </w:r>
      <w:r>
        <w:tab/>
      </w:r>
      <w:r>
        <w:rPr>
          <w:sz w:val="24"/>
        </w:rPr>
        <w:t>Residents’ committee</w:t>
      </w:r>
      <w:bookmarkEnd w:id="133"/>
      <w:bookmarkEnd w:id="134"/>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135" w:name="_Toc383184813"/>
      <w:bookmarkStart w:id="136" w:name="_Toc435101096"/>
      <w:r>
        <w:rPr>
          <w:rStyle w:val="CharSClsNo"/>
          <w:sz w:val="24"/>
        </w:rPr>
        <w:t>5.11</w:t>
      </w:r>
      <w:r>
        <w:tab/>
      </w:r>
      <w:r>
        <w:rPr>
          <w:sz w:val="24"/>
        </w:rPr>
        <w:t>Residents’ meetings</w:t>
      </w:r>
      <w:bookmarkEnd w:id="135"/>
      <w:bookmarkEnd w:id="136"/>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keepNext/>
        <w:keepLines/>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137" w:name="_Toc383184814"/>
      <w:bookmarkStart w:id="138" w:name="_Toc435101097"/>
      <w:r>
        <w:rPr>
          <w:rStyle w:val="CharSClsNo"/>
          <w:sz w:val="24"/>
        </w:rPr>
        <w:t>5.12</w:t>
      </w:r>
      <w:r>
        <w:tab/>
      </w:r>
      <w:r>
        <w:rPr>
          <w:sz w:val="24"/>
        </w:rPr>
        <w:t>Proxy voting</w:t>
      </w:r>
      <w:bookmarkEnd w:id="137"/>
      <w:bookmarkEnd w:id="138"/>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139" w:name="_Toc383166221"/>
      <w:bookmarkStart w:id="140" w:name="_Toc383172919"/>
      <w:bookmarkStart w:id="141" w:name="_Toc383173037"/>
      <w:bookmarkStart w:id="142" w:name="_Toc383184616"/>
      <w:bookmarkStart w:id="143" w:name="_Toc383184695"/>
      <w:bookmarkStart w:id="144" w:name="_Toc383184815"/>
      <w:bookmarkStart w:id="145" w:name="_Toc426551699"/>
      <w:bookmarkStart w:id="146" w:name="_Toc426551833"/>
      <w:bookmarkStart w:id="147" w:name="_Toc435101098"/>
      <w:r>
        <w:rPr>
          <w:rStyle w:val="CharSDivNo"/>
        </w:rPr>
        <w:t>Division 6</w:t>
      </w:r>
      <w:r>
        <w:t> — </w:t>
      </w:r>
      <w:r>
        <w:rPr>
          <w:rStyle w:val="CharSDivText"/>
        </w:rPr>
        <w:t>Dispute resolution</w:t>
      </w:r>
      <w:bookmarkEnd w:id="139"/>
      <w:bookmarkEnd w:id="140"/>
      <w:bookmarkEnd w:id="141"/>
      <w:bookmarkEnd w:id="142"/>
      <w:bookmarkEnd w:id="143"/>
      <w:bookmarkEnd w:id="144"/>
      <w:bookmarkEnd w:id="145"/>
      <w:bookmarkEnd w:id="146"/>
      <w:bookmarkEnd w:id="147"/>
    </w:p>
    <w:p>
      <w:pPr>
        <w:pStyle w:val="yHeading5"/>
        <w:spacing w:before="160"/>
      </w:pPr>
      <w:bookmarkStart w:id="148" w:name="_Toc383184816"/>
      <w:bookmarkStart w:id="149" w:name="_Toc435101099"/>
      <w:r>
        <w:rPr>
          <w:rStyle w:val="CharSClsNo"/>
          <w:sz w:val="24"/>
        </w:rPr>
        <w:t>6.1</w:t>
      </w:r>
      <w:r>
        <w:tab/>
      </w:r>
      <w:r>
        <w:rPr>
          <w:sz w:val="24"/>
        </w:rPr>
        <w:t>Interpretation</w:t>
      </w:r>
      <w:bookmarkEnd w:id="148"/>
      <w:bookmarkEnd w:id="149"/>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150" w:name="_Toc383184817"/>
      <w:bookmarkStart w:id="151" w:name="_Toc435101100"/>
      <w:r>
        <w:rPr>
          <w:rStyle w:val="CharSClsNo"/>
          <w:sz w:val="24"/>
        </w:rPr>
        <w:t>6.2</w:t>
      </w:r>
      <w:r>
        <w:tab/>
      </w:r>
      <w:r>
        <w:rPr>
          <w:sz w:val="24"/>
        </w:rPr>
        <w:t>Village dispute process</w:t>
      </w:r>
      <w:bookmarkEnd w:id="150"/>
      <w:bookmarkEnd w:id="151"/>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152" w:name="_Toc383184818"/>
      <w:bookmarkStart w:id="153" w:name="_Toc435101101"/>
      <w:r>
        <w:rPr>
          <w:rStyle w:val="CharSClsNo"/>
          <w:sz w:val="24"/>
        </w:rPr>
        <w:t>6.3</w:t>
      </w:r>
      <w:r>
        <w:tab/>
      </w:r>
      <w:r>
        <w:rPr>
          <w:sz w:val="24"/>
        </w:rPr>
        <w:t>Mediation of dispute</w:t>
      </w:r>
      <w:bookmarkEnd w:id="152"/>
      <w:bookmarkEnd w:id="153"/>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keepNext/>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spacing w:before="180"/>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spacing w:before="180"/>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spacing w:before="180"/>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spacing w:before="180"/>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spacing w:before="180"/>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spacing w:before="180"/>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154" w:name="_Toc383166225"/>
      <w:bookmarkStart w:id="155" w:name="_Toc383172923"/>
      <w:bookmarkStart w:id="156" w:name="_Toc383173041"/>
      <w:bookmarkStart w:id="157" w:name="_Toc383184620"/>
      <w:bookmarkStart w:id="158" w:name="_Toc383184699"/>
      <w:bookmarkStart w:id="159" w:name="_Toc383184819"/>
      <w:bookmarkStart w:id="160" w:name="_Toc426551703"/>
      <w:bookmarkStart w:id="161" w:name="_Toc426551837"/>
      <w:bookmarkStart w:id="162" w:name="_Toc435101102"/>
      <w:r>
        <w:rPr>
          <w:rStyle w:val="CharSDivNo"/>
        </w:rPr>
        <w:t>Division 7</w:t>
      </w:r>
      <w:r>
        <w:t> — </w:t>
      </w:r>
      <w:r>
        <w:rPr>
          <w:rStyle w:val="CharSDivText"/>
        </w:rPr>
        <w:t>Termination of residence contracts</w:t>
      </w:r>
      <w:bookmarkEnd w:id="154"/>
      <w:bookmarkEnd w:id="155"/>
      <w:bookmarkEnd w:id="156"/>
      <w:bookmarkEnd w:id="157"/>
      <w:bookmarkEnd w:id="158"/>
      <w:bookmarkEnd w:id="159"/>
      <w:bookmarkEnd w:id="160"/>
      <w:bookmarkEnd w:id="161"/>
      <w:bookmarkEnd w:id="162"/>
    </w:p>
    <w:p>
      <w:pPr>
        <w:pStyle w:val="yHeading5"/>
        <w:spacing w:before="160"/>
        <w:rPr>
          <w:sz w:val="24"/>
        </w:rPr>
      </w:pPr>
      <w:bookmarkStart w:id="163" w:name="_Toc383184820"/>
      <w:bookmarkStart w:id="164" w:name="_Toc435101103"/>
      <w:r>
        <w:rPr>
          <w:rStyle w:val="CharSClsNo"/>
          <w:sz w:val="24"/>
        </w:rPr>
        <w:t>7.1</w:t>
      </w:r>
      <w:r>
        <w:rPr>
          <w:sz w:val="24"/>
        </w:rPr>
        <w:tab/>
        <w:t>Notice of intention to terminate</w:t>
      </w:r>
      <w:bookmarkEnd w:id="163"/>
      <w:bookmarkEnd w:id="164"/>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1992</w:t>
      </w:r>
      <w:r>
        <w:rPr>
          <w:sz w:val="24"/>
          <w:szCs w:val="24"/>
        </w:rPr>
        <w:t xml:space="preserve"> Part 4 Division 5, an administering body may apply to the State Administrative Tribunal to terminate a residence contract on the grounds that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resident’s physical or mental health is such as to make the residential premises unsuitable for occupation by the resident (section 58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 has breached the residence contract or the residence rules and has failed to rectify that breach (section 59 of the Act);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restrains the administering body from transferring the resident to another kind of accommodation in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 xml:space="preserve">requires the resident to transfer, or the administering body to transfer the resident, to another kind of accommodation in the village; or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within 7 days of the succeeding resident taking occupation of the residential premises; or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 w:val="24"/>
          <w:szCs w:val="24"/>
        </w:rPr>
      </w:pPr>
      <w:r>
        <w:rPr>
          <w:rFonts w:ascii="Symbol" w:hAnsi="Symbol"/>
          <w:sz w:val="24"/>
          <w:szCs w:val="24"/>
        </w:rPr>
        <w:t></w:t>
      </w:r>
      <w:r>
        <w:rPr>
          <w:rFonts w:ascii="Symbol" w:hAnsi="Symbol"/>
          <w:sz w:val="24"/>
          <w:szCs w:val="24"/>
        </w:rPr>
        <w:tab/>
      </w:r>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facility provides a residential care service to a person under the </w:t>
      </w:r>
      <w:r>
        <w:rPr>
          <w:i/>
          <w:sz w:val="24"/>
          <w:szCs w:val="24"/>
        </w:rPr>
        <w:t>Aged Care Act 1997</w:t>
      </w:r>
      <w:r>
        <w:rPr>
          <w:sz w:val="24"/>
          <w:szCs w:val="24"/>
        </w:rPr>
        <w:t xml:space="preserve"> (Cwlth), Subdivision 57</w:t>
      </w:r>
      <w:r>
        <w:rPr>
          <w:sz w:val="24"/>
          <w:szCs w:val="24"/>
        </w:rPr>
        <w:noBreakHyphen/>
        <w:t>G of that Act will determine the period within which the refund of any entry payment made by the person for the provision of the service is to be paid.</w:t>
      </w:r>
    </w:p>
    <w:p>
      <w:pPr>
        <w:pStyle w:val="yHeading3"/>
      </w:pPr>
      <w:bookmarkStart w:id="165" w:name="_Toc383166227"/>
      <w:bookmarkStart w:id="166" w:name="_Toc383172925"/>
      <w:bookmarkStart w:id="167" w:name="_Toc383173043"/>
      <w:bookmarkStart w:id="168" w:name="_Toc383184622"/>
      <w:bookmarkStart w:id="169" w:name="_Toc383184701"/>
      <w:bookmarkStart w:id="170" w:name="_Toc383184821"/>
      <w:bookmarkStart w:id="171" w:name="_Toc426551705"/>
      <w:bookmarkStart w:id="172" w:name="_Toc426551839"/>
      <w:bookmarkStart w:id="173" w:name="_Toc435101104"/>
      <w:r>
        <w:rPr>
          <w:rStyle w:val="CharSDivNo"/>
        </w:rPr>
        <w:t>Division 8</w:t>
      </w:r>
      <w:r>
        <w:t> — </w:t>
      </w:r>
      <w:r>
        <w:rPr>
          <w:rStyle w:val="CharSDivText"/>
        </w:rPr>
        <w:t>Miscellaneous</w:t>
      </w:r>
      <w:bookmarkEnd w:id="165"/>
      <w:bookmarkEnd w:id="166"/>
      <w:bookmarkEnd w:id="167"/>
      <w:bookmarkEnd w:id="168"/>
      <w:bookmarkEnd w:id="169"/>
      <w:bookmarkEnd w:id="170"/>
      <w:bookmarkEnd w:id="171"/>
      <w:bookmarkEnd w:id="172"/>
      <w:bookmarkEnd w:id="173"/>
    </w:p>
    <w:p>
      <w:pPr>
        <w:pStyle w:val="yHeading5"/>
        <w:spacing w:before="160"/>
        <w:rPr>
          <w:sz w:val="24"/>
        </w:rPr>
      </w:pPr>
      <w:bookmarkStart w:id="174" w:name="_Toc383184822"/>
      <w:bookmarkStart w:id="175" w:name="_Toc435101105"/>
      <w:r>
        <w:rPr>
          <w:rStyle w:val="CharSClsNo"/>
          <w:sz w:val="24"/>
        </w:rPr>
        <w:t>8.1</w:t>
      </w:r>
      <w:r>
        <w:rPr>
          <w:sz w:val="24"/>
        </w:rPr>
        <w:tab/>
        <w:t>Service of documents</w:t>
      </w:r>
      <w:bookmarkEnd w:id="174"/>
      <w:bookmarkEnd w:id="175"/>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176" w:name="_Toc383166229"/>
      <w:bookmarkStart w:id="177" w:name="_Toc383172927"/>
      <w:bookmarkStart w:id="178" w:name="_Toc383173045"/>
      <w:bookmarkStart w:id="179" w:name="_Toc383184624"/>
      <w:bookmarkStart w:id="180" w:name="_Toc383184703"/>
      <w:bookmarkStart w:id="181" w:name="_Toc383184823"/>
      <w:bookmarkStart w:id="182" w:name="_Toc426551707"/>
      <w:bookmarkStart w:id="183" w:name="_Toc426551841"/>
      <w:bookmarkStart w:id="184" w:name="_Toc435101106"/>
      <w:r>
        <w:rPr>
          <w:rStyle w:val="CharSchNo"/>
        </w:rPr>
        <w:t>Appendix 1</w:t>
      </w:r>
      <w:r>
        <w:rPr>
          <w:rStyle w:val="CharSDivNo"/>
        </w:rPr>
        <w:t> </w:t>
      </w:r>
      <w:r>
        <w:t>—</w:t>
      </w:r>
      <w:r>
        <w:rPr>
          <w:rStyle w:val="CharSDivText"/>
        </w:rPr>
        <w:t> </w:t>
      </w:r>
      <w:r>
        <w:rPr>
          <w:rStyle w:val="CharSchText"/>
        </w:rPr>
        <w:t>Checklist for prospective resident</w:t>
      </w:r>
      <w:bookmarkEnd w:id="176"/>
      <w:bookmarkEnd w:id="177"/>
      <w:bookmarkEnd w:id="178"/>
      <w:bookmarkEnd w:id="179"/>
      <w:bookmarkEnd w:id="180"/>
      <w:bookmarkEnd w:id="181"/>
      <w:bookmarkEnd w:id="182"/>
      <w:bookmarkEnd w:id="183"/>
      <w:bookmarkEnd w:id="184"/>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 Retirement Villages 2014</w:t>
      </w:r>
      <w:r>
        <w:rPr>
          <w:sz w:val="24"/>
          <w:szCs w:val="24"/>
        </w:rPr>
        <w:t xml:space="preserve"> and the </w:t>
      </w:r>
      <w:r>
        <w:rPr>
          <w:i/>
          <w:sz w:val="24"/>
          <w:szCs w:val="24"/>
        </w:rPr>
        <w:t>Retirement Villages Act 1992</w:t>
      </w:r>
      <w:r>
        <w:rPr>
          <w:sz w:val="24"/>
          <w:szCs w:val="24"/>
        </w:rPr>
        <w:t>?</w:t>
      </w:r>
    </w:p>
    <w:p>
      <w:pPr>
        <w:pStyle w:val="yScheduleHeading"/>
      </w:pPr>
      <w:bookmarkStart w:id="185" w:name="_Toc383166230"/>
      <w:bookmarkStart w:id="186" w:name="_Toc383172928"/>
      <w:bookmarkStart w:id="187" w:name="_Toc383173046"/>
      <w:bookmarkStart w:id="188" w:name="_Toc383184625"/>
      <w:bookmarkStart w:id="189" w:name="_Toc383184704"/>
      <w:bookmarkStart w:id="190" w:name="_Toc383184824"/>
      <w:bookmarkStart w:id="191" w:name="_Toc426551708"/>
      <w:bookmarkStart w:id="192" w:name="_Toc426551842"/>
      <w:bookmarkStart w:id="193" w:name="_Toc435101107"/>
      <w:r>
        <w:rPr>
          <w:rStyle w:val="CharSchNo"/>
        </w:rPr>
        <w:t>Appendix 2</w:t>
      </w:r>
      <w:r>
        <w:rPr>
          <w:rStyle w:val="CharSDivNo"/>
        </w:rPr>
        <w:t> </w:t>
      </w:r>
      <w:r>
        <w:t>—</w:t>
      </w:r>
      <w:r>
        <w:rPr>
          <w:rStyle w:val="CharSDivText"/>
        </w:rPr>
        <w:t> </w:t>
      </w:r>
      <w:r>
        <w:rPr>
          <w:rStyle w:val="CharSchText"/>
        </w:rPr>
        <w:t>Model proposed operating budget form</w:t>
      </w:r>
      <w:bookmarkEnd w:id="185"/>
      <w:bookmarkEnd w:id="186"/>
      <w:bookmarkEnd w:id="187"/>
      <w:bookmarkEnd w:id="188"/>
      <w:bookmarkEnd w:id="189"/>
      <w:bookmarkEnd w:id="190"/>
      <w:bookmarkEnd w:id="191"/>
      <w:bookmarkEnd w:id="192"/>
      <w:bookmarkEnd w:id="193"/>
    </w:p>
    <w:p>
      <w:pPr>
        <w:pStyle w:val="yShoulderClause"/>
      </w:pPr>
      <w:r>
        <w:t>[cl. 5.3(4)]</w:t>
      </w:r>
    </w:p>
    <w:p>
      <w:pPr>
        <w:pStyle w:val="yMiscellaneousHeading"/>
      </w:pPr>
      <w:r>
        <w:t>.................................................. (</w:t>
      </w:r>
      <w:r>
        <w:rPr>
          <w:i/>
        </w:rPr>
        <w:t>insert name of village</w:t>
      </w:r>
      <w:r>
        <w:t>)</w:t>
      </w:r>
    </w:p>
    <w:p>
      <w:pPr>
        <w:pStyle w:val="yMiscellaneousHeading"/>
      </w:pPr>
      <w:r>
        <w:rPr>
          <w:b/>
        </w:rPr>
        <w:t xml:space="preserve">PROPOSED BUDGET FOR </w:t>
      </w:r>
      <w:r>
        <w:t>.............. (</w:t>
      </w:r>
      <w:r>
        <w:rPr>
          <w:i/>
        </w:rPr>
        <w:t>insert next year</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sz w:val="20"/>
              </w:rPr>
              <w:t>(</w:t>
            </w:r>
            <w:r>
              <w:rPr>
                <w:b/>
                <w:i/>
                <w:sz w:val="20"/>
              </w:rPr>
              <w:t>insert current year</w:t>
            </w:r>
            <w:r>
              <w:rPr>
                <w:b/>
                <w:sz w:val="20"/>
              </w:rPr>
              <w:t>)</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sz w:val="20"/>
              </w:rPr>
              <w:t>(</w:t>
            </w:r>
            <w:r>
              <w:rPr>
                <w:b/>
                <w:i/>
                <w:sz w:val="20"/>
              </w:rPr>
              <w:t>insert current year</w:t>
            </w:r>
            <w:r>
              <w:rPr>
                <w:b/>
                <w:sz w:val="20"/>
              </w:rPr>
              <w:t>)</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sz w:val="20"/>
              </w:rPr>
              <w:t>(</w:t>
            </w:r>
            <w:r>
              <w:rPr>
                <w:b/>
                <w:i/>
                <w:sz w:val="20"/>
              </w:rPr>
              <w:t>insert next year</w:t>
            </w:r>
            <w:r>
              <w:rPr>
                <w:b/>
                <w:sz w:val="20"/>
              </w:rPr>
              <w:t>)</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t>(</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pPr>
      <w:r>
        <w:t>(</w:t>
      </w:r>
      <w:r>
        <w:rPr>
          <w:i/>
        </w:rPr>
        <w:t>specify the method or calculation used to apportion the expenditure</w:t>
      </w:r>
      <w:r>
        <w:t>)</w:t>
      </w:r>
    </w:p>
    <w:p>
      <w:pPr>
        <w:pStyle w:val="yScheduleHeading"/>
      </w:pPr>
      <w:bookmarkStart w:id="194" w:name="_Toc383166231"/>
      <w:bookmarkStart w:id="195" w:name="_Toc383172929"/>
      <w:bookmarkStart w:id="196" w:name="_Toc383173047"/>
      <w:bookmarkStart w:id="197" w:name="_Toc383184626"/>
      <w:bookmarkStart w:id="198" w:name="_Toc383184705"/>
      <w:bookmarkStart w:id="199" w:name="_Toc383184825"/>
      <w:bookmarkStart w:id="200" w:name="_Toc426551709"/>
      <w:bookmarkStart w:id="201" w:name="_Toc426551843"/>
      <w:bookmarkStart w:id="202" w:name="_Toc435101108"/>
      <w:r>
        <w:rPr>
          <w:rStyle w:val="CharSchNo"/>
        </w:rPr>
        <w:t>Appendix 3</w:t>
      </w:r>
      <w:r>
        <w:rPr>
          <w:rStyle w:val="CharSDivNo"/>
        </w:rPr>
        <w:t> </w:t>
      </w:r>
      <w:r>
        <w:t>—</w:t>
      </w:r>
      <w:r>
        <w:rPr>
          <w:rStyle w:val="CharSDivText"/>
        </w:rPr>
        <w:t> </w:t>
      </w:r>
      <w:r>
        <w:rPr>
          <w:rStyle w:val="CharSchText"/>
        </w:rPr>
        <w:t>Model quarterly income and expenditure statement</w:t>
      </w:r>
      <w:bookmarkEnd w:id="194"/>
      <w:bookmarkEnd w:id="195"/>
      <w:bookmarkEnd w:id="196"/>
      <w:bookmarkEnd w:id="197"/>
      <w:bookmarkEnd w:id="198"/>
      <w:bookmarkEnd w:id="199"/>
      <w:bookmarkEnd w:id="200"/>
      <w:bookmarkEnd w:id="201"/>
      <w:bookmarkEnd w:id="202"/>
    </w:p>
    <w:p>
      <w:pPr>
        <w:pStyle w:val="yShoulderClause"/>
      </w:pPr>
      <w:r>
        <w:t>[cl. 5.4(2)]</w:t>
      </w:r>
    </w:p>
    <w:p>
      <w:pPr>
        <w:pStyle w:val="yMiscellaneousHeading"/>
        <w:keepNext w:val="0"/>
        <w:rPr>
          <w:b/>
        </w:rPr>
      </w:pPr>
      <w:r>
        <w:rPr>
          <w:b/>
        </w:rPr>
        <w:t>..................................................</w:t>
      </w:r>
      <w:r>
        <w:t xml:space="preserve"> (</w:t>
      </w:r>
      <w:r>
        <w:rPr>
          <w:i/>
        </w:rPr>
        <w:t>insert name of village</w:t>
      </w:r>
      <w:r>
        <w:t>)</w:t>
      </w:r>
    </w:p>
    <w:p>
      <w:pPr>
        <w:pStyle w:val="yMiscellaneousHeading"/>
        <w:keepNext w:val="0"/>
        <w:rPr>
          <w:b/>
        </w:rPr>
      </w:pPr>
      <w:r>
        <w:rPr>
          <w:b/>
        </w:rPr>
        <w:t xml:space="preserve">INCOME AND EXPENDITURE STATEMENT FOR QUARTER ENDED ................. </w:t>
      </w:r>
      <w:r>
        <w:t>(</w:t>
      </w:r>
      <w:r>
        <w:rPr>
          <w:i/>
        </w:rPr>
        <w:t>insert date</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ScheduleHeading"/>
      </w:pPr>
      <w:bookmarkStart w:id="203" w:name="_Toc383166232"/>
      <w:bookmarkStart w:id="204" w:name="_Toc383172930"/>
      <w:bookmarkStart w:id="205" w:name="_Toc383173048"/>
      <w:bookmarkStart w:id="206" w:name="_Toc383184627"/>
      <w:bookmarkStart w:id="207" w:name="_Toc383184706"/>
      <w:bookmarkStart w:id="208" w:name="_Toc383184826"/>
      <w:bookmarkStart w:id="209" w:name="_Toc426551710"/>
      <w:bookmarkStart w:id="210" w:name="_Toc426551844"/>
      <w:bookmarkStart w:id="211" w:name="_Toc435101109"/>
      <w:r>
        <w:rPr>
          <w:rStyle w:val="CharSchNo"/>
        </w:rPr>
        <w:t>Appendix 4</w:t>
      </w:r>
      <w:r>
        <w:rPr>
          <w:rStyle w:val="CharSDivNo"/>
        </w:rPr>
        <w:t> </w:t>
      </w:r>
      <w:r>
        <w:t>—</w:t>
      </w:r>
      <w:r>
        <w:rPr>
          <w:rStyle w:val="CharSDivText"/>
        </w:rPr>
        <w:t> </w:t>
      </w:r>
      <w:r>
        <w:rPr>
          <w:rStyle w:val="CharSchText"/>
        </w:rPr>
        <w:t>Model reserve fund quarterly income and expenditure statement</w:t>
      </w:r>
      <w:bookmarkEnd w:id="203"/>
      <w:bookmarkEnd w:id="204"/>
      <w:bookmarkEnd w:id="205"/>
      <w:bookmarkEnd w:id="206"/>
      <w:bookmarkEnd w:id="207"/>
      <w:bookmarkEnd w:id="208"/>
      <w:bookmarkEnd w:id="209"/>
      <w:bookmarkEnd w:id="210"/>
      <w:bookmarkEnd w:id="211"/>
    </w:p>
    <w:p>
      <w:pPr>
        <w:pStyle w:val="yShoulderClause"/>
      </w:pPr>
      <w:r>
        <w:t>[cl. 5.4(2)]</w:t>
      </w:r>
    </w:p>
    <w:p>
      <w:pPr>
        <w:pStyle w:val="yMiscellaneousHeading"/>
        <w:keepNext w:val="0"/>
        <w:rPr>
          <w:b/>
        </w:rPr>
      </w:pPr>
      <w:r>
        <w:rPr>
          <w:b/>
        </w:rPr>
        <w:t>..................................................</w:t>
      </w:r>
      <w:r>
        <w:t xml:space="preserve"> (</w:t>
      </w:r>
      <w:r>
        <w:rPr>
          <w:i/>
        </w:rPr>
        <w:t>insert name of village</w:t>
      </w:r>
      <w:r>
        <w:t>)</w:t>
      </w:r>
    </w:p>
    <w:p>
      <w:pPr>
        <w:pStyle w:val="yMiscellaneousHeading"/>
        <w:spacing w:after="120"/>
        <w:rPr>
          <w:b/>
        </w:rPr>
      </w:pPr>
      <w:r>
        <w:rPr>
          <w:b/>
        </w:rPr>
        <w:t xml:space="preserve">RESERVE FUND INCOME AND EXPENDITURE STATEMENT FOR QUARTER ENDED ................. </w:t>
      </w:r>
      <w:r>
        <w:t>(</w:t>
      </w:r>
      <w:r>
        <w:rPr>
          <w:i/>
        </w:rPr>
        <w:t>insert date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Other (</w:t>
            </w:r>
            <w:r>
              <w:rPr>
                <w:i/>
              </w:rPr>
              <w:t>insert as appropriate</w:t>
            </w:r>
            <w:r>
              <w:t>)</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bl>
    <w:p>
      <w:pPr>
        <w:pStyle w:val="yScheduleHeading"/>
      </w:pPr>
      <w:bookmarkStart w:id="212" w:name="_Toc383166233"/>
      <w:bookmarkStart w:id="213" w:name="_Toc383172931"/>
      <w:bookmarkStart w:id="214" w:name="_Toc383173049"/>
      <w:bookmarkStart w:id="215" w:name="_Toc383184628"/>
      <w:bookmarkStart w:id="216" w:name="_Toc383184707"/>
      <w:bookmarkStart w:id="217" w:name="_Toc383184827"/>
      <w:bookmarkStart w:id="218" w:name="_Toc426551711"/>
      <w:bookmarkStart w:id="219" w:name="_Toc426551845"/>
      <w:bookmarkStart w:id="220" w:name="_Toc435101110"/>
      <w:r>
        <w:rPr>
          <w:rStyle w:val="CharSchNo"/>
        </w:rPr>
        <w:t>Appendix 5</w:t>
      </w:r>
      <w:r>
        <w:rPr>
          <w:rStyle w:val="CharSDivNo"/>
        </w:rPr>
        <w:t> </w:t>
      </w:r>
      <w:r>
        <w:t>—</w:t>
      </w:r>
      <w:r>
        <w:rPr>
          <w:rStyle w:val="CharSDivText"/>
        </w:rPr>
        <w:t> </w:t>
      </w:r>
      <w:r>
        <w:rPr>
          <w:rStyle w:val="CharSchText"/>
        </w:rPr>
        <w:t>Form of appointment of proxy</w:t>
      </w:r>
      <w:bookmarkEnd w:id="212"/>
      <w:bookmarkEnd w:id="213"/>
      <w:bookmarkEnd w:id="214"/>
      <w:bookmarkEnd w:id="215"/>
      <w:bookmarkEnd w:id="216"/>
      <w:bookmarkEnd w:id="217"/>
      <w:bookmarkEnd w:id="218"/>
      <w:bookmarkEnd w:id="219"/>
      <w:bookmarkEnd w:id="220"/>
    </w:p>
    <w:p>
      <w:pPr>
        <w:pStyle w:val="yShoulderClause"/>
      </w:pPr>
      <w:r>
        <w:t>[cl. 5.12(7)]</w:t>
      </w:r>
    </w:p>
    <w:p>
      <w:pPr>
        <w:pStyle w:val="yMiscellaneousBody"/>
        <w:ind w:left="851" w:hanging="851"/>
        <w:rPr>
          <w:sz w:val="20"/>
        </w:rPr>
      </w:pPr>
      <w:r>
        <w:t>I, ......................................................</w:t>
      </w:r>
      <w:r>
        <w:br/>
      </w:r>
      <w:r>
        <w:rPr>
          <w:sz w:val="20"/>
        </w:rPr>
        <w:t>(</w:t>
      </w:r>
      <w:r>
        <w:rPr>
          <w:i/>
          <w:sz w:val="20"/>
        </w:rPr>
        <w:t>insert name</w:t>
      </w:r>
      <w:r>
        <w:rPr>
          <w:sz w:val="20"/>
        </w:rPr>
        <w:t>)</w:t>
      </w:r>
    </w:p>
    <w:p>
      <w:pPr>
        <w:pStyle w:val="yMiscellaneousBody"/>
        <w:ind w:left="4678" w:hanging="4678"/>
      </w:pPr>
      <w:r>
        <w:t xml:space="preserve">being a resident of / the personal representative of ................................... ,  </w:t>
      </w:r>
      <w:r>
        <w:rPr>
          <w:sz w:val="20"/>
        </w:rPr>
        <w:t>(</w:t>
      </w:r>
      <w:r>
        <w:rPr>
          <w:i/>
          <w:sz w:val="20"/>
        </w:rPr>
        <w:t>insert name of resident</w:t>
      </w:r>
      <w:r>
        <w:rPr>
          <w:sz w:val="20"/>
        </w:rPr>
        <w:t>)</w:t>
      </w:r>
    </w:p>
    <w:p>
      <w:pPr>
        <w:pStyle w:val="yMiscellaneousBody"/>
      </w:pPr>
      <w:r>
        <w:t xml:space="preserve">a resident of </w:t>
      </w:r>
      <w:r>
        <w:rPr>
          <w:sz w:val="20"/>
        </w:rPr>
        <w:t>(</w:t>
      </w:r>
      <w:r>
        <w:rPr>
          <w:i/>
          <w:sz w:val="20"/>
        </w:rPr>
        <w:t>delete whichever is not applicable</w:t>
      </w:r>
      <w:r>
        <w:rPr>
          <w:sz w:val="20"/>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20"/>
        </w:rPr>
        <w:t>(</w:t>
      </w:r>
      <w:r>
        <w:rPr>
          <w:i/>
          <w:sz w:val="20"/>
        </w:rPr>
        <w:t>insert address in village</w:t>
      </w:r>
      <w:r>
        <w:rPr>
          <w:sz w:val="20"/>
        </w:rPr>
        <w:t>)</w:t>
      </w:r>
    </w:p>
    <w:p>
      <w:pPr>
        <w:pStyle w:val="yMiscellaneousBody"/>
      </w:pPr>
      <w:r>
        <w:t>appoint</w:t>
      </w:r>
    </w:p>
    <w:p>
      <w:pPr>
        <w:pStyle w:val="yMiscellaneousBody"/>
        <w:spacing w:before="120"/>
        <w:ind w:left="426" w:hanging="426"/>
        <w:rPr>
          <w:sz w:val="20"/>
        </w:rPr>
      </w:pPr>
      <w:r>
        <w:t>........................................................</w:t>
      </w:r>
      <w:r>
        <w:br/>
      </w:r>
      <w:r>
        <w:rPr>
          <w:sz w:val="20"/>
        </w:rPr>
        <w:t>(</w:t>
      </w:r>
      <w:r>
        <w:rPr>
          <w:i/>
          <w:sz w:val="20"/>
        </w:rPr>
        <w:t>insert name of proxy holder</w:t>
      </w:r>
      <w:r>
        <w:rPr>
          <w:sz w:val="20"/>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20"/>
        </w:rPr>
        <w:t>(</w:t>
      </w:r>
      <w:r>
        <w:rPr>
          <w:i/>
          <w:sz w:val="20"/>
        </w:rPr>
        <w:t>insert address of proxy holder</w:t>
      </w:r>
      <w:r>
        <w:rPr>
          <w:sz w:val="20"/>
        </w:rPr>
        <w:t>)</w:t>
      </w:r>
    </w:p>
    <w:p>
      <w:pPr>
        <w:pStyle w:val="yMiscellaneousBody"/>
        <w:spacing w:before="120"/>
        <w:ind w:left="4962" w:hanging="4962"/>
        <w:rPr>
          <w:sz w:val="20"/>
        </w:rPr>
      </w:pPr>
      <w:r>
        <w:t>as my proxy to vote on my behalf at the meeting of residents on ....................</w:t>
      </w:r>
      <w:r>
        <w:br/>
      </w:r>
      <w:r>
        <w:rPr>
          <w:sz w:val="20"/>
        </w:rPr>
        <w:t>(</w:t>
      </w:r>
      <w:r>
        <w:rPr>
          <w:i/>
          <w:sz w:val="20"/>
        </w:rPr>
        <w:t>insert date of meeting</w:t>
      </w:r>
      <w:r>
        <w:rPr>
          <w:sz w:val="20"/>
        </w:rPr>
        <w:t>)</w:t>
      </w:r>
    </w:p>
    <w:p>
      <w:pPr>
        <w:pStyle w:val="yMiscellaneousBody"/>
        <w:spacing w:before="120"/>
      </w:pPr>
      <w:r>
        <w:t xml:space="preserve">I authorise my proxy to vote on my behalf in respect of </w:t>
      </w:r>
      <w:r>
        <w:rPr>
          <w:sz w:val="20"/>
        </w:rPr>
        <w:t>(</w:t>
      </w:r>
      <w:r>
        <w:rPr>
          <w:i/>
          <w:sz w:val="20"/>
        </w:rPr>
        <w:t>delete whichever is not applicable</w:t>
      </w:r>
      <w:r>
        <w:rPr>
          <w:sz w:val="20"/>
        </w:rPr>
        <w:t>)</w:t>
      </w:r>
      <w:r>
        <w:t xml:space="preserve"> — </w:t>
      </w:r>
    </w:p>
    <w:p>
      <w:pPr>
        <w:pStyle w:val="yMiscellaneousBody"/>
        <w:tabs>
          <w:tab w:val="left" w:pos="360"/>
        </w:tabs>
        <w:spacing w:before="120"/>
        <w:ind w:left="360" w:hanging="360"/>
      </w:pPr>
      <w:r>
        <w:rPr>
          <w:rFonts w:ascii="Symbol" w:hAnsi="Symbol"/>
        </w:rPr>
        <w:t></w:t>
      </w:r>
      <w:r>
        <w:rPr>
          <w:rFonts w:ascii="Symbol" w:hAnsi="Symbol"/>
        </w:rPr>
        <w:tab/>
      </w:r>
      <w:r>
        <w:t>All matters raised at the meeting that require, or provide for, a vote of the residents, at my proxy’s discretion.</w:t>
      </w:r>
    </w:p>
    <w:p>
      <w:pPr>
        <w:pStyle w:val="yMiscellaneousBody"/>
        <w:tabs>
          <w:tab w:val="left" w:pos="360"/>
        </w:tabs>
        <w:spacing w:before="120"/>
        <w:ind w:left="357" w:hanging="357"/>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sz w:val="20"/>
        </w:rPr>
      </w:pPr>
      <w:r>
        <w:t>...............................................................................................................</w:t>
      </w:r>
      <w:r>
        <w:br/>
      </w:r>
      <w:r>
        <w:rPr>
          <w:sz w:val="20"/>
        </w:rPr>
        <w:t>(</w:t>
      </w:r>
      <w:r>
        <w:rPr>
          <w:i/>
          <w:sz w:val="20"/>
        </w:rPr>
        <w:t xml:space="preserve">specify the matters and any limitations on the manner in which you want </w:t>
      </w:r>
      <w:r>
        <w:rPr>
          <w:i/>
          <w:sz w:val="20"/>
        </w:rPr>
        <w:br/>
      </w:r>
      <w:r>
        <w:rPr>
          <w:i/>
          <w:sz w:val="20"/>
        </w:rPr>
        <w:tab/>
        <w:t>your</w:t>
      </w:r>
      <w:r>
        <w:rPr>
          <w:i/>
        </w:rPr>
        <w:t> </w:t>
      </w:r>
      <w:r>
        <w:rPr>
          <w:i/>
          <w:sz w:val="20"/>
        </w:rPr>
        <w:t>proxy to vote</w:t>
      </w:r>
      <w:r>
        <w:rPr>
          <w:sz w:val="20"/>
        </w:rPr>
        <w:t>)</w:t>
      </w:r>
    </w:p>
    <w:p>
      <w:pPr>
        <w:pStyle w:val="yMiscellaneousBody"/>
        <w:spacing w:before="120"/>
        <w:rPr>
          <w:sz w:val="20"/>
        </w:rPr>
      </w:pPr>
      <w:r>
        <w:t>.........................................................................................</w:t>
      </w:r>
      <w:r>
        <w:br/>
        <w:t>Signature of resident / resident’s personal representative</w:t>
      </w:r>
      <w:r>
        <w:br/>
      </w:r>
      <w:r>
        <w:rPr>
          <w:sz w:val="20"/>
        </w:rPr>
        <w:tab/>
        <w:t>(</w:t>
      </w:r>
      <w:r>
        <w:rPr>
          <w:i/>
          <w:sz w:val="20"/>
        </w:rPr>
        <w:t>delete whichever is not applicable</w:t>
      </w:r>
      <w:r>
        <w:rPr>
          <w:sz w:val="20"/>
        </w:rPr>
        <w:t>)</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360"/>
        </w:tabs>
        <w:ind w:left="786" w:hanging="360"/>
      </w:pPr>
      <w:r>
        <w:rPr>
          <w:rFonts w:ascii="Symbol" w:hAnsi="Symbol"/>
        </w:rPr>
        <w:t></w:t>
      </w:r>
      <w:r>
        <w:rPr>
          <w:rFonts w:ascii="Symbol" w:hAnsi="Symbol"/>
        </w:rPr>
        <w:tab/>
      </w:r>
      <w:r>
        <w:t>the person appointed as the resident’s proxy; and</w:t>
      </w:r>
    </w:p>
    <w:p>
      <w:pPr>
        <w:pStyle w:val="yMiscellaneousBody"/>
        <w:tabs>
          <w:tab w:val="left" w:pos="360"/>
        </w:tabs>
        <w:ind w:left="786" w:hanging="360"/>
      </w:pPr>
      <w:r>
        <w:rPr>
          <w:rFonts w:ascii="Symbol" w:hAnsi="Symbol"/>
        </w:rPr>
        <w:t></w:t>
      </w:r>
      <w:r>
        <w:rPr>
          <w:rFonts w:ascii="Symbol" w:hAnsi="Symbol"/>
        </w:rPr>
        <w:tab/>
      </w:r>
      <w:r>
        <w:t>the chairperson of the meeting at which the proxy was to vote.</w:t>
      </w:r>
    </w:p>
    <w:p/>
    <w:p>
      <w:pPr>
        <w:sectPr>
          <w:headerReference w:type="even" r:id="rId30"/>
          <w:headerReference w:type="default" r:id="rId31"/>
          <w:foot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221" w:name="_Toc383166234"/>
      <w:bookmarkStart w:id="222" w:name="_Toc383172932"/>
      <w:bookmarkStart w:id="223" w:name="_Toc383173050"/>
      <w:bookmarkStart w:id="224" w:name="_Toc383184629"/>
      <w:bookmarkStart w:id="225" w:name="_Toc383184708"/>
      <w:bookmarkStart w:id="226" w:name="_Toc383184828"/>
      <w:bookmarkStart w:id="227" w:name="_Toc426551712"/>
      <w:bookmarkStart w:id="228" w:name="_Toc426551846"/>
      <w:bookmarkStart w:id="229" w:name="_Toc435101111"/>
      <w:r>
        <w:t>Notes</w:t>
      </w:r>
      <w:bookmarkEnd w:id="221"/>
      <w:bookmarkEnd w:id="222"/>
      <w:bookmarkEnd w:id="223"/>
      <w:bookmarkEnd w:id="224"/>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(Retirement Villages Interim Code) Regulations 2014</w:t>
      </w:r>
      <w:r>
        <w:rPr>
          <w:snapToGrid w:val="0"/>
        </w:rPr>
        <w:t xml:space="preserve">.  The following table contains information about those regulations. </w:t>
      </w:r>
    </w:p>
    <w:p>
      <w:pPr>
        <w:pStyle w:val="nHeading3"/>
      </w:pPr>
      <w:bookmarkStart w:id="230" w:name="_Toc383184829"/>
      <w:bookmarkStart w:id="231" w:name="_Toc435101112"/>
      <w:r>
        <w:t>Compilation table</w:t>
      </w:r>
      <w:bookmarkEnd w:id="230"/>
      <w:bookmarkEnd w:id="2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Fair Trading (Retirement Villages Interim Code) Regulations 2014</w:t>
            </w:r>
          </w:p>
        </w:tc>
        <w:tc>
          <w:tcPr>
            <w:tcW w:w="1276" w:type="dxa"/>
            <w:tcBorders>
              <w:bottom w:val="nil"/>
            </w:tcBorders>
          </w:tcPr>
          <w:p>
            <w:pPr>
              <w:pStyle w:val="nTable"/>
              <w:spacing w:after="40"/>
            </w:pPr>
            <w:r>
              <w:t>21 Mar 2014 p. 755</w:t>
            </w:r>
            <w:r>
              <w:noBreakHyphen/>
              <w:t>816</w:t>
            </w:r>
          </w:p>
        </w:tc>
        <w:tc>
          <w:tcPr>
            <w:tcW w:w="2693" w:type="dxa"/>
            <w:tcBorders>
              <w:bottom w:val="nil"/>
            </w:tcBorders>
          </w:tcPr>
          <w:p>
            <w:pPr>
              <w:pStyle w:val="nTable"/>
              <w:spacing w:after="40"/>
            </w:pPr>
            <w:r>
              <w:rPr>
                <w:rFonts w:ascii="Times" w:hAnsi="Times"/>
                <w:snapToGrid w:val="0"/>
              </w:rPr>
              <w:t>r. 1 and 2: 21 Mar 2014 (see r. 2(a));</w:t>
            </w:r>
            <w:r>
              <w:rPr>
                <w:rFonts w:ascii="Times" w:hAnsi="Times"/>
                <w:snapToGrid w:val="0"/>
              </w:rPr>
              <w:br/>
              <w:t>Regulations other than r. 1 and 2: 1 Apr 2014 (see r. 2(b))</w:t>
            </w:r>
          </w:p>
        </w:tc>
      </w:tr>
      <w:tr>
        <w:tc>
          <w:tcPr>
            <w:tcW w:w="7087" w:type="dxa"/>
            <w:gridSpan w:val="3"/>
            <w:tcBorders>
              <w:top w:val="nil"/>
              <w:bottom w:val="single" w:sz="4" w:space="0" w:color="auto"/>
            </w:tcBorders>
          </w:tcPr>
          <w:p>
            <w:pPr>
              <w:rPr>
                <w:b/>
                <w:color w:val="FF0000"/>
              </w:rPr>
            </w:pPr>
            <w:r>
              <w:rPr>
                <w:b/>
                <w:color w:val="FF0000"/>
                <w:sz w:val="22"/>
                <w:szCs w:val="22"/>
              </w:rPr>
              <w:t>These regulations expired on 30 Sep 2014 (see r. 3(2))</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33" w:name="_Toc426551848"/>
      <w:bookmarkStart w:id="234" w:name="_Toc435101113"/>
      <w:r>
        <w:rPr>
          <w:sz w:val="28"/>
        </w:rPr>
        <w:t>Defined terms</w:t>
      </w:r>
      <w:bookmarkEnd w:id="233"/>
      <w:bookmarkEnd w:id="2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approved form</w:t>
      </w:r>
      <w:r>
        <w:tab/>
        <w:t>Sch. 1 cl. 6</w:t>
      </w:r>
    </w:p>
    <w:p>
      <w:pPr>
        <w:pStyle w:val="DefinedTerms"/>
      </w:pPr>
      <w:r>
        <w:t>approved provider</w:t>
      </w:r>
      <w:r>
        <w:tab/>
        <w:t>Sch. 1 cl. 1(2)</w:t>
      </w:r>
    </w:p>
    <w:p>
      <w:pPr>
        <w:pStyle w:val="DefinedTerms"/>
      </w:pPr>
      <w:r>
        <w:t>budget documents</w:t>
      </w:r>
      <w:r>
        <w:tab/>
        <w:t>Sch. 1 cl. 5(1)</w:t>
      </w:r>
    </w:p>
    <w:p>
      <w:pPr>
        <w:pStyle w:val="DefinedTerms"/>
      </w:pPr>
      <w:r>
        <w:t>Commissioner</w:t>
      </w:r>
      <w:r>
        <w:tab/>
        <w:t>Sch. 1 cl. 1</w:t>
      </w:r>
    </w:p>
    <w:p>
      <w:pPr>
        <w:pStyle w:val="DefinedTerms"/>
      </w:pPr>
      <w:r>
        <w:t>Cwlth</w:t>
      </w:r>
      <w:r>
        <w:tab/>
        <w:t>Sch. 1 cl. 1(2)</w:t>
      </w:r>
    </w:p>
    <w:p>
      <w:pPr>
        <w:pStyle w:val="DefinedTerms"/>
      </w:pPr>
      <w:r>
        <w:t>first party</w:t>
      </w:r>
      <w:r>
        <w:tab/>
        <w:t>Sch. 1 cl. 6(1)</w:t>
      </w:r>
    </w:p>
    <w:p>
      <w:pPr>
        <w:pStyle w:val="DefinedTerms"/>
      </w:pPr>
      <w:r>
        <w:t>operating statements</w:t>
      </w:r>
      <w:r>
        <w:tab/>
        <w:t>Sch. 1 cl. 5(1)</w:t>
      </w:r>
    </w:p>
    <w:p>
      <w:pPr>
        <w:pStyle w:val="DefinedTerms"/>
      </w:pPr>
      <w:r>
        <w:t>owner</w:t>
      </w:r>
      <w:r>
        <w:tab/>
        <w:t>Sch. 1 cl. 1</w:t>
      </w:r>
    </w:p>
    <w:p>
      <w:pPr>
        <w:pStyle w:val="DefinedTerms"/>
      </w:pPr>
      <w:r>
        <w:t>personal representative</w:t>
      </w:r>
      <w:r>
        <w:tab/>
        <w:t>Sch. 1 cl. 5(1), Sch. 1 cl. 8(4)</w:t>
      </w:r>
    </w:p>
    <w:p>
      <w:pPr>
        <w:pStyle w:val="DefinedTerms"/>
      </w:pPr>
      <w:r>
        <w:t>personal services</w:t>
      </w:r>
      <w:r>
        <w:tab/>
        <w:t>Sch. 1 cl. 4(3)</w:t>
      </w:r>
    </w:p>
    <w:p>
      <w:pPr>
        <w:pStyle w:val="DefinedTerms"/>
      </w:pPr>
      <w:r>
        <w:t>premium</w:t>
      </w:r>
      <w:r>
        <w:tab/>
        <w:t>Sch. 1 cl. 1</w:t>
      </w:r>
    </w:p>
    <w:p>
      <w:pPr>
        <w:pStyle w:val="DefinedTerms"/>
      </w:pPr>
      <w:r>
        <w:t>proxy</w:t>
      </w:r>
      <w:r>
        <w:tab/>
        <w:t>Sch. 1 cl. 5(2)</w:t>
      </w:r>
    </w:p>
    <w:p>
      <w:pPr>
        <w:pStyle w:val="DefinedTerms"/>
      </w:pPr>
      <w:r>
        <w:t>proxy notice</w:t>
      </w:r>
      <w:r>
        <w:tab/>
        <w:t>Sch. 1 cl. 5(2)</w:t>
      </w:r>
    </w:p>
    <w:p>
      <w:pPr>
        <w:pStyle w:val="DefinedTerms"/>
      </w:pPr>
      <w:r>
        <w:t>recurrent charge</w:t>
      </w:r>
      <w:r>
        <w:tab/>
        <w:t>Sch. 1 cl. 1</w:t>
      </w:r>
    </w:p>
    <w:p>
      <w:pPr>
        <w:pStyle w:val="DefinedTerms"/>
      </w:pPr>
      <w:r>
        <w:t>registered company auditor</w:t>
      </w:r>
      <w:r>
        <w:tab/>
        <w:t>Sch. 1 cl. 5(1)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care</w:t>
      </w:r>
      <w:r>
        <w:tab/>
        <w:t>Sch. 1 cl. 1(2)</w:t>
      </w:r>
    </w:p>
    <w:p>
      <w:pPr>
        <w:pStyle w:val="DefinedTerms"/>
      </w:pPr>
      <w:r>
        <w:t>residential care subsidy</w:t>
      </w:r>
      <w:r>
        <w:tab/>
        <w:t>Sch. 1 cl. 1(2)</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scheme</w:t>
      </w:r>
      <w:r>
        <w:tab/>
        <w:t>Sch. 1 cl. 1</w:t>
      </w:r>
    </w:p>
    <w:p>
      <w:pPr>
        <w:pStyle w:val="DefinedTerms"/>
      </w:pPr>
      <w:r>
        <w:t>scheme</w:t>
      </w:r>
      <w:r>
        <w:tab/>
        <w:t>Sch. 1 cl. 1</w:t>
      </w:r>
    </w:p>
    <w:p>
      <w:pPr>
        <w:pStyle w:val="DefinedTerms"/>
      </w:pPr>
      <w:r>
        <w:t>second party</w:t>
      </w:r>
      <w:r>
        <w:tab/>
        <w:t>Sch. 1 cl. 6(1)</w:t>
      </w:r>
    </w:p>
    <w:p>
      <w:pPr>
        <w:pStyle w:val="DefinedTerms"/>
      </w:pPr>
      <w:r>
        <w:t>service contract</w:t>
      </w:r>
      <w:r>
        <w:tab/>
        <w:t>Sch. 1 cl. 1</w:t>
      </w:r>
    </w:p>
    <w:p>
      <w:pPr>
        <w:pStyle w:val="DefinedTerms"/>
      </w:pPr>
      <w:r>
        <w:t>special resolution</w:t>
      </w:r>
      <w:r>
        <w:tab/>
        <w:t>Sch. 1 cl. 5(1), Sch. 1 cl. 6</w:t>
      </w:r>
    </w:p>
    <w:p>
      <w:pPr>
        <w:pStyle w:val="DefinedTerms"/>
      </w:pPr>
      <w:r>
        <w:t>withdrawal notice</w:t>
      </w:r>
      <w:r>
        <w:tab/>
        <w:t>Sch. 1 cl. 6(14)</w:t>
      </w:r>
    </w:p>
    <w:p>
      <w:pPr>
        <w:pStyle w:val="DefinedTerms"/>
      </w:pPr>
      <w:r>
        <w:t>work</w:t>
      </w:r>
      <w:r>
        <w:tab/>
        <w:t>Sch. 1 cl. 5(1)</w:t>
      </w:r>
    </w:p>
    <w:p>
      <w:pPr>
        <w:pStyle w:val="DefinedTerms"/>
      </w:pPr>
      <w:r>
        <w:t>working day</w:t>
      </w:r>
      <w:r>
        <w:tab/>
        <w:t>Sch. 1 cl. 1</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w:t>
    </w:r>
    <w:r>
      <w:rPr>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1.1</w:t>
          </w:r>
          <w:r>
            <w:rPr>
              <w:b/>
            </w:rPr>
            <w:fldChar w:fldCharType="end"/>
          </w: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2014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Interim Code of Fair Practice for Retirement Villages 2014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Interim Code of Fair Practice for Retirement Villages 2014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Interim Code of Fair Practice for Retirement Villages 2014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8</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5" w:name="DefinedTerms"/>
    <w:bookmarkEnd w:id="23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6" w:name="Coversheet"/>
    <w:bookmarkEnd w:id="2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3F1D7FC5"/>
    <w:multiLevelType w:val="singleLevel"/>
    <w:tmpl w:val="0C09000F"/>
    <w:lvl w:ilvl="0">
      <w:start w:val="1"/>
      <w:numFmt w:val="decimal"/>
      <w:lvlText w:val="%1."/>
      <w:lvlJc w:val="left"/>
      <w:pPr>
        <w:tabs>
          <w:tab w:val="num" w:pos="360"/>
        </w:tabs>
        <w:ind w:left="360" w:hanging="360"/>
      </w:pPr>
    </w:lvl>
  </w:abstractNum>
  <w:abstractNum w:abstractNumId="20">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3"/>
  </w:num>
  <w:num w:numId="3">
    <w:abstractNumId w:val="12"/>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7"/>
  </w:num>
  <w:num w:numId="18">
    <w:abstractNumId w:val="24"/>
  </w:num>
  <w:num w:numId="19">
    <w:abstractNumId w:val="25"/>
  </w:num>
  <w:num w:numId="20">
    <w:abstractNumId w:val="20"/>
  </w:num>
  <w:num w:numId="21">
    <w:abstractNumId w:val="26"/>
  </w:num>
  <w:num w:numId="22">
    <w:abstractNumId w:val="14"/>
  </w:num>
  <w:num w:numId="23">
    <w:abstractNumId w:val="22"/>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1124"/>
    <w:docVar w:name="WAFER_20140226141448" w:val="RemoveTocBookmarks,RemoveUnusedBookmarks,RemoveLanguageTags,UsedStyles,ResetPageSize"/>
    <w:docVar w:name="WAFER_20140226141448_GUID" w:val="3d1c8dd7-9cfa-4dd5-85a5-a4226faddd16"/>
    <w:docVar w:name="WAFER_20140227161143" w:val="RemoveTocBookmarks,RemoveUnusedBookmarks,RemoveLanguageTags,UsedStyles,ResetPageSize,RunningHeaders"/>
    <w:docVar w:name="WAFER_20140227161143_GUID" w:val="4544ff3c-4b11-4189-9d71-4237680de1ce"/>
    <w:docVar w:name="WAFER_20140321114930" w:val="RemoveTocBookmarks,RemoveUnusedBookmarks,RemoveLanguageTags,UsedStyles,ResetPageSize"/>
    <w:docVar w:name="WAFER_20140321114930_GUID" w:val="2b336237-4224-499d-8b8c-6a8b89ae87e0"/>
    <w:docVar w:name="WAFER_20150730145610" w:val="ResetPageSize,UpdateArrangement,UpdateNTable"/>
    <w:docVar w:name="WAFER_20150730145610_GUID" w:val="1a9f7027-cc9d-4917-8f0d-ae008d751d6f"/>
    <w:docVar w:name="WAFER_20151112111124" w:val="UpdateStyles,UsedStyles"/>
    <w:docVar w:name="WAFER_20151112111124_GUID" w:val="509a1888-0e2e-4546-aaa6-ced9793e3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7083">
      <w:bodyDiv w:val="1"/>
      <w:marLeft w:val="0"/>
      <w:marRight w:val="0"/>
      <w:marTop w:val="0"/>
      <w:marBottom w:val="0"/>
      <w:divBdr>
        <w:top w:val="none" w:sz="0" w:space="0" w:color="auto"/>
        <w:left w:val="none" w:sz="0" w:space="0" w:color="auto"/>
        <w:bottom w:val="none" w:sz="0" w:space="0" w:color="auto"/>
        <w:right w:val="none" w:sz="0" w:space="0" w:color="auto"/>
      </w:divBdr>
    </w:div>
    <w:div w:id="12575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8.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290A-BEEE-4888-B5D1-5552F12A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12798</Words>
  <Characters>67446</Characters>
  <Application>Microsoft Office Word</Application>
  <DocSecurity>0</DocSecurity>
  <Lines>2107</Lines>
  <Paragraphs>1003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2014 - 00-b0-03</dc:title>
  <dc:subject/>
  <dc:creator/>
  <cp:keywords/>
  <dc:description/>
  <cp:lastModifiedBy>svcMRProcess</cp:lastModifiedBy>
  <cp:revision>4</cp:revision>
  <cp:lastPrinted>2014-02-28T04:19:00Z</cp:lastPrinted>
  <dcterms:created xsi:type="dcterms:W3CDTF">2018-09-19T06:50:00Z</dcterms:created>
  <dcterms:modified xsi:type="dcterms:W3CDTF">2018-09-19T06:50:00Z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Mar 2014 p 755-815</vt:lpwstr>
  </property>
  <property fmtid="{D5CDD505-2E9C-101B-9397-08002B2CF9AE}" pid="3" name="CommencementDate">
    <vt:lpwstr>20140930</vt:lpwstr>
  </property>
  <property fmtid="{D5CDD505-2E9C-101B-9397-08002B2CF9AE}" pid="4" name="DocumentType">
    <vt:lpwstr>Reg</vt:lpwstr>
  </property>
  <property fmtid="{D5CDD505-2E9C-101B-9397-08002B2CF9AE}" pid="5" name="AsAtDate">
    <vt:lpwstr>30 Sep 2014</vt:lpwstr>
  </property>
  <property fmtid="{D5CDD505-2E9C-101B-9397-08002B2CF9AE}" pid="6" name="Suffix">
    <vt:lpwstr>00-b0-03</vt:lpwstr>
  </property>
  <property fmtid="{D5CDD505-2E9C-101B-9397-08002B2CF9AE}" pid="7" name="Status">
    <vt:lpwstr>NIF</vt:lpwstr>
  </property>
</Properties>
</file>