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Mining Act 1904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Mining Act 1978</w:t>
      </w:r>
      <w:r>
        <w:rPr>
          <w:color w:val="000000"/>
          <w:sz w:val="22"/>
          <w:szCs w:val="22"/>
        </w:rPr>
        <w:t xml:space="preserve"> s. 3(1)(a) (No. 107 of 1978) as at 1 Jan 1982 (see s. 2(2)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11 Dec 1981 p. 5085).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2247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2247" w:val="UsedStyles"/>
    <w:docVar w:name="WAFER_20160418102247_GUID" w:val="fe7d4dc1-7a95-4a64-8f9c-fe7d7d55d5e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216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Act 1904 - 06-b0-02</dc:title>
  <dc:subject/>
  <dc:creator/>
  <cp:keywords/>
  <dc:description/>
  <cp:lastModifiedBy>svcMRProcess</cp:lastModifiedBy>
  <cp:revision>3</cp:revision>
  <dcterms:created xsi:type="dcterms:W3CDTF">2016-04-18T02:45:00Z</dcterms:created>
  <dcterms:modified xsi:type="dcterms:W3CDTF">2016-04-18T02:45:00Z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06-b0-02</vt:lpwstr>
  </property>
  <property fmtid="{D5CDD505-2E9C-101B-9397-08002B2CF9AE}" pid="3" name="AsAtDate">
    <vt:lpwstr>01 Jan 1982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19820101</vt:lpwstr>
  </property>
</Properties>
</file>