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Bank of Adelaide (Merger)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The Bank of Adelaide (Merger)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_Toc434924843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_Toc434924844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_Toc434924845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to be bound</w:t>
      </w:r>
      <w:r>
        <w:tab/>
      </w:r>
      <w:r>
        <w:fldChar w:fldCharType="begin"/>
      </w:r>
      <w:r>
        <w:instrText xml:space="preserve"> PAGEREF _Toc434924846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undertakings of merging banks</w:t>
      </w:r>
      <w:r>
        <w:tab/>
      </w:r>
      <w:r>
        <w:fldChar w:fldCharType="begin"/>
      </w:r>
      <w:r>
        <w:instrText xml:space="preserve"> PAGEREF _Toc434924847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trading banks</w:t>
      </w:r>
      <w:r>
        <w:tab/>
      </w:r>
      <w:r>
        <w:fldChar w:fldCharType="begin"/>
      </w:r>
      <w:r>
        <w:instrText xml:space="preserve"> PAGEREF _Toc434924848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savings banks</w:t>
      </w:r>
      <w:r>
        <w:tab/>
      </w:r>
      <w:r>
        <w:fldChar w:fldCharType="begin"/>
      </w:r>
      <w:r>
        <w:instrText xml:space="preserve"> PAGEREF _Toc434924849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Assignment and subletting of leases</w:t>
      </w:r>
      <w:r>
        <w:tab/>
      </w:r>
      <w:r>
        <w:fldChar w:fldCharType="begin"/>
      </w:r>
      <w:r>
        <w:instrText xml:space="preserve"> PAGEREF _Toc434924850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Continuity of legal proceedings</w:t>
      </w:r>
      <w:r>
        <w:tab/>
      </w:r>
      <w:r>
        <w:fldChar w:fldCharType="begin"/>
      </w:r>
      <w:r>
        <w:instrText xml:space="preserve"> PAGEREF _Toc434924851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_Toc434924852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w:t>
      </w:r>
      <w:r>
        <w:tab/>
      </w:r>
      <w:r>
        <w:fldChar w:fldCharType="begin"/>
      </w:r>
      <w:r>
        <w:instrText xml:space="preserve"> PAGEREF _Toc434924853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Registration authority to give effect</w:t>
      </w:r>
      <w:r>
        <w:tab/>
      </w:r>
      <w:r>
        <w:fldChar w:fldCharType="begin"/>
      </w:r>
      <w:r>
        <w:instrText xml:space="preserve"> PAGEREF _Toc434924854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_Toc434924856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The Bank of Adelaide (Merger) Act 1980 </w:t>
      </w:r>
    </w:p>
    <w:p>
      <w:pPr>
        <w:pStyle w:val="LongTitle"/>
        <w:rPr>
          <w:snapToGrid w:val="0"/>
        </w:rPr>
      </w:pPr>
      <w:r>
        <w:rPr>
          <w:snapToGrid w:val="0"/>
        </w:rPr>
        <w:t xml:space="preserve">An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spacing w:before="240" w:after="120"/>
        <w:rPr>
          <w:snapToGrid w:val="0"/>
        </w:rPr>
      </w:pPr>
      <w:r>
        <w:t>Preamble</w:t>
      </w:r>
    </w:p>
    <w:p>
      <w:pPr>
        <w:pStyle w:val="Preamble2"/>
        <w:spacing w:before="160"/>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spacing w:before="160"/>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spacing w:before="160"/>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spacing w:before="160"/>
        <w:rPr>
          <w:snapToGrid w:val="0"/>
        </w:rPr>
      </w:pPr>
      <w:r>
        <w:rPr>
          <w:snapToGrid w:val="0"/>
        </w:rPr>
        <w:t>AND WHEREAS it is expedient that the transfers be effected by Act of the Parliament:</w:t>
      </w:r>
    </w:p>
    <w:p>
      <w:pPr>
        <w:pStyle w:val="Footnotepreamble"/>
      </w:pPr>
      <w:r>
        <w:tab/>
        <w:t>[Preamble amended: No. 19 of 2010 s. 50.]</w:t>
      </w:r>
    </w:p>
    <w:p>
      <w:pPr>
        <w:pStyle w:val="Heading5"/>
        <w:rPr>
          <w:snapToGrid w:val="0"/>
        </w:rPr>
      </w:pPr>
      <w:bookmarkStart w:id="3" w:name="_Toc377393124"/>
      <w:bookmarkStart w:id="4" w:name="_Toc43492484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5" w:name="_Toc377393125"/>
      <w:bookmarkStart w:id="6" w:name="_Toc43492484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7" w:name="_Toc377393126"/>
      <w:bookmarkStart w:id="8" w:name="_Toc434924845"/>
      <w:r>
        <w:rPr>
          <w:rStyle w:val="CharSectno"/>
        </w:rPr>
        <w:t>3</w:t>
      </w:r>
      <w:r>
        <w:rPr>
          <w:snapToGrid w:val="0"/>
        </w:rPr>
        <w:t>.</w:t>
      </w:r>
      <w:r>
        <w:rPr>
          <w:snapToGrid w:val="0"/>
        </w:rPr>
        <w:tab/>
      </w:r>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of the coming into operation of this Act;</w:t>
      </w:r>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w:t>
      </w:r>
      <w:r>
        <w:t> </w:t>
      </w:r>
      <w:r>
        <w:rPr>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pPr>
      <w:r>
        <w:rPr>
          <w:b/>
        </w:rPr>
        <w:tab/>
      </w:r>
      <w:r>
        <w:rPr>
          <w:rStyle w:val="CharDefText"/>
        </w:rPr>
        <w:t>merging savings banks</w:t>
      </w:r>
      <w:r>
        <w:t xml:space="preserve"> means BOA Savings Bank and ANZ Savings Bank;</w:t>
      </w:r>
    </w:p>
    <w:p>
      <w:pPr>
        <w:pStyle w:val="Defstart"/>
      </w:pPr>
      <w:r>
        <w:rPr>
          <w:b/>
        </w:rPr>
        <w:tab/>
      </w:r>
      <w:r>
        <w:rPr>
          <w:rStyle w:val="CharDefText"/>
        </w:rPr>
        <w:t>merging trading banks</w:t>
      </w:r>
      <w:r>
        <w:t xml:space="preserve"> means BOA and ANZ;</w:t>
      </w:r>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9" w:name="endcomma"/>
      <w:bookmarkEnd w:id="9"/>
      <w:r>
        <w:rPr>
          <w:rStyle w:val="CharDefText"/>
        </w:rPr>
        <w:t>undertaking</w:t>
      </w:r>
      <w:r>
        <w:t xml:space="preserve"> </w:t>
      </w:r>
      <w:bookmarkStart w:id="10" w:name="comma"/>
      <w:bookmarkEnd w:id="10"/>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spacing w:before="240"/>
        <w:rPr>
          <w:snapToGrid w:val="0"/>
        </w:rPr>
      </w:pPr>
      <w:bookmarkStart w:id="11" w:name="_Toc377393127"/>
      <w:bookmarkStart w:id="12" w:name="_Toc434924846"/>
      <w:r>
        <w:rPr>
          <w:rStyle w:val="CharSectno"/>
        </w:rPr>
        <w:t>4</w:t>
      </w:r>
      <w:r>
        <w:rPr>
          <w:snapToGrid w:val="0"/>
        </w:rPr>
        <w:t>.</w:t>
      </w:r>
      <w:r>
        <w:rPr>
          <w:snapToGrid w:val="0"/>
        </w:rPr>
        <w:tab/>
        <w:t>Crown to be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40"/>
        <w:rPr>
          <w:snapToGrid w:val="0"/>
        </w:rPr>
      </w:pPr>
      <w:bookmarkStart w:id="13" w:name="_Toc377393128"/>
      <w:bookmarkStart w:id="14" w:name="_Toc434924847"/>
      <w:r>
        <w:rPr>
          <w:rStyle w:val="CharSectno"/>
        </w:rPr>
        <w:t>5</w:t>
      </w:r>
      <w:r>
        <w:rPr>
          <w:snapToGrid w:val="0"/>
        </w:rPr>
        <w:t>.</w:t>
      </w:r>
      <w:r>
        <w:rPr>
          <w:snapToGrid w:val="0"/>
        </w:rPr>
        <w:tab/>
        <w:t>Vesting of undertakings of merging banks</w:t>
      </w:r>
      <w:bookmarkEnd w:id="13"/>
      <w:bookmarkEnd w:id="14"/>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keepNext/>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15" w:name="_Toc377393129"/>
      <w:bookmarkStart w:id="16" w:name="_Toc434924848"/>
      <w:r>
        <w:rPr>
          <w:rStyle w:val="CharSectno"/>
        </w:rPr>
        <w:t>6</w:t>
      </w:r>
      <w:r>
        <w:rPr>
          <w:snapToGrid w:val="0"/>
        </w:rPr>
        <w:t>.</w:t>
      </w:r>
      <w:r>
        <w:rPr>
          <w:snapToGrid w:val="0"/>
        </w:rPr>
        <w:tab/>
        <w:t>Transitional trading banks</w:t>
      </w:r>
      <w:bookmarkEnd w:id="15"/>
      <w:bookmarkEnd w:id="16"/>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 and</w:t>
      </w:r>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 and</w:t>
      </w:r>
    </w:p>
    <w:p>
      <w:pPr>
        <w:pStyle w:val="Indenta"/>
        <w:rPr>
          <w:snapToGrid w:val="0"/>
        </w:rPr>
      </w:pPr>
      <w:r>
        <w:rPr>
          <w:snapToGrid w:val="0"/>
        </w:rPr>
        <w:tab/>
        <w:t>(c)</w:t>
      </w:r>
      <w:r>
        <w:rPr>
          <w:snapToGrid w:val="0"/>
        </w:rPr>
        <w:tab/>
        <w:t>all the rights and obligations of BOA as bailee of documents or chattels shall be transferred to and assumed by ANZ; and</w:t>
      </w:r>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17" w:name="_Toc377393130"/>
      <w:bookmarkStart w:id="18" w:name="_Toc434924849"/>
      <w:r>
        <w:rPr>
          <w:rStyle w:val="CharSectno"/>
        </w:rPr>
        <w:t>7</w:t>
      </w:r>
      <w:r>
        <w:rPr>
          <w:snapToGrid w:val="0"/>
        </w:rPr>
        <w:t>.</w:t>
      </w:r>
      <w:r>
        <w:rPr>
          <w:snapToGrid w:val="0"/>
        </w:rPr>
        <w:tab/>
        <w:t>Transitional savings banks</w:t>
      </w:r>
      <w:bookmarkEnd w:id="17"/>
      <w:bookmarkEnd w:id="18"/>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 and</w:t>
      </w:r>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 and</w:t>
      </w:r>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 and</w:t>
      </w:r>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19" w:name="_Toc377393131"/>
      <w:bookmarkStart w:id="20" w:name="_Toc434924850"/>
      <w:r>
        <w:rPr>
          <w:rStyle w:val="CharSectno"/>
        </w:rPr>
        <w:t>8</w:t>
      </w:r>
      <w:r>
        <w:rPr>
          <w:snapToGrid w:val="0"/>
        </w:rPr>
        <w:t>.</w:t>
      </w:r>
      <w:r>
        <w:rPr>
          <w:snapToGrid w:val="0"/>
        </w:rPr>
        <w:tab/>
        <w:t>Assignment and subletting of leases</w:t>
      </w:r>
      <w:bookmarkEnd w:id="19"/>
      <w:bookmarkEnd w:id="20"/>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21" w:name="_Toc377393132"/>
      <w:bookmarkStart w:id="22" w:name="_Toc434924851"/>
      <w:r>
        <w:rPr>
          <w:rStyle w:val="CharSectno"/>
        </w:rPr>
        <w:t>9</w:t>
      </w:r>
      <w:r>
        <w:rPr>
          <w:snapToGrid w:val="0"/>
        </w:rPr>
        <w:t>.</w:t>
      </w:r>
      <w:r>
        <w:rPr>
          <w:snapToGrid w:val="0"/>
        </w:rPr>
        <w:tab/>
        <w:t>Continuity of legal proceedings</w:t>
      </w:r>
      <w:bookmarkEnd w:id="21"/>
      <w:bookmarkEnd w:id="22"/>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 and</w:t>
      </w:r>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 and</w:t>
      </w:r>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23" w:name="_Toc377393133"/>
      <w:bookmarkStart w:id="24" w:name="_Toc434924852"/>
      <w:r>
        <w:rPr>
          <w:rStyle w:val="CharSectno"/>
        </w:rPr>
        <w:t>10</w:t>
      </w:r>
      <w:r>
        <w:rPr>
          <w:snapToGrid w:val="0"/>
        </w:rPr>
        <w:t>.</w:t>
      </w:r>
      <w:r>
        <w:rPr>
          <w:snapToGrid w:val="0"/>
        </w:rPr>
        <w:tab/>
        <w:t>Evidence</w:t>
      </w:r>
      <w:bookmarkEnd w:id="23"/>
      <w:bookmarkEnd w:id="24"/>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25" w:name="_Toc377393134"/>
      <w:bookmarkStart w:id="26" w:name="_Toc434924853"/>
      <w:r>
        <w:rPr>
          <w:rStyle w:val="CharSectno"/>
        </w:rPr>
        <w:t>11</w:t>
      </w:r>
      <w:r>
        <w:rPr>
          <w:snapToGrid w:val="0"/>
        </w:rPr>
        <w:t>.</w:t>
      </w:r>
      <w:r>
        <w:rPr>
          <w:snapToGrid w:val="0"/>
        </w:rPr>
        <w:tab/>
        <w:t>Officers and employees</w:t>
      </w:r>
      <w:bookmarkEnd w:id="25"/>
      <w:bookmarkEnd w:id="26"/>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 and</w:t>
      </w:r>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 and</w:t>
      </w:r>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27" w:name="_Toc377393135"/>
      <w:bookmarkStart w:id="28" w:name="_Toc434924854"/>
      <w:r>
        <w:rPr>
          <w:rStyle w:val="CharSectno"/>
        </w:rPr>
        <w:t>12</w:t>
      </w:r>
      <w:r>
        <w:rPr>
          <w:snapToGrid w:val="0"/>
        </w:rPr>
        <w:t>.</w:t>
      </w:r>
      <w:r>
        <w:rPr>
          <w:snapToGrid w:val="0"/>
        </w:rPr>
        <w:tab/>
        <w:t>Registration authority to give effect</w:t>
      </w:r>
      <w:bookmarkEnd w:id="27"/>
      <w:bookmarkEnd w:id="28"/>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9" w:name="_Toc377393136"/>
      <w:bookmarkStart w:id="30" w:name="_Toc413665166"/>
      <w:bookmarkStart w:id="31" w:name="_Toc413665181"/>
      <w:bookmarkStart w:id="32" w:name="_Toc414267156"/>
      <w:bookmarkStart w:id="33" w:name="_Toc418607222"/>
      <w:bookmarkStart w:id="34" w:name="_Toc434924855"/>
      <w:r>
        <w:t>Notes</w:t>
      </w:r>
      <w:bookmarkEnd w:id="29"/>
      <w:bookmarkEnd w:id="30"/>
      <w:bookmarkEnd w:id="31"/>
      <w:bookmarkEnd w:id="32"/>
      <w:bookmarkEnd w:id="33"/>
      <w:bookmarkEnd w:id="34"/>
    </w:p>
    <w:p>
      <w:pPr>
        <w:pStyle w:val="nSubsection"/>
      </w:pPr>
      <w:r>
        <w:rPr>
          <w:vertAlign w:val="superscript"/>
        </w:rPr>
        <w:t>1</w:t>
      </w:r>
      <w:r>
        <w:tab/>
        <w:t xml:space="preserve">This is a compilation of the </w:t>
      </w:r>
      <w:r>
        <w:rPr>
          <w:i/>
          <w:noProof/>
        </w:rPr>
        <w:t>The Bank of Adelaide (Merger) Act 1980</w:t>
      </w:r>
      <w:r>
        <w:t xml:space="preserve"> and includes the amendments made by the other written laws referred to in the following table.  The table also contains information about any reprint.</w:t>
      </w:r>
    </w:p>
    <w:p>
      <w:pPr>
        <w:pStyle w:val="nHeading3"/>
        <w:rPr>
          <w:snapToGrid w:val="0"/>
        </w:rPr>
      </w:pPr>
      <w:bookmarkStart w:id="35" w:name="_Toc434924856"/>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Bank of Adelaide (Merger) Act 1980</w:t>
            </w:r>
          </w:p>
        </w:tc>
        <w:tc>
          <w:tcPr>
            <w:tcW w:w="1134" w:type="dxa"/>
            <w:tcBorders>
              <w:top w:val="single" w:sz="8" w:space="0" w:color="auto"/>
            </w:tcBorders>
          </w:tcPr>
          <w:p>
            <w:pPr>
              <w:pStyle w:val="nTable"/>
              <w:spacing w:after="40"/>
            </w:pPr>
            <w:r>
              <w:t>6 of 1980</w:t>
            </w:r>
          </w:p>
        </w:tc>
        <w:tc>
          <w:tcPr>
            <w:tcW w:w="1136" w:type="dxa"/>
            <w:tcBorders>
              <w:top w:val="single" w:sz="8" w:space="0" w:color="auto"/>
            </w:tcBorders>
          </w:tcPr>
          <w:p>
            <w:pPr>
              <w:pStyle w:val="nTable"/>
              <w:spacing w:after="40"/>
            </w:pPr>
            <w:r>
              <w:t>23 Sep 1980</w:t>
            </w:r>
          </w:p>
        </w:tc>
        <w:tc>
          <w:tcPr>
            <w:tcW w:w="2551" w:type="dxa"/>
            <w:tcBorders>
              <w:top w:val="single" w:sz="8" w:space="0" w:color="auto"/>
            </w:tcBorders>
          </w:tcPr>
          <w:p>
            <w:pPr>
              <w:pStyle w:val="nTable"/>
              <w:spacing w:after="40"/>
            </w:pPr>
            <w:r>
              <w:t>1 Oct 1980 (see s. 2)</w:t>
            </w:r>
          </w:p>
        </w:tc>
      </w:tr>
      <w:tr>
        <w:trPr>
          <w:cantSplit/>
        </w:trPr>
        <w:tc>
          <w:tcPr>
            <w:tcW w:w="7087" w:type="dxa"/>
            <w:gridSpan w:val="4"/>
          </w:tcPr>
          <w:p>
            <w:pPr>
              <w:pStyle w:val="nTable"/>
              <w:spacing w:after="40"/>
            </w:pPr>
            <w:r>
              <w:rPr>
                <w:b/>
              </w:rPr>
              <w:t xml:space="preserve">Reprint of </w:t>
            </w:r>
            <w:r>
              <w:rPr>
                <w:b/>
                <w:i/>
              </w:rPr>
              <w:t xml:space="preserve">The Bank of Adelaide (Merger) Act 1980 </w:t>
            </w:r>
            <w:r>
              <w:rPr>
                <w:b/>
              </w:rPr>
              <w:t>as at 7 Jun 2002</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The Bank of Adelaide (Merger) Act 1980</w:t>
            </w:r>
            <w:r>
              <w:rPr>
                <w:b/>
                <w:snapToGrid w:val="0"/>
              </w:rPr>
              <w:t xml:space="preserve"> as at 17 Apr 2015</w:t>
            </w:r>
            <w:r>
              <w:rPr>
                <w:snapToGrid w:val="0"/>
              </w:rPr>
              <w:t xml:space="preserve"> (includes amendments listed above)</w:t>
            </w:r>
          </w:p>
        </w:tc>
      </w:tr>
    </w:tbl>
    <w:p>
      <w:pPr>
        <w:pStyle w:val="nSubsection"/>
        <w:spacing w:before="160"/>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Companies (Western Australia) Code</w:t>
      </w:r>
      <w:r>
        <w:rPr>
          <w:snapToGrid w:val="0"/>
        </w:rPr>
        <w:t xml:space="preserve">; see the </w:t>
      </w:r>
      <w:r>
        <w:rPr>
          <w:i/>
          <w:snapToGrid w:val="0"/>
        </w:rPr>
        <w:t xml:space="preserve">Companies (Application of Laws) Act 1981 </w:t>
      </w:r>
      <w:r>
        <w:rPr>
          <w:snapToGrid w:val="0"/>
        </w:rPr>
        <w:t>s. 18</w:t>
      </w:r>
      <w:r>
        <w:rPr>
          <w:i/>
          <w:snapToGrid w:val="0"/>
        </w:rPr>
        <w:t xml:space="preserve">.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the </w:t>
      </w:r>
      <w:r>
        <w:rPr>
          <w:i/>
          <w:snapToGrid w:val="0"/>
        </w:rPr>
        <w:t>Corporations (Western Australia) Act 1990</w:t>
      </w:r>
      <w:r>
        <w:rPr>
          <w:snapToGrid w:val="0"/>
        </w:rPr>
        <w:t xml:space="preserve"> Part 13 Div. 2 and the </w:t>
      </w:r>
      <w:r>
        <w:rPr>
          <w:i/>
          <w:snapToGrid w:val="0"/>
        </w:rPr>
        <w:t>Corporations (Ancillary Provisions) Act 2001</w:t>
      </w:r>
      <w:r>
        <w:rPr>
          <w:snapToGrid w:val="0"/>
        </w:rPr>
        <w:t xml:space="preserve"> Part 2</w:t>
      </w:r>
      <w:r>
        <w:rPr>
          <w:i/>
          <w:snapToGrid w:val="0"/>
        </w:rPr>
        <w:t xml:space="preserve">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37" w:name="_Toc413665183"/>
      <w:bookmarkStart w:id="38" w:name="_Toc414267158"/>
      <w:bookmarkStart w:id="39" w:name="_Toc418607224"/>
      <w:bookmarkStart w:id="40" w:name="_Toc434924857"/>
      <w:r>
        <w:rPr>
          <w:sz w:val="28"/>
        </w:rPr>
        <w:t>Defined terms</w:t>
      </w:r>
      <w:bookmarkEnd w:id="37"/>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w:t>
      </w:r>
      <w:r>
        <w:tab/>
        <w:t>3</w:t>
      </w:r>
    </w:p>
    <w:p>
      <w:pPr>
        <w:pStyle w:val="DefinedTerms"/>
      </w:pPr>
      <w:r>
        <w:t>ANZ Savings Bank</w:t>
      </w:r>
      <w:r>
        <w:tab/>
        <w:t>3</w:t>
      </w:r>
    </w:p>
    <w:p>
      <w:pPr>
        <w:pStyle w:val="DefinedTerms"/>
      </w:pPr>
      <w:r>
        <w:t>appointed day</w:t>
      </w:r>
      <w:r>
        <w:tab/>
        <w:t>3</w:t>
      </w:r>
    </w:p>
    <w:p>
      <w:pPr>
        <w:pStyle w:val="DefinedTerms"/>
      </w:pPr>
      <w:r>
        <w:t>BOA</w:t>
      </w:r>
      <w:r>
        <w:tab/>
        <w:t>3</w:t>
      </w:r>
    </w:p>
    <w:p>
      <w:pPr>
        <w:pStyle w:val="DefinedTerms"/>
      </w:pPr>
      <w:r>
        <w:t>BOA Savings Bank</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merging savings banks</w:t>
      </w:r>
      <w:r>
        <w:tab/>
        <w:t>3</w:t>
      </w:r>
    </w:p>
    <w:p>
      <w:pPr>
        <w:pStyle w:val="DefinedTerms"/>
      </w:pPr>
      <w:r>
        <w:t>merging trading banks</w:t>
      </w:r>
      <w:r>
        <w:tab/>
        <w:t>3</w:t>
      </w:r>
    </w:p>
    <w:p>
      <w:pPr>
        <w:pStyle w:val="DefinedTerms"/>
      </w:pPr>
      <w:r>
        <w:t>property</w:t>
      </w:r>
      <w:r>
        <w:tab/>
        <w:t>3</w:t>
      </w:r>
    </w:p>
    <w:p>
      <w:pPr>
        <w:pStyle w:val="DefinedTerms"/>
      </w:pPr>
      <w:r>
        <w:t>rights</w:t>
      </w:r>
      <w:r>
        <w:tab/>
        <w:t>3</w:t>
      </w:r>
    </w:p>
    <w:p>
      <w:pPr>
        <w:pStyle w:val="DefinedTerms"/>
      </w:pPr>
      <w:r>
        <w:t>security</w:t>
      </w:r>
      <w:r>
        <w:tab/>
        <w:t>3</w:t>
      </w:r>
    </w:p>
    <w:p>
      <w:pPr>
        <w:pStyle w:val="DefinedTerms"/>
      </w:pPr>
      <w:r>
        <w:t>transferred employee</w:t>
      </w:r>
      <w:r>
        <w:tab/>
        <w:t>3</w:t>
      </w:r>
    </w:p>
    <w:p>
      <w:pPr>
        <w:pStyle w:val="DefinedTerms"/>
      </w:pPr>
      <w:r>
        <w:t>undertaking</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Bank of Adelaide (Merger)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Bank of Adelaide (Merger)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6E4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48FD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FCA1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C2C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2BA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54E7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F43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3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7EF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92A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BC23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57"/>
    <w:docVar w:name="WAFER_20140113145647" w:val="RemoveTocBookmarks,RemoveUnusedBookmarks,RemoveLanguageTags,UsedStyles,ResetPageSize,UpdateArrangement"/>
    <w:docVar w:name="WAFER_20140113145647_GUID" w:val="75bef42c-ec51-4f25-8b03-e537e06f6956"/>
    <w:docVar w:name="WAFER_20140113161031" w:val="RemoveTocBookmarks,RunningHeaders"/>
    <w:docVar w:name="WAFER_20140113161031_GUID" w:val="286d033b-238a-407e-aedb-5e005b963fb6"/>
    <w:docVar w:name="WAFER_20150309114904" w:val="ResetPageSize,UpdateArrangement,UpdateNTable"/>
    <w:docVar w:name="WAFER_20150309114904_GUID" w:val="7b06d4dc-eb1d-4fed-a60d-d52147c867a8"/>
    <w:docVar w:name="WAFER_20151110125357" w:val="UpdateStyles,UsedStyles"/>
    <w:docVar w:name="WAFER_20151110125357_GUID" w:val="7d3b9eac-73de-45cb-a2a7-2bb3d1be25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2533</Words>
  <Characters>11909</Characters>
  <Application>Microsoft Office Word</Application>
  <DocSecurity>0</DocSecurity>
  <Lines>350</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1980 - 02-a0-03</dc:title>
  <dc:subject/>
  <dc:creator/>
  <cp:keywords/>
  <dc:description/>
  <cp:lastModifiedBy>svcMRProcess</cp:lastModifiedBy>
  <cp:revision>4</cp:revision>
  <cp:lastPrinted>2015-03-30T03:02:00Z</cp:lastPrinted>
  <dcterms:created xsi:type="dcterms:W3CDTF">2019-02-12T06:55:00Z</dcterms:created>
  <dcterms:modified xsi:type="dcterms:W3CDTF">2019-02-12T06:55:00Z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20150417</vt:lpwstr>
  </property>
  <property fmtid="{D5CDD505-2E9C-101B-9397-08002B2CF9AE}" pid="4" name="DocumentType">
    <vt:lpwstr>Act</vt:lpwstr>
  </property>
  <property fmtid="{D5CDD505-2E9C-101B-9397-08002B2CF9AE}" pid="5" name="ReprintedAsAt">
    <vt:filetime>2015-04-16T16:00:00Z</vt:filetime>
  </property>
  <property fmtid="{D5CDD505-2E9C-101B-9397-08002B2CF9AE}" pid="6" name="ReprintNo">
    <vt:lpwstr>2</vt:lpwstr>
  </property>
  <property fmtid="{D5CDD505-2E9C-101B-9397-08002B2CF9AE}" pid="7" name="AsAtDate">
    <vt:lpwstr>17 Apr 2015</vt:lpwstr>
  </property>
  <property fmtid="{D5CDD505-2E9C-101B-9397-08002B2CF9AE}" pid="8" name="Suffix">
    <vt:lpwstr>02-a0-03</vt:lpwstr>
  </property>
</Properties>
</file>