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Commissions Act 1968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Commissions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_Toc423593930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_Toc423593931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_Toc423593932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_Toc423593933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appoint Commission</w:t>
      </w:r>
      <w:r>
        <w:tab/>
      </w:r>
      <w:r>
        <w:fldChar w:fldCharType="begin"/>
      </w:r>
      <w:r>
        <w:instrText xml:space="preserve"> PAGEREF _Toc423593934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_Toc423593935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Commission</w:t>
      </w:r>
      <w:r>
        <w:tab/>
      </w:r>
      <w:r>
        <w:fldChar w:fldCharType="begin"/>
      </w:r>
      <w:r>
        <w:instrText xml:space="preserve"> PAGEREF _Toc423593936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Select Committee appointed as a Royal Commission</w:t>
      </w:r>
      <w:r>
        <w:tab/>
      </w:r>
      <w:r>
        <w:fldChar w:fldCharType="begin"/>
      </w:r>
      <w:r>
        <w:instrText xml:space="preserve"> PAGEREF _Toc423593937 \h </w:instrText>
      </w:r>
      <w:r>
        <w:fldChar w:fldCharType="separate"/>
      </w:r>
      <w:r>
        <w:t>3</w:t>
      </w:r>
      <w:r>
        <w:fldChar w:fldCharType="end"/>
      </w:r>
    </w:p>
    <w:p>
      <w:pPr>
        <w:pStyle w:val="TOC8"/>
        <w:rPr>
          <w:rFonts w:asciiTheme="minorHAnsi" w:eastAsiaTheme="minorEastAsia" w:hAnsiTheme="minorHAnsi" w:cstheme="minorBidi"/>
          <w:szCs w:val="22"/>
        </w:rPr>
      </w:pPr>
      <w:r>
        <w:t>8A.</w:t>
      </w:r>
      <w:r>
        <w:tab/>
        <w:t>Power to obtain information from public authority or officer</w:t>
      </w:r>
      <w:r>
        <w:tab/>
      </w:r>
      <w:r>
        <w:fldChar w:fldCharType="begin"/>
      </w:r>
      <w:r>
        <w:instrText xml:space="preserve"> PAGEREF _Toc423593938 \h </w:instrText>
      </w:r>
      <w:r>
        <w:fldChar w:fldCharType="separate"/>
      </w:r>
      <w:r>
        <w:t>3</w:t>
      </w:r>
      <w:r>
        <w:fldChar w:fldCharType="end"/>
      </w:r>
    </w:p>
    <w:p>
      <w:pPr>
        <w:pStyle w:val="TOC8"/>
        <w:rPr>
          <w:rFonts w:asciiTheme="minorHAnsi" w:eastAsiaTheme="minorEastAsia" w:hAnsiTheme="minorHAnsi" w:cstheme="minorBidi"/>
          <w:szCs w:val="22"/>
        </w:rPr>
      </w:pPr>
      <w:r>
        <w:t>8B.</w:t>
      </w:r>
      <w:r>
        <w:tab/>
        <w:t>Power to obtain documents and other things</w:t>
      </w:r>
      <w:r>
        <w:tab/>
      </w:r>
      <w:r>
        <w:fldChar w:fldCharType="begin"/>
      </w:r>
      <w:r>
        <w:instrText xml:space="preserve"> PAGEREF _Toc423593939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summon witnesses and documents</w:t>
      </w:r>
      <w:r>
        <w:tab/>
      </w:r>
      <w:r>
        <w:fldChar w:fldCharType="begin"/>
      </w:r>
      <w:r>
        <w:instrText xml:space="preserve"> PAGEREF _Toc423593940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of witness to continue in attendance</w:t>
      </w:r>
      <w:r>
        <w:tab/>
      </w:r>
      <w:r>
        <w:fldChar w:fldCharType="begin"/>
      </w:r>
      <w:r>
        <w:instrText xml:space="preserve"> PAGEREF _Toc423593941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examine on oath</w:t>
      </w:r>
      <w:r>
        <w:tab/>
      </w:r>
      <w:r>
        <w:fldChar w:fldCharType="begin"/>
      </w:r>
      <w:r>
        <w:instrText xml:space="preserve"> PAGEREF _Toc423593942 \h </w:instrText>
      </w:r>
      <w:r>
        <w:fldChar w:fldCharType="separate"/>
      </w:r>
      <w:r>
        <w:t>6</w:t>
      </w:r>
      <w:r>
        <w:fldChar w:fldCharType="end"/>
      </w:r>
    </w:p>
    <w:p>
      <w:pPr>
        <w:pStyle w:val="TOC8"/>
        <w:rPr>
          <w:rFonts w:asciiTheme="minorHAnsi" w:eastAsiaTheme="minorEastAsia" w:hAnsiTheme="minorHAnsi" w:cstheme="minorBidi"/>
          <w:szCs w:val="22"/>
        </w:rPr>
      </w:pPr>
      <w:r>
        <w:t>12A.</w:t>
      </w:r>
      <w:r>
        <w:tab/>
        <w:t>Contempt: failing to produce statement of information</w:t>
      </w:r>
      <w:r>
        <w:tab/>
      </w:r>
      <w:r>
        <w:fldChar w:fldCharType="begin"/>
      </w:r>
      <w:r>
        <w:instrText xml:space="preserve"> PAGEREF _Toc423593943 \h </w:instrText>
      </w:r>
      <w:r>
        <w:fldChar w:fldCharType="separate"/>
      </w:r>
      <w:r>
        <w:t>6</w:t>
      </w:r>
      <w:r>
        <w:fldChar w:fldCharType="end"/>
      </w:r>
    </w:p>
    <w:p>
      <w:pPr>
        <w:pStyle w:val="TOC8"/>
        <w:rPr>
          <w:rFonts w:asciiTheme="minorHAnsi" w:eastAsiaTheme="minorEastAsia" w:hAnsiTheme="minorHAnsi" w:cstheme="minorBidi"/>
          <w:szCs w:val="22"/>
        </w:rPr>
      </w:pPr>
      <w:r>
        <w:t>13.</w:t>
      </w:r>
      <w:r>
        <w:tab/>
        <w:t>Contempt: failing to attend or produce documents</w:t>
      </w:r>
      <w:r>
        <w:tab/>
      </w:r>
      <w:r>
        <w:fldChar w:fldCharType="begin"/>
      </w:r>
      <w:r>
        <w:instrText xml:space="preserve"> PAGEREF _Toc423593944 \h </w:instrText>
      </w:r>
      <w:r>
        <w:fldChar w:fldCharType="separate"/>
      </w:r>
      <w:r>
        <w:t>6</w:t>
      </w:r>
      <w:r>
        <w:fldChar w:fldCharType="end"/>
      </w:r>
    </w:p>
    <w:p>
      <w:pPr>
        <w:pStyle w:val="TOC8"/>
        <w:rPr>
          <w:rFonts w:asciiTheme="minorHAnsi" w:eastAsiaTheme="minorEastAsia" w:hAnsiTheme="minorHAnsi" w:cstheme="minorBidi"/>
          <w:szCs w:val="22"/>
        </w:rPr>
      </w:pPr>
      <w:r>
        <w:t>14.</w:t>
      </w:r>
      <w:r>
        <w:tab/>
        <w:t>Contempt: failing to be sworn or to give evidence when summoned</w:t>
      </w:r>
      <w:r>
        <w:tab/>
      </w:r>
      <w:r>
        <w:fldChar w:fldCharType="begin"/>
      </w:r>
      <w:r>
        <w:instrText xml:space="preserve"> PAGEREF _Toc423593945 \h </w:instrText>
      </w:r>
      <w:r>
        <w:fldChar w:fldCharType="separate"/>
      </w:r>
      <w:r>
        <w:t>7</w:t>
      </w:r>
      <w:r>
        <w:fldChar w:fldCharType="end"/>
      </w:r>
    </w:p>
    <w:p>
      <w:pPr>
        <w:pStyle w:val="TOC8"/>
        <w:rPr>
          <w:rFonts w:asciiTheme="minorHAnsi" w:eastAsiaTheme="minorEastAsia" w:hAnsiTheme="minorHAnsi" w:cstheme="minorBidi"/>
          <w:szCs w:val="22"/>
        </w:rPr>
      </w:pPr>
      <w:r>
        <w:t>15.</w:t>
      </w:r>
      <w:r>
        <w:tab/>
        <w:t>Contempt: hindering execution of search warrants</w:t>
      </w:r>
      <w:r>
        <w:tab/>
      </w:r>
      <w:r>
        <w:fldChar w:fldCharType="begin"/>
      </w:r>
      <w:r>
        <w:instrText xml:space="preserve"> PAGEREF _Toc423593946 \h </w:instrText>
      </w:r>
      <w:r>
        <w:fldChar w:fldCharType="separate"/>
      </w:r>
      <w:r>
        <w:t>8</w:t>
      </w:r>
      <w:r>
        <w:fldChar w:fldCharType="end"/>
      </w:r>
    </w:p>
    <w:p>
      <w:pPr>
        <w:pStyle w:val="TOC8"/>
        <w:rPr>
          <w:rFonts w:asciiTheme="minorHAnsi" w:eastAsiaTheme="minorEastAsia" w:hAnsiTheme="minorHAnsi" w:cstheme="minorBidi"/>
          <w:szCs w:val="22"/>
        </w:rPr>
      </w:pPr>
      <w:r>
        <w:t>15A.</w:t>
      </w:r>
      <w:r>
        <w:tab/>
        <w:t>Other contempts</w:t>
      </w:r>
      <w:r>
        <w:tab/>
      </w:r>
      <w:r>
        <w:fldChar w:fldCharType="begin"/>
      </w:r>
      <w:r>
        <w:instrText xml:space="preserve"> PAGEREF _Toc423593947 \h </w:instrText>
      </w:r>
      <w:r>
        <w:fldChar w:fldCharType="separate"/>
      </w:r>
      <w:r>
        <w:t>8</w:t>
      </w:r>
      <w:r>
        <w:fldChar w:fldCharType="end"/>
      </w:r>
    </w:p>
    <w:p>
      <w:pPr>
        <w:pStyle w:val="TOC8"/>
        <w:rPr>
          <w:rFonts w:asciiTheme="minorHAnsi" w:eastAsiaTheme="minorEastAsia" w:hAnsiTheme="minorHAnsi" w:cstheme="minorBidi"/>
          <w:szCs w:val="22"/>
        </w:rPr>
      </w:pPr>
      <w:r>
        <w:t>15B.</w:t>
      </w:r>
      <w:r>
        <w:tab/>
        <w:t>Punishment of contempt of Commission</w:t>
      </w:r>
      <w:r>
        <w:tab/>
      </w:r>
      <w:r>
        <w:fldChar w:fldCharType="begin"/>
      </w:r>
      <w:r>
        <w:instrText xml:space="preserve"> PAGEREF _Toc423593948 \h </w:instrText>
      </w:r>
      <w:r>
        <w:fldChar w:fldCharType="separate"/>
      </w:r>
      <w:r>
        <w:t>9</w:t>
      </w:r>
      <w:r>
        <w:fldChar w:fldCharType="end"/>
      </w:r>
    </w:p>
    <w:p>
      <w:pPr>
        <w:pStyle w:val="TOC8"/>
        <w:rPr>
          <w:rFonts w:asciiTheme="minorHAnsi" w:eastAsiaTheme="minorEastAsia" w:hAnsiTheme="minorHAnsi" w:cstheme="minorBidi"/>
          <w:szCs w:val="22"/>
        </w:rPr>
      </w:pPr>
      <w:r>
        <w:t>15C.</w:t>
      </w:r>
      <w:r>
        <w:tab/>
        <w:t>General provisions regarding contempt</w:t>
      </w:r>
      <w:r>
        <w:tab/>
      </w:r>
      <w:r>
        <w:fldChar w:fldCharType="begin"/>
      </w:r>
      <w:r>
        <w:instrText xml:space="preserve"> PAGEREF _Toc423593949 \h </w:instrText>
      </w:r>
      <w:r>
        <w:fldChar w:fldCharType="separate"/>
      </w:r>
      <w:r>
        <w:t>11</w:t>
      </w:r>
      <w:r>
        <w:fldChar w:fldCharType="end"/>
      </w:r>
    </w:p>
    <w:p>
      <w:pPr>
        <w:pStyle w:val="TOC8"/>
        <w:rPr>
          <w:rFonts w:asciiTheme="minorHAnsi" w:eastAsiaTheme="minorEastAsia" w:hAnsiTheme="minorHAnsi" w:cstheme="minorBidi"/>
          <w:szCs w:val="22"/>
        </w:rPr>
      </w:pPr>
      <w:r>
        <w:t>15D.</w:t>
      </w:r>
      <w:r>
        <w:tab/>
        <w:t>Conditional release of defendant</w:t>
      </w:r>
      <w:r>
        <w:tab/>
      </w:r>
      <w:r>
        <w:fldChar w:fldCharType="begin"/>
      </w:r>
      <w:r>
        <w:instrText xml:space="preserve"> PAGEREF _Toc423593950 \h </w:instrText>
      </w:r>
      <w:r>
        <w:fldChar w:fldCharType="separate"/>
      </w:r>
      <w:r>
        <w:t>12</w:t>
      </w:r>
      <w:r>
        <w:fldChar w:fldCharType="end"/>
      </w:r>
    </w:p>
    <w:p>
      <w:pPr>
        <w:pStyle w:val="TOC8"/>
        <w:rPr>
          <w:rFonts w:asciiTheme="minorHAnsi" w:eastAsiaTheme="minorEastAsia" w:hAnsiTheme="minorHAnsi" w:cstheme="minorBidi"/>
          <w:szCs w:val="22"/>
        </w:rPr>
      </w:pPr>
      <w:r>
        <w:t>15E.</w:t>
      </w:r>
      <w:r>
        <w:tab/>
        <w:t>Conduct that is both a contempt and an offence</w:t>
      </w:r>
      <w:r>
        <w:tab/>
      </w:r>
      <w:r>
        <w:fldChar w:fldCharType="begin"/>
      </w:r>
      <w:r>
        <w:instrText xml:space="preserve"> PAGEREF _Toc423593951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Arrest of witness failing to appear</w:t>
      </w:r>
      <w:r>
        <w:tab/>
      </w:r>
      <w:r>
        <w:fldChar w:fldCharType="begin"/>
      </w:r>
      <w:r>
        <w:instrText xml:space="preserve"> PAGEREF _Toc423593952 \h </w:instrText>
      </w:r>
      <w:r>
        <w:fldChar w:fldCharType="separate"/>
      </w:r>
      <w:r>
        <w:t>13</w:t>
      </w:r>
      <w:r>
        <w:fldChar w:fldCharType="end"/>
      </w:r>
    </w:p>
    <w:p>
      <w:pPr>
        <w:pStyle w:val="TOC8"/>
        <w:rPr>
          <w:rFonts w:asciiTheme="minorHAnsi" w:eastAsiaTheme="minorEastAsia" w:hAnsiTheme="minorHAnsi" w:cstheme="minorBidi"/>
          <w:szCs w:val="22"/>
        </w:rPr>
      </w:pPr>
      <w:r>
        <w:t>16A.</w:t>
      </w:r>
      <w:r>
        <w:tab/>
        <w:t>Conditional release of a witness</w:t>
      </w:r>
      <w:r>
        <w:tab/>
      </w:r>
      <w:r>
        <w:fldChar w:fldCharType="begin"/>
      </w:r>
      <w:r>
        <w:instrText xml:space="preserve"> PAGEREF _Toc423593953 \h </w:instrText>
      </w:r>
      <w:r>
        <w:fldChar w:fldCharType="separate"/>
      </w:r>
      <w:r>
        <w:t>14</w:t>
      </w:r>
      <w:r>
        <w:fldChar w:fldCharType="end"/>
      </w:r>
    </w:p>
    <w:p>
      <w:pPr>
        <w:pStyle w:val="TOC8"/>
        <w:rPr>
          <w:rFonts w:asciiTheme="minorHAnsi" w:eastAsiaTheme="minorEastAsia" w:hAnsiTheme="minorHAnsi" w:cstheme="minorBidi"/>
          <w:szCs w:val="22"/>
        </w:rPr>
      </w:pPr>
      <w:r>
        <w:t>17.</w:t>
      </w:r>
      <w:r>
        <w:tab/>
        <w:t>Review by Supreme Court</w:t>
      </w:r>
      <w:r>
        <w:tab/>
      </w:r>
      <w:r>
        <w:fldChar w:fldCharType="begin"/>
      </w:r>
      <w:r>
        <w:instrText xml:space="preserve"> PAGEREF _Toc423593954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Search warrants</w:t>
      </w:r>
      <w:r>
        <w:tab/>
      </w:r>
      <w:r>
        <w:fldChar w:fldCharType="begin"/>
      </w:r>
      <w:r>
        <w:instrText xml:space="preserve"> PAGEREF _Toc423593955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Nondisclosure of secret process — evidence in private</w:t>
      </w:r>
      <w:r>
        <w:tab/>
      </w:r>
      <w:r>
        <w:fldChar w:fldCharType="begin"/>
      </w:r>
      <w:r>
        <w:instrText xml:space="preserve"> PAGEREF _Toc423593956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General provisions as to private hearings</w:t>
      </w:r>
      <w:r>
        <w:tab/>
      </w:r>
      <w:r>
        <w:fldChar w:fldCharType="begin"/>
      </w:r>
      <w:r>
        <w:instrText xml:space="preserve"> PAGEREF _Toc423593957 \h </w:instrText>
      </w:r>
      <w:r>
        <w:fldChar w:fldCharType="separate"/>
      </w:r>
      <w:r>
        <w:t>18</w:t>
      </w:r>
      <w:r>
        <w:fldChar w:fldCharType="end"/>
      </w:r>
    </w:p>
    <w:p>
      <w:pPr>
        <w:pStyle w:val="TOC8"/>
        <w:rPr>
          <w:rFonts w:asciiTheme="minorHAnsi" w:eastAsiaTheme="minorEastAsia" w:hAnsiTheme="minorHAnsi" w:cstheme="minorBidi"/>
          <w:szCs w:val="22"/>
        </w:rPr>
      </w:pPr>
      <w:r>
        <w:t>19B.</w:t>
      </w:r>
      <w:r>
        <w:tab/>
        <w:t>Restrictions on recording and publication of proceedings</w:t>
      </w:r>
      <w:r>
        <w:tab/>
      </w:r>
      <w:r>
        <w:fldChar w:fldCharType="begin"/>
      </w:r>
      <w:r>
        <w:instrText xml:space="preserve"> PAGEREF _Toc423593958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Statements made by witness not admissible in evidence against him</w:t>
      </w:r>
      <w:r>
        <w:tab/>
      </w:r>
      <w:r>
        <w:fldChar w:fldCharType="begin"/>
      </w:r>
      <w:r>
        <w:instrText xml:space="preserve"> PAGEREF _Toc423593959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Commission in relation to documents produced</w:t>
      </w:r>
      <w:r>
        <w:tab/>
      </w:r>
      <w:r>
        <w:fldChar w:fldCharType="begin"/>
      </w:r>
      <w:r>
        <w:instrText xml:space="preserve"> PAGEREF _Toc423593960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Examination of witnesses by counsel, etc.</w:t>
      </w:r>
      <w:r>
        <w:tab/>
      </w:r>
      <w:r>
        <w:fldChar w:fldCharType="begin"/>
      </w:r>
      <w:r>
        <w:instrText xml:space="preserve"> PAGEREF _Toc423593961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Payment of witnesses</w:t>
      </w:r>
      <w:r>
        <w:tab/>
      </w:r>
      <w:r>
        <w:fldChar w:fldCharType="begin"/>
      </w:r>
      <w:r>
        <w:instrText xml:space="preserve"> PAGEREF _Toc423593962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Giving false testimony</w:t>
      </w:r>
      <w:r>
        <w:tab/>
      </w:r>
      <w:r>
        <w:fldChar w:fldCharType="begin"/>
      </w:r>
      <w:r>
        <w:instrText xml:space="preserve"> PAGEREF _Toc423593963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Bribery of witness</w:t>
      </w:r>
      <w:r>
        <w:tab/>
      </w:r>
      <w:r>
        <w:fldChar w:fldCharType="begin"/>
      </w:r>
      <w:r>
        <w:instrText xml:space="preserve"> PAGEREF _Toc423593964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Fraud on witness</w:t>
      </w:r>
      <w:r>
        <w:tab/>
      </w:r>
      <w:r>
        <w:fldChar w:fldCharType="begin"/>
      </w:r>
      <w:r>
        <w:instrText xml:space="preserve"> PAGEREF _Toc423593965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Destroying books or documents</w:t>
      </w:r>
      <w:r>
        <w:tab/>
      </w:r>
      <w:r>
        <w:fldChar w:fldCharType="begin"/>
      </w:r>
      <w:r>
        <w:instrText xml:space="preserve"> PAGEREF _Toc423593966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Preventing witness from attending</w:t>
      </w:r>
      <w:r>
        <w:tab/>
      </w:r>
      <w:r>
        <w:fldChar w:fldCharType="begin"/>
      </w:r>
      <w:r>
        <w:instrText xml:space="preserve"> PAGEREF _Toc423593967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Injury to witness</w:t>
      </w:r>
      <w:r>
        <w:tab/>
      </w:r>
      <w:r>
        <w:fldChar w:fldCharType="begin"/>
      </w:r>
      <w:r>
        <w:instrText xml:space="preserve"> PAGEREF _Toc423593968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Dismissal by employers of witness</w:t>
      </w:r>
      <w:r>
        <w:tab/>
      </w:r>
      <w:r>
        <w:fldChar w:fldCharType="begin"/>
      </w:r>
      <w:r>
        <w:instrText xml:space="preserve"> PAGEREF _Toc423593969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to Commissioners, witnesses, persons appearing</w:t>
      </w:r>
      <w:r>
        <w:tab/>
      </w:r>
      <w:r>
        <w:fldChar w:fldCharType="begin"/>
      </w:r>
      <w:r>
        <w:instrText xml:space="preserve"> PAGEREF _Toc423593970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Proceedings for defamation not to lie</w:t>
      </w:r>
      <w:r>
        <w:tab/>
      </w:r>
      <w:r>
        <w:fldChar w:fldCharType="begin"/>
      </w:r>
      <w:r>
        <w:instrText xml:space="preserve"> PAGEREF _Toc423593971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Privilege, protection or immunity not limited or abridged</w:t>
      </w:r>
      <w:r>
        <w:tab/>
      </w:r>
      <w:r>
        <w:fldChar w:fldCharType="begin"/>
      </w:r>
      <w:r>
        <w:instrText xml:space="preserve"> PAGEREF _Toc423593972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Evidence of appointment to be a Commission</w:t>
      </w:r>
      <w:r>
        <w:tab/>
      </w:r>
      <w:r>
        <w:fldChar w:fldCharType="begin"/>
      </w:r>
      <w:r>
        <w:instrText xml:space="preserve"> PAGEREF _Toc423593973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_Toc423593975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Commissions Act 1968 </w:t>
      </w:r>
    </w:p>
    <w:p>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3" w:name="_Toc406080469"/>
      <w:bookmarkStart w:id="4" w:name="_Toc4235939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5" w:name="_Toc406080470"/>
      <w:bookmarkStart w:id="6" w:name="_Toc423593931"/>
      <w:r>
        <w:rPr>
          <w:rStyle w:val="CharSectno"/>
        </w:rPr>
        <w:t>2</w:t>
      </w:r>
      <w:r>
        <w:rPr>
          <w:snapToGrid w:val="0"/>
        </w:rPr>
        <w:t>.</w:t>
      </w:r>
      <w:r>
        <w:rPr>
          <w:snapToGrid w:val="0"/>
        </w:rPr>
        <w:tab/>
        <w:t>Repeal</w:t>
      </w:r>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pPr>
        <w:pStyle w:val="Heading5"/>
        <w:rPr>
          <w:snapToGrid w:val="0"/>
        </w:rPr>
      </w:pPr>
      <w:bookmarkStart w:id="7" w:name="_Toc406080471"/>
      <w:bookmarkStart w:id="8" w:name="_Toc423593932"/>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9" w:name="_Toc406080472"/>
      <w:bookmarkStart w:id="10" w:name="_Toc423593933"/>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r>
      <w:r>
        <w:rPr>
          <w:rStyle w:val="CharDefText"/>
        </w:rPr>
        <w:t>Chairman</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r>
      <w:r>
        <w:rPr>
          <w:rStyle w:val="CharDefText"/>
        </w:rPr>
        <w:t>Commission</w:t>
      </w:r>
      <w:r>
        <w:t xml:space="preserve"> means a Royal Commission constituted pursuant to this Act or any other power and includes a person acting in the exercise of his duty as a Commissioner;</w:t>
      </w:r>
    </w:p>
    <w:p>
      <w:pPr>
        <w:pStyle w:val="Defstart"/>
      </w:pPr>
      <w:r>
        <w:rPr>
          <w:b/>
        </w:rPr>
        <w:tab/>
      </w:r>
      <w:r>
        <w:rPr>
          <w:rStyle w:val="CharDefText"/>
        </w:rPr>
        <w:t>Commissioner</w:t>
      </w:r>
      <w:r>
        <w:t xml:space="preserve"> means a person appointed to be a Commission or to be a member of a Commission;</w:t>
      </w:r>
    </w:p>
    <w:p>
      <w:pPr>
        <w:pStyle w:val="Defstart"/>
      </w:pPr>
      <w:r>
        <w:rPr>
          <w:b/>
        </w:rPr>
        <w:tab/>
      </w:r>
      <w:r>
        <w:rPr>
          <w:rStyle w:val="CharDefText"/>
        </w:rPr>
        <w:t>documents</w:t>
      </w:r>
      <w:r>
        <w:t xml:space="preserve"> includes things that are documents within the meaning of section 79B of the </w:t>
      </w:r>
      <w:r>
        <w:rPr>
          <w:i/>
        </w:rPr>
        <w:t>Evidence Act 1906</w:t>
      </w:r>
      <w:r>
        <w:t>;</w:t>
      </w:r>
    </w:p>
    <w:p>
      <w:pPr>
        <w:pStyle w:val="Defstart"/>
      </w:pPr>
      <w:r>
        <w:rPr>
          <w:b/>
        </w:rPr>
        <w:tab/>
      </w:r>
      <w:r>
        <w:rPr>
          <w:rStyle w:val="CharDefText"/>
        </w:rPr>
        <w:t>officer of the Commission</w:t>
      </w:r>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 xml:space="preserve">[Section 4 amended: No. 72 of 1990 s. 4; No. 3 of 1991 s. 4; No. 30 of 2006 s. 4.] </w:t>
      </w:r>
    </w:p>
    <w:p>
      <w:pPr>
        <w:pStyle w:val="Heading5"/>
        <w:rPr>
          <w:snapToGrid w:val="0"/>
        </w:rPr>
      </w:pPr>
      <w:bookmarkStart w:id="11" w:name="_Toc406080473"/>
      <w:bookmarkStart w:id="12" w:name="_Toc423593934"/>
      <w:r>
        <w:rPr>
          <w:rStyle w:val="CharSectno"/>
        </w:rPr>
        <w:t>5</w:t>
      </w:r>
      <w:r>
        <w:rPr>
          <w:snapToGrid w:val="0"/>
        </w:rPr>
        <w:t>.</w:t>
      </w:r>
      <w:r>
        <w:rPr>
          <w:snapToGrid w:val="0"/>
        </w:rPr>
        <w:tab/>
        <w:t>Power to appoint Commission</w:t>
      </w:r>
      <w:bookmarkEnd w:id="11"/>
      <w:bookmarkEnd w:id="12"/>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13" w:name="_Toc406080474"/>
      <w:bookmarkStart w:id="14" w:name="_Toc423593935"/>
      <w:r>
        <w:rPr>
          <w:rStyle w:val="CharSectno"/>
        </w:rPr>
        <w:t>6</w:t>
      </w:r>
      <w:r>
        <w:rPr>
          <w:snapToGrid w:val="0"/>
        </w:rPr>
        <w:t>.</w:t>
      </w:r>
      <w:r>
        <w:rPr>
          <w:snapToGrid w:val="0"/>
        </w:rPr>
        <w:tab/>
        <w:t>Chairman</w:t>
      </w:r>
      <w:bookmarkEnd w:id="13"/>
      <w:bookmarkEnd w:id="14"/>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15" w:name="_Toc406080475"/>
      <w:bookmarkStart w:id="16" w:name="_Toc423593936"/>
      <w:r>
        <w:rPr>
          <w:rStyle w:val="CharSectno"/>
        </w:rPr>
        <w:t>7</w:t>
      </w:r>
      <w:r>
        <w:rPr>
          <w:snapToGrid w:val="0"/>
        </w:rPr>
        <w:t>.</w:t>
      </w:r>
      <w:r>
        <w:rPr>
          <w:snapToGrid w:val="0"/>
        </w:rPr>
        <w:tab/>
        <w:t>Powers of Commission</w:t>
      </w:r>
      <w:bookmarkEnd w:id="15"/>
      <w:bookmarkEnd w:id="16"/>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No. 3 of 1991 s. 5.] </w:t>
      </w:r>
    </w:p>
    <w:p>
      <w:pPr>
        <w:pStyle w:val="Heading5"/>
        <w:rPr>
          <w:snapToGrid w:val="0"/>
        </w:rPr>
      </w:pPr>
      <w:bookmarkStart w:id="17" w:name="_Toc406080476"/>
      <w:bookmarkStart w:id="18" w:name="_Toc423593937"/>
      <w:r>
        <w:rPr>
          <w:rStyle w:val="CharSectno"/>
        </w:rPr>
        <w:t>8</w:t>
      </w:r>
      <w:r>
        <w:rPr>
          <w:snapToGrid w:val="0"/>
        </w:rPr>
        <w:t>.</w:t>
      </w:r>
      <w:r>
        <w:rPr>
          <w:snapToGrid w:val="0"/>
        </w:rPr>
        <w:tab/>
        <w:t>Select Committee appointed as a Royal Commission</w:t>
      </w:r>
      <w:bookmarkEnd w:id="17"/>
      <w:bookmarkEnd w:id="18"/>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19" w:name="_Toc406080477"/>
      <w:bookmarkStart w:id="20" w:name="_Toc423593938"/>
      <w:r>
        <w:rPr>
          <w:rStyle w:val="CharSectno"/>
        </w:rPr>
        <w:t>8A</w:t>
      </w:r>
      <w:r>
        <w:t>.</w:t>
      </w:r>
      <w:r>
        <w:tab/>
        <w:t>Power to obtain information from public authority or officer</w:t>
      </w:r>
      <w:bookmarkEnd w:id="19"/>
      <w:bookmarkEnd w:id="20"/>
    </w:p>
    <w:p>
      <w:pPr>
        <w:pStyle w:val="Subsection"/>
      </w:pPr>
      <w:r>
        <w:tab/>
        <w:t>(1)</w:t>
      </w:r>
      <w:r>
        <w:tab/>
        <w:t xml:space="preserve">In this section — </w:t>
      </w:r>
    </w:p>
    <w:p>
      <w:pPr>
        <w:pStyle w:val="Defstart"/>
      </w:pPr>
      <w:r>
        <w:rPr>
          <w:b/>
        </w:rPr>
        <w:tab/>
      </w:r>
      <w:r>
        <w:rPr>
          <w:rStyle w:val="CharDefText"/>
        </w:rPr>
        <w:t>public authority</w:t>
      </w:r>
      <w:r>
        <w:t xml:space="preserve"> and </w:t>
      </w:r>
      <w:r>
        <w:rPr>
          <w:rStyle w:val="CharDefText"/>
        </w:rPr>
        <w:t>public officer</w:t>
      </w:r>
      <w:r>
        <w:t xml:space="preserve"> have the meanings given to those terms in section 3 of the </w:t>
      </w:r>
      <w:r>
        <w:rPr>
          <w:i/>
        </w:rPr>
        <w:t>Corruption, Crime and Misconduct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 xml:space="preserve">[Section 8A inserted: No. 30 of 2006 s. 5; amended: No. 35 of 2014 s. 39.] </w:t>
      </w:r>
    </w:p>
    <w:p>
      <w:pPr>
        <w:pStyle w:val="Heading5"/>
      </w:pPr>
      <w:bookmarkStart w:id="21" w:name="_Toc406080478"/>
      <w:bookmarkStart w:id="22" w:name="_Toc423593939"/>
      <w:r>
        <w:rPr>
          <w:rStyle w:val="CharSectno"/>
        </w:rPr>
        <w:t>8B</w:t>
      </w:r>
      <w:r>
        <w:t>.</w:t>
      </w:r>
      <w:r>
        <w:tab/>
        <w:t>Power to obtain documents and other things</w:t>
      </w:r>
      <w:bookmarkEnd w:id="21"/>
      <w:bookmarkEnd w:id="22"/>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 xml:space="preserve">[Section 8B inserted: No. 30 of 2006 s. 5.] </w:t>
      </w:r>
    </w:p>
    <w:p>
      <w:pPr>
        <w:pStyle w:val="Heading5"/>
        <w:rPr>
          <w:snapToGrid w:val="0"/>
        </w:rPr>
      </w:pPr>
      <w:bookmarkStart w:id="23" w:name="_Toc406080479"/>
      <w:bookmarkStart w:id="24" w:name="_Toc423593940"/>
      <w:r>
        <w:rPr>
          <w:rStyle w:val="CharSectno"/>
        </w:rPr>
        <w:t>9</w:t>
      </w:r>
      <w:r>
        <w:rPr>
          <w:snapToGrid w:val="0"/>
        </w:rPr>
        <w:t>.</w:t>
      </w:r>
      <w:r>
        <w:rPr>
          <w:snapToGrid w:val="0"/>
        </w:rPr>
        <w:tab/>
        <w:t>Power to summon witnesses and documents</w:t>
      </w:r>
      <w:bookmarkEnd w:id="23"/>
      <w:bookmarkEnd w:id="24"/>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 xml:space="preserve">[Section 9 amended: No. 3 of 1991 s. 6; No. 30 of 2006 s. 6.] </w:t>
      </w:r>
    </w:p>
    <w:p>
      <w:pPr>
        <w:pStyle w:val="Heading5"/>
        <w:rPr>
          <w:snapToGrid w:val="0"/>
        </w:rPr>
      </w:pPr>
      <w:bookmarkStart w:id="25" w:name="_Toc406080480"/>
      <w:bookmarkStart w:id="26" w:name="_Toc423593941"/>
      <w:r>
        <w:rPr>
          <w:rStyle w:val="CharSectno"/>
        </w:rPr>
        <w:t>10</w:t>
      </w:r>
      <w:r>
        <w:rPr>
          <w:snapToGrid w:val="0"/>
        </w:rPr>
        <w:t>.</w:t>
      </w:r>
      <w:r>
        <w:rPr>
          <w:snapToGrid w:val="0"/>
        </w:rPr>
        <w:tab/>
        <w:t>Duty of witness to continue in attendance</w:t>
      </w:r>
      <w:bookmarkEnd w:id="25"/>
      <w:bookmarkEnd w:id="26"/>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No. 3 of 1991 s. 7.] </w:t>
      </w:r>
    </w:p>
    <w:p>
      <w:pPr>
        <w:pStyle w:val="Heading5"/>
        <w:rPr>
          <w:snapToGrid w:val="0"/>
        </w:rPr>
      </w:pPr>
      <w:bookmarkStart w:id="27" w:name="_Toc406080481"/>
      <w:bookmarkStart w:id="28" w:name="_Toc423593942"/>
      <w:r>
        <w:rPr>
          <w:rStyle w:val="CharSectno"/>
        </w:rPr>
        <w:t>11</w:t>
      </w:r>
      <w:r>
        <w:rPr>
          <w:snapToGrid w:val="0"/>
        </w:rPr>
        <w:t>.</w:t>
      </w:r>
      <w:r>
        <w:rPr>
          <w:snapToGrid w:val="0"/>
        </w:rPr>
        <w:tab/>
        <w:t>Power to examine on oath</w:t>
      </w:r>
      <w:bookmarkEnd w:id="27"/>
      <w:bookmarkEnd w:id="28"/>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r>
        <w:t>[</w:t>
      </w:r>
      <w:r>
        <w:rPr>
          <w:b/>
        </w:rPr>
        <w:t>12.</w:t>
      </w:r>
      <w:r>
        <w:tab/>
        <w:t xml:space="preserve">Deleted: No. 30 of 2006 s. 7.] </w:t>
      </w:r>
    </w:p>
    <w:p>
      <w:pPr>
        <w:pStyle w:val="Heading5"/>
      </w:pPr>
      <w:bookmarkStart w:id="29" w:name="_Toc406080482"/>
      <w:bookmarkStart w:id="30" w:name="_Toc423593943"/>
      <w:r>
        <w:rPr>
          <w:rStyle w:val="CharSectno"/>
        </w:rPr>
        <w:t>12A</w:t>
      </w:r>
      <w:r>
        <w:t>.</w:t>
      </w:r>
      <w:r>
        <w:tab/>
        <w:t>Contempt: failing to produce statement of information</w:t>
      </w:r>
      <w:bookmarkEnd w:id="29"/>
      <w:bookmarkEnd w:id="30"/>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 xml:space="preserve">[Section 12A inserted: No. 30 of 2006 s. 8.] </w:t>
      </w:r>
    </w:p>
    <w:p>
      <w:pPr>
        <w:pStyle w:val="Heading5"/>
      </w:pPr>
      <w:bookmarkStart w:id="31" w:name="_Toc406080483"/>
      <w:bookmarkStart w:id="32" w:name="_Toc423593944"/>
      <w:r>
        <w:rPr>
          <w:rStyle w:val="CharSectno"/>
        </w:rPr>
        <w:t>13</w:t>
      </w:r>
      <w:r>
        <w:t>.</w:t>
      </w:r>
      <w:r>
        <w:tab/>
        <w:t>Contempt: failing to attend or produce documents</w:t>
      </w:r>
      <w:bookmarkEnd w:id="31"/>
      <w:bookmarkEnd w:id="32"/>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r>
      <w:r>
        <w:rPr>
          <w:rStyle w:val="CharDefText"/>
        </w:rPr>
        <w:t>reasonable excuse</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 xml:space="preserve">[Section 13 inserted: No. 30 of 2006 s. 8.] </w:t>
      </w:r>
    </w:p>
    <w:p>
      <w:pPr>
        <w:pStyle w:val="Heading5"/>
      </w:pPr>
      <w:bookmarkStart w:id="33" w:name="_Toc406080484"/>
      <w:bookmarkStart w:id="34" w:name="_Toc423593945"/>
      <w:r>
        <w:rPr>
          <w:rStyle w:val="CharSectno"/>
        </w:rPr>
        <w:t>14</w:t>
      </w:r>
      <w:r>
        <w:t>.</w:t>
      </w:r>
      <w:r>
        <w:tab/>
        <w:t>Contempt: failing to be sworn or to give evidence when summoned</w:t>
      </w:r>
      <w:bookmarkEnd w:id="33"/>
      <w:bookmarkEnd w:id="34"/>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 xml:space="preserve">[Section 14 inserted: No. 30 of 2006 s. 8.] </w:t>
      </w:r>
    </w:p>
    <w:p>
      <w:pPr>
        <w:pStyle w:val="Heading5"/>
      </w:pPr>
      <w:bookmarkStart w:id="35" w:name="_Toc406080485"/>
      <w:bookmarkStart w:id="36" w:name="_Toc423593946"/>
      <w:r>
        <w:rPr>
          <w:rStyle w:val="CharSectno"/>
        </w:rPr>
        <w:t>15</w:t>
      </w:r>
      <w:r>
        <w:t>.</w:t>
      </w:r>
      <w:r>
        <w:tab/>
        <w:t>Contempt: hindering execution of search warrants</w:t>
      </w:r>
      <w:bookmarkEnd w:id="35"/>
      <w:bookmarkEnd w:id="36"/>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r>
      <w:r>
        <w:rPr>
          <w:rStyle w:val="CharDefText"/>
        </w:rPr>
        <w:t>authorised person</w:t>
      </w:r>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 xml:space="preserve">[Section 15 inserted: No. 30 of 2006 s. 8.] </w:t>
      </w:r>
    </w:p>
    <w:p>
      <w:pPr>
        <w:pStyle w:val="Heading5"/>
      </w:pPr>
      <w:bookmarkStart w:id="37" w:name="_Toc406080486"/>
      <w:bookmarkStart w:id="38" w:name="_Toc423593947"/>
      <w:r>
        <w:rPr>
          <w:rStyle w:val="CharSectno"/>
        </w:rPr>
        <w:t>15A</w:t>
      </w:r>
      <w:r>
        <w:t>.</w:t>
      </w:r>
      <w:r>
        <w:tab/>
        <w:t>Other contempts</w:t>
      </w:r>
      <w:bookmarkEnd w:id="37"/>
      <w:bookmarkEnd w:id="38"/>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 xml:space="preserve">[Section 15A inserted: No. 30 of 2006 s. 8.] </w:t>
      </w:r>
    </w:p>
    <w:p>
      <w:pPr>
        <w:pStyle w:val="Heading5"/>
      </w:pPr>
      <w:bookmarkStart w:id="39" w:name="_Toc406080487"/>
      <w:bookmarkStart w:id="40" w:name="_Toc423593948"/>
      <w:r>
        <w:rPr>
          <w:rStyle w:val="CharSectno"/>
        </w:rPr>
        <w:t>15B</w:t>
      </w:r>
      <w:r>
        <w:t>.</w:t>
      </w:r>
      <w:r>
        <w:tab/>
        <w:t>Punishment of contempt of Commission</w:t>
      </w:r>
      <w:bookmarkEnd w:id="39"/>
      <w:bookmarkEnd w:id="40"/>
    </w:p>
    <w:p>
      <w:pPr>
        <w:pStyle w:val="Subsection"/>
      </w:pPr>
      <w:r>
        <w:tab/>
        <w:t>(1)</w:t>
      </w:r>
      <w:r>
        <w:tab/>
        <w:t xml:space="preserve">In this section and sections 15C to 15E — </w:t>
      </w:r>
    </w:p>
    <w:p>
      <w:pPr>
        <w:pStyle w:val="Defstart"/>
      </w:pPr>
      <w:r>
        <w:rPr>
          <w:b/>
        </w:rPr>
        <w:tab/>
      </w:r>
      <w:r>
        <w:rPr>
          <w:rStyle w:val="CharDefText"/>
        </w:rPr>
        <w:t>defendant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 xml:space="preserve">[Section 15B inserted: No. 30 of 2006 s. 8.] </w:t>
      </w:r>
    </w:p>
    <w:p>
      <w:pPr>
        <w:pStyle w:val="Heading5"/>
      </w:pPr>
      <w:bookmarkStart w:id="41" w:name="_Toc406080488"/>
      <w:bookmarkStart w:id="42" w:name="_Toc423593949"/>
      <w:r>
        <w:rPr>
          <w:rStyle w:val="CharSectno"/>
        </w:rPr>
        <w:t>15C</w:t>
      </w:r>
      <w:r>
        <w:t>.</w:t>
      </w:r>
      <w:r>
        <w:tab/>
        <w:t>General provisions regarding contempt</w:t>
      </w:r>
      <w:bookmarkEnd w:id="41"/>
      <w:bookmarkEnd w:id="42"/>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 xml:space="preserve">[Section 15C inserted: No. 30 of 2006 s. 8.] </w:t>
      </w:r>
    </w:p>
    <w:p>
      <w:pPr>
        <w:pStyle w:val="Heading5"/>
      </w:pPr>
      <w:bookmarkStart w:id="43" w:name="_Toc406080489"/>
      <w:bookmarkStart w:id="44" w:name="_Toc423593950"/>
      <w:r>
        <w:rPr>
          <w:rStyle w:val="CharSectno"/>
        </w:rPr>
        <w:t>15D</w:t>
      </w:r>
      <w:r>
        <w:t>.</w:t>
      </w:r>
      <w:r>
        <w:tab/>
        <w:t>Conditional release of defendant</w:t>
      </w:r>
      <w:bookmarkEnd w:id="43"/>
      <w:bookmarkEnd w:id="44"/>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 xml:space="preserve">[Section 15D inserted: No. 30 of 2006 s. 8.] </w:t>
      </w:r>
    </w:p>
    <w:p>
      <w:pPr>
        <w:pStyle w:val="Heading5"/>
      </w:pPr>
      <w:bookmarkStart w:id="45" w:name="_Toc406080490"/>
      <w:bookmarkStart w:id="46" w:name="_Toc423593951"/>
      <w:r>
        <w:rPr>
          <w:rStyle w:val="CharSectno"/>
        </w:rPr>
        <w:t>15E</w:t>
      </w:r>
      <w:r>
        <w:t>.</w:t>
      </w:r>
      <w:r>
        <w:tab/>
        <w:t>Conduct that is both a contempt and an offence</w:t>
      </w:r>
      <w:bookmarkEnd w:id="45"/>
      <w:bookmarkEnd w:id="46"/>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 xml:space="preserve">[Section 15E inserted: No. 30 of 2006 s. 8.] </w:t>
      </w:r>
    </w:p>
    <w:p>
      <w:pPr>
        <w:pStyle w:val="Heading5"/>
        <w:rPr>
          <w:snapToGrid w:val="0"/>
        </w:rPr>
      </w:pPr>
      <w:bookmarkStart w:id="47" w:name="_Toc406080491"/>
      <w:bookmarkStart w:id="48" w:name="_Toc423593952"/>
      <w:r>
        <w:rPr>
          <w:rStyle w:val="CharSectno"/>
        </w:rPr>
        <w:t>16</w:t>
      </w:r>
      <w:r>
        <w:rPr>
          <w:snapToGrid w:val="0"/>
        </w:rPr>
        <w:t>.</w:t>
      </w:r>
      <w:r>
        <w:rPr>
          <w:snapToGrid w:val="0"/>
        </w:rPr>
        <w:tab/>
        <w:t>Arrest of witness failing to appear</w:t>
      </w:r>
      <w:bookmarkEnd w:id="47"/>
      <w:bookmarkEnd w:id="48"/>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No. 72 of 1990 s. 8; No. 45 of 2004 s. 37; No. 30 of 2006 s. 9.] </w:t>
      </w:r>
    </w:p>
    <w:p>
      <w:pPr>
        <w:pStyle w:val="Heading5"/>
      </w:pPr>
      <w:bookmarkStart w:id="49" w:name="_Toc406080492"/>
      <w:bookmarkStart w:id="50" w:name="_Toc423593953"/>
      <w:r>
        <w:rPr>
          <w:rStyle w:val="CharSectno"/>
        </w:rPr>
        <w:t>16A</w:t>
      </w:r>
      <w:r>
        <w:t>.</w:t>
      </w:r>
      <w:r>
        <w:tab/>
        <w:t>Conditional release of a witness</w:t>
      </w:r>
      <w:bookmarkEnd w:id="49"/>
      <w:bookmarkEnd w:id="50"/>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 xml:space="preserve">[Section 16A inserted: No. 30 of 2006 s. 10.] </w:t>
      </w:r>
    </w:p>
    <w:p>
      <w:pPr>
        <w:pStyle w:val="Heading5"/>
      </w:pPr>
      <w:bookmarkStart w:id="51" w:name="_Toc406080493"/>
      <w:bookmarkStart w:id="52" w:name="_Toc423593954"/>
      <w:r>
        <w:rPr>
          <w:rStyle w:val="CharSectno"/>
        </w:rPr>
        <w:t>17</w:t>
      </w:r>
      <w:r>
        <w:t>.</w:t>
      </w:r>
      <w:r>
        <w:tab/>
        <w:t>Review by Supreme Court</w:t>
      </w:r>
      <w:bookmarkEnd w:id="51"/>
      <w:bookmarkEnd w:id="52"/>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 No. 30 of 2006 s. 10.]</w:t>
      </w:r>
    </w:p>
    <w:p>
      <w:pPr>
        <w:pStyle w:val="Heading5"/>
        <w:rPr>
          <w:snapToGrid w:val="0"/>
        </w:rPr>
      </w:pPr>
      <w:bookmarkStart w:id="53" w:name="_Toc406080494"/>
      <w:bookmarkStart w:id="54" w:name="_Toc423593955"/>
      <w:r>
        <w:rPr>
          <w:rStyle w:val="CharSectno"/>
        </w:rPr>
        <w:t>18</w:t>
      </w:r>
      <w:r>
        <w:rPr>
          <w:snapToGrid w:val="0"/>
        </w:rPr>
        <w:t>.</w:t>
      </w:r>
      <w:r>
        <w:rPr>
          <w:snapToGrid w:val="0"/>
        </w:rPr>
        <w:tab/>
        <w:t>Search warrants</w:t>
      </w:r>
      <w:bookmarkEnd w:id="53"/>
      <w:bookmarkEnd w:id="54"/>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t>deleted]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authorised person</w:t>
      </w:r>
      <w:r>
        <w:t xml:space="preserve"> means the named person or named persons on whom authority is conferred by a warrant and other persons referred to in subsection (3);</w:t>
      </w:r>
    </w:p>
    <w:p>
      <w:pPr>
        <w:pStyle w:val="Defstart"/>
      </w:pPr>
      <w:r>
        <w:rPr>
          <w:b/>
        </w:rPr>
        <w:tab/>
      </w:r>
      <w:r>
        <w:rPr>
          <w:rStyle w:val="CharDefText"/>
        </w:rPr>
        <w:t>relevant material</w:t>
      </w:r>
      <w:r>
        <w:t xml:space="preserve"> means documents, books, writings or things that are or appear likely to be relevant to the Commission’s inquiry.</w:t>
      </w:r>
    </w:p>
    <w:p>
      <w:pPr>
        <w:pStyle w:val="Footnotesection"/>
      </w:pPr>
      <w:r>
        <w:tab/>
        <w:t xml:space="preserve">[Section 18 inserted: No. 3 of 1991 s. 8; amended: No. 30 of 2006 s. 11.] </w:t>
      </w:r>
    </w:p>
    <w:p>
      <w:pPr>
        <w:pStyle w:val="Heading5"/>
        <w:rPr>
          <w:snapToGrid w:val="0"/>
        </w:rPr>
      </w:pPr>
      <w:bookmarkStart w:id="55" w:name="_Toc406080495"/>
      <w:bookmarkStart w:id="56" w:name="_Toc423593956"/>
      <w:r>
        <w:rPr>
          <w:rStyle w:val="CharSectno"/>
        </w:rPr>
        <w:t>19</w:t>
      </w:r>
      <w:r>
        <w:rPr>
          <w:snapToGrid w:val="0"/>
        </w:rPr>
        <w:t>.</w:t>
      </w:r>
      <w:r>
        <w:rPr>
          <w:snapToGrid w:val="0"/>
        </w:rPr>
        <w:tab/>
        <w:t>Nondisclosure of secret process — evidence in private</w:t>
      </w:r>
      <w:bookmarkEnd w:id="55"/>
      <w:bookmarkEnd w:id="56"/>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(4)</w:t>
      </w:r>
      <w:r>
        <w:tab/>
        <w:t>deleted]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No. 72 of 1990 s. 10.] </w:t>
      </w:r>
    </w:p>
    <w:p>
      <w:pPr>
        <w:pStyle w:val="Heading5"/>
        <w:rPr>
          <w:snapToGrid w:val="0"/>
        </w:rPr>
      </w:pPr>
      <w:bookmarkStart w:id="57" w:name="_Toc406080496"/>
      <w:bookmarkStart w:id="58" w:name="_Toc423593957"/>
      <w:r>
        <w:rPr>
          <w:rStyle w:val="CharSectno"/>
        </w:rPr>
        <w:t>19A</w:t>
      </w:r>
      <w:r>
        <w:rPr>
          <w:snapToGrid w:val="0"/>
        </w:rPr>
        <w:t>.</w:t>
      </w:r>
      <w:r>
        <w:rPr>
          <w:snapToGrid w:val="0"/>
        </w:rPr>
        <w:tab/>
        <w:t>General provisions as to private hearings</w:t>
      </w:r>
      <w:bookmarkEnd w:id="57"/>
      <w:bookmarkEnd w:id="58"/>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No. 72 of 1990 s. 11.] </w:t>
      </w:r>
    </w:p>
    <w:p>
      <w:pPr>
        <w:pStyle w:val="Heading5"/>
      </w:pPr>
      <w:bookmarkStart w:id="59" w:name="_Toc406080497"/>
      <w:bookmarkStart w:id="60" w:name="_Toc423593958"/>
      <w:r>
        <w:rPr>
          <w:rStyle w:val="CharSectno"/>
        </w:rPr>
        <w:t>19B</w:t>
      </w:r>
      <w:r>
        <w:t>.</w:t>
      </w:r>
      <w:r>
        <w:tab/>
        <w:t>Restrictions on recording and publication of proceedings</w:t>
      </w:r>
      <w:bookmarkEnd w:id="59"/>
      <w:bookmarkEnd w:id="60"/>
    </w:p>
    <w:p>
      <w:pPr>
        <w:pStyle w:val="Subsection"/>
      </w:pPr>
      <w:r>
        <w:tab/>
        <w:t>(1)</w:t>
      </w:r>
      <w:r>
        <w:tab/>
        <w:t xml:space="preserve">In this section — </w:t>
      </w:r>
    </w:p>
    <w:p>
      <w:pPr>
        <w:pStyle w:val="Defstart"/>
      </w:pPr>
      <w:r>
        <w:rPr>
          <w:b/>
        </w:rPr>
        <w:tab/>
      </w:r>
      <w:r>
        <w:rPr>
          <w:rStyle w:val="CharDefText"/>
        </w:rPr>
        <w:t>publishes</w:t>
      </w:r>
      <w:r>
        <w:t xml:space="preserve"> includes broadcasts;</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 No. 30 of 2006 s. 12.]</w:t>
      </w:r>
    </w:p>
    <w:p>
      <w:pPr>
        <w:pStyle w:val="Heading5"/>
        <w:rPr>
          <w:snapToGrid w:val="0"/>
        </w:rPr>
      </w:pPr>
      <w:bookmarkStart w:id="61" w:name="_Toc406080498"/>
      <w:bookmarkStart w:id="62" w:name="_Toc423593959"/>
      <w:r>
        <w:rPr>
          <w:rStyle w:val="CharSectno"/>
        </w:rPr>
        <w:t>20</w:t>
      </w:r>
      <w:r>
        <w:rPr>
          <w:snapToGrid w:val="0"/>
        </w:rPr>
        <w:t>.</w:t>
      </w:r>
      <w:r>
        <w:rPr>
          <w:snapToGrid w:val="0"/>
        </w:rPr>
        <w:tab/>
        <w:t>Statements made by witness not admissible in evidence against him</w:t>
      </w:r>
      <w:bookmarkEnd w:id="61"/>
      <w:bookmarkEnd w:id="62"/>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No. 72 of 1990 s. 12.] </w:t>
      </w:r>
    </w:p>
    <w:p>
      <w:pPr>
        <w:pStyle w:val="Heading5"/>
        <w:rPr>
          <w:snapToGrid w:val="0"/>
        </w:rPr>
      </w:pPr>
      <w:bookmarkStart w:id="63" w:name="_Toc406080499"/>
      <w:bookmarkStart w:id="64" w:name="_Toc423593960"/>
      <w:r>
        <w:rPr>
          <w:rStyle w:val="CharSectno"/>
        </w:rPr>
        <w:t>21</w:t>
      </w:r>
      <w:r>
        <w:rPr>
          <w:snapToGrid w:val="0"/>
        </w:rPr>
        <w:t>.</w:t>
      </w:r>
      <w:r>
        <w:rPr>
          <w:snapToGrid w:val="0"/>
        </w:rPr>
        <w:tab/>
        <w:t>Power of Commission in relation to documents produced</w:t>
      </w:r>
      <w:bookmarkEnd w:id="63"/>
      <w:bookmarkEnd w:id="64"/>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65" w:name="_Toc406080500"/>
      <w:bookmarkStart w:id="66" w:name="_Toc423593961"/>
      <w:r>
        <w:rPr>
          <w:rStyle w:val="CharSectno"/>
        </w:rPr>
        <w:t>22</w:t>
      </w:r>
      <w:r>
        <w:rPr>
          <w:snapToGrid w:val="0"/>
        </w:rPr>
        <w:t>.</w:t>
      </w:r>
      <w:r>
        <w:rPr>
          <w:snapToGrid w:val="0"/>
        </w:rPr>
        <w:tab/>
        <w:t>Examination of witnesses by counsel, etc.</w:t>
      </w:r>
      <w:bookmarkEnd w:id="65"/>
      <w:bookmarkEnd w:id="66"/>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67" w:name="_Toc406080501"/>
      <w:bookmarkStart w:id="68" w:name="_Toc423593962"/>
      <w:r>
        <w:rPr>
          <w:rStyle w:val="CharSectno"/>
        </w:rPr>
        <w:t>23</w:t>
      </w:r>
      <w:r>
        <w:rPr>
          <w:snapToGrid w:val="0"/>
        </w:rPr>
        <w:t>.</w:t>
      </w:r>
      <w:r>
        <w:rPr>
          <w:snapToGrid w:val="0"/>
        </w:rPr>
        <w:tab/>
        <w:t>Payment of witnesses</w:t>
      </w:r>
      <w:bookmarkEnd w:id="67"/>
      <w:bookmarkEnd w:id="68"/>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Account is, to the necessary extent, appropriated accordingly.</w:t>
      </w:r>
    </w:p>
    <w:p>
      <w:pPr>
        <w:pStyle w:val="Footnotesection"/>
      </w:pPr>
      <w:r>
        <w:tab/>
        <w:t xml:space="preserve">[Section 23 amended: No. 98 of 1985 s. 3; No. 6 of 1993 s. 11; No. 77 of 2006 s. 4.] </w:t>
      </w:r>
    </w:p>
    <w:p>
      <w:pPr>
        <w:pStyle w:val="Heading5"/>
        <w:rPr>
          <w:snapToGrid w:val="0"/>
        </w:rPr>
      </w:pPr>
      <w:bookmarkStart w:id="69" w:name="_Toc406080502"/>
      <w:bookmarkStart w:id="70" w:name="_Toc423593963"/>
      <w:r>
        <w:rPr>
          <w:rStyle w:val="CharSectno"/>
        </w:rPr>
        <w:t>24</w:t>
      </w:r>
      <w:r>
        <w:rPr>
          <w:snapToGrid w:val="0"/>
        </w:rPr>
        <w:t>.</w:t>
      </w:r>
      <w:r>
        <w:rPr>
          <w:snapToGrid w:val="0"/>
        </w:rPr>
        <w:tab/>
        <w:t>Giving false testimony</w:t>
      </w:r>
      <w:bookmarkEnd w:id="69"/>
      <w:bookmarkEnd w:id="70"/>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24 amended: No. 30 of 2006 s. 14.]</w:t>
      </w:r>
    </w:p>
    <w:p>
      <w:pPr>
        <w:pStyle w:val="Heading5"/>
        <w:rPr>
          <w:snapToGrid w:val="0"/>
        </w:rPr>
      </w:pPr>
      <w:bookmarkStart w:id="71" w:name="_Toc406080503"/>
      <w:bookmarkStart w:id="72" w:name="_Toc423593964"/>
      <w:r>
        <w:rPr>
          <w:rStyle w:val="CharSectno"/>
        </w:rPr>
        <w:t>25</w:t>
      </w:r>
      <w:r>
        <w:rPr>
          <w:snapToGrid w:val="0"/>
        </w:rPr>
        <w:t>.</w:t>
      </w:r>
      <w:r>
        <w:rPr>
          <w:snapToGrid w:val="0"/>
        </w:rPr>
        <w:tab/>
        <w:t>Bribery of witness</w:t>
      </w:r>
      <w:bookmarkEnd w:id="71"/>
      <w:bookmarkEnd w:id="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25 amended: No. 30 of 2006 s. 14.] </w:t>
      </w:r>
    </w:p>
    <w:p>
      <w:pPr>
        <w:pStyle w:val="Heading5"/>
        <w:rPr>
          <w:snapToGrid w:val="0"/>
        </w:rPr>
      </w:pPr>
      <w:bookmarkStart w:id="73" w:name="_Toc406080504"/>
      <w:bookmarkStart w:id="74" w:name="_Toc423593965"/>
      <w:r>
        <w:rPr>
          <w:rStyle w:val="CharSectno"/>
        </w:rPr>
        <w:t>26</w:t>
      </w:r>
      <w:r>
        <w:rPr>
          <w:snapToGrid w:val="0"/>
        </w:rPr>
        <w:t>.</w:t>
      </w:r>
      <w:r>
        <w:rPr>
          <w:snapToGrid w:val="0"/>
        </w:rPr>
        <w:tab/>
        <w:t>Fraud on witness</w:t>
      </w:r>
      <w:bookmarkEnd w:id="73"/>
      <w:bookmarkEnd w:id="74"/>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26 amended: No. 30 of 2006 s. 14.] </w:t>
      </w:r>
    </w:p>
    <w:p>
      <w:pPr>
        <w:pStyle w:val="Heading5"/>
        <w:rPr>
          <w:snapToGrid w:val="0"/>
        </w:rPr>
      </w:pPr>
      <w:bookmarkStart w:id="75" w:name="_Toc406080505"/>
      <w:bookmarkStart w:id="76" w:name="_Toc423593966"/>
      <w:r>
        <w:rPr>
          <w:rStyle w:val="CharSectno"/>
        </w:rPr>
        <w:t>27</w:t>
      </w:r>
      <w:r>
        <w:rPr>
          <w:snapToGrid w:val="0"/>
        </w:rPr>
        <w:t>.</w:t>
      </w:r>
      <w:r>
        <w:rPr>
          <w:snapToGrid w:val="0"/>
        </w:rPr>
        <w:tab/>
        <w:t>Destroying books or documents</w:t>
      </w:r>
      <w:bookmarkEnd w:id="75"/>
      <w:bookmarkEnd w:id="76"/>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27 amended: No. 30 of 2006 s. 14.] </w:t>
      </w:r>
    </w:p>
    <w:p>
      <w:pPr>
        <w:pStyle w:val="Heading5"/>
        <w:rPr>
          <w:snapToGrid w:val="0"/>
        </w:rPr>
      </w:pPr>
      <w:bookmarkStart w:id="77" w:name="_Toc406080506"/>
      <w:bookmarkStart w:id="78" w:name="_Toc423593967"/>
      <w:r>
        <w:rPr>
          <w:rStyle w:val="CharSectno"/>
        </w:rPr>
        <w:t>28</w:t>
      </w:r>
      <w:r>
        <w:rPr>
          <w:snapToGrid w:val="0"/>
        </w:rPr>
        <w:t>.</w:t>
      </w:r>
      <w:r>
        <w:rPr>
          <w:snapToGrid w:val="0"/>
        </w:rPr>
        <w:tab/>
        <w:t>Preventing witness from attending</w:t>
      </w:r>
      <w:bookmarkEnd w:id="77"/>
      <w:bookmarkEnd w:id="78"/>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28 amended: No. 30 of 2006 s. 14.] </w:t>
      </w:r>
    </w:p>
    <w:p>
      <w:pPr>
        <w:pStyle w:val="Heading5"/>
        <w:rPr>
          <w:snapToGrid w:val="0"/>
        </w:rPr>
      </w:pPr>
      <w:bookmarkStart w:id="79" w:name="_Toc406080507"/>
      <w:bookmarkStart w:id="80" w:name="_Toc423593968"/>
      <w:r>
        <w:rPr>
          <w:rStyle w:val="CharSectno"/>
        </w:rPr>
        <w:t>29</w:t>
      </w:r>
      <w:r>
        <w:rPr>
          <w:snapToGrid w:val="0"/>
        </w:rPr>
        <w:t>.</w:t>
      </w:r>
      <w:r>
        <w:rPr>
          <w:snapToGrid w:val="0"/>
        </w:rPr>
        <w:tab/>
        <w:t>Injury to witness</w:t>
      </w:r>
      <w:bookmarkEnd w:id="79"/>
      <w:bookmarkEnd w:id="80"/>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29 amended: No. 30 of 2006 s. 14.] </w:t>
      </w:r>
    </w:p>
    <w:p>
      <w:pPr>
        <w:pStyle w:val="Heading5"/>
        <w:rPr>
          <w:snapToGrid w:val="0"/>
        </w:rPr>
      </w:pPr>
      <w:bookmarkStart w:id="81" w:name="_Toc406080508"/>
      <w:bookmarkStart w:id="82" w:name="_Toc423593969"/>
      <w:r>
        <w:rPr>
          <w:rStyle w:val="CharSectno"/>
        </w:rPr>
        <w:t>30</w:t>
      </w:r>
      <w:r>
        <w:rPr>
          <w:snapToGrid w:val="0"/>
        </w:rPr>
        <w:t>.</w:t>
      </w:r>
      <w:r>
        <w:rPr>
          <w:snapToGrid w:val="0"/>
        </w:rPr>
        <w:tab/>
        <w:t>Dismissal by employers of witness</w:t>
      </w:r>
      <w:bookmarkEnd w:id="81"/>
      <w:bookmarkEnd w:id="82"/>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r>
        <w:tab/>
        <w:t xml:space="preserve">[Section 30 amended: No. 30 of 2006 s. 14.] </w:t>
      </w:r>
    </w:p>
    <w:p>
      <w:pPr>
        <w:pStyle w:val="Heading5"/>
        <w:rPr>
          <w:snapToGrid w:val="0"/>
        </w:rPr>
      </w:pPr>
      <w:bookmarkStart w:id="83" w:name="_Toc406080509"/>
      <w:bookmarkStart w:id="84" w:name="_Toc423593970"/>
      <w:r>
        <w:rPr>
          <w:rStyle w:val="CharSectno"/>
        </w:rPr>
        <w:t>31</w:t>
      </w:r>
      <w:r>
        <w:rPr>
          <w:snapToGrid w:val="0"/>
        </w:rPr>
        <w:t>.</w:t>
      </w:r>
      <w:r>
        <w:rPr>
          <w:snapToGrid w:val="0"/>
        </w:rPr>
        <w:tab/>
        <w:t>Protection to Commissioners, witnesses, persons appearing</w:t>
      </w:r>
      <w:bookmarkEnd w:id="83"/>
      <w:bookmarkEnd w:id="84"/>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85" w:name="_Toc406080510"/>
      <w:bookmarkStart w:id="86" w:name="_Toc423593971"/>
      <w:r>
        <w:rPr>
          <w:rStyle w:val="CharSectno"/>
        </w:rPr>
        <w:t>32</w:t>
      </w:r>
      <w:r>
        <w:rPr>
          <w:snapToGrid w:val="0"/>
        </w:rPr>
        <w:t>.</w:t>
      </w:r>
      <w:r>
        <w:rPr>
          <w:snapToGrid w:val="0"/>
        </w:rPr>
        <w:tab/>
        <w:t>Proceedings for defamation not to lie</w:t>
      </w:r>
      <w:bookmarkEnd w:id="85"/>
      <w:bookmarkEnd w:id="86"/>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No. 57 of 1997 s. 108; No. 30 of 2006 s. 13.]</w:t>
      </w:r>
    </w:p>
    <w:p>
      <w:pPr>
        <w:pStyle w:val="Heading5"/>
        <w:rPr>
          <w:snapToGrid w:val="0"/>
        </w:rPr>
      </w:pPr>
      <w:bookmarkStart w:id="87" w:name="_Toc406080511"/>
      <w:bookmarkStart w:id="88" w:name="_Toc423593972"/>
      <w:r>
        <w:rPr>
          <w:rStyle w:val="CharSectno"/>
        </w:rPr>
        <w:t>33</w:t>
      </w:r>
      <w:r>
        <w:rPr>
          <w:snapToGrid w:val="0"/>
        </w:rPr>
        <w:t>.</w:t>
      </w:r>
      <w:r>
        <w:rPr>
          <w:snapToGrid w:val="0"/>
        </w:rPr>
        <w:tab/>
        <w:t>Privilege, protection or immunity not limited or abridged</w:t>
      </w:r>
      <w:bookmarkEnd w:id="87"/>
      <w:bookmarkEnd w:id="88"/>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Deleted: No. 84 of 2004 s. 78.] </w:t>
      </w:r>
    </w:p>
    <w:p>
      <w:pPr>
        <w:pStyle w:val="Ednotesection"/>
        <w:ind w:left="0" w:firstLine="0"/>
      </w:pPr>
      <w:r>
        <w:t>[</w:t>
      </w:r>
      <w:r>
        <w:rPr>
          <w:b/>
        </w:rPr>
        <w:t>35</w:t>
      </w:r>
      <w:r>
        <w:rPr>
          <w:b/>
        </w:rPr>
        <w:noBreakHyphen/>
        <w:t>37.</w:t>
      </w:r>
      <w:r>
        <w:tab/>
        <w:t xml:space="preserve">Deleted: No. 92 of 1994 s. 41.] </w:t>
      </w:r>
    </w:p>
    <w:p>
      <w:pPr>
        <w:pStyle w:val="Heading5"/>
        <w:rPr>
          <w:snapToGrid w:val="0"/>
        </w:rPr>
      </w:pPr>
      <w:bookmarkStart w:id="89" w:name="_Toc406080512"/>
      <w:bookmarkStart w:id="90" w:name="_Toc423593973"/>
      <w:r>
        <w:rPr>
          <w:rStyle w:val="CharSectno"/>
        </w:rPr>
        <w:t>38</w:t>
      </w:r>
      <w:r>
        <w:rPr>
          <w:snapToGrid w:val="0"/>
        </w:rPr>
        <w:t>.</w:t>
      </w:r>
      <w:r>
        <w:rPr>
          <w:snapToGrid w:val="0"/>
        </w:rPr>
        <w:tab/>
        <w:t>Evidence of appointment to be a Commission</w:t>
      </w:r>
      <w:bookmarkEnd w:id="89"/>
      <w:bookmarkEnd w:id="90"/>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91" w:name="_Toc377393686"/>
      <w:bookmarkStart w:id="92" w:name="_Toc406080465"/>
      <w:bookmarkStart w:id="93" w:name="_Toc406080513"/>
      <w:bookmarkStart w:id="94" w:name="_Toc423090662"/>
      <w:bookmarkStart w:id="95" w:name="_Toc423593974"/>
      <w:r>
        <w:t>Notes</w:t>
      </w:r>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Commissions Act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406080514"/>
      <w:bookmarkStart w:id="97" w:name="_Toc423593975"/>
      <w:r>
        <w:rPr>
          <w:snapToGrid w:val="0"/>
        </w:rP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before="60" w:after="60"/>
              <w:ind w:right="113"/>
            </w:pPr>
            <w:r>
              <w:rPr>
                <w:i/>
              </w:rPr>
              <w:t>Royal Commissions Act 1968</w:t>
            </w:r>
          </w:p>
        </w:tc>
        <w:tc>
          <w:tcPr>
            <w:tcW w:w="1134" w:type="dxa"/>
            <w:tcBorders>
              <w:top w:val="single" w:sz="8" w:space="0" w:color="auto"/>
            </w:tcBorders>
          </w:tcPr>
          <w:p>
            <w:pPr>
              <w:pStyle w:val="nTable"/>
              <w:spacing w:before="60" w:after="60"/>
            </w:pPr>
            <w:r>
              <w:t>65 of 1968</w:t>
            </w:r>
          </w:p>
        </w:tc>
        <w:tc>
          <w:tcPr>
            <w:tcW w:w="1134" w:type="dxa"/>
            <w:tcBorders>
              <w:top w:val="single" w:sz="8" w:space="0" w:color="auto"/>
            </w:tcBorders>
          </w:tcPr>
          <w:p>
            <w:pPr>
              <w:pStyle w:val="nTable"/>
              <w:spacing w:before="60" w:after="60"/>
            </w:pPr>
            <w:r>
              <w:t>18 Nov 1968</w:t>
            </w:r>
          </w:p>
        </w:tc>
        <w:tc>
          <w:tcPr>
            <w:tcW w:w="2552" w:type="dxa"/>
            <w:tcBorders>
              <w:top w:val="single" w:sz="8" w:space="0" w:color="auto"/>
            </w:tcBorders>
          </w:tcPr>
          <w:p>
            <w:pPr>
              <w:pStyle w:val="nTable"/>
              <w:spacing w:before="60" w:after="60"/>
            </w:pPr>
            <w:r>
              <w:t>18 Nov 1968</w:t>
            </w:r>
          </w:p>
        </w:tc>
      </w:tr>
      <w:tr>
        <w:trPr>
          <w:cantSplit/>
        </w:trPr>
        <w:tc>
          <w:tcPr>
            <w:tcW w:w="2268" w:type="dxa"/>
          </w:tcPr>
          <w:p>
            <w:pPr>
              <w:pStyle w:val="nTable"/>
              <w:spacing w:before="60" w:after="60"/>
              <w:ind w:right="113"/>
            </w:pPr>
            <w:r>
              <w:rPr>
                <w:i/>
              </w:rPr>
              <w:t>Acts Amendment (Financial Administration and Audit) Act 1985 </w:t>
            </w:r>
            <w:r>
              <w:t>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2" w:type="dxa"/>
          </w:tcPr>
          <w:p>
            <w:pPr>
              <w:pStyle w:val="nTable"/>
              <w:spacing w:before="60" w:after="60"/>
            </w:pPr>
            <w:r>
              <w:t xml:space="preserve">1 Jul 1986 (see s. 2 and </w:t>
            </w:r>
            <w:r>
              <w:rPr>
                <w:i/>
              </w:rPr>
              <w:t>Gazette</w:t>
            </w:r>
            <w:r>
              <w:t xml:space="preserve"> 30 Jun 1986 p. 2255)</w:t>
            </w:r>
          </w:p>
        </w:tc>
      </w:tr>
      <w:tr>
        <w:trPr>
          <w:cantSplit/>
        </w:trPr>
        <w:tc>
          <w:tcPr>
            <w:tcW w:w="2268" w:type="dxa"/>
          </w:tcPr>
          <w:p>
            <w:pPr>
              <w:pStyle w:val="nTable"/>
              <w:spacing w:before="60" w:after="60"/>
              <w:ind w:right="113"/>
            </w:pPr>
            <w:r>
              <w:rPr>
                <w:i/>
              </w:rPr>
              <w:t>Royal Commissions Amendment Act 1990</w:t>
            </w:r>
          </w:p>
        </w:tc>
        <w:tc>
          <w:tcPr>
            <w:tcW w:w="1134" w:type="dxa"/>
          </w:tcPr>
          <w:p>
            <w:pPr>
              <w:pStyle w:val="nTable"/>
              <w:spacing w:before="60" w:after="60"/>
            </w:pPr>
            <w:r>
              <w:t>72 of 1990</w:t>
            </w:r>
          </w:p>
        </w:tc>
        <w:tc>
          <w:tcPr>
            <w:tcW w:w="1134" w:type="dxa"/>
          </w:tcPr>
          <w:p>
            <w:pPr>
              <w:pStyle w:val="nTable"/>
              <w:spacing w:before="60" w:after="60"/>
            </w:pPr>
            <w:r>
              <w:t>20 Dec 1990</w:t>
            </w:r>
          </w:p>
        </w:tc>
        <w:tc>
          <w:tcPr>
            <w:tcW w:w="2552" w:type="dxa"/>
          </w:tcPr>
          <w:p>
            <w:pPr>
              <w:pStyle w:val="nTable"/>
              <w:spacing w:before="60" w:after="60"/>
            </w:pPr>
            <w:r>
              <w:t>20 Dec 1990 (see s. 2)</w:t>
            </w:r>
          </w:p>
        </w:tc>
      </w:tr>
      <w:tr>
        <w:trPr>
          <w:cantSplit/>
        </w:trPr>
        <w:tc>
          <w:tcPr>
            <w:tcW w:w="2268" w:type="dxa"/>
          </w:tcPr>
          <w:p>
            <w:pPr>
              <w:pStyle w:val="nTable"/>
              <w:spacing w:before="60" w:after="60"/>
              <w:ind w:right="113"/>
            </w:pPr>
            <w:r>
              <w:rPr>
                <w:i/>
              </w:rPr>
              <w:t>Royal Commissions Amendment Act 1991</w:t>
            </w:r>
          </w:p>
        </w:tc>
        <w:tc>
          <w:tcPr>
            <w:tcW w:w="1134" w:type="dxa"/>
          </w:tcPr>
          <w:p>
            <w:pPr>
              <w:pStyle w:val="nTable"/>
              <w:spacing w:before="60" w:after="60"/>
            </w:pPr>
            <w:r>
              <w:t>3 of 1991</w:t>
            </w:r>
          </w:p>
        </w:tc>
        <w:tc>
          <w:tcPr>
            <w:tcW w:w="1134" w:type="dxa"/>
          </w:tcPr>
          <w:p>
            <w:pPr>
              <w:pStyle w:val="nTable"/>
              <w:spacing w:before="60" w:after="60"/>
            </w:pPr>
            <w:r>
              <w:t>23 May 1991</w:t>
            </w:r>
          </w:p>
        </w:tc>
        <w:tc>
          <w:tcPr>
            <w:tcW w:w="2552" w:type="dxa"/>
          </w:tcPr>
          <w:p>
            <w:pPr>
              <w:pStyle w:val="nTable"/>
              <w:spacing w:before="60" w:after="60"/>
            </w:pPr>
            <w:r>
              <w:t>8 Jan 1991 (see s. 2)</w:t>
            </w:r>
          </w:p>
        </w:tc>
      </w:tr>
      <w:tr>
        <w:trPr>
          <w:cantSplit/>
        </w:trPr>
        <w:tc>
          <w:tcPr>
            <w:tcW w:w="2268" w:type="dxa"/>
          </w:tcPr>
          <w:p>
            <w:pPr>
              <w:pStyle w:val="nTable"/>
              <w:spacing w:before="60" w:after="60"/>
              <w:ind w:right="113"/>
            </w:pPr>
            <w:r>
              <w:rPr>
                <w:i/>
              </w:rPr>
              <w:t xml:space="preserve">Financial Administration Legislation Amendment Act 1993 </w:t>
            </w:r>
            <w:r>
              <w:t>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2" w:type="dxa"/>
          </w:tcPr>
          <w:p>
            <w:pPr>
              <w:pStyle w:val="nTable"/>
              <w:spacing w:before="60" w:after="60"/>
            </w:pPr>
            <w:r>
              <w:t>1 Jul 1993 (see s. 2(1))</w:t>
            </w:r>
          </w:p>
        </w:tc>
      </w:tr>
      <w:tr>
        <w:trPr>
          <w:cantSplit/>
        </w:trPr>
        <w:tc>
          <w:tcPr>
            <w:tcW w:w="2268" w:type="dxa"/>
          </w:tcPr>
          <w:p>
            <w:pPr>
              <w:pStyle w:val="nTable"/>
              <w:spacing w:before="60" w:after="60"/>
              <w:ind w:right="113"/>
            </w:pPr>
            <w:r>
              <w:rPr>
                <w:i/>
              </w:rPr>
              <w:t xml:space="preserve">Acts Amendment (Fines, Penalties and Infringement Notices) Act 1994 </w:t>
            </w:r>
            <w:r>
              <w:t>s. 41</w:t>
            </w:r>
          </w:p>
        </w:tc>
        <w:tc>
          <w:tcPr>
            <w:tcW w:w="1134" w:type="dxa"/>
          </w:tcPr>
          <w:p>
            <w:pPr>
              <w:pStyle w:val="nTable"/>
              <w:spacing w:before="60" w:after="60"/>
            </w:pPr>
            <w:r>
              <w:t>92 of 1994</w:t>
            </w:r>
          </w:p>
        </w:tc>
        <w:tc>
          <w:tcPr>
            <w:tcW w:w="1134" w:type="dxa"/>
          </w:tcPr>
          <w:p>
            <w:pPr>
              <w:pStyle w:val="nTable"/>
              <w:spacing w:before="60" w:after="60"/>
            </w:pPr>
            <w:r>
              <w:t>23 Dec 1994</w:t>
            </w:r>
          </w:p>
        </w:tc>
        <w:tc>
          <w:tcPr>
            <w:tcW w:w="2552" w:type="dxa"/>
          </w:tcPr>
          <w:p>
            <w:pPr>
              <w:pStyle w:val="nTable"/>
              <w:spacing w:before="60" w:after="60"/>
            </w:pPr>
            <w:r>
              <w:t xml:space="preserve">1 Jan 1995 (see s. 2 and </w:t>
            </w:r>
            <w:r>
              <w:rPr>
                <w:i/>
              </w:rPr>
              <w:t>Gazette</w:t>
            </w:r>
            <w:r>
              <w:t xml:space="preserve"> 30 Dec 1994 p. 7211)</w:t>
            </w:r>
          </w:p>
        </w:tc>
      </w:tr>
      <w:tr>
        <w:trPr>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2 Nov 1995 </w:t>
            </w:r>
            <w:r>
              <w:t>(includes amendments listed above)</w:t>
            </w:r>
          </w:p>
        </w:tc>
      </w:tr>
      <w:tr>
        <w:trPr>
          <w:cantSplit/>
        </w:trPr>
        <w:tc>
          <w:tcPr>
            <w:tcW w:w="2268" w:type="dxa"/>
          </w:tcPr>
          <w:p>
            <w:pPr>
              <w:pStyle w:val="nTable"/>
              <w:spacing w:before="60" w:after="60"/>
              <w:ind w:right="113"/>
            </w:pPr>
            <w:r>
              <w:rPr>
                <w:i/>
              </w:rPr>
              <w:t xml:space="preserve">Statutes (Repeals and Minor Amendments) Act 1997 </w:t>
            </w:r>
            <w:r>
              <w:t>s. 108</w:t>
            </w:r>
          </w:p>
        </w:tc>
        <w:tc>
          <w:tcPr>
            <w:tcW w:w="1134" w:type="dxa"/>
          </w:tcPr>
          <w:p>
            <w:pPr>
              <w:pStyle w:val="nTable"/>
              <w:spacing w:before="60" w:after="60"/>
            </w:pPr>
            <w:r>
              <w:t>57 of 1997</w:t>
            </w:r>
          </w:p>
        </w:tc>
        <w:tc>
          <w:tcPr>
            <w:tcW w:w="1134" w:type="dxa"/>
          </w:tcPr>
          <w:p>
            <w:pPr>
              <w:pStyle w:val="nTable"/>
              <w:spacing w:before="60" w:after="60"/>
            </w:pPr>
            <w:r>
              <w:t>15 Dec 1997</w:t>
            </w:r>
          </w:p>
        </w:tc>
        <w:tc>
          <w:tcPr>
            <w:tcW w:w="2552" w:type="dxa"/>
          </w:tcPr>
          <w:p>
            <w:pPr>
              <w:pStyle w:val="nTable"/>
              <w:spacing w:before="60" w:after="60"/>
            </w:pPr>
            <w:r>
              <w:t>15 Dec 1997 (see s. 2(1))</w:t>
            </w:r>
          </w:p>
        </w:tc>
      </w:tr>
      <w:tr>
        <w:trPr>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14 Sep 2001 </w:t>
            </w:r>
            <w:r>
              <w:t>(includes amendments listed above)</w:t>
            </w:r>
          </w:p>
        </w:tc>
      </w:tr>
      <w:tr>
        <w:trPr>
          <w:cantSplit/>
        </w:trPr>
        <w:tc>
          <w:tcPr>
            <w:tcW w:w="2268" w:type="dxa"/>
          </w:tcPr>
          <w:p>
            <w:pPr>
              <w:pStyle w:val="nTable"/>
              <w:spacing w:before="60" w:after="60"/>
              <w:ind w:right="113"/>
            </w:pPr>
            <w:r>
              <w:rPr>
                <w:i/>
                <w:snapToGrid w:val="0"/>
              </w:rPr>
              <w:t>Acts Amendment (Court of Appeal) Act 2004</w:t>
            </w:r>
            <w:r>
              <w:rPr>
                <w:snapToGrid w:val="0"/>
              </w:rPr>
              <w:t xml:space="preserve"> 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before="60" w:after="60"/>
              <w:ind w:right="113"/>
              <w:rPr>
                <w:snapToGrid w:val="0"/>
              </w:rPr>
            </w:pPr>
            <w:r>
              <w:rPr>
                <w:i/>
                <w:snapToGrid w:val="0"/>
              </w:rPr>
              <w:t>Royal Commissions (Powers) Amendment Act 2006</w:t>
            </w:r>
            <w:r>
              <w:rPr>
                <w:snapToGrid w:val="0"/>
              </w:rPr>
              <w:t xml:space="preserve"> Pt. 2</w:t>
            </w:r>
          </w:p>
        </w:tc>
        <w:tc>
          <w:tcPr>
            <w:tcW w:w="1134" w:type="dxa"/>
          </w:tcPr>
          <w:p>
            <w:pPr>
              <w:pStyle w:val="nTable"/>
              <w:spacing w:before="60" w:after="60"/>
              <w:rPr>
                <w:snapToGrid w:val="0"/>
              </w:rPr>
            </w:pPr>
            <w:r>
              <w:rPr>
                <w:snapToGrid w:val="0"/>
              </w:rPr>
              <w:t>30 of 2006</w:t>
            </w:r>
          </w:p>
        </w:tc>
        <w:tc>
          <w:tcPr>
            <w:tcW w:w="1134" w:type="dxa"/>
          </w:tcPr>
          <w:p>
            <w:pPr>
              <w:pStyle w:val="nTable"/>
              <w:spacing w:before="60" w:after="60"/>
            </w:pPr>
            <w:r>
              <w:t>4 Jul 2006</w:t>
            </w:r>
          </w:p>
        </w:tc>
        <w:tc>
          <w:tcPr>
            <w:tcW w:w="2552" w:type="dxa"/>
          </w:tcPr>
          <w:p>
            <w:pPr>
              <w:pStyle w:val="nTable"/>
              <w:spacing w:before="60" w:after="60"/>
              <w:rPr>
                <w:snapToGrid w:val="0"/>
              </w:rPr>
            </w:pPr>
            <w:r>
              <w:rPr>
                <w:snapToGrid w:val="0"/>
              </w:rPr>
              <w:t xml:space="preserve">16 Sep 2006 (see s. 2 and </w:t>
            </w:r>
            <w:r>
              <w:rPr>
                <w:i/>
                <w:snapToGrid w:val="0"/>
              </w:rPr>
              <w:t>Gazette</w:t>
            </w:r>
            <w:r>
              <w:rPr>
                <w:snapToGrid w:val="0"/>
              </w:rPr>
              <w:t xml:space="preserve"> 15 Sep 2006 p. 3683)</w:t>
            </w:r>
          </w:p>
        </w:tc>
      </w:tr>
      <w:tr>
        <w:trPr>
          <w:cantSplit/>
        </w:trPr>
        <w:tc>
          <w:tcPr>
            <w:tcW w:w="7088" w:type="dxa"/>
            <w:gridSpan w:val="4"/>
          </w:tcPr>
          <w:p>
            <w:pPr>
              <w:pStyle w:val="nTable"/>
              <w:spacing w:before="60" w:after="60"/>
              <w:rPr>
                <w:snapToGrid w:val="0"/>
              </w:rPr>
            </w:pPr>
            <w:r>
              <w:rPr>
                <w:b/>
              </w:rPr>
              <w:t xml:space="preserve">Reprint 3: The </w:t>
            </w:r>
            <w:r>
              <w:rPr>
                <w:b/>
                <w:i/>
              </w:rPr>
              <w:t xml:space="preserve">Royal Commissions Act 1968 </w:t>
            </w:r>
            <w:r>
              <w:rPr>
                <w:b/>
              </w:rPr>
              <w:t xml:space="preserve">as at 8 Dec 2006 </w:t>
            </w:r>
            <w:r>
              <w:t>(includes amendments listed above)</w:t>
            </w:r>
          </w:p>
        </w:tc>
      </w:tr>
      <w:tr>
        <w:trPr>
          <w:cantSplit/>
        </w:trPr>
        <w:tc>
          <w:tcPr>
            <w:tcW w:w="2268" w:type="dxa"/>
          </w:tcPr>
          <w:p>
            <w:pPr>
              <w:pStyle w:val="nTable"/>
              <w:spacing w:before="60" w:after="60"/>
              <w:ind w:right="113"/>
              <w:rPr>
                <w:snapToGrid w:val="0"/>
              </w:rPr>
            </w:pPr>
            <w:r>
              <w:rPr>
                <w:i/>
                <w:snapToGrid w:val="0"/>
              </w:rPr>
              <w:t xml:space="preserve">Financial Legislation Amendment and Repeal Act 2006 </w:t>
            </w:r>
            <w:r>
              <w:rPr>
                <w:snapToGrid w:val="0"/>
              </w:rPr>
              <w:t>s. 4</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 and </w:t>
            </w:r>
            <w:r>
              <w:rPr>
                <w:i/>
                <w:snapToGrid w:val="0"/>
              </w:rPr>
              <w:t>Gazette</w:t>
            </w:r>
            <w:r>
              <w:rPr>
                <w:snapToGrid w:val="0"/>
              </w:rPr>
              <w:t xml:space="preserve"> 19 Jan 2007 p. 137)</w:t>
            </w:r>
          </w:p>
        </w:tc>
      </w:tr>
      <w:tr>
        <w:trPr>
          <w:cantSplit/>
        </w:trPr>
        <w:tc>
          <w:tcPr>
            <w:tcW w:w="2268" w:type="dxa"/>
            <w:tcBorders>
              <w:bottom w:val="single" w:sz="4" w:space="0" w:color="auto"/>
            </w:tcBorders>
          </w:tcPr>
          <w:p>
            <w:pPr>
              <w:pStyle w:val="nTable"/>
              <w:spacing w:before="60" w:after="6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tcPr>
          <w:p>
            <w:pPr>
              <w:pStyle w:val="nTable"/>
              <w:spacing w:before="60" w:after="60"/>
              <w:rPr>
                <w:snapToGrid w:val="0"/>
              </w:rPr>
            </w:pPr>
            <w:r>
              <w:rPr>
                <w:snapToGrid w:val="0"/>
                <w:lang w:val="en-US"/>
              </w:rPr>
              <w:t>35 of 2014</w:t>
            </w:r>
          </w:p>
        </w:tc>
        <w:tc>
          <w:tcPr>
            <w:tcW w:w="1134" w:type="dxa"/>
            <w:tcBorders>
              <w:bottom w:val="single" w:sz="4" w:space="0" w:color="auto"/>
            </w:tcBorders>
          </w:tcPr>
          <w:p>
            <w:pPr>
              <w:pStyle w:val="nTable"/>
              <w:spacing w:before="60" w:after="60"/>
              <w:rPr>
                <w:snapToGrid w:val="0"/>
              </w:rPr>
            </w:pPr>
            <w:r>
              <w:t>9 Dec 2014</w:t>
            </w:r>
          </w:p>
        </w:tc>
        <w:tc>
          <w:tcPr>
            <w:tcW w:w="2552" w:type="dxa"/>
            <w:tcBorders>
              <w:bottom w:val="single" w:sz="4" w:space="0" w:color="auto"/>
            </w:tcBorders>
          </w:tcPr>
          <w:p>
            <w:pPr>
              <w:pStyle w:val="nTable"/>
              <w:spacing w:before="60" w:after="60"/>
              <w:rPr>
                <w:snapToGrid w:val="0"/>
              </w:rPr>
            </w:pPr>
            <w:r>
              <w:rPr>
                <w:snapToGrid w:val="0"/>
              </w:rPr>
              <w:t xml:space="preserve">1 Jul 2015 (see s. 2(b) and </w:t>
            </w:r>
            <w:r>
              <w:rPr>
                <w:i/>
                <w:snapToGrid w:val="0"/>
              </w:rPr>
              <w:t>Gazette</w:t>
            </w:r>
            <w:r>
              <w:rPr>
                <w:snapToGrid w:val="0"/>
              </w:rPr>
              <w:t xml:space="preserve"> 26 Jun 2015 p. 2235)</w:t>
            </w:r>
          </w:p>
        </w:tc>
      </w:tr>
    </w:tb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99" w:name="_Toc423593976"/>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15(2), 18(11)</w:t>
      </w:r>
    </w:p>
    <w:p>
      <w:pPr>
        <w:pStyle w:val="DefinedTerms"/>
      </w:pPr>
      <w:r>
        <w:t>Chairman</w:t>
      </w:r>
      <w:r>
        <w:tab/>
        <w:t>4</w:t>
      </w:r>
    </w:p>
    <w:p>
      <w:pPr>
        <w:pStyle w:val="DefinedTerms"/>
      </w:pPr>
      <w:r>
        <w:t>Commission</w:t>
      </w:r>
      <w:r>
        <w:tab/>
        <w:t>4</w:t>
      </w:r>
    </w:p>
    <w:p>
      <w:pPr>
        <w:pStyle w:val="DefinedTerms"/>
      </w:pPr>
      <w:r>
        <w:t>Commissioner</w:t>
      </w:r>
      <w:r>
        <w:tab/>
        <w:t>4</w:t>
      </w:r>
    </w:p>
    <w:p>
      <w:pPr>
        <w:pStyle w:val="DefinedTerms"/>
      </w:pPr>
      <w:r>
        <w:t>defendant</w:t>
      </w:r>
      <w:r>
        <w:tab/>
        <w:t>15B(1)</w:t>
      </w:r>
    </w:p>
    <w:p>
      <w:pPr>
        <w:pStyle w:val="DefinedTerms"/>
      </w:pPr>
      <w:r>
        <w:t>documents</w:t>
      </w:r>
      <w:r>
        <w:tab/>
        <w:t>4</w:t>
      </w:r>
    </w:p>
    <w:p>
      <w:pPr>
        <w:pStyle w:val="DefinedTerms"/>
      </w:pPr>
      <w:r>
        <w:t>officer of the Commission</w:t>
      </w:r>
      <w:r>
        <w:tab/>
        <w:t>4</w:t>
      </w:r>
    </w:p>
    <w:p>
      <w:pPr>
        <w:pStyle w:val="DefinedTerms"/>
      </w:pPr>
      <w:r>
        <w:t>public authority</w:t>
      </w:r>
      <w:r>
        <w:tab/>
        <w:t>8A(1)</w:t>
      </w:r>
    </w:p>
    <w:p>
      <w:pPr>
        <w:pStyle w:val="DefinedTerms"/>
      </w:pPr>
      <w:r>
        <w:t>public officer</w:t>
      </w:r>
      <w:r>
        <w:tab/>
        <w:t>8A(1)</w:t>
      </w:r>
    </w:p>
    <w:p>
      <w:pPr>
        <w:pStyle w:val="DefinedTerms"/>
      </w:pPr>
      <w:r>
        <w:t>publishes</w:t>
      </w:r>
      <w:r>
        <w:tab/>
        <w:t>19B(1)</w:t>
      </w:r>
    </w:p>
    <w:p>
      <w:pPr>
        <w:pStyle w:val="DefinedTerms"/>
      </w:pPr>
      <w:r>
        <w:t>reasonable excuse</w:t>
      </w:r>
      <w:r>
        <w:tab/>
        <w:t>13(4)</w:t>
      </w:r>
    </w:p>
    <w:p>
      <w:pPr>
        <w:pStyle w:val="DefinedTerms"/>
      </w:pPr>
      <w:r>
        <w:t>relevant material</w:t>
      </w:r>
      <w:r>
        <w:tab/>
        <w:t>18(11)</w:t>
      </w:r>
    </w:p>
    <w:p>
      <w:pPr>
        <w:pStyle w:val="DefinedTerms"/>
      </w:pPr>
      <w:r>
        <w:t>visual recording</w:t>
      </w:r>
      <w:r>
        <w:tab/>
        <w:t>19B(1)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CC096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915"/>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 w:name="WAFER_20150626135824" w:val="ResetPageSize,UpdateArrangement,UpdateNTable"/>
    <w:docVar w:name="WAFER_20150626135824_GUID" w:val="6cbef60e-9e47-43c1-ae30-cfe2bab1fc83"/>
    <w:docVar w:name="WAFER_20151111174620" w:val="UpdateStyles"/>
    <w:docVar w:name="WAFER_20151111174620_GUID" w:val="763ced96-dc39-4069-98c6-767746084a1a"/>
    <w:docVar w:name="WAFER_20151111174915" w:val="UpdateStyles,UsedStyles"/>
    <w:docVar w:name="WAFER_20151111174915_GUID" w:val="2fbd3ce5-4df6-459f-86cb-aafd1c6da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7555</Words>
  <Characters>35738</Characters>
  <Application>Microsoft Office Word</Application>
  <DocSecurity>0</DocSecurity>
  <Lines>992</Lines>
  <Paragraphs>555</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
  <LinksUpToDate>false</LinksUpToDate>
  <CharactersWithSpaces>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1968 - 03-d0-02</dc:title>
  <dc:subject/>
  <dc:creator/>
  <cp:keywords/>
  <dc:description/>
  <cp:lastModifiedBy>svcMRProcess</cp:lastModifiedBy>
  <cp:revision>4</cp:revision>
  <cp:lastPrinted>2006-12-07T02:49:00Z</cp:lastPrinted>
  <dcterms:created xsi:type="dcterms:W3CDTF">2019-01-23T05:27:00Z</dcterms:created>
  <dcterms:modified xsi:type="dcterms:W3CDTF">2019-01-23T05:27:00Z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DocumentType">
    <vt:lpwstr>Act</vt:lpwstr>
  </property>
  <property fmtid="{D5CDD505-2E9C-101B-9397-08002B2CF9AE}" pid="4" name="OwlsUID">
    <vt:i4>718</vt:i4>
  </property>
  <property fmtid="{D5CDD505-2E9C-101B-9397-08002B2CF9AE}" pid="5" name="CommencementDate">
    <vt:lpwstr>20150701</vt:lpwstr>
  </property>
  <property fmtid="{D5CDD505-2E9C-101B-9397-08002B2CF9AE}" pid="6" name="AsAtDate">
    <vt:lpwstr>01 Jul 2015</vt:lpwstr>
  </property>
  <property fmtid="{D5CDD505-2E9C-101B-9397-08002B2CF9AE}" pid="7" name="Suffix">
    <vt:lpwstr>03-d0-02</vt:lpwstr>
  </property>
</Properties>
</file>