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_Toc426541972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_Toc426541973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_Toc426541975 \h </w:instrText>
      </w:r>
      <w:r>
        <w:fldChar w:fldCharType="separate"/>
      </w:r>
      <w:r>
        <w:t>2</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_Toc426541976 \h </w:instrText>
      </w:r>
      <w:r>
        <w:fldChar w:fldCharType="separate"/>
      </w:r>
      <w:r>
        <w:t>3</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_Toc426541977 \h </w:instrText>
      </w:r>
      <w:r>
        <w:fldChar w:fldCharType="separate"/>
      </w:r>
      <w:r>
        <w:t>3</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_Toc426541978 \h </w:instrText>
      </w:r>
      <w:r>
        <w:fldChar w:fldCharType="separate"/>
      </w:r>
      <w:r>
        <w:t>4</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_Toc426541979 \h </w:instrText>
      </w:r>
      <w:r>
        <w:fldChar w:fldCharType="separate"/>
      </w:r>
      <w:r>
        <w:t>5</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_Toc426541980 \h </w:instrText>
      </w:r>
      <w:r>
        <w:fldChar w:fldCharType="separate"/>
      </w:r>
      <w:r>
        <w:t>5</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_Toc426541981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_Toc426541983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 used: network operator</w:t>
      </w:r>
      <w:r>
        <w:tab/>
      </w:r>
      <w:r>
        <w:fldChar w:fldCharType="begin"/>
      </w:r>
      <w:r>
        <w:instrText xml:space="preserve"> PAGEREF _Toc426541985 \h </w:instrText>
      </w:r>
      <w:r>
        <w:fldChar w:fldCharType="separate"/>
      </w:r>
      <w:r>
        <w:t>8</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_Toc426541986 \h </w:instrText>
      </w:r>
      <w:r>
        <w:fldChar w:fldCharType="separate"/>
      </w:r>
      <w:r>
        <w:t>8</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_Toc426541987 \h </w:instrText>
      </w:r>
      <w:r>
        <w:fldChar w:fldCharType="separate"/>
      </w:r>
      <w:r>
        <w:t>9</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_Toc426541988 \h </w:instrText>
      </w:r>
      <w:r>
        <w:fldChar w:fldCharType="separate"/>
      </w:r>
      <w:r>
        <w:t>11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_Toc426541989 \h </w:instrText>
      </w:r>
      <w:r>
        <w:fldChar w:fldCharType="separate"/>
      </w:r>
      <w:r>
        <w:t>11</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_Toc426541990 \h </w:instrText>
      </w:r>
      <w:r>
        <w:fldChar w:fldCharType="separate"/>
      </w:r>
      <w:r>
        <w:t>11</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_Toc426541991 \h </w:instrText>
      </w:r>
      <w:r>
        <w:fldChar w:fldCharType="separate"/>
      </w:r>
      <w:r>
        <w:t>16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_Toc426541992 \h </w:instrText>
      </w:r>
      <w:r>
        <w:fldChar w:fldCharType="separate"/>
      </w:r>
      <w:r>
        <w:t>17</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_Toc426541993 \h </w:instrText>
      </w:r>
      <w:r>
        <w:fldChar w:fldCharType="separate"/>
      </w:r>
      <w:r>
        <w:t>17</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_Toc426541994 \h </w:instrText>
      </w:r>
      <w:r>
        <w:fldChar w:fldCharType="separate"/>
      </w:r>
      <w:r>
        <w:t>18</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_Toc426541995 \h </w:instrText>
      </w:r>
      <w:r>
        <w:fldChar w:fldCharType="separate"/>
      </w:r>
      <w:r>
        <w:t>18</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_Toc426541996 \h </w:instrText>
      </w:r>
      <w:r>
        <w:fldChar w:fldCharType="separate"/>
      </w:r>
      <w:r>
        <w:t>19</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_Toc426541997 \h </w:instrText>
      </w:r>
      <w:r>
        <w:fldChar w:fldCharType="separate"/>
      </w:r>
      <w:r>
        <w:t>19</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_Toc426541998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_Toc426542000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_Toc426542002 \h </w:instrText>
      </w:r>
      <w:r>
        <w:fldChar w:fldCharType="separate"/>
      </w:r>
      <w:r>
        <w:t>23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_Toc426542003 \h </w:instrText>
      </w:r>
      <w:r>
        <w:fldChar w:fldCharType="separate"/>
      </w:r>
      <w:r>
        <w:t>24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_Toc426542004 \h </w:instrText>
      </w:r>
      <w:r>
        <w:fldChar w:fldCharType="separate"/>
      </w:r>
      <w:r>
        <w:t>26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_Toc426542005 \h </w:instrText>
      </w:r>
      <w:r>
        <w:fldChar w:fldCharType="separate"/>
      </w:r>
      <w:r>
        <w:t>27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_Toc426542006 \h </w:instrText>
      </w:r>
      <w:r>
        <w:fldChar w:fldCharType="separate"/>
      </w:r>
      <w:r>
        <w:t>29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_Toc426542007 \h </w:instrText>
      </w:r>
      <w:r>
        <w:fldChar w:fldCharType="separate"/>
      </w:r>
      <w:r>
        <w:t>31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_Toc426542008 \h </w:instrText>
      </w:r>
      <w:r>
        <w:fldChar w:fldCharType="separate"/>
      </w:r>
      <w:r>
        <w:t>31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_Toc426542009 \h </w:instrText>
      </w:r>
      <w:r>
        <w:fldChar w:fldCharType="separate"/>
      </w:r>
      <w:r>
        <w:t>32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_Toc426542010 \h </w:instrText>
      </w:r>
      <w:r>
        <w:fldChar w:fldCharType="separate"/>
      </w:r>
      <w:r>
        <w:t>32</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_Toc426542011 \h </w:instrText>
      </w:r>
      <w:r>
        <w:fldChar w:fldCharType="separate"/>
      </w:r>
      <w:r>
        <w:t>33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_Toc426542012 \h </w:instrText>
      </w:r>
      <w:r>
        <w:fldChar w:fldCharType="separate"/>
      </w:r>
      <w:r>
        <w:t>35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_Toc426542013 \h </w:instrText>
      </w:r>
      <w:r>
        <w:fldChar w:fldCharType="separate"/>
      </w:r>
      <w:r>
        <w:t>36</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_Toc426542014 \h </w:instrText>
      </w:r>
      <w:r>
        <w:fldChar w:fldCharType="separate"/>
      </w:r>
      <w:r>
        <w:t>36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_Toc426542015 \h </w:instrText>
      </w:r>
      <w:r>
        <w:fldChar w:fldCharType="separate"/>
      </w:r>
      <w:r>
        <w:t>37</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_Toc426542016 \h </w:instrText>
      </w:r>
      <w:r>
        <w:fldChar w:fldCharType="separate"/>
      </w:r>
      <w:r>
        <w:t>38</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_Toc426542017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_Toc426542019 \h </w:instrText>
      </w:r>
      <w:r>
        <w:fldChar w:fldCharType="separate"/>
      </w:r>
      <w:r>
        <w:t>40</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_Toc426542020 \h </w:instrText>
      </w:r>
      <w:r>
        <w:fldChar w:fldCharType="separate"/>
      </w:r>
      <w:r>
        <w:t>40</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_Toc426542021 \h </w:instrText>
      </w:r>
      <w:r>
        <w:fldChar w:fldCharType="separate"/>
      </w:r>
      <w:r>
        <w:t>40</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_Toc426542022 \h </w:instrText>
      </w:r>
      <w:r>
        <w:fldChar w:fldCharType="separate"/>
      </w:r>
      <w:r>
        <w:t>40</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_Toc426542023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_Toc426542027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3" w:name="_Toc426541971"/>
      <w:r>
        <w:rPr>
          <w:rStyle w:val="CharPartNo"/>
        </w:rPr>
        <w:t>Part I</w:t>
      </w:r>
      <w:r>
        <w:t xml:space="preserve"> — </w:t>
      </w:r>
      <w:r>
        <w:rPr>
          <w:rStyle w:val="CharPartText"/>
        </w:rPr>
        <w:t>Preliminary</w:t>
      </w:r>
      <w:bookmarkEnd w:id="3"/>
    </w:p>
    <w:p>
      <w:pPr>
        <w:pStyle w:val="Footnoteheading"/>
      </w:pPr>
      <w:r>
        <w:tab/>
        <w:t>[Heading inserted in Gazette 30 May 2000 p. 2567.]</w:t>
      </w:r>
    </w:p>
    <w:p>
      <w:pPr>
        <w:pStyle w:val="Heading5"/>
        <w:spacing w:before="200"/>
      </w:pPr>
      <w:bookmarkStart w:id="4" w:name="_Toc426541972"/>
      <w:r>
        <w:rPr>
          <w:rStyle w:val="CharSectno"/>
        </w:rPr>
        <w:t>1</w:t>
      </w:r>
      <w:r>
        <w:t>.</w:t>
      </w:r>
      <w:r>
        <w:tab/>
        <w:t>Citation</w:t>
      </w:r>
      <w:bookmarkEnd w:id="4"/>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5" w:name="_Toc426541973"/>
      <w:r>
        <w:rPr>
          <w:rStyle w:val="CharSectno"/>
        </w:rPr>
        <w:t>2</w:t>
      </w:r>
      <w:r>
        <w:t>.</w:t>
      </w:r>
      <w:r>
        <w:tab/>
        <w:t>Term used: Australian/New Zealand Wiring Rules</w:t>
      </w:r>
      <w:bookmarkEnd w:id="5"/>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6" w:name="_Toc426541974"/>
      <w:r>
        <w:rPr>
          <w:rStyle w:val="CharPartNo"/>
        </w:rPr>
        <w:t>Part IV</w:t>
      </w:r>
      <w:r>
        <w:rPr>
          <w:rStyle w:val="CharDivNo"/>
        </w:rPr>
        <w:t> </w:t>
      </w:r>
      <w:r>
        <w:t>—</w:t>
      </w:r>
      <w:r>
        <w:rPr>
          <w:rStyle w:val="CharDivText"/>
        </w:rPr>
        <w:t> </w:t>
      </w:r>
      <w:r>
        <w:rPr>
          <w:rStyle w:val="CharPartText"/>
        </w:rPr>
        <w:t>Residual current devices</w:t>
      </w:r>
      <w:bookmarkEnd w:id="6"/>
    </w:p>
    <w:p>
      <w:pPr>
        <w:pStyle w:val="Footnoteheading"/>
      </w:pPr>
      <w:r>
        <w:tab/>
        <w:t>[Heading inserted in Gazette 8 May 2009 p. 1493.]</w:t>
      </w:r>
    </w:p>
    <w:p>
      <w:pPr>
        <w:pStyle w:val="Heading5"/>
      </w:pPr>
      <w:bookmarkStart w:id="7" w:name="_Toc426541975"/>
      <w:r>
        <w:rPr>
          <w:rStyle w:val="CharSectno"/>
        </w:rPr>
        <w:t>12</w:t>
      </w:r>
      <w:r>
        <w:t>.</w:t>
      </w:r>
      <w:r>
        <w:tab/>
        <w:t>Terms used</w:t>
      </w:r>
      <w:bookmarkEnd w:id="7"/>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8" w:name="_Toc426541976"/>
      <w:r>
        <w:rPr>
          <w:rStyle w:val="CharSectno"/>
        </w:rPr>
        <w:t>13</w:t>
      </w:r>
      <w:r>
        <w:t>.</w:t>
      </w:r>
      <w:r>
        <w:tab/>
        <w:t>Residential premises occupied by owner</w:t>
      </w:r>
      <w:bookmarkEnd w:id="8"/>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9" w:name="_Toc426541977"/>
      <w:r>
        <w:rPr>
          <w:rStyle w:val="CharSectno"/>
        </w:rPr>
        <w:t>14</w:t>
      </w:r>
      <w:r>
        <w:t>.</w:t>
      </w:r>
      <w:r>
        <w:tab/>
        <w:t>Residential premises not occupied by owner</w:t>
      </w:r>
      <w:bookmarkEnd w:id="9"/>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0" w:name="_Toc426541978"/>
      <w:r>
        <w:rPr>
          <w:rStyle w:val="CharSectno"/>
        </w:rPr>
        <w:t>15A</w:t>
      </w:r>
      <w:r>
        <w:t>.</w:t>
      </w:r>
      <w:r>
        <w:tab/>
        <w:t>New owner’s obligation to install residual current devices and right to recover costs</w:t>
      </w:r>
      <w:bookmarkEnd w:id="10"/>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1" w:name="_Toc426541979"/>
      <w:r>
        <w:rPr>
          <w:rStyle w:val="CharSectno"/>
        </w:rPr>
        <w:t>15</w:t>
      </w:r>
      <w:r>
        <w:t>.</w:t>
      </w:r>
      <w:r>
        <w:tab/>
        <w:t>Common property relating to residential premises</w:t>
      </w:r>
      <w:bookmarkEnd w:id="11"/>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2" w:name="_Toc426541980"/>
      <w:r>
        <w:rPr>
          <w:rStyle w:val="CharSectno"/>
        </w:rPr>
        <w:t>16</w:t>
      </w:r>
      <w:r>
        <w:t>.</w:t>
      </w:r>
      <w:r>
        <w:tab/>
        <w:t>Defences in case of demolition</w:t>
      </w:r>
      <w:bookmarkEnd w:id="12"/>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3" w:name="_Toc426541981"/>
      <w:r>
        <w:rPr>
          <w:rStyle w:val="CharSectno"/>
        </w:rPr>
        <w:t>18</w:t>
      </w:r>
      <w:r>
        <w:t>.</w:t>
      </w:r>
      <w:r>
        <w:tab/>
        <w:t>Director may grant temporary exemptions</w:t>
      </w:r>
      <w:bookmarkEnd w:id="13"/>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14" w:name="_Toc426541982"/>
      <w:r>
        <w:rPr>
          <w:rStyle w:val="CharPartNo"/>
        </w:rPr>
        <w:t>Part V</w:t>
      </w:r>
      <w:r>
        <w:t xml:space="preserve"> — </w:t>
      </w:r>
      <w:r>
        <w:rPr>
          <w:rStyle w:val="CharPartText"/>
        </w:rPr>
        <w:t>Interfering with electrical installations</w:t>
      </w:r>
      <w:bookmarkEnd w:id="14"/>
    </w:p>
    <w:p>
      <w:pPr>
        <w:pStyle w:val="Footnoteheading"/>
      </w:pPr>
      <w:r>
        <w:tab/>
        <w:t>[Heading inserted in Gazette 13 Apr 2012 p. 1648.]</w:t>
      </w:r>
    </w:p>
    <w:p>
      <w:pPr>
        <w:pStyle w:val="Heading5"/>
      </w:pPr>
      <w:bookmarkStart w:id="15" w:name="_Toc426541983"/>
      <w:r>
        <w:rPr>
          <w:rStyle w:val="CharSectno"/>
        </w:rPr>
        <w:t>19</w:t>
      </w:r>
      <w:r>
        <w:t>.</w:t>
      </w:r>
      <w:r>
        <w:tab/>
        <w:t>Interfering with electrical installations</w:t>
      </w:r>
      <w:bookmarkEnd w:id="15"/>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16" w:name="_Toc426541984"/>
      <w:r>
        <w:rPr>
          <w:rStyle w:val="CharPartNo"/>
        </w:rPr>
        <w:t>Part VIII</w:t>
      </w:r>
      <w:r>
        <w:t xml:space="preserve"> — </w:t>
      </w:r>
      <w:r>
        <w:rPr>
          <w:rStyle w:val="CharPartText"/>
        </w:rPr>
        <w:t>Supply of electricity to consumers</w:t>
      </w:r>
      <w:bookmarkEnd w:id="16"/>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17" w:name="_Toc426541985"/>
      <w:r>
        <w:rPr>
          <w:rStyle w:val="CharSectno"/>
        </w:rPr>
        <w:t>241</w:t>
      </w:r>
      <w:r>
        <w:t>.</w:t>
      </w:r>
      <w:r>
        <w:tab/>
        <w:t>Term used: network operator</w:t>
      </w:r>
      <w:bookmarkEnd w:id="1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18" w:name="_Toc426541986"/>
      <w:r>
        <w:rPr>
          <w:rStyle w:val="CharSectno"/>
        </w:rPr>
        <w:t>242</w:t>
      </w:r>
      <w:r>
        <w:rPr>
          <w:snapToGrid w:val="0"/>
        </w:rPr>
        <w:t>.</w:t>
      </w:r>
      <w:r>
        <w:rPr>
          <w:snapToGrid w:val="0"/>
        </w:rPr>
        <w:tab/>
        <w:t>Connection of supply</w:t>
      </w:r>
      <w:bookmarkEnd w:id="18"/>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19" w:name="_Toc426541987"/>
      <w:r>
        <w:rPr>
          <w:rStyle w:val="CharSectno"/>
        </w:rPr>
        <w:t>243</w:t>
      </w:r>
      <w:r>
        <w:t>.</w:t>
      </w:r>
      <w:r>
        <w:tab/>
        <w:t>Voltage on the neutral</w:t>
      </w:r>
      <w:bookmarkEnd w:id="19"/>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20" w:name="_Toc426541988"/>
      <w:r>
        <w:rPr>
          <w:rStyle w:val="CharSectno"/>
        </w:rPr>
        <w:t>244</w:t>
      </w:r>
      <w:r>
        <w:t>.</w:t>
      </w:r>
      <w:r>
        <w:tab/>
        <w:t>Damage by overloading to network operator’s apparatus</w:t>
      </w:r>
      <w:bookmarkEnd w:id="2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21" w:name="_Toc426541989"/>
      <w:r>
        <w:rPr>
          <w:rStyle w:val="CharSectno"/>
        </w:rPr>
        <w:t>249</w:t>
      </w:r>
      <w:r>
        <w:rPr>
          <w:snapToGrid w:val="0"/>
        </w:rPr>
        <w:t>.</w:t>
      </w:r>
      <w:r>
        <w:rPr>
          <w:snapToGrid w:val="0"/>
        </w:rPr>
        <w:tab/>
        <w:t>Fixing leads in fuses, meters etc.</w:t>
      </w:r>
      <w:bookmarkEnd w:id="2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22" w:name="_Toc426541990"/>
      <w:r>
        <w:rPr>
          <w:rStyle w:val="CharSectno"/>
        </w:rPr>
        <w:t>253</w:t>
      </w:r>
      <w:r>
        <w:rPr>
          <w:snapToGrid w:val="0"/>
        </w:rPr>
        <w:t>.</w:t>
      </w:r>
      <w:r>
        <w:rPr>
          <w:snapToGrid w:val="0"/>
        </w:rPr>
        <w:tab/>
        <w:t>Systems of inspection</w:t>
      </w:r>
      <w:bookmarkEnd w:id="2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23" w:name="_Toc426541991"/>
      <w:r>
        <w:rPr>
          <w:rStyle w:val="CharSectno"/>
        </w:rPr>
        <w:t>254</w:t>
      </w:r>
      <w:r>
        <w:t>.</w:t>
      </w:r>
      <w:r>
        <w:tab/>
        <w:t>Individual inspection and reporting for electric installation</w:t>
      </w:r>
      <w:bookmarkEnd w:id="2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24" w:name="_Toc426541992"/>
      <w:r>
        <w:rPr>
          <w:rStyle w:val="CharSectno"/>
        </w:rPr>
        <w:t>257</w:t>
      </w:r>
      <w:r>
        <w:rPr>
          <w:snapToGrid w:val="0"/>
        </w:rPr>
        <w:t>.</w:t>
      </w:r>
      <w:r>
        <w:rPr>
          <w:snapToGrid w:val="0"/>
        </w:rPr>
        <w:tab/>
        <w:t>Supply to large premises</w:t>
      </w:r>
      <w:bookmarkEnd w:id="2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25" w:name="_Toc426541993"/>
      <w:r>
        <w:rPr>
          <w:rStyle w:val="CharSectno"/>
        </w:rPr>
        <w:t>265</w:t>
      </w:r>
      <w:r>
        <w:rPr>
          <w:snapToGrid w:val="0"/>
        </w:rPr>
        <w:t>.</w:t>
      </w:r>
      <w:r>
        <w:rPr>
          <w:snapToGrid w:val="0"/>
        </w:rPr>
        <w:tab/>
        <w:t>Interference with supply to other consumers</w:t>
      </w:r>
      <w:bookmarkEnd w:id="2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6" w:name="_Toc426541994"/>
      <w:r>
        <w:rPr>
          <w:rStyle w:val="CharSectno"/>
        </w:rPr>
        <w:t>271</w:t>
      </w:r>
      <w:r>
        <w:t>.</w:t>
      </w:r>
      <w:r>
        <w:tab/>
        <w:t>Apparatus, interruptions, responsibility</w:t>
      </w:r>
      <w:bookmarkEnd w:id="26"/>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7" w:name="_Toc426541995"/>
      <w:r>
        <w:rPr>
          <w:rStyle w:val="CharSectno"/>
        </w:rPr>
        <w:t>272</w:t>
      </w:r>
      <w:r>
        <w:t>.</w:t>
      </w:r>
      <w:r>
        <w:tab/>
        <w:t>Disconnections</w:t>
      </w:r>
      <w:bookmarkEnd w:id="27"/>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28" w:name="_Toc426541996"/>
      <w:r>
        <w:rPr>
          <w:rStyle w:val="CharSectno"/>
        </w:rPr>
        <w:t>274</w:t>
      </w:r>
      <w:r>
        <w:t>.</w:t>
      </w:r>
      <w:r>
        <w:tab/>
        <w:t>Consumer’s liability for loss</w:t>
      </w:r>
      <w:bookmarkEnd w:id="2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9" w:name="_Toc426541997"/>
      <w:r>
        <w:rPr>
          <w:rStyle w:val="CharSectno"/>
        </w:rPr>
        <w:t>276</w:t>
      </w:r>
      <w:r>
        <w:t>.</w:t>
      </w:r>
      <w:r>
        <w:tab/>
        <w:t>Alteration to system</w:t>
      </w:r>
      <w:bookmarkEnd w:id="2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30" w:name="_Toc426541998"/>
      <w:r>
        <w:rPr>
          <w:rStyle w:val="CharSectno"/>
        </w:rPr>
        <w:t>280</w:t>
      </w:r>
      <w:r>
        <w:t>.</w:t>
      </w:r>
      <w:r>
        <w:tab/>
        <w:t>Charges for services</w:t>
      </w:r>
      <w:bookmarkEnd w:id="3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1" w:name="_Toc426541999"/>
      <w:r>
        <w:rPr>
          <w:rStyle w:val="CharPartNo"/>
        </w:rPr>
        <w:t>Part IX</w:t>
      </w:r>
      <w:r>
        <w:rPr>
          <w:b w:val="0"/>
        </w:rPr>
        <w:t> </w:t>
      </w:r>
      <w:r>
        <w:t>—</w:t>
      </w:r>
      <w:r>
        <w:rPr>
          <w:b w:val="0"/>
        </w:rPr>
        <w:t> </w:t>
      </w:r>
      <w:r>
        <w:rPr>
          <w:rStyle w:val="CharPartText"/>
        </w:rPr>
        <w:t>Vegetation control safety requirements</w:t>
      </w:r>
      <w:bookmarkEnd w:id="31"/>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2" w:name="_Toc426542000"/>
      <w:r>
        <w:rPr>
          <w:rStyle w:val="CharSectno"/>
        </w:rPr>
        <w:t>316A</w:t>
      </w:r>
      <w:r>
        <w:rPr>
          <w:snapToGrid w:val="0"/>
        </w:rPr>
        <w:t>.</w:t>
      </w:r>
      <w:r>
        <w:rPr>
          <w:snapToGrid w:val="0"/>
        </w:rPr>
        <w:tab/>
        <w:t>Vegetation control work near overhead power lines</w:t>
      </w:r>
      <w:bookmarkEnd w:id="3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3" w:name="_Toc426542001"/>
      <w:r>
        <w:rPr>
          <w:rStyle w:val="CharPartNo"/>
        </w:rPr>
        <w:t>Part X</w:t>
      </w:r>
      <w:r>
        <w:rPr>
          <w:rStyle w:val="CharDivNo"/>
        </w:rPr>
        <w:t> </w:t>
      </w:r>
      <w:r>
        <w:t>—</w:t>
      </w:r>
      <w:r>
        <w:rPr>
          <w:rStyle w:val="CharDivText"/>
        </w:rPr>
        <w:t> </w:t>
      </w:r>
      <w:r>
        <w:rPr>
          <w:rStyle w:val="CharPartText"/>
        </w:rPr>
        <w:t>Approval of electrical appliances</w:t>
      </w:r>
      <w:bookmarkEnd w:id="33"/>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4" w:name="_Toc426542002"/>
      <w:r>
        <w:rPr>
          <w:rStyle w:val="CharSectno"/>
        </w:rPr>
        <w:t>321</w:t>
      </w:r>
      <w:r>
        <w:t>.</w:t>
      </w:r>
      <w:r>
        <w:tab/>
        <w:t>Terms used</w:t>
      </w:r>
      <w:bookmarkEnd w:id="3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5" w:name="_Toc426542003"/>
      <w:r>
        <w:rPr>
          <w:rStyle w:val="CharSectno"/>
        </w:rPr>
        <w:t>322</w:t>
      </w:r>
      <w:r>
        <w:rPr>
          <w:snapToGrid w:val="0"/>
        </w:rPr>
        <w:t>.</w:t>
      </w:r>
      <w:r>
        <w:rPr>
          <w:snapToGrid w:val="0"/>
        </w:rPr>
        <w:tab/>
        <w:t>Application for approval</w:t>
      </w:r>
      <w:bookmarkEnd w:id="3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36" w:name="_Toc426542004"/>
      <w:r>
        <w:rPr>
          <w:rStyle w:val="CharSectno"/>
        </w:rPr>
        <w:t>323</w:t>
      </w:r>
      <w:r>
        <w:rPr>
          <w:snapToGrid w:val="0"/>
        </w:rPr>
        <w:t>.</w:t>
      </w:r>
      <w:r>
        <w:rPr>
          <w:snapToGrid w:val="0"/>
        </w:rPr>
        <w:tab/>
        <w:t>Further testing of electrical appliances approved</w:t>
      </w:r>
      <w:bookmarkEnd w:id="3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7" w:name="_Toc426542005"/>
      <w:r>
        <w:rPr>
          <w:rStyle w:val="CharSectno"/>
        </w:rPr>
        <w:t>326</w:t>
      </w:r>
      <w:r>
        <w:rPr>
          <w:snapToGrid w:val="0"/>
        </w:rPr>
        <w:t>.</w:t>
      </w:r>
      <w:r>
        <w:rPr>
          <w:snapToGrid w:val="0"/>
        </w:rPr>
        <w:tab/>
        <w:t>Certificate of approval</w:t>
      </w:r>
      <w:bookmarkEnd w:id="37"/>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spacing w:before="180"/>
        <w:rPr>
          <w:snapToGrid w:val="0"/>
        </w:rPr>
      </w:pPr>
      <w:bookmarkStart w:id="38" w:name="_Toc426542006"/>
      <w:r>
        <w:rPr>
          <w:rStyle w:val="CharSectno"/>
        </w:rPr>
        <w:t>327</w:t>
      </w:r>
      <w:r>
        <w:rPr>
          <w:snapToGrid w:val="0"/>
        </w:rPr>
        <w:t>.</w:t>
      </w:r>
      <w:r>
        <w:rPr>
          <w:snapToGrid w:val="0"/>
        </w:rPr>
        <w:tab/>
        <w:t>Stamping and labelling of approved electrical appliances</w:t>
      </w:r>
      <w:bookmarkEnd w:id="3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39" w:name="_Toc426542007"/>
      <w:r>
        <w:rPr>
          <w:rStyle w:val="CharSectno"/>
        </w:rPr>
        <w:t>328</w:t>
      </w:r>
      <w:r>
        <w:rPr>
          <w:snapToGrid w:val="0"/>
        </w:rPr>
        <w:t>.</w:t>
      </w:r>
      <w:r>
        <w:rPr>
          <w:snapToGrid w:val="0"/>
        </w:rPr>
        <w:tab/>
        <w:t>Modification of design or construction</w:t>
      </w:r>
      <w:bookmarkEnd w:id="3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0" w:name="_Toc426542008"/>
      <w:r>
        <w:rPr>
          <w:rStyle w:val="CharSectno"/>
        </w:rPr>
        <w:t>329</w:t>
      </w:r>
      <w:r>
        <w:rPr>
          <w:snapToGrid w:val="0"/>
        </w:rPr>
        <w:t>.</w:t>
      </w:r>
      <w:r>
        <w:rPr>
          <w:snapToGrid w:val="0"/>
        </w:rPr>
        <w:tab/>
        <w:t>Transfer of certificate of approval</w:t>
      </w:r>
      <w:bookmarkEnd w:id="4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1" w:name="_Toc426542009"/>
      <w:r>
        <w:rPr>
          <w:rStyle w:val="CharSectno"/>
        </w:rPr>
        <w:t>330</w:t>
      </w:r>
      <w:r>
        <w:rPr>
          <w:snapToGrid w:val="0"/>
        </w:rPr>
        <w:t>.</w:t>
      </w:r>
      <w:r>
        <w:rPr>
          <w:snapToGrid w:val="0"/>
        </w:rPr>
        <w:tab/>
        <w:t>Lost or destroyed certificates of approval</w:t>
      </w:r>
      <w:bookmarkEnd w:id="4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2" w:name="_Toc426542010"/>
      <w:r>
        <w:rPr>
          <w:rStyle w:val="CharSectno"/>
        </w:rPr>
        <w:t>331</w:t>
      </w:r>
      <w:r>
        <w:rPr>
          <w:snapToGrid w:val="0"/>
        </w:rPr>
        <w:t>.</w:t>
      </w:r>
      <w:r>
        <w:rPr>
          <w:snapToGrid w:val="0"/>
        </w:rPr>
        <w:tab/>
        <w:t>Delegation by Director</w:t>
      </w:r>
      <w:bookmarkEnd w:id="42"/>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3" w:name="_Toc426542011"/>
      <w:r>
        <w:rPr>
          <w:rStyle w:val="CharSectno"/>
        </w:rPr>
        <w:t>332</w:t>
      </w:r>
      <w:r>
        <w:rPr>
          <w:snapToGrid w:val="0"/>
        </w:rPr>
        <w:t>.</w:t>
      </w:r>
      <w:r>
        <w:rPr>
          <w:snapToGrid w:val="0"/>
        </w:rPr>
        <w:tab/>
        <w:t>Refusal or withdrawal of approval</w:t>
      </w:r>
      <w:bookmarkEnd w:id="4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4" w:name="_Toc426542012"/>
      <w:r>
        <w:rPr>
          <w:rStyle w:val="CharSectno"/>
        </w:rPr>
        <w:t>333</w:t>
      </w:r>
      <w:r>
        <w:rPr>
          <w:snapToGrid w:val="0"/>
        </w:rPr>
        <w:t>.</w:t>
      </w:r>
      <w:r>
        <w:rPr>
          <w:snapToGrid w:val="0"/>
        </w:rPr>
        <w:tab/>
        <w:t>Notification of withdrawal of approval</w:t>
      </w:r>
      <w:bookmarkEnd w:id="4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5" w:name="_Toc426542013"/>
      <w:r>
        <w:rPr>
          <w:rStyle w:val="CharSectno"/>
        </w:rPr>
        <w:t>334</w:t>
      </w:r>
      <w:r>
        <w:rPr>
          <w:snapToGrid w:val="0"/>
        </w:rPr>
        <w:t>.</w:t>
      </w:r>
      <w:r>
        <w:rPr>
          <w:snapToGrid w:val="0"/>
        </w:rPr>
        <w:tab/>
        <w:t>Deferment of approval</w:t>
      </w:r>
      <w:bookmarkEnd w:id="4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6" w:name="_Toc426542014"/>
      <w:r>
        <w:rPr>
          <w:rStyle w:val="CharSectno"/>
        </w:rPr>
        <w:t>335</w:t>
      </w:r>
      <w:r>
        <w:rPr>
          <w:snapToGrid w:val="0"/>
        </w:rPr>
        <w:t>.</w:t>
      </w:r>
      <w:r>
        <w:rPr>
          <w:snapToGrid w:val="0"/>
        </w:rPr>
        <w:tab/>
        <w:t>Purchase of electrical appliances for inspection</w:t>
      </w:r>
      <w:bookmarkEnd w:id="4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7" w:name="_Toc426542015"/>
      <w:r>
        <w:rPr>
          <w:rStyle w:val="CharSectno"/>
        </w:rPr>
        <w:t>336</w:t>
      </w:r>
      <w:r>
        <w:rPr>
          <w:snapToGrid w:val="0"/>
        </w:rPr>
        <w:t>.</w:t>
      </w:r>
      <w:r>
        <w:rPr>
          <w:snapToGrid w:val="0"/>
        </w:rPr>
        <w:tab/>
        <w:t>Obstruction of officers</w:t>
      </w:r>
      <w:bookmarkEnd w:id="4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48" w:name="_Toc426542016"/>
      <w:r>
        <w:rPr>
          <w:rStyle w:val="CharSectno"/>
        </w:rPr>
        <w:t>337</w:t>
      </w:r>
      <w:r>
        <w:rPr>
          <w:snapToGrid w:val="0"/>
        </w:rPr>
        <w:t>.</w:t>
      </w:r>
      <w:r>
        <w:rPr>
          <w:snapToGrid w:val="0"/>
        </w:rPr>
        <w:tab/>
        <w:t>Register of Prescribed Electrical Appliances and Register of Approved Electrical Appliances</w:t>
      </w:r>
      <w:bookmarkEnd w:id="48"/>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9" w:name="_Toc426542017"/>
      <w:r>
        <w:rPr>
          <w:rStyle w:val="CharSectno"/>
        </w:rPr>
        <w:t>338</w:t>
      </w:r>
      <w:r>
        <w:rPr>
          <w:snapToGrid w:val="0"/>
        </w:rPr>
        <w:t>.</w:t>
      </w:r>
      <w:r>
        <w:rPr>
          <w:snapToGrid w:val="0"/>
        </w:rPr>
        <w:tab/>
        <w:t>Change of address</w:t>
      </w:r>
      <w:bookmarkEnd w:id="4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0" w:name="_Toc426542018"/>
      <w:r>
        <w:rPr>
          <w:rStyle w:val="CharPartNo"/>
        </w:rPr>
        <w:t>Part XI</w:t>
      </w:r>
      <w:r>
        <w:rPr>
          <w:rStyle w:val="CharDivNo"/>
        </w:rPr>
        <w:t> </w:t>
      </w:r>
      <w:r>
        <w:t>—</w:t>
      </w:r>
      <w:r>
        <w:rPr>
          <w:rStyle w:val="CharDivText"/>
        </w:rPr>
        <w:t> </w:t>
      </w:r>
      <w:r>
        <w:rPr>
          <w:rStyle w:val="CharPartText"/>
        </w:rPr>
        <w:t>Penalties and enforcement</w:t>
      </w:r>
      <w:bookmarkEnd w:id="50"/>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1" w:name="_Toc426542019"/>
      <w:r>
        <w:rPr>
          <w:rStyle w:val="CharSectno"/>
        </w:rPr>
        <w:t>340</w:t>
      </w:r>
      <w:r>
        <w:rPr>
          <w:snapToGrid w:val="0"/>
        </w:rPr>
        <w:t>.</w:t>
      </w:r>
      <w:r>
        <w:rPr>
          <w:snapToGrid w:val="0"/>
        </w:rPr>
        <w:tab/>
        <w:t>Penalties</w:t>
      </w:r>
      <w:bookmarkEnd w:id="5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52" w:name="_Toc426542020"/>
      <w:r>
        <w:rPr>
          <w:rStyle w:val="CharSectno"/>
        </w:rPr>
        <w:t>341</w:t>
      </w:r>
      <w:r>
        <w:rPr>
          <w:snapToGrid w:val="0"/>
        </w:rPr>
        <w:t>.</w:t>
      </w:r>
      <w:r>
        <w:rPr>
          <w:snapToGrid w:val="0"/>
        </w:rPr>
        <w:tab/>
        <w:t>Proceedings</w:t>
      </w:r>
      <w:bookmarkEnd w:id="5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3" w:name="_Toc426542021"/>
      <w:r>
        <w:rPr>
          <w:rStyle w:val="CharSectno"/>
        </w:rPr>
        <w:t>342</w:t>
      </w:r>
      <w:r>
        <w:t>.</w:t>
      </w:r>
      <w:r>
        <w:tab/>
        <w:t>Prescribed offences and modified penalties</w:t>
      </w:r>
      <w:bookmarkEnd w:id="5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4" w:name="_Toc426542022"/>
      <w:r>
        <w:rPr>
          <w:rStyle w:val="CharSectno"/>
        </w:rPr>
        <w:t>343</w:t>
      </w:r>
      <w:r>
        <w:t>.</w:t>
      </w:r>
      <w:r>
        <w:tab/>
        <w:t>Authorised officers and approved officers</w:t>
      </w:r>
      <w:bookmarkEnd w:id="54"/>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5" w:name="_Toc426542023"/>
      <w:r>
        <w:rPr>
          <w:rStyle w:val="CharSectno"/>
        </w:rPr>
        <w:t>344</w:t>
      </w:r>
      <w:r>
        <w:t>.</w:t>
      </w:r>
      <w:r>
        <w:tab/>
        <w:t>Forms</w:t>
      </w:r>
      <w:bookmarkEnd w:id="55"/>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6" w:name="_Toc426542024"/>
      <w:r>
        <w:rPr>
          <w:rStyle w:val="CharSchNo"/>
        </w:rPr>
        <w:t>Schedule 1</w:t>
      </w:r>
      <w:r>
        <w:rPr>
          <w:rStyle w:val="CharSDivNo"/>
        </w:rPr>
        <w:t> </w:t>
      </w:r>
      <w:r>
        <w:t>—</w:t>
      </w:r>
      <w:r>
        <w:rPr>
          <w:rStyle w:val="CharSDivText"/>
        </w:rPr>
        <w:t> </w:t>
      </w:r>
      <w:r>
        <w:rPr>
          <w:rStyle w:val="CharSchText"/>
        </w:rPr>
        <w:t>Prescribed offences and modified penalties</w:t>
      </w:r>
      <w:bookmarkEnd w:id="56"/>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58" w:name="_Toc426542025"/>
      <w:r>
        <w:rPr>
          <w:rStyle w:val="CharSchNo"/>
        </w:rPr>
        <w:t>Schedule 2</w:t>
      </w:r>
      <w:r>
        <w:t> — </w:t>
      </w:r>
      <w:r>
        <w:rPr>
          <w:rStyle w:val="CharSchText"/>
        </w:rPr>
        <w:t>Forms</w:t>
      </w:r>
      <w:bookmarkEnd w:id="58"/>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59" w:name="_Toc426542026"/>
      <w:r>
        <w:t>Notes</w:t>
      </w:r>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426542027"/>
      <w:r>
        <w:rPr>
          <w:snapToGrid w:val="0"/>
        </w:rPr>
        <w:t>Compilation table</w:t>
      </w:r>
      <w:bookmarkEnd w:id="6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Borders>
              <w:bottom w:val="single" w:sz="4" w:space="0" w:color="auto"/>
            </w:tcBorders>
          </w:tcPr>
          <w:p>
            <w:pPr>
              <w:pStyle w:val="nTable"/>
              <w:spacing w:after="40"/>
              <w:ind w:right="170"/>
              <w:rPr>
                <w:i/>
              </w:rPr>
            </w:pPr>
            <w:r>
              <w:rPr>
                <w:i/>
              </w:rPr>
              <w:t xml:space="preserve">Electricity (Network Safety) Regulations 2015 </w:t>
            </w:r>
            <w:r>
              <w:t>r. 44</w:t>
            </w:r>
          </w:p>
        </w:tc>
        <w:tc>
          <w:tcPr>
            <w:tcW w:w="1276" w:type="dxa"/>
            <w:tcBorders>
              <w:bottom w:val="single" w:sz="4" w:space="0" w:color="auto"/>
            </w:tcBorders>
          </w:tcPr>
          <w:p>
            <w:pPr>
              <w:pStyle w:val="nTable"/>
              <w:spacing w:after="40"/>
            </w:pPr>
            <w:r>
              <w:t>5 Aug 2015 p. 3141</w:t>
            </w:r>
            <w:r>
              <w:noBreakHyphen/>
              <w:t>96</w:t>
            </w:r>
          </w:p>
        </w:tc>
        <w:tc>
          <w:tcPr>
            <w:tcW w:w="2693" w:type="dxa"/>
            <w:tcBorders>
              <w:bottom w:val="single" w:sz="4" w:space="0" w:color="auto"/>
            </w:tcBorders>
          </w:tcPr>
          <w:p>
            <w:pPr>
              <w:pStyle w:val="nTable"/>
              <w:spacing w:after="40"/>
              <w:rPr>
                <w:snapToGrid w:val="0"/>
                <w:spacing w:val="-2"/>
              </w:rPr>
            </w:pPr>
            <w:r>
              <w:rPr>
                <w:snapToGrid w:val="0"/>
                <w:spacing w:val="-2"/>
              </w:rPr>
              <w:t>6 Aug 2015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2" w:name="_Toc426542028"/>
      <w:r>
        <w:rPr>
          <w:sz w:val="28"/>
        </w:rPr>
        <w:t>Defined terms</w:t>
      </w:r>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241(3)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w:t>
      </w:r>
    </w:p>
    <w:p>
      <w:pPr>
        <w:pStyle w:val="DefinedTerms"/>
      </w:pPr>
      <w:r>
        <w:t>post</w:t>
      </w:r>
      <w:r>
        <w:noBreakHyphen/>
        <w:t>transfer period,</w:t>
      </w:r>
      <w:r>
        <w:tab/>
        <w:t>15A(1)</w:t>
      </w:r>
    </w:p>
    <w:p>
      <w:pPr>
        <w:pStyle w:val="DefinedTerms"/>
      </w:pPr>
      <w:r>
        <w:t>prior owner</w:t>
      </w:r>
      <w:r>
        <w:tab/>
        <w:t>12</w:t>
      </w:r>
    </w:p>
    <w:p>
      <w:pPr>
        <w:pStyle w:val="DefinedTerms"/>
      </w:pPr>
      <w:r>
        <w:t>prohibited item</w:t>
      </w:r>
      <w:r>
        <w:tab/>
        <w:t>5(1)</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021"/>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97CA-1FE1-487C-A3A7-1D41F76D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14243</Words>
  <Characters>70508</Characters>
  <Application>Microsoft Office Word</Application>
  <DocSecurity>0</DocSecurity>
  <Lines>2518</Lines>
  <Paragraphs>1389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1947 - 06-c0-02</dc:title>
  <dc:subject/>
  <dc:creator/>
  <cp:keywords/>
  <dc:description/>
  <cp:lastModifiedBy>svcMRProcess</cp:lastModifiedBy>
  <cp:revision>4</cp:revision>
  <cp:lastPrinted>2013-11-18T07:22:00Z</cp:lastPrinted>
  <dcterms:created xsi:type="dcterms:W3CDTF">2015-11-05T04:36:00Z</dcterms:created>
  <dcterms:modified xsi:type="dcterms:W3CDTF">2015-11-05T04:36:00Z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No">
    <vt:lpwstr>6</vt:lpwstr>
  </property>
  <property fmtid="{D5CDD505-2E9C-101B-9397-08002B2CF9AE}" pid="6" name="ReprintedAsAt">
    <vt:filetime>2013-11-07T16:00:00Z</vt:filetime>
  </property>
  <property fmtid="{D5CDD505-2E9C-101B-9397-08002B2CF9AE}" pid="7" name="AsAtDate">
    <vt:lpwstr>06 Aug 2015</vt:lpwstr>
  </property>
  <property fmtid="{D5CDD505-2E9C-101B-9397-08002B2CF9AE}" pid="8" name="Suffix">
    <vt:lpwstr>06-c0-02</vt:lpwstr>
  </property>
  <property fmtid="{D5CDD505-2E9C-101B-9397-08002B2CF9AE}" pid="9" name="CommencementDate">
    <vt:lpwstr>20150806</vt:lpwstr>
  </property>
</Properties>
</file>