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Coal Industry Superannuation Act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Coal Industry Superannuation Act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_Toc449452804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_Toc449452805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_Toc449452806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Mine worker</w:t>
      </w:r>
      <w:r>
        <w:tab/>
      </w:r>
      <w:r>
        <w:fldChar w:fldCharType="begin"/>
      </w:r>
      <w:r>
        <w:instrText xml:space="preserve"> PAGEREF _Toc449452807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Superannuation for mine workers</w:t>
      </w:r>
    </w:p>
    <w:p>
      <w:pPr>
        <w:pStyle w:val="TOC8"/>
        <w:rPr>
          <w:rFonts w:asciiTheme="minorHAnsi" w:eastAsiaTheme="minorEastAsia" w:hAnsiTheme="minorHAnsi" w:cstheme="minorBidi"/>
          <w:szCs w:val="22"/>
        </w:rPr>
      </w:pPr>
      <w:r>
        <w:t>7A.</w:t>
      </w:r>
      <w:r>
        <w:tab/>
        <w:t>Superannuation rules</w:t>
      </w:r>
      <w:r>
        <w:tab/>
      </w:r>
      <w:r>
        <w:fldChar w:fldCharType="begin"/>
      </w:r>
      <w:r>
        <w:instrText xml:space="preserve"> PAGEREF _Toc449452809 \h </w:instrText>
      </w:r>
      <w:r>
        <w:fldChar w:fldCharType="separate"/>
      </w:r>
      <w:r>
        <w:t>6</w:t>
      </w:r>
      <w:r>
        <w:fldChar w:fldCharType="end"/>
      </w:r>
    </w:p>
    <w:p>
      <w:pPr>
        <w:pStyle w:val="TOC8"/>
        <w:rPr>
          <w:rFonts w:asciiTheme="minorHAnsi" w:eastAsiaTheme="minorEastAsia" w:hAnsiTheme="minorHAnsi" w:cstheme="minorBidi"/>
          <w:szCs w:val="22"/>
        </w:rPr>
      </w:pPr>
      <w:r>
        <w:t>7B.</w:t>
      </w:r>
      <w:r>
        <w:tab/>
        <w:t>Designated fund</w:t>
      </w:r>
      <w:r>
        <w:tab/>
      </w:r>
      <w:r>
        <w:fldChar w:fldCharType="begin"/>
      </w:r>
      <w:r>
        <w:instrText xml:space="preserve"> PAGEREF _Toc449452810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28</w:t>
      </w:r>
      <w:r>
        <w:rPr>
          <w:snapToGrid w:val="0"/>
        </w:rPr>
        <w:t>.</w:t>
      </w:r>
      <w:r>
        <w:rPr>
          <w:snapToGrid w:val="0"/>
        </w:rPr>
        <w:tab/>
        <w:t>Employer’s powers and liabilities in respect of termination not affected</w:t>
      </w:r>
      <w:r>
        <w:tab/>
      </w:r>
      <w:r>
        <w:fldChar w:fldCharType="begin"/>
      </w:r>
      <w:r>
        <w:instrText xml:space="preserve"> PAGEREF _Toc449452812 \h </w:instrText>
      </w:r>
      <w:r>
        <w:fldChar w:fldCharType="separate"/>
      </w:r>
      <w:r>
        <w:t>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Members’ rights to compensation not to be affected</w:t>
      </w:r>
      <w:r>
        <w:tab/>
      </w:r>
      <w:r>
        <w:fldChar w:fldCharType="begin"/>
      </w:r>
      <w:r>
        <w:instrText xml:space="preserve"> PAGEREF _Toc449452813 \h </w:instrText>
      </w:r>
      <w:r>
        <w:fldChar w:fldCharType="separate"/>
      </w:r>
      <w:r>
        <w:t>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_Toc449452814 \h </w:instrText>
      </w:r>
      <w:r>
        <w:fldChar w:fldCharType="separate"/>
      </w:r>
      <w:r>
        <w:t>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Review of Act</w:t>
      </w:r>
      <w:r>
        <w:tab/>
      </w:r>
      <w:r>
        <w:fldChar w:fldCharType="begin"/>
      </w:r>
      <w:r>
        <w:instrText xml:space="preserve"> PAGEREF _Toc449452815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_Toc449452817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footerReference w:type="first" r:id="rId19"/>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2016</w:t>
            </w:r>
          </w:p>
        </w:tc>
      </w:tr>
    </w:tbl>
    <w:p>
      <w:pPr>
        <w:pStyle w:val="WA"/>
        <w:spacing w:before="12"/>
      </w:pPr>
      <w:r>
        <w:t>Western Australia</w:t>
      </w:r>
    </w:p>
    <w:p>
      <w:pPr>
        <w:pStyle w:val="NameofActReg"/>
      </w:pPr>
      <w:r>
        <w:t xml:space="preserve">Coal Industry Superannuation Act 1989 </w:t>
      </w:r>
    </w:p>
    <w:p>
      <w:pPr>
        <w:pStyle w:val="LongTitle"/>
      </w:pPr>
      <w:r>
        <w:t>An Act relating to superannuation for persons involved in coal mining in Western Australia and for various other persons and for related purposes.</w:t>
      </w:r>
    </w:p>
    <w:p>
      <w:pPr>
        <w:pStyle w:val="Footnotelongtitle"/>
      </w:pPr>
      <w:r>
        <w:tab/>
        <w:t>[Long title inserted: No. 16 of 2006 s. 3.]</w:t>
      </w:r>
    </w:p>
    <w:p>
      <w:pPr>
        <w:pStyle w:val="Heading2"/>
      </w:pPr>
      <w:bookmarkStart w:id="3" w:name="_Toc445809033"/>
      <w:bookmarkStart w:id="4" w:name="_Toc449452803"/>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spacing w:before="180"/>
        <w:rPr>
          <w:snapToGrid w:val="0"/>
        </w:rPr>
      </w:pPr>
      <w:bookmarkStart w:id="5" w:name="_Toc449452804"/>
      <w:r>
        <w:rPr>
          <w:rStyle w:val="CharSectno"/>
        </w:rPr>
        <w:t>1</w:t>
      </w:r>
      <w:r>
        <w:rPr>
          <w:snapToGrid w:val="0"/>
        </w:rPr>
        <w:t>.</w:t>
      </w:r>
      <w:r>
        <w:rPr>
          <w:snapToGrid w:val="0"/>
        </w:rPr>
        <w:tab/>
        <w:t>Short title</w:t>
      </w:r>
      <w:bookmarkEnd w:id="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6" w:name="_Toc449452805"/>
      <w:r>
        <w:rPr>
          <w:rStyle w:val="CharSectno"/>
        </w:rPr>
        <w:t>2</w:t>
      </w:r>
      <w:r>
        <w:rPr>
          <w:snapToGrid w:val="0"/>
        </w:rPr>
        <w:t>.</w:t>
      </w:r>
      <w:r>
        <w:rPr>
          <w:snapToGrid w:val="0"/>
        </w:rPr>
        <w:tab/>
        <w:t>Commencement</w:t>
      </w:r>
      <w:bookmarkEnd w:id="6"/>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7" w:name="_Toc449452806"/>
      <w:r>
        <w:rPr>
          <w:rStyle w:val="CharSectno"/>
        </w:rPr>
        <w:t>3</w:t>
      </w:r>
      <w:r>
        <w:rPr>
          <w:snapToGrid w:val="0"/>
        </w:rPr>
        <w:t>.</w:t>
      </w:r>
      <w:r>
        <w:rPr>
          <w:snapToGrid w:val="0"/>
        </w:rPr>
        <w:tab/>
        <w:t>Terms used</w:t>
      </w:r>
      <w:bookmarkEnd w:id="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pPr>
      <w:r>
        <w:tab/>
      </w:r>
      <w:r>
        <w:rPr>
          <w:rStyle w:val="CharDefText"/>
        </w:rPr>
        <w:t>employer</w:t>
      </w:r>
      <w:r>
        <w:t xml:space="preserve"> means a natural person, firm or body corporate that employs mine workers;</w:t>
      </w:r>
    </w:p>
    <w:p>
      <w:pPr>
        <w:pStyle w:val="Defstart"/>
      </w:pPr>
      <w:r>
        <w:tab/>
      </w:r>
      <w:r>
        <w:rPr>
          <w:rStyle w:val="CharDefText"/>
        </w:rPr>
        <w:t>mine worker</w:t>
      </w:r>
      <w:r>
        <w:t xml:space="preserve"> has the meaning given in section 4;</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tab/>
      </w:r>
      <w:r>
        <w:rPr>
          <w:rStyle w:val="CharDefText"/>
        </w:rPr>
        <w:t xml:space="preserve">scheme </w:t>
      </w:r>
      <w:r>
        <w:t xml:space="preserve">means the superannuation scheme for mine workers constituted by this Act; </w:t>
      </w:r>
    </w:p>
    <w:p>
      <w:pPr>
        <w:pStyle w:val="Defstart"/>
      </w:pPr>
      <w:r>
        <w:tab/>
      </w:r>
      <w:r>
        <w:rPr>
          <w:rStyle w:val="CharDefText"/>
        </w:rPr>
        <w:t>scheme benefits</w:t>
      </w:r>
      <w:r>
        <w:t xml:space="preserve"> means the superannuation and related benefits to be paid under superannuation rules; </w:t>
      </w:r>
    </w:p>
    <w:p>
      <w:pPr>
        <w:pStyle w:val="Defstart"/>
      </w:pPr>
      <w:r>
        <w:rPr>
          <w:b/>
        </w:rPr>
        <w:tab/>
      </w:r>
      <w:r>
        <w:rPr>
          <w:rStyle w:val="CharDefText"/>
        </w:rPr>
        <w:t>scheme contributions</w:t>
      </w:r>
      <w:r>
        <w:t xml:space="preserve"> means the contributions payable or paid under superannuation rules; </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tab/>
      </w:r>
      <w:r>
        <w:rPr>
          <w:rStyle w:val="CharDefText"/>
        </w:rPr>
        <w:t>successor fund</w:t>
      </w:r>
      <w:r>
        <w:t xml:space="preserve"> has the meaning given in </w:t>
      </w:r>
      <w:r>
        <w:rPr>
          <w:i/>
        </w:rPr>
        <w:t>Superannuation Industry (Supervision) Regulations 1994</w:t>
      </w:r>
      <w:r>
        <w:t xml:space="preserve"> (Commonwealth) regulation 1.03(1);</w:t>
      </w:r>
    </w:p>
    <w:p>
      <w:pPr>
        <w:pStyle w:val="Defstart"/>
      </w:pPr>
      <w:r>
        <w:rPr>
          <w:b/>
        </w:rPr>
        <w:tab/>
      </w:r>
      <w:r>
        <w:rPr>
          <w:rStyle w:val="CharDefText"/>
        </w:rPr>
        <w:t>superannuation fund</w:t>
      </w:r>
      <w:r>
        <w:t xml:space="preserve"> means a regulated superannuation fund within the meaning of the SIS Act section 19;</w:t>
      </w:r>
    </w:p>
    <w:p>
      <w:pPr>
        <w:pStyle w:val="Defstart"/>
      </w:pPr>
      <w:r>
        <w:tab/>
      </w:r>
      <w:r>
        <w:rPr>
          <w:rStyle w:val="CharDefText"/>
        </w:rPr>
        <w:t>superannuation rules</w:t>
      </w:r>
      <w:r>
        <w:t xml:space="preserve"> means rules made by regulations under section 7A(1).</w:t>
      </w:r>
    </w:p>
    <w:p>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No. 45 of 1994 s. 4; No. 46 of 1995 s. 5; No. 19 of 2013 s. 4 and 17.] </w:t>
      </w:r>
    </w:p>
    <w:p>
      <w:pPr>
        <w:pStyle w:val="Heading5"/>
        <w:rPr>
          <w:snapToGrid w:val="0"/>
        </w:rPr>
      </w:pPr>
      <w:bookmarkStart w:id="8" w:name="_Toc449452807"/>
      <w:r>
        <w:rPr>
          <w:rStyle w:val="CharSectno"/>
        </w:rPr>
        <w:t>4</w:t>
      </w:r>
      <w:r>
        <w:rPr>
          <w:snapToGrid w:val="0"/>
        </w:rPr>
        <w:t>.</w:t>
      </w:r>
      <w:r>
        <w:rPr>
          <w:snapToGrid w:val="0"/>
        </w:rPr>
        <w:tab/>
        <w:t>Mine worker</w:t>
      </w:r>
      <w:bookmarkEnd w:id="8"/>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pPr>
      <w:r>
        <w:rPr>
          <w:snapToGrid w:val="0"/>
        </w:rPr>
        <w:tab/>
        <w:t>(a)</w:t>
      </w:r>
      <w:r>
        <w:rPr>
          <w:snapToGrid w:val="0"/>
        </w:rPr>
        <w:tab/>
        <w:t xml:space="preserve">a person who is employed in the coal mining industry of Western Australia in terms of an </w:t>
      </w:r>
      <w:r>
        <w:t>industrial instrument; or</w:t>
      </w:r>
    </w:p>
    <w:p>
      <w:pPr>
        <w:pStyle w:val="Ednotepara"/>
        <w:rPr>
          <w:snapToGrid w:val="0"/>
        </w:rPr>
      </w:pPr>
      <w:r>
        <w:tab/>
        <w:t>[(b)</w:t>
      </w:r>
      <w:r>
        <w:tab/>
        <w:t>deleted]</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w:t>
      </w:r>
      <w:r>
        <w:t>a registered organisation, the membership of which</w:t>
      </w:r>
      <w:r>
        <w:rPr>
          <w:snapToGrid w:val="0"/>
        </w:rPr>
        <w:t xml:space="preserve"> is principally confined to mine workers referred to in paragraph (a); and</w:t>
      </w:r>
    </w:p>
    <w:p>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a person </w:t>
      </w:r>
      <w:r>
        <w:t>who</w:t>
      </w:r>
      <w:r>
        <w:rPr>
          <w:snapToGrid w:val="0"/>
        </w:rPr>
        <w:t xml:space="preserve">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r>
      <w:r>
        <w:t>or</w:t>
      </w:r>
    </w:p>
    <w:p>
      <w:pPr>
        <w:pStyle w:val="Indenta"/>
        <w:keepNext/>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 and</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w:t>
      </w:r>
      <w:r>
        <w:t>regulations</w:t>
      </w:r>
      <w:r>
        <w:rPr>
          <w:snapToGrid w:val="0"/>
        </w:rPr>
        <w:t xml:space="preserve"> extend the definition of </w:t>
      </w:r>
      <w:r>
        <w:rPr>
          <w:b/>
          <w:i/>
          <w:snapToGrid w:val="0"/>
        </w:rPr>
        <w:t>mine worker</w:t>
      </w:r>
      <w:r>
        <w:rPr>
          <w:snapToGrid w:val="0"/>
        </w:rPr>
        <w:t>.</w:t>
      </w:r>
    </w:p>
    <w:p>
      <w:pPr>
        <w:pStyle w:val="Subsection"/>
      </w:pPr>
      <w:r>
        <w:tab/>
        <w:t>(3)</w:t>
      </w:r>
      <w:r>
        <w:tab/>
        <w:t xml:space="preserve">In this section — </w:t>
      </w:r>
    </w:p>
    <w:p>
      <w:pPr>
        <w:pStyle w:val="Defstart"/>
      </w:pPr>
      <w:r>
        <w:tab/>
      </w:r>
      <w:r>
        <w:rPr>
          <w:rStyle w:val="CharDefText"/>
        </w:rPr>
        <w:t>industrial instrument</w:t>
      </w:r>
      <w:r>
        <w:t xml:space="preserve"> means any of the following — </w:t>
      </w:r>
    </w:p>
    <w:p>
      <w:pPr>
        <w:pStyle w:val="Defpara"/>
      </w:pPr>
      <w:r>
        <w:tab/>
        <w:t>(a)</w:t>
      </w:r>
      <w:r>
        <w:tab/>
        <w:t xml:space="preserve">an award, industrial agreement or order made under the </w:t>
      </w:r>
      <w:r>
        <w:rPr>
          <w:i/>
        </w:rPr>
        <w:t>Industrial Relations Act 1979</w:t>
      </w:r>
      <w:r>
        <w:t>;</w:t>
      </w:r>
    </w:p>
    <w:p>
      <w:pPr>
        <w:pStyle w:val="Defpara"/>
      </w:pPr>
      <w:r>
        <w:tab/>
        <w:t>(b)</w:t>
      </w:r>
      <w:r>
        <w:tab/>
        <w:t xml:space="preserve">an award, determination, enterprise agreement or order made under the </w:t>
      </w:r>
      <w:r>
        <w:rPr>
          <w:i/>
        </w:rPr>
        <w:t>Fair Work Act 2009</w:t>
      </w:r>
      <w:r>
        <w:t xml:space="preserve"> (Commonwealth);</w:t>
      </w:r>
    </w:p>
    <w:p>
      <w:pPr>
        <w:pStyle w:val="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para"/>
      </w:pPr>
      <w:r>
        <w:tab/>
        <w:t>(d)</w:t>
      </w:r>
      <w:r>
        <w:tab/>
        <w:t>an award, agreement, determination, order or similar instrument which is made under a law of the State or the Commonwealth dealing with workplace relations and which is prescribed for the purposes of this definition;</w:t>
      </w:r>
    </w:p>
    <w:p>
      <w:pPr>
        <w:pStyle w:val="Defstart"/>
      </w:pPr>
      <w:r>
        <w:tab/>
      </w:r>
      <w:r>
        <w:rPr>
          <w:rStyle w:val="CharDefText"/>
        </w:rPr>
        <w:t>registered organisation</w:t>
      </w:r>
      <w:r>
        <w:t xml:space="preserve"> means any of the following —</w:t>
      </w:r>
    </w:p>
    <w:p>
      <w:pPr>
        <w:pStyle w:val="Defpara"/>
      </w:pPr>
      <w:r>
        <w:tab/>
        <w:t>(a)</w:t>
      </w:r>
      <w:r>
        <w:tab/>
        <w:t xml:space="preserve">an association of employees, or an enterprise association, registered as an organisation under the </w:t>
      </w:r>
      <w:r>
        <w:rPr>
          <w:i/>
        </w:rPr>
        <w:t>Fair Work (Registered Organisations) Act 2009</w:t>
      </w:r>
      <w:r>
        <w:t xml:space="preserve"> (Commonwealth);</w:t>
      </w:r>
    </w:p>
    <w:p>
      <w:pPr>
        <w:pStyle w:val="Defpara"/>
      </w:pPr>
      <w:r>
        <w:tab/>
        <w:t>(b)</w:t>
      </w:r>
      <w:r>
        <w:tab/>
        <w:t xml:space="preserve">an organisation of employees registered under the </w:t>
      </w:r>
      <w:r>
        <w:rPr>
          <w:i/>
        </w:rPr>
        <w:t>Industrial Relations Act 1979</w:t>
      </w:r>
      <w:r>
        <w:t>;</w:t>
      </w:r>
    </w:p>
    <w:p>
      <w:pPr>
        <w:pStyle w:val="Defpara"/>
      </w:pPr>
      <w:r>
        <w:tab/>
        <w:t>(c)</w:t>
      </w:r>
      <w:r>
        <w:tab/>
        <w:t>a like association or organisation which is registered under a law of the State or the Commonwealth dealing with workplace relations and which is prescribed for the purposes of this definition.</w:t>
      </w:r>
    </w:p>
    <w:p>
      <w:pPr>
        <w:pStyle w:val="Footnotesection"/>
      </w:pPr>
      <w:r>
        <w:tab/>
        <w:t xml:space="preserve">[Section 4 amended: No. 62 of 1994 s. 109; No. 19 of 2013 s. 5; No. 33 of 2014 s. 20.] </w:t>
      </w:r>
    </w:p>
    <w:p>
      <w:pPr>
        <w:pStyle w:val="Ednotesection"/>
      </w:pPr>
      <w:r>
        <w:t>[</w:t>
      </w:r>
      <w:r>
        <w:rPr>
          <w:b/>
          <w:bCs/>
        </w:rPr>
        <w:t>5.</w:t>
      </w:r>
      <w:r>
        <w:tab/>
        <w:t>Deleted: No. 16 of 2006 s. 4.]</w:t>
      </w:r>
    </w:p>
    <w:p>
      <w:pPr>
        <w:pStyle w:val="Ednotesection"/>
      </w:pPr>
      <w:r>
        <w:t>[</w:t>
      </w:r>
      <w:r>
        <w:rPr>
          <w:b/>
        </w:rPr>
        <w:t>6.</w:t>
      </w:r>
      <w:r>
        <w:tab/>
        <w:t>Deleted: No. 46 of 1995 s. 6.]</w:t>
      </w:r>
    </w:p>
    <w:p>
      <w:pPr>
        <w:pStyle w:val="Heading2"/>
      </w:pPr>
      <w:bookmarkStart w:id="9" w:name="_Toc445809038"/>
      <w:bookmarkStart w:id="10" w:name="_Toc449452808"/>
      <w:r>
        <w:rPr>
          <w:rStyle w:val="CharPartNo"/>
        </w:rPr>
        <w:t>Part 2</w:t>
      </w:r>
      <w:r>
        <w:rPr>
          <w:rStyle w:val="CharDivNo"/>
        </w:rPr>
        <w:t> </w:t>
      </w:r>
      <w:r>
        <w:t>—</w:t>
      </w:r>
      <w:r>
        <w:rPr>
          <w:rStyle w:val="CharDivText"/>
        </w:rPr>
        <w:t> </w:t>
      </w:r>
      <w:r>
        <w:rPr>
          <w:rStyle w:val="CharPartText"/>
        </w:rPr>
        <w:t>Superannuation for mine workers</w:t>
      </w:r>
      <w:bookmarkEnd w:id="9"/>
      <w:bookmarkEnd w:id="10"/>
    </w:p>
    <w:p>
      <w:pPr>
        <w:pStyle w:val="Footnoteheading"/>
      </w:pPr>
      <w:r>
        <w:tab/>
        <w:t xml:space="preserve">[Heading inserted: No. 19 of 2013 s. 6.] </w:t>
      </w:r>
    </w:p>
    <w:p>
      <w:pPr>
        <w:pStyle w:val="Heading5"/>
      </w:pPr>
      <w:bookmarkStart w:id="11" w:name="_Toc449452809"/>
      <w:r>
        <w:rPr>
          <w:rStyle w:val="CharSectno"/>
        </w:rPr>
        <w:t>7A</w:t>
      </w:r>
      <w:r>
        <w:t>.</w:t>
      </w:r>
      <w:r>
        <w:tab/>
        <w:t>Superannuation rules</w:t>
      </w:r>
      <w:bookmarkEnd w:id="11"/>
    </w:p>
    <w:p>
      <w:pPr>
        <w:pStyle w:val="Subsection"/>
      </w:pPr>
      <w:r>
        <w:tab/>
        <w:t>(1)</w:t>
      </w:r>
      <w:r>
        <w:tab/>
        <w:t>The Governor may, by regulations, make rules to govern the scheme.</w:t>
      </w:r>
    </w:p>
    <w:p>
      <w:pPr>
        <w:pStyle w:val="Subsection"/>
      </w:pPr>
      <w:r>
        <w:tab/>
        <w:t>(2)</w:t>
      </w:r>
      <w:r>
        <w:tab/>
        <w:t xml:space="preserve">Rules made under subsection (1) are — </w:t>
      </w:r>
    </w:p>
    <w:p>
      <w:pPr>
        <w:pStyle w:val="Indenta"/>
      </w:pPr>
      <w:r>
        <w:tab/>
        <w:t>(a)</w:t>
      </w:r>
      <w:r>
        <w:tab/>
        <w:t>to provide for mine workers to become members of the scheme, for different categories of membership and for admission to, continuation of and cessation of membership; and</w:t>
      </w:r>
    </w:p>
    <w:p>
      <w:pPr>
        <w:pStyle w:val="Indenta"/>
      </w:pPr>
      <w:r>
        <w:tab/>
        <w:t>(b)</w:t>
      </w:r>
      <w:r>
        <w:tab/>
        <w:t>to require employers to participate in the scheme and to provide for admission to, continuation of and cessation of participation; and</w:t>
      </w:r>
    </w:p>
    <w:p>
      <w:pPr>
        <w:pStyle w:val="Indenta"/>
      </w:pPr>
      <w:r>
        <w:tab/>
        <w:t>(c)</w:t>
      </w:r>
      <w:r>
        <w:tab/>
        <w:t>to specify superannuation and related benefits to be paid to or in respect of members of the scheme; and</w:t>
      </w:r>
    </w:p>
    <w:p>
      <w:pPr>
        <w:pStyle w:val="Indenta"/>
      </w:pPr>
      <w:r>
        <w:tab/>
        <w:t>(d)</w:t>
      </w:r>
      <w:r>
        <w:tab/>
        <w:t>to provide for the protection, adjustment, reduction, forfeiture and application of the scheme benefits; and</w:t>
      </w:r>
    </w:p>
    <w:p>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pPr>
        <w:pStyle w:val="Subsection"/>
      </w:pPr>
      <w:r>
        <w:tab/>
        <w:t>(3)</w:t>
      </w:r>
      <w:r>
        <w:tab/>
        <w:t>Rules made under subsection (1) may include any provision necessary or convenient for consistency with the SIS Act.</w:t>
      </w:r>
    </w:p>
    <w:p>
      <w:pPr>
        <w:pStyle w:val="Footnotesection"/>
      </w:pPr>
      <w:r>
        <w:tab/>
        <w:t xml:space="preserve">[Section 7A inserted: No. 19 of 2013 s. 6.] </w:t>
      </w:r>
    </w:p>
    <w:p>
      <w:pPr>
        <w:pStyle w:val="Heading5"/>
      </w:pPr>
      <w:bookmarkStart w:id="12" w:name="_Toc449452810"/>
      <w:r>
        <w:rPr>
          <w:rStyle w:val="CharSectno"/>
        </w:rPr>
        <w:t>7B</w:t>
      </w:r>
      <w:r>
        <w:t>.</w:t>
      </w:r>
      <w:r>
        <w:tab/>
        <w:t>Designated fund</w:t>
      </w:r>
      <w:bookmarkEnd w:id="12"/>
      <w:r>
        <w:t xml:space="preserve"> </w:t>
      </w:r>
    </w:p>
    <w:p>
      <w:pPr>
        <w:pStyle w:val="Subsection"/>
      </w:pPr>
      <w:r>
        <w:tab/>
        <w:t>(1)</w:t>
      </w:r>
      <w:r>
        <w:tab/>
        <w:t>The Governor may, by regulations —</w:t>
      </w:r>
    </w:p>
    <w:p>
      <w:pPr>
        <w:pStyle w:val="Indenta"/>
      </w:pPr>
      <w:r>
        <w:tab/>
        <w:t>(a)</w:t>
      </w:r>
      <w:r>
        <w:tab/>
        <w:t>designate a superannuation fund as the fund to which the scheme contributions are to be paid and through which the scheme benefits are to be provided; and</w:t>
      </w:r>
    </w:p>
    <w:p>
      <w:pPr>
        <w:pStyle w:val="Indenta"/>
      </w:pPr>
      <w:r>
        <w:tab/>
        <w:t>(b)</w:t>
      </w:r>
      <w:r>
        <w:tab/>
        <w:t>revoke a designation made under paragraph (a).</w:t>
      </w:r>
    </w:p>
    <w:p>
      <w:pPr>
        <w:pStyle w:val="Subsection"/>
      </w:pPr>
      <w:r>
        <w:tab/>
        <w:t>(2)</w:t>
      </w:r>
      <w:r>
        <w:tab/>
        <w:t xml:space="preserve">Regulations may not designate a superannuation fund under subsection (1)(a) unless the Minister is satisfied that — </w:t>
      </w:r>
    </w:p>
    <w:p>
      <w:pPr>
        <w:pStyle w:val="Indenta"/>
      </w:pPr>
      <w:r>
        <w:tab/>
        <w:t>(a)</w:t>
      </w:r>
      <w:r>
        <w:tab/>
        <w:t xml:space="preserve">the governing rules of the superannuation fund will, if the superannuation fund is designated, so far as the SIS Act permits — </w:t>
      </w:r>
    </w:p>
    <w:p>
      <w:pPr>
        <w:pStyle w:val="Indenti"/>
      </w:pPr>
      <w:r>
        <w:tab/>
        <w:t>(i)</w:t>
      </w:r>
      <w:r>
        <w:tab/>
        <w:t>entitle members and employers to participate in and pay scheme contributions to the superannuation fund; and</w:t>
      </w:r>
    </w:p>
    <w:p>
      <w:pPr>
        <w:pStyle w:val="Indenti"/>
      </w:pPr>
      <w:r>
        <w:tab/>
        <w:t>(ii)</w:t>
      </w:r>
      <w:r>
        <w:tab/>
        <w:t>require the trustee of the superannuation fund to provide the scheme benefits;</w:t>
      </w:r>
    </w:p>
    <w:p>
      <w:pPr>
        <w:pStyle w:val="Indenta"/>
      </w:pPr>
      <w:r>
        <w:tab/>
      </w:r>
      <w:r>
        <w:tab/>
        <w:t>and</w:t>
      </w:r>
    </w:p>
    <w:p>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pPr>
        <w:pStyle w:val="Subsection"/>
      </w:pPr>
      <w:r>
        <w:tab/>
        <w:t>(3)</w:t>
      </w:r>
      <w:r>
        <w:tab/>
        <w:t>Regulations may not revoke the designation of a superannuation fund under subsection (1)(b) unless they also designate another superannuation fund under subsection (1)(a) with effect from the revocation.</w:t>
      </w:r>
    </w:p>
    <w:p>
      <w:pPr>
        <w:pStyle w:val="Subsection"/>
      </w:pPr>
      <w:r>
        <w:tab/>
        <w:t>(4)</w:t>
      </w:r>
      <w:r>
        <w:tab/>
        <w:t>Regulations made under subsection (1) may include any provision necessary or convenient for consistency with the SIS Act.</w:t>
      </w:r>
    </w:p>
    <w:p>
      <w:pPr>
        <w:pStyle w:val="Footnotesection"/>
      </w:pPr>
      <w:r>
        <w:tab/>
        <w:t xml:space="preserve">[Section 7B inserted: No. 19 of 2013 s. 6.] </w:t>
      </w:r>
    </w:p>
    <w:p>
      <w:pPr>
        <w:pStyle w:val="Ednotepart"/>
      </w:pPr>
      <w:r>
        <w:t>[Part 3 (s. 7</w:t>
      </w:r>
      <w:r>
        <w:noBreakHyphen/>
        <w:t>28A and 28B) deleted: No. 19 of 2013 s. 18.]</w:t>
      </w:r>
    </w:p>
    <w:p>
      <w:pPr>
        <w:pStyle w:val="Heading2"/>
      </w:pPr>
      <w:bookmarkStart w:id="13" w:name="_Toc445809041"/>
      <w:bookmarkStart w:id="14" w:name="_Toc449452811"/>
      <w:r>
        <w:rPr>
          <w:rStyle w:val="CharPartNo"/>
        </w:rPr>
        <w:t>Part 4</w:t>
      </w:r>
      <w:r>
        <w:rPr>
          <w:rStyle w:val="CharDivNo"/>
        </w:rPr>
        <w:t> </w:t>
      </w:r>
      <w:r>
        <w:t>—</w:t>
      </w:r>
      <w:r>
        <w:rPr>
          <w:rStyle w:val="CharDivText"/>
        </w:rPr>
        <w:t> </w:t>
      </w:r>
      <w:r>
        <w:rPr>
          <w:rStyle w:val="CharPartText"/>
        </w:rPr>
        <w:t>Miscellaneous</w:t>
      </w:r>
      <w:bookmarkEnd w:id="13"/>
      <w:bookmarkEnd w:id="14"/>
      <w:r>
        <w:rPr>
          <w:rStyle w:val="CharPartText"/>
        </w:rPr>
        <w:t xml:space="preserve"> </w:t>
      </w:r>
    </w:p>
    <w:p>
      <w:pPr>
        <w:pStyle w:val="Heading5"/>
        <w:spacing w:before="240"/>
        <w:rPr>
          <w:snapToGrid w:val="0"/>
        </w:rPr>
      </w:pPr>
      <w:bookmarkStart w:id="15" w:name="_Toc449452812"/>
      <w:r>
        <w:rPr>
          <w:rStyle w:val="CharSectno"/>
        </w:rPr>
        <w:t>28</w:t>
      </w:r>
      <w:r>
        <w:rPr>
          <w:snapToGrid w:val="0"/>
        </w:rPr>
        <w:t>.</w:t>
      </w:r>
      <w:r>
        <w:rPr>
          <w:snapToGrid w:val="0"/>
        </w:rPr>
        <w:tab/>
        <w:t>Employer’s powers and liabilities in respect of termination not affected</w:t>
      </w:r>
      <w:bookmarkEnd w:id="15"/>
      <w:r>
        <w:rPr>
          <w:snapToGrid w:val="0"/>
        </w:rPr>
        <w:t xml:space="preserve"> </w:t>
      </w:r>
    </w:p>
    <w:p>
      <w:pPr>
        <w:pStyle w:val="Subsection"/>
        <w:spacing w:before="180"/>
        <w:rPr>
          <w:snapToGrid w:val="0"/>
        </w:rPr>
      </w:pPr>
      <w:r>
        <w:rPr>
          <w:snapToGrid w:val="0"/>
        </w:rPr>
        <w:tab/>
        <w:t>(1)</w:t>
      </w:r>
      <w:r>
        <w:rPr>
          <w:snapToGrid w:val="0"/>
        </w:rPr>
        <w:tab/>
        <w:t xml:space="preserve">Nothing in this Act shall affect the rights of an employer in relation to the termination of employment of a member of the </w:t>
      </w:r>
      <w:r>
        <w:t>scheme</w:t>
      </w:r>
      <w:r>
        <w:rPr>
          <w:snapToGrid w:val="0"/>
        </w:rPr>
        <w:t xml:space="preserve"> and the fact of being a member of the </w:t>
      </w:r>
      <w:r>
        <w:t>scheme</w:t>
      </w:r>
      <w:r>
        <w:rPr>
          <w:snapToGrid w:val="0"/>
        </w:rPr>
        <w:t xml:space="preserve"> shall not be taken in any respect as implying a guarantee of continued employment by an employer.</w:t>
      </w:r>
    </w:p>
    <w:p>
      <w:pPr>
        <w:pStyle w:val="Subsection"/>
        <w:spacing w:before="180"/>
        <w:rPr>
          <w:snapToGrid w:val="0"/>
        </w:rPr>
      </w:pPr>
      <w:r>
        <w:rPr>
          <w:snapToGrid w:val="0"/>
        </w:rPr>
        <w:tab/>
        <w:t>(2)</w:t>
      </w:r>
      <w:r>
        <w:rPr>
          <w:snapToGrid w:val="0"/>
        </w:rPr>
        <w:tab/>
        <w:t xml:space="preserve">Nothing in this Act and no right or expectation with respect to the accrual in the future of a benefit under </w:t>
      </w:r>
      <w:r>
        <w:t>the scheme</w:t>
      </w:r>
      <w:r>
        <w:rPr>
          <w:snapToGrid w:val="0"/>
        </w:rPr>
        <w:t xml:space="preserve"> shall affect the quantum of damages in any action brought by a member of the </w:t>
      </w:r>
      <w:r>
        <w:t>scheme</w:t>
      </w:r>
      <w:r>
        <w:rPr>
          <w:snapToGrid w:val="0"/>
        </w:rPr>
        <w:t xml:space="preserve"> against an employer on account of the termination of his employment.</w:t>
      </w:r>
    </w:p>
    <w:p>
      <w:pPr>
        <w:pStyle w:val="Footnotesection"/>
        <w:spacing w:before="100"/>
        <w:ind w:left="890" w:hanging="890"/>
      </w:pPr>
      <w:r>
        <w:tab/>
        <w:t>[Section 28 amended: No. 19 of 2013 s. 11.]</w:t>
      </w:r>
    </w:p>
    <w:p>
      <w:pPr>
        <w:pStyle w:val="Heading5"/>
        <w:spacing w:before="240"/>
        <w:rPr>
          <w:snapToGrid w:val="0"/>
        </w:rPr>
      </w:pPr>
      <w:bookmarkStart w:id="16" w:name="_Toc449452813"/>
      <w:r>
        <w:rPr>
          <w:rStyle w:val="CharSectno"/>
        </w:rPr>
        <w:t>29</w:t>
      </w:r>
      <w:r>
        <w:rPr>
          <w:snapToGrid w:val="0"/>
        </w:rPr>
        <w:t>.</w:t>
      </w:r>
      <w:r>
        <w:rPr>
          <w:snapToGrid w:val="0"/>
        </w:rPr>
        <w:tab/>
        <w:t>Members’ rights to compensation not to be affected</w:t>
      </w:r>
      <w:bookmarkEnd w:id="16"/>
      <w:r>
        <w:rPr>
          <w:snapToGrid w:val="0"/>
        </w:rPr>
        <w:t xml:space="preserve"> </w:t>
      </w:r>
    </w:p>
    <w:p>
      <w:pPr>
        <w:pStyle w:val="Subsection"/>
        <w:spacing w:before="180"/>
        <w:rPr>
          <w:snapToGrid w:val="0"/>
        </w:rPr>
      </w:pPr>
      <w:r>
        <w:rPr>
          <w:snapToGrid w:val="0"/>
        </w:rPr>
        <w:tab/>
        <w:t>(1)</w:t>
      </w:r>
      <w:r>
        <w:rPr>
          <w:snapToGrid w:val="0"/>
        </w:rPr>
        <w:tab/>
        <w:t xml:space="preserve">Nothing in this Act shall affect the rights of a member of the </w:t>
      </w:r>
      <w:r>
        <w:t>scheme</w:t>
      </w:r>
      <w:r>
        <w:rPr>
          <w:snapToGrid w:val="0"/>
        </w:rPr>
        <w:t xml:space="preserve"> in relation to any claim for damages or compensation that the member may have arising out of or with respect to his employment by an employer.</w:t>
      </w:r>
    </w:p>
    <w:p>
      <w:pPr>
        <w:pStyle w:val="Subsection"/>
        <w:spacing w:before="180"/>
        <w:rPr>
          <w:snapToGrid w:val="0"/>
        </w:rPr>
      </w:pPr>
      <w:r>
        <w:rPr>
          <w:snapToGrid w:val="0"/>
        </w:rPr>
        <w:tab/>
        <w:t>(2)</w:t>
      </w:r>
      <w:r>
        <w:rPr>
          <w:snapToGrid w:val="0"/>
        </w:rPr>
        <w:tab/>
        <w:t xml:space="preserve">A benefit to which a member of the </w:t>
      </w:r>
      <w:r>
        <w:t>scheme</w:t>
      </w:r>
      <w:r>
        <w:rPr>
          <w:snapToGrid w:val="0"/>
        </w:rPr>
        <w:t xml:space="preserve"> or any other person is entitled under the </w:t>
      </w:r>
      <w:r>
        <w:t>scheme</w:t>
      </w:r>
      <w:r>
        <w:rPr>
          <w:snapToGrid w:val="0"/>
        </w:rPr>
        <w:t xml:space="preserve"> shall not be affected by any damages or compensation payable to or in respect of the member.</w:t>
      </w:r>
    </w:p>
    <w:p>
      <w:pPr>
        <w:pStyle w:val="Footnotesection"/>
        <w:spacing w:before="100"/>
        <w:ind w:left="890" w:hanging="890"/>
      </w:pPr>
      <w:r>
        <w:tab/>
        <w:t>[Section 29 amended: No. 19 of 2013 s. 12.]</w:t>
      </w:r>
    </w:p>
    <w:p>
      <w:pPr>
        <w:pStyle w:val="Ednotesection"/>
        <w:spacing w:before="240"/>
      </w:pPr>
      <w:r>
        <w:t>[</w:t>
      </w:r>
      <w:r>
        <w:rPr>
          <w:b/>
          <w:bCs/>
        </w:rPr>
        <w:t xml:space="preserve">29A, 30. </w:t>
      </w:r>
      <w:r>
        <w:t>Deleted: No. 19 of 2013 s. 19.]</w:t>
      </w:r>
    </w:p>
    <w:p>
      <w:pPr>
        <w:pStyle w:val="Heading5"/>
        <w:spacing w:before="240"/>
        <w:rPr>
          <w:snapToGrid w:val="0"/>
        </w:rPr>
      </w:pPr>
      <w:bookmarkStart w:id="17" w:name="_Toc449452814"/>
      <w:r>
        <w:rPr>
          <w:rStyle w:val="CharSectno"/>
        </w:rPr>
        <w:t>31</w:t>
      </w:r>
      <w:r>
        <w:rPr>
          <w:snapToGrid w:val="0"/>
        </w:rPr>
        <w:t>.</w:t>
      </w:r>
      <w:r>
        <w:rPr>
          <w:snapToGrid w:val="0"/>
        </w:rPr>
        <w:tab/>
        <w:t>Regulations</w:t>
      </w:r>
      <w:bookmarkEnd w:id="17"/>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w:t>
      </w:r>
    </w:p>
    <w:p>
      <w:pPr>
        <w:pStyle w:val="Ednotepara"/>
      </w:pPr>
      <w:r>
        <w:rPr>
          <w:snapToGrid w:val="0"/>
        </w:rPr>
        <w:tab/>
      </w:r>
      <w:r>
        <w:t>[(a)</w:t>
      </w:r>
      <w:r>
        <w:noBreakHyphen/>
        <w:t>(h)</w:t>
      </w:r>
      <w:r>
        <w:tab/>
        <w:t>deleted]</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 xml:space="preserve">providing for any other matter necessary </w:t>
      </w:r>
      <w:r>
        <w:t>or convenient for consistency</w:t>
      </w:r>
      <w:r>
        <w:rPr>
          <w:snapToGrid w:val="0"/>
        </w:rPr>
        <w:t xml:space="preserve"> with the SIS Act.</w:t>
      </w:r>
    </w:p>
    <w:p>
      <w:pPr>
        <w:pStyle w:val="Footnotesection"/>
      </w:pPr>
      <w:r>
        <w:tab/>
        <w:t xml:space="preserve">[Section 31 amended: No. 46 of 1995 s. 15; No. 16 of 2006 s. 11; No. 19 of 2013 s. 13 and 20.] </w:t>
      </w:r>
    </w:p>
    <w:p>
      <w:pPr>
        <w:pStyle w:val="Heading5"/>
        <w:rPr>
          <w:snapToGrid w:val="0"/>
        </w:rPr>
      </w:pPr>
      <w:bookmarkStart w:id="18" w:name="_Toc449452815"/>
      <w:r>
        <w:rPr>
          <w:rStyle w:val="CharSectno"/>
        </w:rPr>
        <w:t>32</w:t>
      </w:r>
      <w:r>
        <w:rPr>
          <w:snapToGrid w:val="0"/>
        </w:rPr>
        <w:t>.</w:t>
      </w:r>
      <w:r>
        <w:rPr>
          <w:snapToGrid w:val="0"/>
        </w:rPr>
        <w:tab/>
        <w:t>Review of Act</w:t>
      </w:r>
      <w:bookmarkEnd w:id="18"/>
      <w:r>
        <w:rPr>
          <w:snapToGrid w:val="0"/>
        </w:rPr>
        <w:t xml:space="preserve"> </w:t>
      </w:r>
    </w:p>
    <w:p>
      <w:pPr>
        <w:pStyle w:val="Subsection"/>
      </w:pPr>
      <w:r>
        <w:tab/>
        <w:t>(1)</w:t>
      </w:r>
      <w:r>
        <w:tab/>
        <w:t>As soon as is reasonably practicable after the 3</w:t>
      </w:r>
      <w:r>
        <w:rPr>
          <w:vertAlign w:val="superscript"/>
        </w:rPr>
        <w:t>rd</w:t>
      </w:r>
      <w:r>
        <w:t xml:space="preserve"> anniversary of the day on which the first regulations made under section 7B come into operation, the Treasurer is to carry out a review of the operation of this Act and, in the course of the review, is to consider and have regard to — </w:t>
      </w:r>
    </w:p>
    <w:p>
      <w:pPr>
        <w:pStyle w:val="Indenta"/>
      </w:pPr>
      <w:r>
        <w:tab/>
        <w:t>(a)</w:t>
      </w:r>
      <w:r>
        <w:tab/>
        <w:t>the requirement for employers to pay contributions towards the scheme benefits; and</w:t>
      </w:r>
    </w:p>
    <w:p>
      <w:pPr>
        <w:pStyle w:val="Indenta"/>
      </w:pPr>
      <w:r>
        <w:tab/>
        <w:t>(b)</w:t>
      </w:r>
      <w:r>
        <w:tab/>
        <w:t>such other matters as appear to the Treasurer to be relevant to the operation and effectiveness of this Act.</w:t>
      </w:r>
    </w:p>
    <w:p>
      <w:pPr>
        <w:pStyle w:val="Subsection"/>
        <w:rPr>
          <w:snapToGrid w:val="0"/>
        </w:rPr>
      </w:pPr>
      <w:r>
        <w:rPr>
          <w:snapToGrid w:val="0"/>
        </w:rPr>
        <w:tab/>
        <w:t>(2)</w:t>
      </w:r>
      <w:r>
        <w:rPr>
          <w:snapToGrid w:val="0"/>
        </w:rPr>
        <w:tab/>
        <w:t>The Treasurer shall prepare a report based on the review of this Act and shall, as soon as practicable after the preparation thereof, cause the report to be laid before each House of Parliament.</w:t>
      </w:r>
    </w:p>
    <w:p>
      <w:pPr>
        <w:pStyle w:val="Footnotesection"/>
      </w:pPr>
      <w:r>
        <w:tab/>
        <w:t>[Section 32 amended: No. 16 of 2006 s. 12; No. 19 of 2013 s. 16.]</w:t>
      </w:r>
    </w:p>
    <w:p>
      <w:pPr>
        <w:pStyle w:val="Ednotepart"/>
        <w:rPr>
          <w:szCs w:val="24"/>
        </w:rPr>
      </w:pPr>
      <w:r>
        <w:rPr>
          <w:szCs w:val="24"/>
        </w:rPr>
        <w:t>[Part 5 (s. 33-35) deleted: No. 19 of 2013 s. 8.]</w:t>
      </w:r>
    </w:p>
    <w:p>
      <w:pPr>
        <w:pStyle w:val="yEdnoteschedule"/>
        <w:rPr>
          <w:sz w:val="24"/>
          <w:szCs w:val="24"/>
        </w:rPr>
      </w:pPr>
      <w:r>
        <w:rPr>
          <w:sz w:val="24"/>
          <w:szCs w:val="24"/>
        </w:rPr>
        <w:t>[Schedule 1 deleted: No. 19 of 2013 s. 14.]</w:t>
      </w:r>
    </w:p>
    <w:p>
      <w:pPr>
        <w:pStyle w:val="yEdnoteschedule"/>
        <w:rPr>
          <w:sz w:val="24"/>
          <w:szCs w:val="24"/>
        </w:rPr>
      </w:pPr>
      <w:r>
        <w:rPr>
          <w:sz w:val="24"/>
          <w:szCs w:val="24"/>
        </w:rPr>
        <w:t>[Schedule 2 deleted: No. 19 of 2013 s. 21.]</w:t>
      </w:r>
    </w:p>
    <w:p>
      <w:pPr>
        <w:pStyle w:val="yEdnoteschedule"/>
        <w:rPr>
          <w:sz w:val="24"/>
          <w:szCs w:val="24"/>
        </w:rPr>
      </w:pPr>
      <w:r>
        <w:rPr>
          <w:sz w:val="24"/>
          <w:szCs w:val="24"/>
        </w:rPr>
        <w:t>[Schedule 3 deleted: No. 19 of 2013 s. 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9" w:name="_Toc445809046"/>
      <w:bookmarkStart w:id="20" w:name="_Toc449452816"/>
      <w:r>
        <w:t>Notes</w:t>
      </w:r>
      <w:bookmarkEnd w:id="19"/>
      <w:bookmarkEnd w:id="20"/>
    </w:p>
    <w:p>
      <w:pPr>
        <w:pStyle w:val="nSubsection"/>
      </w:pPr>
      <w:r>
        <w:rPr>
          <w:vertAlign w:val="superscript"/>
        </w:rPr>
        <w:t>1</w:t>
      </w:r>
      <w:r>
        <w:tab/>
        <w:t xml:space="preserve">This is a compilation of the </w:t>
      </w:r>
      <w:r>
        <w:rPr>
          <w:i/>
          <w:noProof/>
        </w:rPr>
        <w:t>Coal Industry Superannuation Act 1989</w:t>
      </w:r>
      <w:r>
        <w:t xml:space="preserve"> and includes the amendments made by the other written laws referred to in the following table.  The table also contains information about any reprint.</w:t>
      </w:r>
    </w:p>
    <w:p>
      <w:pPr>
        <w:pStyle w:val="nHeading3"/>
        <w:rPr>
          <w:snapToGrid w:val="0"/>
        </w:rPr>
      </w:pPr>
      <w:bookmarkStart w:id="21" w:name="_Toc449452817"/>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Coal Industry Superannuation Act 1989</w:t>
            </w:r>
          </w:p>
        </w:tc>
        <w:tc>
          <w:tcPr>
            <w:tcW w:w="1134" w:type="dxa"/>
          </w:tcPr>
          <w:p>
            <w:pPr>
              <w:pStyle w:val="nTable"/>
              <w:spacing w:after="40"/>
            </w:pPr>
            <w:r>
              <w:t>28 of 1989</w:t>
            </w:r>
          </w:p>
        </w:tc>
        <w:tc>
          <w:tcPr>
            <w:tcW w:w="1136" w:type="dxa"/>
          </w:tcPr>
          <w:p>
            <w:pPr>
              <w:pStyle w:val="nTable"/>
              <w:spacing w:after="40"/>
            </w:pPr>
            <w:r>
              <w:t>12 Dec 1989</w:t>
            </w:r>
          </w:p>
        </w:tc>
        <w:tc>
          <w:tcPr>
            <w:tcW w:w="2551" w:type="dxa"/>
          </w:tcPr>
          <w:p>
            <w:pPr>
              <w:pStyle w:val="nTable"/>
              <w:spacing w:after="40"/>
            </w:pPr>
            <w:r>
              <w:t>s. 1 and 2: 12 Dec 1989;</w:t>
            </w:r>
            <w:r>
              <w:br/>
              <w:t xml:space="preserve">Act other than s. 1 and 2: 1 Jul 1990 (see s. 2 and </w:t>
            </w:r>
            <w:r>
              <w:rPr>
                <w:i/>
              </w:rPr>
              <w:t>Gazette</w:t>
            </w:r>
            <w:r>
              <w:t xml:space="preserve"> 22 Jun 1990 p. 3027)</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Cs/>
              </w:rPr>
            </w:pPr>
            <w:r>
              <w:rPr>
                <w:i/>
              </w:rPr>
              <w:t xml:space="preserve">Acts Amendment (Coal Mining Industry) Act 1994 </w:t>
            </w:r>
            <w:r>
              <w:rPr>
                <w:iCs/>
              </w:rPr>
              <w:t>Pt. 2 and s. 19</w:t>
            </w:r>
            <w:r>
              <w:rPr>
                <w:iCs/>
                <w:vertAlign w:val="superscript"/>
              </w:rPr>
              <w:t> 2</w:t>
            </w:r>
          </w:p>
        </w:tc>
        <w:tc>
          <w:tcPr>
            <w:tcW w:w="1134" w:type="dxa"/>
          </w:tcPr>
          <w:p>
            <w:pPr>
              <w:pStyle w:val="nTable"/>
              <w:spacing w:after="40"/>
            </w:pPr>
            <w:r>
              <w:t>45 of 1994</w:t>
            </w:r>
          </w:p>
        </w:tc>
        <w:tc>
          <w:tcPr>
            <w:tcW w:w="1136" w:type="dxa"/>
          </w:tcPr>
          <w:p>
            <w:pPr>
              <w:pStyle w:val="nTable"/>
              <w:spacing w:after="40"/>
            </w:pPr>
            <w:r>
              <w:t>22 Sep 1994</w:t>
            </w:r>
          </w:p>
        </w:tc>
        <w:tc>
          <w:tcPr>
            <w:tcW w:w="2551" w:type="dxa"/>
          </w:tcPr>
          <w:p>
            <w:pPr>
              <w:pStyle w:val="nTable"/>
              <w:spacing w:after="40"/>
            </w:pPr>
            <w:r>
              <w:t>Pt. 2: 22 Sep 1994 (see s. 2(1));</w:t>
            </w:r>
            <w:r>
              <w:br/>
              <w:t xml:space="preserve">s. 19: 16 Nov 1994 (see s. 2(2) and </w:t>
            </w:r>
            <w:r>
              <w:rPr>
                <w:i/>
              </w:rPr>
              <w:t>Gazette</w:t>
            </w:r>
            <w:r>
              <w:t xml:space="preserve"> 15 Nov 1994 p. 5801)</w:t>
            </w:r>
          </w:p>
        </w:tc>
      </w:tr>
      <w:tr>
        <w:trPr>
          <w:cantSplit/>
        </w:trPr>
        <w:tc>
          <w:tcPr>
            <w:tcW w:w="2268"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6"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rPr>
                <w:iCs/>
              </w:rPr>
            </w:pPr>
            <w:r>
              <w:rPr>
                <w:i/>
              </w:rPr>
              <w:t>Coal Industry Superannuation Amendment Act 1995</w:t>
            </w:r>
            <w:r>
              <w:rPr>
                <w:iCs/>
                <w:vertAlign w:val="superscript"/>
              </w:rPr>
              <w:t> 3</w:t>
            </w:r>
          </w:p>
        </w:tc>
        <w:tc>
          <w:tcPr>
            <w:tcW w:w="1134" w:type="dxa"/>
          </w:tcPr>
          <w:p>
            <w:pPr>
              <w:pStyle w:val="nTable"/>
              <w:spacing w:after="40"/>
            </w:pPr>
            <w:r>
              <w:t>46 of 1995</w:t>
            </w:r>
          </w:p>
        </w:tc>
        <w:tc>
          <w:tcPr>
            <w:tcW w:w="1136" w:type="dxa"/>
          </w:tcPr>
          <w:p>
            <w:pPr>
              <w:pStyle w:val="nTable"/>
              <w:spacing w:after="40"/>
            </w:pPr>
            <w:r>
              <w:t>1 Nov 1995</w:t>
            </w:r>
          </w:p>
        </w:tc>
        <w:tc>
          <w:tcPr>
            <w:tcW w:w="2551" w:type="dxa"/>
          </w:tcPr>
          <w:p>
            <w:pPr>
              <w:pStyle w:val="nTable"/>
              <w:spacing w:after="40"/>
            </w:pPr>
            <w:r>
              <w:t>s. 1 and 2: 1 Nov 1995;</w:t>
            </w:r>
            <w:r>
              <w:br/>
              <w:t xml:space="preserve">Act other than s. 1 and 2: 15 May 1996 (see s. 2 and </w:t>
            </w:r>
            <w:r>
              <w:rPr>
                <w:i/>
              </w:rPr>
              <w:t>Gazette</w:t>
            </w:r>
            <w:r>
              <w:t xml:space="preserve"> 14 May 1996 p. 2019)</w:t>
            </w:r>
          </w:p>
        </w:tc>
      </w:tr>
      <w:tr>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4538" w:type="dxa"/>
            <w:gridSpan w:val="3"/>
          </w:tcPr>
          <w:p>
            <w:pPr>
              <w:pStyle w:val="nTable"/>
              <w:spacing w:after="40"/>
              <w:rPr>
                <w:iCs/>
              </w:rPr>
            </w:pPr>
            <w:r>
              <w:rPr>
                <w:i/>
              </w:rPr>
              <w:t xml:space="preserve">Coal Industry Superannuation Act Amendment Order 2000 </w:t>
            </w:r>
            <w:r>
              <w:rPr>
                <w:iCs/>
              </w:rPr>
              <w:t xml:space="preserve">published in </w:t>
            </w:r>
            <w:r>
              <w:rPr>
                <w:i/>
              </w:rPr>
              <w:t>Gazette</w:t>
            </w:r>
            <w:r>
              <w:rPr>
                <w:iCs/>
              </w:rPr>
              <w:t xml:space="preserve"> </w:t>
            </w:r>
            <w:r>
              <w:t>29 Sep 2000 p. 5535</w:t>
            </w:r>
            <w:r>
              <w:noBreakHyphen/>
              <w:t>6</w:t>
            </w:r>
          </w:p>
        </w:tc>
        <w:tc>
          <w:tcPr>
            <w:tcW w:w="2551" w:type="dxa"/>
          </w:tcPr>
          <w:p>
            <w:pPr>
              <w:pStyle w:val="nTable"/>
              <w:spacing w:after="40"/>
            </w:pPr>
            <w:r>
              <w:t>29 Sep 2000</w:t>
            </w:r>
          </w:p>
        </w:tc>
      </w:tr>
      <w:tr>
        <w:trPr>
          <w:cantSplit/>
        </w:trPr>
        <w:tc>
          <w:tcPr>
            <w:tcW w:w="7089" w:type="dxa"/>
            <w:gridSpan w:val="4"/>
          </w:tcPr>
          <w:p>
            <w:pPr>
              <w:pStyle w:val="nTable"/>
              <w:spacing w:after="40"/>
            </w:pPr>
            <w:r>
              <w:rPr>
                <w:b/>
                <w:bCs/>
              </w:rPr>
              <w:t xml:space="preserve">Reprint of the </w:t>
            </w:r>
            <w:r>
              <w:rPr>
                <w:b/>
                <w:bCs/>
                <w:i/>
              </w:rPr>
              <w:t>Coal Industry Superannuation Act 1989</w:t>
            </w:r>
            <w:r>
              <w:rPr>
                <w:b/>
                <w:bCs/>
              </w:rPr>
              <w:t xml:space="preserve"> as at 8 Dec 2000</w:t>
            </w:r>
            <w:r>
              <w:t xml:space="preserve"> (includes amendments listed above)</w:t>
            </w:r>
          </w:p>
        </w:tc>
      </w:tr>
      <w:tr>
        <w:trPr>
          <w:cantSplit/>
        </w:trPr>
        <w:tc>
          <w:tcPr>
            <w:tcW w:w="2268" w:type="dxa"/>
          </w:tcPr>
          <w:p>
            <w:pPr>
              <w:pStyle w:val="nTable"/>
              <w:spacing w:after="40"/>
              <w:ind w:right="113"/>
            </w:pPr>
            <w:r>
              <w:rPr>
                <w:i/>
                <w:iCs/>
                <w:snapToGrid w:val="0"/>
              </w:rPr>
              <w:t>Coal Industry Superannuation Amendment Act 2006</w:t>
            </w:r>
          </w:p>
        </w:tc>
        <w:tc>
          <w:tcPr>
            <w:tcW w:w="1134" w:type="dxa"/>
          </w:tcPr>
          <w:p>
            <w:pPr>
              <w:pStyle w:val="nTable"/>
              <w:spacing w:after="40"/>
            </w:pPr>
            <w:r>
              <w:t>16 of 2006</w:t>
            </w:r>
          </w:p>
        </w:tc>
        <w:tc>
          <w:tcPr>
            <w:tcW w:w="1136" w:type="dxa"/>
          </w:tcPr>
          <w:p>
            <w:pPr>
              <w:pStyle w:val="nTable"/>
              <w:spacing w:after="40"/>
            </w:pPr>
            <w:r>
              <w:t>17 May 2006</w:t>
            </w:r>
          </w:p>
        </w:tc>
        <w:tc>
          <w:tcPr>
            <w:tcW w:w="2551" w:type="dxa"/>
          </w:tcPr>
          <w:p>
            <w:pPr>
              <w:pStyle w:val="nTable"/>
              <w:spacing w:after="40"/>
            </w:pPr>
            <w:r>
              <w:t>14 Jun 2006</w:t>
            </w:r>
          </w:p>
        </w:tc>
      </w:tr>
      <w:tr>
        <w:trPr>
          <w:cantSplit/>
        </w:trPr>
        <w:tc>
          <w:tcPr>
            <w:tcW w:w="7089" w:type="dxa"/>
            <w:gridSpan w:val="4"/>
          </w:tcPr>
          <w:p>
            <w:pPr>
              <w:pStyle w:val="nTable"/>
              <w:spacing w:after="40"/>
            </w:pPr>
            <w:r>
              <w:rPr>
                <w:b/>
                <w:bCs/>
              </w:rPr>
              <w:t xml:space="preserve">Reprint 2: The </w:t>
            </w:r>
            <w:r>
              <w:rPr>
                <w:b/>
                <w:bCs/>
                <w:i/>
              </w:rPr>
              <w:t>Coal Industry Superannuation Act 1989</w:t>
            </w:r>
            <w:r>
              <w:rPr>
                <w:b/>
                <w:bCs/>
              </w:rPr>
              <w:t xml:space="preserve"> as at 4 Aug 2006</w:t>
            </w:r>
            <w:r>
              <w:t xml:space="preserve"> (includes amendments listed above)</w:t>
            </w:r>
          </w:p>
        </w:tc>
      </w:tr>
      <w:tr>
        <w:trPr>
          <w:cantSplit/>
        </w:trPr>
        <w:tc>
          <w:tcPr>
            <w:tcW w:w="2268" w:type="dxa"/>
          </w:tcPr>
          <w:p>
            <w:pPr>
              <w:pStyle w:val="nTable"/>
              <w:spacing w:after="40"/>
              <w:ind w:right="113"/>
            </w:pPr>
            <w:r>
              <w:rPr>
                <w:i/>
                <w:snapToGrid w:val="0"/>
              </w:rPr>
              <w:t xml:space="preserve">Financial Legislation Amendment and Repeal Act 2006 </w:t>
            </w:r>
            <w:r>
              <w:rPr>
                <w:snapToGrid w:val="0"/>
              </w:rPr>
              <w:t>Sch. 1 cl. 25</w:t>
            </w:r>
          </w:p>
        </w:tc>
        <w:tc>
          <w:tcPr>
            <w:tcW w:w="1134"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snapToGrid w:val="0"/>
              </w:rPr>
            </w:pPr>
            <w:r>
              <w:rPr>
                <w:i/>
                <w:snapToGrid w:val="0"/>
              </w:rPr>
              <w:t>Coal Industry Superannuation Amendment Act 2013</w:t>
            </w:r>
          </w:p>
        </w:tc>
        <w:tc>
          <w:tcPr>
            <w:tcW w:w="1134" w:type="dxa"/>
          </w:tcPr>
          <w:p>
            <w:pPr>
              <w:pStyle w:val="nTable"/>
              <w:spacing w:after="40"/>
              <w:rPr>
                <w:snapToGrid w:val="0"/>
              </w:rPr>
            </w:pPr>
            <w:r>
              <w:rPr>
                <w:snapToGrid w:val="0"/>
              </w:rPr>
              <w:t>19 of 2013</w:t>
            </w:r>
          </w:p>
        </w:tc>
        <w:tc>
          <w:tcPr>
            <w:tcW w:w="1136" w:type="dxa"/>
          </w:tcPr>
          <w:p>
            <w:pPr>
              <w:pStyle w:val="nTable"/>
              <w:spacing w:after="40"/>
              <w:rPr>
                <w:snapToGrid w:val="0"/>
              </w:rPr>
            </w:pPr>
            <w:r>
              <w:rPr>
                <w:snapToGrid w:val="0"/>
              </w:rPr>
              <w:t>4 Nov 2013</w:t>
            </w:r>
          </w:p>
        </w:tc>
        <w:tc>
          <w:tcPr>
            <w:tcW w:w="2551" w:type="dxa"/>
          </w:tcPr>
          <w:p>
            <w:pPr>
              <w:pStyle w:val="nTable"/>
              <w:spacing w:after="40"/>
              <w:rPr>
                <w:snapToGrid w:val="0"/>
              </w:rPr>
            </w:pPr>
            <w:r>
              <w:rPr>
                <w:snapToGrid w:val="0"/>
              </w:rPr>
              <w:t>Pt. 1: 4 Nov 2013 (see s. 2(a));</w:t>
            </w:r>
            <w:r>
              <w:rPr>
                <w:snapToGrid w:val="0"/>
              </w:rPr>
              <w:br/>
              <w:t>Pt. 2: 5 Nov 2013 (see s. 2(b));</w:t>
            </w:r>
            <w:r>
              <w:rPr>
                <w:snapToGrid w:val="0"/>
              </w:rPr>
              <w:br/>
              <w:t xml:space="preserve">Pt. 3 and 4: 30 Jun 2014 (see s. 2(c) and </w:t>
            </w:r>
            <w:r>
              <w:rPr>
                <w:i/>
                <w:snapToGrid w:val="0"/>
              </w:rPr>
              <w:t>Gazette</w:t>
            </w:r>
            <w:r>
              <w:rPr>
                <w:snapToGrid w:val="0"/>
              </w:rPr>
              <w:t xml:space="preserve"> 13 Jun 2014 p. 1859);</w:t>
            </w:r>
            <w:r>
              <w:rPr>
                <w:snapToGrid w:val="0"/>
              </w:rPr>
              <w:br/>
              <w:t xml:space="preserve">Pt. 5: 31 Oct 2014 (see s. 2(c) and </w:t>
            </w:r>
            <w:r>
              <w:rPr>
                <w:i/>
                <w:snapToGrid w:val="0"/>
              </w:rPr>
              <w:t>Gazette</w:t>
            </w:r>
            <w:r>
              <w:rPr>
                <w:snapToGrid w:val="0"/>
              </w:rPr>
              <w:t xml:space="preserve"> 24 Oct 2014 p. 4119)</w:t>
            </w:r>
          </w:p>
        </w:tc>
      </w:tr>
      <w:tr>
        <w:trPr>
          <w:cantSplit/>
        </w:trPr>
        <w:tc>
          <w:tcPr>
            <w:tcW w:w="2268" w:type="dxa"/>
            <w:shd w:val="clear" w:color="auto" w:fill="auto"/>
          </w:tcPr>
          <w:p>
            <w:pPr>
              <w:pStyle w:val="nTable"/>
              <w:spacing w:after="40"/>
              <w:ind w:right="113"/>
              <w:rPr>
                <w:i/>
                <w:snapToGrid w:val="0"/>
              </w:rPr>
            </w:pPr>
            <w:r>
              <w:rPr>
                <w:i/>
                <w:snapToGrid w:val="0"/>
              </w:rPr>
              <w:t>Mines Safety and Inspection Amendment Act 2014</w:t>
            </w:r>
            <w:r>
              <w:rPr>
                <w:snapToGrid w:val="0"/>
              </w:rPr>
              <w:t xml:space="preserve"> Pt. 3</w:t>
            </w:r>
          </w:p>
        </w:tc>
        <w:tc>
          <w:tcPr>
            <w:tcW w:w="1134" w:type="dxa"/>
            <w:shd w:val="clear" w:color="auto" w:fill="auto"/>
          </w:tcPr>
          <w:p>
            <w:pPr>
              <w:pStyle w:val="nTable"/>
              <w:spacing w:after="40"/>
              <w:rPr>
                <w:snapToGrid w:val="0"/>
              </w:rPr>
            </w:pPr>
            <w:r>
              <w:rPr>
                <w:snapToGrid w:val="0"/>
              </w:rPr>
              <w:t>33 of 2014</w:t>
            </w:r>
          </w:p>
        </w:tc>
        <w:tc>
          <w:tcPr>
            <w:tcW w:w="1136" w:type="dxa"/>
            <w:shd w:val="clear" w:color="auto" w:fill="auto"/>
          </w:tcPr>
          <w:p>
            <w:pPr>
              <w:pStyle w:val="nTable"/>
              <w:spacing w:after="40"/>
              <w:rPr>
                <w:snapToGrid w:val="0"/>
              </w:rPr>
            </w:pPr>
            <w:r>
              <w:t>3 Dec 2014</w:t>
            </w:r>
          </w:p>
        </w:tc>
        <w:tc>
          <w:tcPr>
            <w:tcW w:w="2551" w:type="dxa"/>
            <w:shd w:val="clear" w:color="auto" w:fill="auto"/>
          </w:tcPr>
          <w:p>
            <w:pPr>
              <w:pStyle w:val="nTable"/>
              <w:spacing w:after="40"/>
              <w:rPr>
                <w:snapToGrid w:val="0"/>
              </w:rPr>
            </w:pPr>
            <w:r>
              <w:rPr>
                <w:snapToGrid w:val="0"/>
              </w:rPr>
              <w:t xml:space="preserve">6 Jun 2015 (see s. 2(b) and </w:t>
            </w:r>
            <w:r>
              <w:rPr>
                <w:i/>
                <w:snapToGrid w:val="0"/>
              </w:rPr>
              <w:t>Gazette</w:t>
            </w:r>
            <w:r>
              <w:rPr>
                <w:snapToGrid w:val="0"/>
              </w:rPr>
              <w:t xml:space="preserve"> 5 Jun 2015 p. 1971)</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Coal Industry Superannuation Act 1989</w:t>
            </w:r>
            <w:r>
              <w:rPr>
                <w:b/>
                <w:snapToGrid w:val="0"/>
              </w:rPr>
              <w:t xml:space="preserve"> as at 1 Apr 2016</w:t>
            </w:r>
            <w:r>
              <w:rPr>
                <w:snapToGrid w:val="0"/>
              </w:rPr>
              <w:t xml:space="preserve"> (includes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3" w:name="_Toc445809048"/>
      <w:bookmarkStart w:id="24" w:name="_Toc449452818"/>
      <w:r>
        <w:rPr>
          <w:sz w:val="28"/>
        </w:rPr>
        <w:t>Defined terms</w:t>
      </w:r>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coal mine</w:t>
      </w:r>
      <w:r>
        <w:tab/>
        <w:t>3(1)</w:t>
      </w:r>
    </w:p>
    <w:p>
      <w:pPr>
        <w:pStyle w:val="DefinedTerms"/>
      </w:pPr>
      <w:r>
        <w:t>employer</w:t>
      </w:r>
      <w:r>
        <w:tab/>
        <w:t>3(1)</w:t>
      </w:r>
    </w:p>
    <w:p>
      <w:pPr>
        <w:pStyle w:val="DefinedTerms"/>
      </w:pPr>
      <w:r>
        <w:t>industrial instrument</w:t>
      </w:r>
      <w:r>
        <w:tab/>
        <w:t>4(3)</w:t>
      </w:r>
    </w:p>
    <w:p>
      <w:pPr>
        <w:pStyle w:val="DefinedTerms"/>
      </w:pPr>
      <w:r>
        <w:t>mine worker</w:t>
      </w:r>
      <w:r>
        <w:tab/>
        <w:t>3(1), 4(1)</w:t>
      </w:r>
    </w:p>
    <w:p>
      <w:pPr>
        <w:pStyle w:val="DefinedTerms"/>
      </w:pPr>
      <w:r>
        <w:t>open cut</w:t>
      </w:r>
      <w:r>
        <w:tab/>
        <w:t>3(1)</w:t>
      </w:r>
    </w:p>
    <w:p>
      <w:pPr>
        <w:pStyle w:val="DefinedTerms"/>
      </w:pPr>
      <w:r>
        <w:t>registered organisation</w:t>
      </w:r>
      <w:r>
        <w:tab/>
        <w:t>4(3)</w:t>
      </w:r>
    </w:p>
    <w:p>
      <w:pPr>
        <w:pStyle w:val="DefinedTerms"/>
      </w:pPr>
      <w:r>
        <w:t xml:space="preserve">scheme </w:t>
      </w:r>
      <w:r>
        <w:tab/>
        <w:t>3(1)</w:t>
      </w:r>
    </w:p>
    <w:p>
      <w:pPr>
        <w:pStyle w:val="DefinedTerms"/>
      </w:pPr>
      <w:r>
        <w:t>scheme benefits</w:t>
      </w:r>
      <w:r>
        <w:tab/>
        <w:t>3(1)</w:t>
      </w:r>
    </w:p>
    <w:p>
      <w:pPr>
        <w:pStyle w:val="DefinedTerms"/>
      </w:pPr>
      <w:r>
        <w:t>scheme contributions</w:t>
      </w:r>
      <w:r>
        <w:tab/>
        <w:t>3(1)</w:t>
      </w:r>
    </w:p>
    <w:p>
      <w:pPr>
        <w:pStyle w:val="DefinedTerms"/>
      </w:pPr>
      <w:r>
        <w:t>SIS Act</w:t>
      </w:r>
      <w:r>
        <w:tab/>
        <w:t>3(1)</w:t>
      </w:r>
    </w:p>
    <w:p>
      <w:pPr>
        <w:pStyle w:val="DefinedTerms"/>
      </w:pPr>
      <w:r>
        <w:t>successor fund</w:t>
      </w:r>
      <w:r>
        <w:tab/>
        <w:t>3(1)</w:t>
      </w:r>
    </w:p>
    <w:p>
      <w:pPr>
        <w:pStyle w:val="DefinedTerms"/>
      </w:pPr>
      <w:r>
        <w:t>superannuation fund</w:t>
      </w:r>
      <w:r>
        <w:tab/>
        <w:t>3(1)</w:t>
      </w:r>
    </w:p>
    <w:p>
      <w:pPr>
        <w:pStyle w:val="DefinedTerms"/>
      </w:pPr>
      <w:r>
        <w:t>superannuation rules</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lvlText w:val="%1."/>
      <w:lvlJc w:val="left"/>
      <w:pPr>
        <w:tabs>
          <w:tab w:val="num" w:pos="1492"/>
        </w:tabs>
        <w:ind w:left="1492" w:hanging="360"/>
      </w:pPr>
    </w:lvl>
  </w:abstractNum>
  <w:abstractNum w:abstractNumId="1">
    <w:nsid w:val="FFFFFF7D"/>
    <w:multiLevelType w:val="singleLevel"/>
    <w:tmpl w:val="A07415AE"/>
    <w:lvl w:ilvl="0">
      <w:start w:val="1"/>
      <w:numFmt w:val="decimal"/>
      <w:lvlText w:val="%1."/>
      <w:lvlJc w:val="left"/>
      <w:pPr>
        <w:tabs>
          <w:tab w:val="num" w:pos="1209"/>
        </w:tabs>
        <w:ind w:left="1209" w:hanging="360"/>
      </w:pPr>
    </w:lvl>
  </w:abstractNum>
  <w:abstractNum w:abstractNumId="2">
    <w:nsid w:val="FFFFFF7E"/>
    <w:multiLevelType w:val="singleLevel"/>
    <w:tmpl w:val="A02C499E"/>
    <w:lvl w:ilvl="0">
      <w:start w:val="1"/>
      <w:numFmt w:val="decimal"/>
      <w:lvlText w:val="%1."/>
      <w:lvlJc w:val="left"/>
      <w:pPr>
        <w:tabs>
          <w:tab w:val="num" w:pos="926"/>
        </w:tabs>
        <w:ind w:left="926" w:hanging="360"/>
      </w:pPr>
    </w:lvl>
  </w:abstractNum>
  <w:abstractNum w:abstractNumId="3">
    <w:nsid w:val="FFFFFF7F"/>
    <w:multiLevelType w:val="singleLevel"/>
    <w:tmpl w:val="04B84872"/>
    <w:lvl w:ilvl="0">
      <w:start w:val="1"/>
      <w:numFmt w:val="decimal"/>
      <w:lvlText w:val="%1."/>
      <w:lvlJc w:val="left"/>
      <w:pPr>
        <w:tabs>
          <w:tab w:val="num" w:pos="643"/>
        </w:tabs>
        <w:ind w:left="643" w:hanging="360"/>
      </w:pPr>
    </w:lvl>
  </w:abstractNum>
  <w:abstractNum w:abstractNumId="4">
    <w:nsid w:val="FFFFFF80"/>
    <w:multiLevelType w:val="singleLevel"/>
    <w:tmpl w:val="05CEE8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lvlText w:val="%1."/>
      <w:lvlJc w:val="left"/>
      <w:pPr>
        <w:tabs>
          <w:tab w:val="num" w:pos="360"/>
        </w:tabs>
        <w:ind w:left="360" w:hanging="360"/>
      </w:pPr>
    </w:lvl>
  </w:abstractNum>
  <w:abstractNum w:abstractNumId="9">
    <w:nsid w:val="FFFFFF89"/>
    <w:multiLevelType w:val="singleLevel"/>
    <w:tmpl w:val="FDA66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7E0628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5A2E02A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5123938"/>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 w:name="WAFER_20140616112522" w:val="RemoveTocBookmarks,RemoveUnusedBookmarks,RemoveLanguageTags,UsedStyles,ResetPageSize"/>
    <w:docVar w:name="WAFER_20140616112522_GUID" w:val="3b06b736-fe86-4747-a580-fea548d4d244"/>
    <w:docVar w:name="WAFER_20140627143456" w:val="RemoveTocBookmarks,RunningHeaders"/>
    <w:docVar w:name="WAFER_20140627143456_GUID" w:val="8795f595-8531-4767-aeea-6274d64b02ca"/>
    <w:docVar w:name="WAFER_20141023140047" w:val="RemoveTocBookmarks,RunningHeaders"/>
    <w:docVar w:name="WAFER_20141023140047_GUID" w:val="0c6860bd-a816-4fea-b189-5138a35d1960"/>
    <w:docVar w:name="WAFER_20141028170552" w:val="RemoveTocBookmarks,RunningHeaders"/>
    <w:docVar w:name="WAFER_20141028170552_GUID" w:val="1e3a2572-f4f9-4bc2-bfb5-b795573c6399"/>
    <w:docVar w:name="WAFER_20150401131946" w:val="ResetPageSize,UpdateArrangement,UpdateNTable"/>
    <w:docVar w:name="WAFER_20150401131946_GUID" w:val="27fd5511-fff1-40db-8ee0-fee5b2ed6ef8"/>
    <w:docVar w:name="WAFER_20151102152734" w:val="UpdateStyles,UsedStyles"/>
    <w:docVar w:name="WAFER_20151102152734_GUID" w:val="efa6953d-971c-45aa-a126-48d4a05162cb"/>
    <w:docVar w:name="WAFER_20160315123938" w:val="RemoveTocBookmarks,RemoveUnusedBookmarks,RemoveLanguageTags,UsedStyles,RemoveTrackChanges"/>
    <w:docVar w:name="WAFER_20160315123938_GUID" w:val="38f3a875-f615-4033-bb3a-7c35be53ed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2673</Words>
  <Characters>12513</Characters>
  <Application>Microsoft Office Word</Application>
  <DocSecurity>0</DocSecurity>
  <Lines>446</Lines>
  <Paragraphs>271</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1989 - 03-a0-02</dc:title>
  <dc:subject/>
  <dc:creator/>
  <cp:keywords/>
  <dc:description/>
  <cp:lastModifiedBy>svcMRProcess</cp:lastModifiedBy>
  <cp:revision>4</cp:revision>
  <cp:lastPrinted>2016-04-15T02:40:00Z</cp:lastPrinted>
  <dcterms:created xsi:type="dcterms:W3CDTF">2019-02-07T04:30:00Z</dcterms:created>
  <dcterms:modified xsi:type="dcterms:W3CDTF">2019-02-07T04:30:00Z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20160401</vt:lpwstr>
  </property>
  <property fmtid="{D5CDD505-2E9C-101B-9397-08002B2CF9AE}" pid="4" name="DocumentType">
    <vt:lpwstr>Act</vt:lpwstr>
  </property>
  <property fmtid="{D5CDD505-2E9C-101B-9397-08002B2CF9AE}" pid="5" name="OwlsUID">
    <vt:i4>138</vt:i4>
  </property>
  <property fmtid="{D5CDD505-2E9C-101B-9397-08002B2CF9AE}" pid="6" name="ReprintedAsAt">
    <vt:filetime>2016-03-31T16:00:00Z</vt:filetime>
  </property>
  <property fmtid="{D5CDD505-2E9C-101B-9397-08002B2CF9AE}" pid="7" name="ReprintNo">
    <vt:lpwstr>3</vt:lpwstr>
  </property>
  <property fmtid="{D5CDD505-2E9C-101B-9397-08002B2CF9AE}" pid="8" name="AsAtDate">
    <vt:lpwstr>01 Apr 2016</vt:lpwstr>
  </property>
  <property fmtid="{D5CDD505-2E9C-101B-9397-08002B2CF9AE}" pid="9" name="Suffix">
    <vt:lpwstr>03-a0-02</vt:lpwstr>
  </property>
</Properties>
</file>