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Evidence Amendment Act 2016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Evidence Amendment Act 2016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</w:r>
      <w:r>
        <w:rPr>
          <w:snapToGrid w:val="0"/>
        </w:rPr>
        <w:t>Short title</w:t>
      </w:r>
      <w:r>
        <w:tab/>
      </w:r>
      <w:r>
        <w:fldChar w:fldCharType="begin"/>
      </w:r>
      <w:r>
        <w:instrText xml:space="preserve"> PAGEREF _Toc463265912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_Toc463265913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_Toc463265914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106HA amended</w:t>
      </w:r>
      <w:r>
        <w:tab/>
      </w:r>
      <w:r>
        <w:fldChar w:fldCharType="begin"/>
      </w:r>
      <w:r>
        <w:instrText xml:space="preserve"> PAGEREF _Toc463265915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</w:p>
    <w:p/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48000" cy="411892"/>
            <wp:effectExtent l="0" t="0" r="0" b="762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1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</w:pPr>
      <w:r>
        <w:t>Evidence Amendment Act 2016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31 of 2016</w:t>
      </w:r>
    </w:p>
    <w:p>
      <w:pPr>
        <w:pStyle w:val="LongTitle"/>
        <w:suppressLineNumbers/>
      </w:pPr>
      <w:r>
        <w:rPr>
          <w:snapToGrid w:val="0"/>
        </w:rPr>
        <w:t xml:space="preserve">An Act to amend the </w:t>
      </w:r>
      <w:r>
        <w:rPr>
          <w:i/>
          <w:snapToGrid w:val="0"/>
        </w:rPr>
        <w:t>Evidence Act 1906</w:t>
      </w:r>
      <w:r>
        <w:t>.</w:t>
      </w:r>
    </w:p>
    <w:p>
      <w:pPr>
        <w:pStyle w:val="AssentNote"/>
      </w:pPr>
      <w:r>
        <w:t>[Assented to 3 October 2016]</w:t>
      </w:r>
    </w:p>
    <w:p>
      <w:pPr>
        <w:pStyle w:val="Enactment"/>
      </w:pPr>
      <w:r>
        <w:rPr>
          <w:snapToGrid w:val="0"/>
        </w:rPr>
        <w:t>The Parliament of Western Australia enacts as follows:</w:t>
      </w:r>
    </w:p>
    <w:p>
      <w:pPr>
        <w:pStyle w:val="Enactment"/>
        <w:sectPr>
          <w:headerReference w:type="even" r:id="rId23"/>
          <w:headerReference w:type="default" r:id="rId24"/>
          <w:footerReference w:type="even" r:id="rId25"/>
          <w:headerReference w:type="first" r:id="rId26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400974988"/>
      <w:bookmarkStart w:id="5" w:name="_Toc421268025"/>
      <w:bookmarkStart w:id="6" w:name="_Toc463265755"/>
      <w:bookmarkStart w:id="7" w:name="_Toc463265912"/>
      <w:r>
        <w:rPr>
          <w:rStyle w:val="CharSectno"/>
        </w:rPr>
        <w:t>1</w:t>
      </w:r>
      <w:r>
        <w:t>.</w:t>
      </w:r>
      <w:r>
        <w:tab/>
      </w:r>
      <w:r>
        <w:rPr>
          <w:snapToGrid w:val="0"/>
        </w:rPr>
        <w:t>Short title</w:t>
      </w:r>
      <w:bookmarkEnd w:id="4"/>
      <w:bookmarkEnd w:id="5"/>
      <w:bookmarkEnd w:id="6"/>
      <w:bookmarkEnd w:id="7"/>
    </w:p>
    <w:p>
      <w:pPr>
        <w:pStyle w:val="Subsection"/>
      </w:pPr>
      <w:r>
        <w:tab/>
      </w:r>
      <w:r>
        <w:tab/>
        <w:t>This</w:t>
      </w:r>
      <w:r>
        <w:rPr>
          <w:snapToGrid w:val="0"/>
        </w:rPr>
        <w:t xml:space="preserve"> is the</w:t>
      </w:r>
      <w:r>
        <w:rPr>
          <w:i/>
          <w:snapToGrid w:val="0"/>
        </w:rPr>
        <w:t xml:space="preserve"> Evidence Amendment Act 2016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8" w:name="_Toc400974989"/>
      <w:bookmarkStart w:id="9" w:name="_Toc421268026"/>
      <w:bookmarkStart w:id="10" w:name="_Toc463265756"/>
      <w:bookmarkStart w:id="11" w:name="_Toc46326591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</w:r>
      <w:r>
        <w:t>Commencement</w:t>
      </w:r>
      <w:bookmarkEnd w:id="8"/>
      <w:bookmarkEnd w:id="9"/>
      <w:bookmarkEnd w:id="10"/>
      <w:bookmarkEnd w:id="11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 xml:space="preserve"> — 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a day fixed by proclamation, and different days may be fixed for different provisions.</w:t>
      </w:r>
    </w:p>
    <w:p>
      <w:pPr>
        <w:pStyle w:val="Heading5"/>
        <w:rPr>
          <w:snapToGrid w:val="0"/>
        </w:rPr>
      </w:pPr>
      <w:bookmarkStart w:id="12" w:name="_Toc400974990"/>
      <w:bookmarkStart w:id="13" w:name="_Toc421268027"/>
      <w:bookmarkStart w:id="14" w:name="_Toc463265757"/>
      <w:bookmarkStart w:id="15" w:name="_Toc46326591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12"/>
      <w:bookmarkEnd w:id="13"/>
      <w:bookmarkEnd w:id="14"/>
      <w:bookmarkEnd w:id="15"/>
    </w:p>
    <w:p>
      <w:pPr>
        <w:pStyle w:val="Subsection"/>
      </w:pPr>
      <w:r>
        <w:tab/>
      </w:r>
      <w:r>
        <w:tab/>
        <w:t xml:space="preserve">This Act amends the </w:t>
      </w:r>
      <w:r>
        <w:rPr>
          <w:i/>
        </w:rPr>
        <w:t>Evidence Act 1906</w:t>
      </w:r>
      <w:r>
        <w:t>.</w:t>
      </w:r>
    </w:p>
    <w:p>
      <w:pPr>
        <w:pStyle w:val="Heading5"/>
      </w:pPr>
      <w:bookmarkStart w:id="16" w:name="_Toc400974991"/>
      <w:bookmarkStart w:id="17" w:name="_Toc421268028"/>
      <w:bookmarkStart w:id="18" w:name="_Toc463265758"/>
      <w:bookmarkStart w:id="19" w:name="_Toc463265915"/>
      <w:r>
        <w:rPr>
          <w:rStyle w:val="CharSectno"/>
        </w:rPr>
        <w:t>4</w:t>
      </w:r>
      <w:r>
        <w:t>.</w:t>
      </w:r>
      <w:r>
        <w:tab/>
        <w:t>Section 106HA amended</w:t>
      </w:r>
      <w:bookmarkEnd w:id="16"/>
      <w:bookmarkEnd w:id="17"/>
      <w:bookmarkEnd w:id="18"/>
      <w:bookmarkEnd w:id="19"/>
    </w:p>
    <w:p>
      <w:pPr>
        <w:pStyle w:val="Subsection"/>
      </w:pPr>
      <w:r>
        <w:tab/>
        <w:t>(1)</w:t>
      </w:r>
      <w:r>
        <w:tab/>
        <w:t>Delete section 106HA(1)(a) and insert:</w:t>
      </w:r>
    </w:p>
    <w:p>
      <w:pPr>
        <w:pStyle w:val="BlankOpen"/>
      </w:pPr>
    </w:p>
    <w:p>
      <w:pPr>
        <w:pStyle w:val="zIndenta"/>
      </w:pPr>
      <w:r>
        <w:tab/>
        <w:t>(a)</w:t>
      </w:r>
      <w:r>
        <w:tab/>
        <w:t>the interview was conducted by a person of a prescribed class; and</w:t>
      </w:r>
    </w:p>
    <w:p>
      <w:pPr>
        <w:pStyle w:val="BlankClose"/>
      </w:pPr>
    </w:p>
    <w:p>
      <w:pPr>
        <w:pStyle w:val="Subsection"/>
      </w:pPr>
      <w:r>
        <w:tab/>
        <w:t>(2)</w:t>
      </w:r>
      <w:r>
        <w:tab/>
        <w:t>Delete section 106HA(1a)(a) and insert:</w:t>
      </w:r>
    </w:p>
    <w:p>
      <w:pPr>
        <w:pStyle w:val="BlankOpen"/>
      </w:pPr>
    </w:p>
    <w:p>
      <w:pPr>
        <w:pStyle w:val="zIndenta"/>
      </w:pPr>
      <w:r>
        <w:tab/>
        <w:t>(a)</w:t>
      </w:r>
      <w:r>
        <w:tab/>
        <w:t>the interview was conducted by a person of a prescribed class; and</w:t>
      </w:r>
    </w:p>
    <w:p>
      <w:pPr>
        <w:pStyle w:val="BlankClose"/>
      </w:pP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8"/>
          <w:headerReference w:type="default" r:id="rId29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31 of 2016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Oct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Oct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31 of 2016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Oct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31 of 2016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31 of 2016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Oct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Oct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31 of 2016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Oct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31 of 2016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31 of 2016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Oct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  <w:bookmarkStart w:id="20" w:name="Compilation"/>
    <w:bookmarkEnd w:id="2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1" w:name="Coversheet"/>
    <w:bookmarkEnd w:id="2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7422AA1"/>
    <w:multiLevelType w:val="multilevel"/>
    <w:tmpl w:val="4F10B00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CC00AE5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C3A0729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2FF52EB"/>
    <w:multiLevelType w:val="multilevel"/>
    <w:tmpl w:val="85E88ED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78A0113E"/>
    <w:name w:val="headings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0" w:firstLine="0"/>
      </w:pPr>
    </w:lvl>
    <w:lvl w:ilvl="5">
      <w:start w:val="1"/>
      <w:numFmt w:val="none"/>
      <w:lvlText w:val="()"/>
      <w:lvlJc w:val="right"/>
      <w:pPr>
        <w:tabs>
          <w:tab w:val="num" w:pos="1080"/>
        </w:tabs>
        <w:ind w:left="0" w:firstLine="72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1">
    <w:nsid w:val="30E2035F"/>
    <w:multiLevelType w:val="singleLevel"/>
    <w:tmpl w:val="F356D5B2"/>
    <w:name w:val="ScheduleNumberedItems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2">
    <w:nsid w:val="3C2808C0"/>
    <w:multiLevelType w:val="singleLevel"/>
    <w:tmpl w:val="B1B4B30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3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8">
    <w:nsid w:val="65D140E9"/>
    <w:multiLevelType w:val="multilevel"/>
    <w:tmpl w:val="DBF4D434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CD156B2"/>
    <w:multiLevelType w:val="multilevel"/>
    <w:tmpl w:val="F54273BE"/>
    <w:name w:val="mainbill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nothing"/>
      <w:lvlText w:val="Part %2 — "/>
      <w:lvlJc w:val="left"/>
      <w:pPr>
        <w:ind w:left="0" w:firstLine="0"/>
      </w:pPr>
    </w:lvl>
    <w:lvl w:ilvl="2">
      <w:start w:val="1"/>
      <w:numFmt w:val="decimal"/>
      <w:suff w:val="nothing"/>
      <w:lvlText w:val="Division %3 — "/>
      <w:lvlJc w:val="left"/>
      <w:pPr>
        <w:ind w:left="0" w:firstLine="0"/>
      </w:pPr>
    </w:lvl>
    <w:lvl w:ilvl="3">
      <w:start w:val="1"/>
      <w:numFmt w:val="decimal"/>
      <w:suff w:val="nothing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lvlText w:val="(%6)"/>
      <w:lvlJc w:val="right"/>
      <w:pPr>
        <w:tabs>
          <w:tab w:val="num" w:pos="893"/>
        </w:tabs>
        <w:ind w:left="893" w:hanging="173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3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0219190751"/>
    <w:docVar w:name="WAFER_20140911085016" w:val="RemoveTocBookmarks,RemoveUnusedBookmarks,RemoveLanguageTags,UsedStyles,ResetPageSize"/>
    <w:docVar w:name="WAFER_20140911085016_GUID" w:val="2718e890-0bac-4b74-b8d6-1ebb9273ecab"/>
    <w:docVar w:name="WAFER_20140911085824" w:val="RemoveTocBookmarks,RemoveUnusedBookmarks,RemoveLanguageTags,UsedStyles,ResetPageSize"/>
    <w:docVar w:name="WAFER_20140911085824_GUID" w:val="775928ff-40a7-4bcb-8e9d-4b94a3e9c9bd"/>
    <w:docVar w:name="WAFER_20150219190751" w:val="ResetPageSize,UpdateArrangement,UpdateNTable"/>
    <w:docVar w:name="WAFER_20150219190751_GUID" w:val="3fabdff7-17a0-4816-8eb4-4e9de743856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  <w:noProof/>
    </w:rPr>
  </w:style>
  <w:style w:type="paragraph" w:styleId="Header">
    <w:name w:val="header"/>
    <w:rPr>
      <w:rFonts w:ascii="Arial" w:hAnsi="Arial"/>
      <w:noProof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  <w:noProof/>
    </w:rPr>
  </w:style>
  <w:style w:type="paragraph" w:styleId="Header">
    <w:name w:val="header"/>
    <w:rPr>
      <w:rFonts w:ascii="Arial" w:hAnsi="Arial"/>
      <w:noProof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tiff"/><Relationship Id="rId27" Type="http://schemas.openxmlformats.org/officeDocument/2006/relationships/image" Target="media/image3.png"/><Relationship Id="rId30" Type="http://schemas.openxmlformats.org/officeDocument/2006/relationships/header" Target="header12.xml"/><Relationship Id="rId35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E677-EB59-43B8-9CDE-22FD1CD5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260</Words>
  <Characters>1258</Characters>
  <Application>Microsoft Office Word</Application>
  <DocSecurity>0</DocSecurity>
  <Lines>69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1466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Amendment Act 2016 - 00-00-01</dc:title>
  <dc:subject/>
  <dc:creator/>
  <cp:keywords/>
  <dc:description/>
  <cp:lastModifiedBy>svcMRProcess</cp:lastModifiedBy>
  <cp:revision>4</cp:revision>
  <cp:lastPrinted>2016-10-03T04:42:00Z</cp:lastPrinted>
  <dcterms:created xsi:type="dcterms:W3CDTF">2016-10-03T08:26:00Z</dcterms:created>
  <dcterms:modified xsi:type="dcterms:W3CDTF">2016-10-03T08:26:00Z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2353</vt:lpwstr>
  </property>
  <property fmtid="{D5CDD505-2E9C-101B-9397-08002B2CF9AE}" pid="3" name="ActNo">
    <vt:lpwstr>31 of 2016</vt:lpwstr>
  </property>
  <property fmtid="{D5CDD505-2E9C-101B-9397-08002B2CF9AE}" pid="4" name="DocumentType">
    <vt:lpwstr>Act</vt:lpwstr>
  </property>
  <property fmtid="{D5CDD505-2E9C-101B-9397-08002B2CF9AE}" pid="5" name="CommencementDate">
    <vt:lpwstr>20161003</vt:lpwstr>
  </property>
  <property fmtid="{D5CDD505-2E9C-101B-9397-08002B2CF9AE}" pid="6" name="AsAtDate">
    <vt:lpwstr>03 Oct 2016</vt:lpwstr>
  </property>
  <property fmtid="{D5CDD505-2E9C-101B-9397-08002B2CF9AE}" pid="7" name="Suffix">
    <vt:lpwstr>00-00-01</vt:lpwstr>
  </property>
  <property fmtid="{D5CDD505-2E9C-101B-9397-08002B2CF9AE}" pid="8" name="ActNoFooter">
    <vt:lpwstr>No. 31 of 2016</vt:lpwstr>
  </property>
</Properties>
</file>