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Biological Control Amendment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Biological Control Amendment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_Toc467655324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_Toc467655325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_Toc467655326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_Toc467655327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 amended</w:t>
      </w:r>
      <w:r>
        <w:tab/>
      </w:r>
      <w:r>
        <w:fldChar w:fldCharType="begin"/>
      </w:r>
      <w:r>
        <w:instrText xml:space="preserve"> PAGEREF _Toc467655328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Part 9 inserted</w:t>
      </w:r>
      <w:r>
        <w:tab/>
      </w:r>
      <w:r>
        <w:fldChar w:fldCharType="begin"/>
      </w:r>
      <w:r>
        <w:instrText xml:space="preserve"> PAGEREF _Toc467655329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3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9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 xml:space="preserve">Transitional provision for </w:t>
      </w:r>
      <w:r>
        <w:rPr>
          <w:i/>
        </w:rPr>
        <w:t>Biological Control Amendment Act 2016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60.</w:t>
      </w:r>
      <w:r>
        <w:rPr>
          <w:noProof/>
        </w:rPr>
        <w:tab/>
        <w:t>Transitional provision for declaration of relevant laws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_Toc467655331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References to prescribed live organisms amended</w:t>
      </w:r>
      <w:r>
        <w:tab/>
      </w:r>
      <w:r>
        <w:fldChar w:fldCharType="begin"/>
      </w:r>
      <w:r>
        <w:instrText xml:space="preserve"> PAGEREF _Toc467655332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65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Biological Control Amendment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39 of 2016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Biological Control Act 1986</w:t>
      </w:r>
      <w:r>
        <w:t>.</w:t>
      </w:r>
    </w:p>
    <w:p>
      <w:pPr>
        <w:pStyle w:val="AssentNote"/>
      </w:pPr>
      <w:r>
        <w:t>[Assented to 22 November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67654573"/>
      <w:bookmarkStart w:id="5" w:name="_Toc467655303"/>
      <w:bookmarkStart w:id="6" w:name="_Toc467655313"/>
      <w:bookmarkStart w:id="7" w:name="_Toc467655324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  <w:bookmarkEnd w:id="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Biological Control Amendment Act 2016</w:t>
      </w:r>
      <w:r>
        <w:t>.</w:t>
      </w:r>
    </w:p>
    <w:p>
      <w:pPr>
        <w:pStyle w:val="Heading5"/>
      </w:pPr>
      <w:bookmarkStart w:id="8" w:name="_Toc467654574"/>
      <w:bookmarkStart w:id="9" w:name="_Toc467655304"/>
      <w:bookmarkStart w:id="10" w:name="_Toc467655314"/>
      <w:bookmarkStart w:id="11" w:name="_Toc467655325"/>
      <w:r>
        <w:rPr>
          <w:rStyle w:val="CharSectno"/>
        </w:rPr>
        <w:t>2</w:t>
      </w:r>
      <w:r>
        <w:t>.</w:t>
      </w:r>
      <w:r>
        <w:tab/>
        <w:t>Commencement</w:t>
      </w:r>
      <w:bookmarkEnd w:id="8"/>
      <w:bookmarkEnd w:id="9"/>
      <w:bookmarkEnd w:id="10"/>
      <w:bookmarkEnd w:id="1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proclamation.</w:t>
      </w:r>
    </w:p>
    <w:p>
      <w:pPr>
        <w:pStyle w:val="Heading5"/>
        <w:rPr>
          <w:snapToGrid w:val="0"/>
        </w:rPr>
      </w:pPr>
      <w:bookmarkStart w:id="12" w:name="_Toc467654575"/>
      <w:bookmarkStart w:id="13" w:name="_Toc467655305"/>
      <w:bookmarkStart w:id="14" w:name="_Toc467655315"/>
      <w:bookmarkStart w:id="15" w:name="_Toc46765532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2"/>
      <w:bookmarkEnd w:id="13"/>
      <w:bookmarkEnd w:id="14"/>
      <w:bookmarkEnd w:id="1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Biological Control Act 1986</w:t>
      </w:r>
      <w:r>
        <w:t>.</w:t>
      </w:r>
    </w:p>
    <w:p>
      <w:pPr>
        <w:pStyle w:val="Heading5"/>
      </w:pPr>
      <w:bookmarkStart w:id="16" w:name="_Toc467654576"/>
      <w:bookmarkStart w:id="17" w:name="_Toc467655306"/>
      <w:bookmarkStart w:id="18" w:name="_Toc467655316"/>
      <w:bookmarkStart w:id="19" w:name="_Toc467655327"/>
      <w:r>
        <w:rPr>
          <w:rStyle w:val="CharSectno"/>
        </w:rPr>
        <w:t>4</w:t>
      </w:r>
      <w:r>
        <w:t>.</w:t>
      </w:r>
      <w:r>
        <w:tab/>
        <w:t>Section 3 amended</w:t>
      </w:r>
      <w:bookmarkEnd w:id="16"/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 xml:space="preserve">In section 3(1) delete the definition of </w:t>
      </w:r>
      <w:r>
        <w:rPr>
          <w:b/>
          <w:i/>
        </w:rPr>
        <w:t>prescribed live organisms</w:t>
      </w:r>
      <w:r>
        <w:t>.</w:t>
      </w:r>
    </w:p>
    <w:p>
      <w:pPr>
        <w:pStyle w:val="Subsection"/>
      </w:pPr>
      <w:r>
        <w:tab/>
        <w:t>(2)</w:t>
      </w:r>
      <w:r>
        <w:tab/>
        <w:t>In section 3(1) insert in alphabetical order:</w:t>
      </w:r>
    </w:p>
    <w:p>
      <w:pPr>
        <w:pStyle w:val="BlankOpen"/>
      </w:pPr>
    </w:p>
    <w:p>
      <w:pPr>
        <w:pStyle w:val="zDefstart"/>
      </w:pPr>
      <w:r>
        <w:tab/>
      </w:r>
      <w:r>
        <w:rPr>
          <w:rStyle w:val="CharDefText"/>
        </w:rPr>
        <w:t>prescribed organisms</w:t>
      </w:r>
      <w:r>
        <w:t xml:space="preserve"> — </w:t>
      </w:r>
    </w:p>
    <w:p>
      <w:pPr>
        <w:pStyle w:val="zDefpara"/>
      </w:pPr>
      <w:r>
        <w:tab/>
        <w:t>(a)</w:t>
      </w:r>
      <w:r>
        <w:tab/>
        <w:t xml:space="preserve">means organisms that are — </w:t>
      </w:r>
    </w:p>
    <w:p>
      <w:pPr>
        <w:pStyle w:val="zDefsubpara"/>
      </w:pPr>
      <w:r>
        <w:tab/>
        <w:t>(i)</w:t>
      </w:r>
      <w:r>
        <w:tab/>
        <w:t>live organisms; or</w:t>
      </w:r>
    </w:p>
    <w:p>
      <w:pPr>
        <w:pStyle w:val="zDefsubpara"/>
      </w:pPr>
      <w:r>
        <w:tab/>
        <w:t>(ii)</w:t>
      </w:r>
      <w:r>
        <w:tab/>
        <w:t>viruses or sub</w:t>
      </w:r>
      <w:r>
        <w:noBreakHyphen/>
        <w:t>viral agents;</w:t>
      </w:r>
    </w:p>
    <w:p>
      <w:pPr>
        <w:pStyle w:val="zDefpara"/>
      </w:pPr>
      <w:r>
        <w:tab/>
      </w:r>
      <w:r>
        <w:tab/>
        <w:t>but</w:t>
      </w:r>
    </w:p>
    <w:p>
      <w:pPr>
        <w:pStyle w:val="zDefpara"/>
      </w:pPr>
      <w:r>
        <w:tab/>
        <w:t>(b)</w:t>
      </w:r>
      <w:r>
        <w:tab/>
        <w:t>does not include live vaccines or resistant cultivars;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 xml:space="preserve">In section 3(1) in the definition of </w:t>
      </w:r>
      <w:r>
        <w:rPr>
          <w:b/>
          <w:i/>
        </w:rPr>
        <w:t>kind</w:t>
      </w:r>
      <w:r>
        <w:t xml:space="preserve"> after “organisms,”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viruses or sub</w:t>
      </w:r>
      <w:r>
        <w:noBreakHyphen/>
        <w:t>viral agents,</w:t>
      </w:r>
    </w:p>
    <w:p>
      <w:pPr>
        <w:pStyle w:val="BlankClose"/>
      </w:pPr>
    </w:p>
    <w:p>
      <w:pPr>
        <w:pStyle w:val="Subsection"/>
      </w:pPr>
      <w:r>
        <w:lastRenderedPageBreak/>
        <w:tab/>
        <w:t>(4)</w:t>
      </w:r>
      <w:r>
        <w:tab/>
        <w:t xml:space="preserve">In section 3(1) in the definition of </w:t>
      </w:r>
      <w:r>
        <w:rPr>
          <w:b/>
          <w:i/>
        </w:rPr>
        <w:t>organism</w:t>
      </w:r>
      <w:r>
        <w:t xml:space="preserve"> — </w:t>
      </w:r>
    </w:p>
    <w:p>
      <w:pPr>
        <w:pStyle w:val="Indenta"/>
      </w:pPr>
      <w:r>
        <w:tab/>
        <w:t>(a)</w:t>
      </w:r>
      <w:r>
        <w:tab/>
        <w:t>in paragraph (b) delete “paragraph (a);” and insert:</w:t>
      </w:r>
    </w:p>
    <w:p>
      <w:pPr>
        <w:pStyle w:val="BlankOpen"/>
      </w:pPr>
    </w:p>
    <w:p>
      <w:pPr>
        <w:pStyle w:val="Indenta"/>
      </w:pPr>
      <w:r>
        <w:tab/>
      </w:r>
      <w:r>
        <w:tab/>
        <w:t>paragraph (a); or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after paragraph (b) insert:</w:t>
      </w:r>
    </w:p>
    <w:p>
      <w:pPr>
        <w:pStyle w:val="BlankOpen"/>
      </w:pPr>
    </w:p>
    <w:p>
      <w:pPr>
        <w:pStyle w:val="zIndenta"/>
      </w:pPr>
      <w:r>
        <w:tab/>
        <w:t>(c)</w:t>
      </w:r>
      <w:r>
        <w:tab/>
        <w:t>a virus or a sub</w:t>
      </w:r>
      <w:r>
        <w:noBreakHyphen/>
        <w:t>viral agent;</w:t>
      </w:r>
    </w:p>
    <w:p>
      <w:pPr>
        <w:pStyle w:val="BlankClose"/>
      </w:pPr>
    </w:p>
    <w:p>
      <w:pPr>
        <w:pStyle w:val="Heading5"/>
      </w:pPr>
      <w:bookmarkStart w:id="20" w:name="_Toc467654577"/>
      <w:bookmarkStart w:id="21" w:name="_Toc467655307"/>
      <w:bookmarkStart w:id="22" w:name="_Toc467655317"/>
      <w:bookmarkStart w:id="23" w:name="_Toc467655328"/>
      <w:r>
        <w:rPr>
          <w:rStyle w:val="CharSectno"/>
        </w:rPr>
        <w:t>5</w:t>
      </w:r>
      <w:r>
        <w:t>.</w:t>
      </w:r>
      <w:r>
        <w:tab/>
        <w:t>Section 4 amended</w:t>
      </w:r>
      <w:bookmarkEnd w:id="20"/>
      <w:bookmarkEnd w:id="21"/>
      <w:bookmarkEnd w:id="22"/>
      <w:bookmarkEnd w:id="23"/>
    </w:p>
    <w:p>
      <w:pPr>
        <w:pStyle w:val="Subsection"/>
      </w:pPr>
      <w:r>
        <w:tab/>
      </w:r>
      <w:r>
        <w:tab/>
        <w:t>In section 4 delete “live”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prescribed</w:t>
      </w:r>
    </w:p>
    <w:p>
      <w:pPr>
        <w:pStyle w:val="BlankClose"/>
      </w:pPr>
    </w:p>
    <w:p>
      <w:pPr>
        <w:pStyle w:val="Heading5"/>
      </w:pPr>
      <w:bookmarkStart w:id="24" w:name="_Toc467654578"/>
      <w:bookmarkStart w:id="25" w:name="_Toc467655308"/>
      <w:bookmarkStart w:id="26" w:name="_Toc467655318"/>
      <w:bookmarkStart w:id="27" w:name="_Toc467655329"/>
      <w:r>
        <w:rPr>
          <w:rStyle w:val="CharSectno"/>
        </w:rPr>
        <w:t>6</w:t>
      </w:r>
      <w:r>
        <w:t>.</w:t>
      </w:r>
      <w:r>
        <w:tab/>
        <w:t>Part 9 inserted</w:t>
      </w:r>
      <w:bookmarkEnd w:id="24"/>
      <w:bookmarkEnd w:id="25"/>
      <w:bookmarkEnd w:id="26"/>
      <w:bookmarkEnd w:id="27"/>
    </w:p>
    <w:p>
      <w:pPr>
        <w:pStyle w:val="Subsection"/>
      </w:pPr>
      <w:r>
        <w:tab/>
      </w:r>
      <w:r>
        <w:tab/>
        <w:t>After section 59 insert:</w:t>
      </w:r>
    </w:p>
    <w:p>
      <w:pPr>
        <w:pStyle w:val="BlankOpen"/>
      </w:pPr>
    </w:p>
    <w:p>
      <w:pPr>
        <w:pStyle w:val="zHeading2"/>
      </w:pPr>
      <w:bookmarkStart w:id="28" w:name="_Toc461524026"/>
      <w:bookmarkStart w:id="29" w:name="_Toc461524035"/>
      <w:bookmarkStart w:id="30" w:name="_Toc461524283"/>
      <w:bookmarkStart w:id="31" w:name="_Toc461525174"/>
      <w:bookmarkStart w:id="32" w:name="_Toc461526094"/>
      <w:bookmarkStart w:id="33" w:name="_Toc466889200"/>
      <w:bookmarkStart w:id="34" w:name="_Toc467654579"/>
      <w:bookmarkStart w:id="35" w:name="_Toc467655309"/>
      <w:bookmarkStart w:id="36" w:name="_Toc467655319"/>
      <w:bookmarkStart w:id="37" w:name="_Toc467655330"/>
      <w:r>
        <w:t>Part 9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 xml:space="preserve">Transitional provision for </w:t>
      </w:r>
      <w:r>
        <w:rPr>
          <w:i/>
        </w:rPr>
        <w:t>Biological Control Amendment Act 2016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zHeading5"/>
      </w:pPr>
      <w:bookmarkStart w:id="38" w:name="_Toc467654580"/>
      <w:bookmarkStart w:id="39" w:name="_Toc467655310"/>
      <w:bookmarkStart w:id="40" w:name="_Toc467655320"/>
      <w:bookmarkStart w:id="41" w:name="_Toc467655331"/>
      <w:r>
        <w:t>60.</w:t>
      </w:r>
      <w:r>
        <w:tab/>
        <w:t>Transitional provision for declaration of relevant laws</w:t>
      </w:r>
      <w:bookmarkEnd w:id="38"/>
      <w:bookmarkEnd w:id="39"/>
      <w:bookmarkEnd w:id="40"/>
      <w:bookmarkEnd w:id="41"/>
    </w:p>
    <w:p>
      <w:pPr>
        <w:pStyle w:val="zSubsection"/>
      </w:pPr>
      <w:r>
        <w:tab/>
        <w:t>(1)</w:t>
      </w:r>
      <w:r>
        <w:tab/>
        <w:t>In this section —</w:t>
      </w:r>
    </w:p>
    <w:p>
      <w:pPr>
        <w:pStyle w:val="z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Biological Control Amendment Act 2016</w:t>
      </w:r>
      <w:r>
        <w:t xml:space="preserve"> section 6 comes into operation;</w:t>
      </w:r>
    </w:p>
    <w:p>
      <w:pPr>
        <w:pStyle w:val="zDefstart"/>
      </w:pPr>
      <w:r>
        <w:tab/>
      </w:r>
      <w:r>
        <w:rPr>
          <w:rStyle w:val="CharDefText"/>
        </w:rPr>
        <w:t>existing declaration</w:t>
      </w:r>
      <w:r>
        <w:t xml:space="preserve"> means a declaration made under section 5 and in effect immediately before the commencement day.</w:t>
      </w:r>
    </w:p>
    <w:p>
      <w:pPr>
        <w:pStyle w:val="zSubsection"/>
      </w:pPr>
      <w:r>
        <w:lastRenderedPageBreak/>
        <w:tab/>
        <w:t>(2)</w:t>
      </w:r>
      <w:r>
        <w:tab/>
        <w:t xml:space="preserve">An existing declaration continues in effect and may be dealt with on and after the commencement day despite the amendments made by the </w:t>
      </w:r>
      <w:r>
        <w:rPr>
          <w:i/>
        </w:rPr>
        <w:t>Biological Control Amendment Act 2016</w:t>
      </w:r>
      <w:r>
        <w:t>.</w:t>
      </w:r>
    </w:p>
    <w:p>
      <w:pPr>
        <w:pStyle w:val="BlankClose"/>
      </w:pPr>
    </w:p>
    <w:p>
      <w:pPr>
        <w:pStyle w:val="Heading5"/>
      </w:pPr>
      <w:bookmarkStart w:id="42" w:name="_Toc467654581"/>
      <w:bookmarkStart w:id="43" w:name="_Toc467655311"/>
      <w:bookmarkStart w:id="44" w:name="_Toc467655321"/>
      <w:bookmarkStart w:id="45" w:name="_Toc467655332"/>
      <w:r>
        <w:rPr>
          <w:rStyle w:val="CharSectno"/>
        </w:rPr>
        <w:t>7</w:t>
      </w:r>
      <w:r>
        <w:t>.</w:t>
      </w:r>
      <w:r>
        <w:tab/>
        <w:t>References to prescribed live organisms amended</w:t>
      </w:r>
      <w:bookmarkEnd w:id="42"/>
      <w:bookmarkEnd w:id="43"/>
      <w:bookmarkEnd w:id="44"/>
      <w:bookmarkEnd w:id="45"/>
    </w:p>
    <w:p>
      <w:pPr>
        <w:pStyle w:val="Subsection"/>
      </w:pPr>
      <w:r>
        <w:tab/>
      </w:r>
      <w:r>
        <w:tab/>
        <w:t>In the provisions listed in the Table delete “live”.</w:t>
      </w:r>
    </w:p>
    <w:p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402"/>
        <w:gridCol w:w="3402"/>
      </w:tblGrid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s. 19(1)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s. 20(1)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s. 24(1)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s. 28(1)(b)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s. 29(1)(a)</w:t>
            </w:r>
          </w:p>
        </w:tc>
        <w:tc>
          <w:tcPr>
            <w:tcW w:w="3402" w:type="dxa"/>
          </w:tcPr>
          <w:p>
            <w:pPr>
              <w:pStyle w:val="TableAm"/>
            </w:pPr>
            <w:r>
              <w:t>s. 32(2)(a)</w:t>
            </w:r>
          </w:p>
        </w:tc>
      </w:tr>
      <w:tr>
        <w:trPr>
          <w:cantSplit/>
          <w:jc w:val="center"/>
        </w:trPr>
        <w:tc>
          <w:tcPr>
            <w:tcW w:w="3402" w:type="dxa"/>
          </w:tcPr>
          <w:p>
            <w:pPr>
              <w:pStyle w:val="TableAm"/>
            </w:pPr>
            <w:r>
              <w:t>s. 35(3)</w:t>
            </w:r>
          </w:p>
        </w:tc>
        <w:tc>
          <w:tcPr>
            <w:tcW w:w="3402" w:type="dxa"/>
          </w:tcPr>
          <w:p>
            <w:pPr>
              <w:pStyle w:val="SectAltNote"/>
            </w:pPr>
          </w:p>
        </w:tc>
      </w:tr>
    </w:tbl>
    <w:p>
      <w:pPr>
        <w:pStyle w:val="SectAltNote"/>
      </w:pPr>
      <w:r>
        <w:tab/>
        <w:t>Note:</w:t>
      </w:r>
      <w:r>
        <w:tab/>
        <w:t>The heading to amended section 29 is to read:</w:t>
      </w:r>
    </w:p>
    <w:p>
      <w:pPr>
        <w:pStyle w:val="SectAltHeading"/>
      </w:pPr>
      <w:r>
        <w:rPr>
          <w:b w:val="0"/>
        </w:rPr>
        <w:tab/>
      </w:r>
      <w:r>
        <w:rPr>
          <w:b w:val="0"/>
        </w:rPr>
        <w:tab/>
      </w:r>
      <w:r>
        <w:t>Declaration of some released prescribed organisms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31674" cy="2451100"/>
                <wp:effectExtent l="0" t="0" r="1905" b="6350"/>
                <wp:wrapNone/>
                <wp:docPr id="2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4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JOHN A. STRIJK,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35pt;height:193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JOHN A.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STRIJK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22 Nov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39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6" w:name="Coversheet"/>
    <w:bookmarkEnd w:id="4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Biological Control Amendment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3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913095325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60803143039" w:val="RemoveTocBookmarks,RemoveUnusedBookmarks,RemoveLanguageTags,UsedStyles,ResetPageSize"/>
    <w:docVar w:name="WAFER_20160803143039_GUID" w:val="35d2e5c2-52f5-4a15-a755-36331eda8059"/>
    <w:docVar w:name="WAFER_20160913095325" w:val="RemoveTocBookmarks,RemoveUnusedBookmarks,RemoveLanguageTags,UsedStyles,ResetPageSize"/>
    <w:docVar w:name="WAFER_20160913095325_GUID" w:val="20dd090f-b884-4acd-8102-78d54db24a5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uiPriority w:val="39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tiff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oter" Target="footer9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image" Target="media/image3.png"/><Relationship Id="rId30" Type="http://schemas.openxmlformats.org/officeDocument/2006/relationships/header" Target="header11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EB19-550B-448B-A915-80B6DA72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526</Words>
  <Characters>2710</Characters>
  <Application>Microsoft Office Word</Application>
  <DocSecurity>0</DocSecurity>
  <Lines>135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3135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Control Amendment Act 2016 - 00-00-01</dc:title>
  <dc:subject/>
  <dc:creator/>
  <cp:keywords/>
  <dc:description/>
  <cp:lastModifiedBy>svcMRProcess</cp:lastModifiedBy>
  <cp:revision>4</cp:revision>
  <cp:lastPrinted>2016-11-23T00:53:00Z</cp:lastPrinted>
  <dcterms:created xsi:type="dcterms:W3CDTF">2016-12-08T01:51:00Z</dcterms:created>
  <dcterms:modified xsi:type="dcterms:W3CDTF">2016-12-08T01:51:00Z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PBillNumber">
    <vt:lpwstr>216—1</vt:lpwstr>
  </property>
  <property fmtid="{D5CDD505-2E9C-101B-9397-08002B2CF9AE}" pid="3" name="BillID">
    <vt:lpwstr>2493</vt:lpwstr>
  </property>
  <property fmtid="{D5CDD505-2E9C-101B-9397-08002B2CF9AE}" pid="4" name="ShortTitle">
    <vt:lpwstr>Biological Control Amendment Act 2016</vt:lpwstr>
  </property>
  <property fmtid="{D5CDD505-2E9C-101B-9397-08002B2CF9AE}" pid="5" name="Citation">
    <vt:lpwstr>Biological Control Amendment Act 2016</vt:lpwstr>
  </property>
  <property fmtid="{D5CDD505-2E9C-101B-9397-08002B2CF9AE}" pid="6" name="PrincipalAct">
    <vt:lpwstr>Biological Control Act 1986</vt:lpwstr>
  </property>
  <property fmtid="{D5CDD505-2E9C-101B-9397-08002B2CF9AE}" pid="7" name="DraftNo">
    <vt:lpwstr>Final</vt:lpwstr>
  </property>
  <property fmtid="{D5CDD505-2E9C-101B-9397-08002B2CF9AE}" pid="8" name="PrivateMember">
    <vt:lpwstr/>
  </property>
  <property fmtid="{D5CDD505-2E9C-101B-9397-08002B2CF9AE}" pid="9" name="ActNo">
    <vt:lpwstr>39 of 2016</vt:lpwstr>
  </property>
  <property fmtid="{D5CDD505-2E9C-101B-9397-08002B2CF9AE}" pid="10" name="KitandImprint">
    <vt:lpwstr>  </vt:lpwstr>
  </property>
  <property fmtid="{D5CDD505-2E9C-101B-9397-08002B2CF9AE}" pid="11" name="Assent Date">
    <vt:lpwstr>22 November 2016</vt:lpwstr>
  </property>
  <property fmtid="{D5CDD505-2E9C-101B-9397-08002B2CF9AE}" pid="12" name="PerfectBound">
    <vt:lpwstr>NO</vt:lpwstr>
  </property>
  <property fmtid="{D5CDD505-2E9C-101B-9397-08002B2CF9AE}" pid="13" name="_AdHocReviewCycleID">
    <vt:i4>-799871085</vt:i4>
  </property>
  <property fmtid="{D5CDD505-2E9C-101B-9397-08002B2CF9AE}" pid="14" name="_NewReviewCycle">
    <vt:lpwstr/>
  </property>
  <property fmtid="{D5CDD505-2E9C-101B-9397-08002B2CF9AE}" pid="15" name="_EmailSubject">
    <vt:lpwstr>Act 39 of 2016</vt:lpwstr>
  </property>
  <property fmtid="{D5CDD505-2E9C-101B-9397-08002B2CF9AE}" pid="16" name="_AuthorEmail">
    <vt:lpwstr>Bruce.Smith@dpc.wa.gov.au</vt:lpwstr>
  </property>
  <property fmtid="{D5CDD505-2E9C-101B-9397-08002B2CF9AE}" pid="17" name="_AuthorEmailDisplayName">
    <vt:lpwstr>Smith, Bruce</vt:lpwstr>
  </property>
  <property fmtid="{D5CDD505-2E9C-101B-9397-08002B2CF9AE}" pid="18" name="_ReviewingToolsShownOnce">
    <vt:lpwstr/>
  </property>
  <property fmtid="{D5CDD505-2E9C-101B-9397-08002B2CF9AE}" pid="19" name="DocumentType">
    <vt:lpwstr>Act</vt:lpwstr>
  </property>
  <property fmtid="{D5CDD505-2E9C-101B-9397-08002B2CF9AE}" pid="20" name="CommencementDate">
    <vt:lpwstr>20161122</vt:lpwstr>
  </property>
  <property fmtid="{D5CDD505-2E9C-101B-9397-08002B2CF9AE}" pid="21" name="AsAtDate">
    <vt:lpwstr>22 Nov 2016</vt:lpwstr>
  </property>
  <property fmtid="{D5CDD505-2E9C-101B-9397-08002B2CF9AE}" pid="22" name="Suffix">
    <vt:lpwstr>00-00-01</vt:lpwstr>
  </property>
  <property fmtid="{D5CDD505-2E9C-101B-9397-08002B2CF9AE}" pid="23" name="ActNoFooter">
    <vt:lpwstr>No. 39 of 2016</vt:lpwstr>
  </property>
</Properties>
</file>