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Amendment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Amendment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_Toc468459502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_Toc468459503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_Toc468459504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</w:pPr>
      <w:r>
        <w:t>4.</w:t>
      </w:r>
      <w:r>
        <w:tab/>
        <w:t>Section 46 amended</w:t>
      </w:r>
      <w:r>
        <w:tab/>
      </w:r>
      <w:r>
        <w:fldChar w:fldCharType="begin"/>
      </w:r>
      <w:r>
        <w:instrText xml:space="preserve"> PAGEREF _Toc468459505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79 amended</w:t>
      </w:r>
      <w:r>
        <w:tab/>
      </w:r>
      <w:r>
        <w:fldChar w:fldCharType="begin"/>
      </w:r>
      <w:r>
        <w:instrText xml:space="preserve"> PAGEREF _Toc468459506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85 amended</w:t>
      </w:r>
      <w:r>
        <w:tab/>
      </w:r>
      <w:r>
        <w:fldChar w:fldCharType="begin"/>
      </w:r>
      <w:r>
        <w:instrText xml:space="preserve"> PAGEREF _Toc468459507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Schedule 1 clause 8 amended</w:t>
      </w:r>
      <w:r>
        <w:tab/>
      </w:r>
      <w:r>
        <w:fldChar w:fldCharType="begin"/>
      </w:r>
      <w:r>
        <w:instrText xml:space="preserve"> PAGEREF _Toc468459508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3468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Residential Tenancies Amendment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42 of 2016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Residential Tenancies Act 1987</w:t>
      </w:r>
      <w:r>
        <w:t>.</w:t>
      </w:r>
    </w:p>
    <w:p>
      <w:pPr>
        <w:pStyle w:val="AssentNote"/>
      </w:pPr>
      <w:r>
        <w:t>[Assented to 1 December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68452908"/>
      <w:bookmarkStart w:id="5" w:name="_Toc468458279"/>
      <w:bookmarkStart w:id="6" w:name="_Toc468459502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Residential Tenancies Amendment Act 2016</w:t>
      </w:r>
      <w:r>
        <w:t>.</w:t>
      </w:r>
    </w:p>
    <w:p>
      <w:pPr>
        <w:pStyle w:val="Heading5"/>
      </w:pPr>
      <w:bookmarkStart w:id="7" w:name="_Toc468452909"/>
      <w:bookmarkStart w:id="8" w:name="_Toc468458280"/>
      <w:bookmarkStart w:id="9" w:name="_Toc468459503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  <w:rPr>
          <w:snapToGrid w:val="0"/>
        </w:rPr>
      </w:pPr>
      <w:bookmarkStart w:id="10" w:name="_Toc468452910"/>
      <w:bookmarkStart w:id="11" w:name="_Toc468458281"/>
      <w:bookmarkStart w:id="12" w:name="_Toc46845950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Residential Tenancies Act 1987</w:t>
      </w:r>
      <w:r>
        <w:t>.</w:t>
      </w:r>
    </w:p>
    <w:p>
      <w:pPr>
        <w:pStyle w:val="Heading5"/>
      </w:pPr>
      <w:bookmarkStart w:id="13" w:name="_Toc468452911"/>
      <w:bookmarkStart w:id="14" w:name="_Toc468458282"/>
      <w:bookmarkStart w:id="15" w:name="_Toc468459505"/>
      <w:r>
        <w:rPr>
          <w:rStyle w:val="CharSectno"/>
        </w:rPr>
        <w:t>4</w:t>
      </w:r>
      <w:r>
        <w:t>.</w:t>
      </w:r>
      <w:r>
        <w:tab/>
        <w:t>Section 46 amended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>In section 46(1)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notice</w:t>
      </w:r>
      <w:r>
        <w:t xml:space="preserve"> means notice in a form approved by the Commissioner;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46(4) delete “before the lessor gives notice under subsection (2) of a proposed entry to the premises,”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if it would unduly inconvenience the tenant for the lessor to enter the premises as specified in a notice given under subsection (2),</w:t>
      </w:r>
    </w:p>
    <w:p>
      <w:pPr>
        <w:pStyle w:val="BlankClose"/>
      </w:pPr>
    </w:p>
    <w:p>
      <w:pPr>
        <w:pStyle w:val="Heading5"/>
      </w:pPr>
      <w:bookmarkStart w:id="16" w:name="_Toc468452912"/>
      <w:bookmarkStart w:id="17" w:name="_Toc468458283"/>
      <w:bookmarkStart w:id="18" w:name="_Toc468459506"/>
      <w:r>
        <w:rPr>
          <w:rStyle w:val="CharSectno"/>
        </w:rPr>
        <w:t>5</w:t>
      </w:r>
      <w:r>
        <w:t>.</w:t>
      </w:r>
      <w:r>
        <w:tab/>
        <w:t>Section 79 amended</w:t>
      </w:r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>In section 79(2) delete the Penalty and insert:</w:t>
      </w:r>
    </w:p>
    <w:p>
      <w:pPr>
        <w:pStyle w:val="BlankOpen"/>
      </w:pPr>
    </w:p>
    <w:p>
      <w:pPr>
        <w:pStyle w:val="zPenstart"/>
      </w:pPr>
      <w:r>
        <w:tab/>
        <w:t>Penalty for this subsection: a fine of $5 000.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Delete section 79(3) and insert:</w:t>
      </w:r>
    </w:p>
    <w:p>
      <w:pPr>
        <w:pStyle w:val="BlankOpen"/>
      </w:pPr>
    </w:p>
    <w:p>
      <w:pPr>
        <w:pStyle w:val="zSubsection"/>
      </w:pPr>
      <w:r>
        <w:tab/>
        <w:t>(3)</w:t>
      </w:r>
      <w:r>
        <w:tab/>
        <w:t xml:space="preserve">A lessor who stores goods under subsection (2) must cause notice in or to the effect of the form approved by the Commissioner for the purposes of this subsection — </w:t>
      </w:r>
    </w:p>
    <w:p>
      <w:pPr>
        <w:pStyle w:val="zIndenta"/>
      </w:pPr>
      <w:r>
        <w:tab/>
        <w:t>(a)</w:t>
      </w:r>
      <w:r>
        <w:tab/>
        <w:t>to be given to the tenant within 7 days after the day on which the goods were stored; or</w:t>
      </w:r>
    </w:p>
    <w:p>
      <w:pPr>
        <w:pStyle w:val="zIndenta"/>
      </w:pPr>
      <w:r>
        <w:tab/>
        <w:t>(b)</w:t>
      </w:r>
      <w:r>
        <w:tab/>
        <w:t xml:space="preserve">to be — </w:t>
      </w:r>
    </w:p>
    <w:p>
      <w:pPr>
        <w:pStyle w:val="zIndenti"/>
      </w:pPr>
      <w:r>
        <w:tab/>
        <w:t>(i)</w:t>
      </w:r>
      <w:r>
        <w:tab/>
        <w:t>made publicly available in any manner prescribed for the purposes of this paragraph, including (without limitation) by means of a website within 7 days after the day on which the goods were stored; and</w:t>
      </w:r>
    </w:p>
    <w:p>
      <w:pPr>
        <w:pStyle w:val="zIndenti"/>
        <w:spacing w:before="120"/>
      </w:pPr>
      <w:r>
        <w:tab/>
        <w:t>(ii)</w:t>
      </w:r>
      <w:r>
        <w:tab/>
        <w:t>posted in a prominent position on the premises that were subject to the former agreement within 9 days after the day on which the goods were stored.</w:t>
      </w:r>
    </w:p>
    <w:p>
      <w:pPr>
        <w:pStyle w:val="zPenstart"/>
      </w:pPr>
      <w:r>
        <w:tab/>
        <w:t>Penalty for this subsection: a fine of $5 000.</w:t>
      </w:r>
    </w:p>
    <w:p>
      <w:pPr>
        <w:pStyle w:val="BlankClose"/>
      </w:pPr>
    </w:p>
    <w:p>
      <w:pPr>
        <w:pStyle w:val="Heading5"/>
      </w:pPr>
      <w:bookmarkStart w:id="19" w:name="_Toc468452913"/>
      <w:bookmarkStart w:id="20" w:name="_Toc468458284"/>
      <w:bookmarkStart w:id="21" w:name="_Toc468459507"/>
      <w:r>
        <w:rPr>
          <w:rStyle w:val="CharSectno"/>
        </w:rPr>
        <w:t>6</w:t>
      </w:r>
      <w:r>
        <w:t>.</w:t>
      </w:r>
      <w:r>
        <w:tab/>
        <w:t>Section 85 amended</w:t>
      </w:r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>In section 85(1):</w:t>
      </w:r>
    </w:p>
    <w:p>
      <w:pPr>
        <w:pStyle w:val="Indenta"/>
      </w:pPr>
      <w:r>
        <w:tab/>
        <w:t>(a)</w:t>
      </w:r>
      <w:r>
        <w:tab/>
        <w:t>in paragraph (b) delete “business.”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business; or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after paragraph (b) insert:</w:t>
      </w:r>
    </w:p>
    <w:p>
      <w:pPr>
        <w:pStyle w:val="BlankOpen"/>
      </w:pPr>
    </w:p>
    <w:p>
      <w:pPr>
        <w:pStyle w:val="zIndenta"/>
      </w:pPr>
      <w:r>
        <w:tab/>
        <w:t>(c)</w:t>
      </w:r>
      <w:r>
        <w:tab/>
        <w:t>with the consent of that person or in other circumstances specified in the regulations, be given or served by electronic means in accordance with the regulations.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85(3):</w:t>
      </w:r>
    </w:p>
    <w:p>
      <w:pPr>
        <w:pStyle w:val="Indenta"/>
      </w:pPr>
      <w:r>
        <w:tab/>
        <w:t>(a)</w:t>
      </w:r>
      <w:r>
        <w:tab/>
        <w:t>delete “Any notice or document required or authorised to be given under this Act to any person whose address is unknown”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If a notice or document required or authorised to be given under this Act cannot be given or sent to a person in accordance with subsection (1), it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 xml:space="preserve">in paragraph (a) after “throughout” insert — </w:t>
      </w:r>
    </w:p>
    <w:p>
      <w:pPr>
        <w:pStyle w:val="BlankOpen"/>
      </w:pPr>
    </w:p>
    <w:p>
      <w:pPr>
        <w:pStyle w:val="Indenta"/>
      </w:pPr>
      <w:r>
        <w:tab/>
      </w:r>
      <w:r>
        <w:tab/>
        <w:t>all, or most of,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in paragraph (b) delete “effected.”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effected; or</w:t>
      </w:r>
    </w:p>
    <w:p>
      <w:pPr>
        <w:pStyle w:val="BlankClose"/>
      </w:pPr>
    </w:p>
    <w:p>
      <w:pPr>
        <w:pStyle w:val="Indenta"/>
      </w:pPr>
      <w:r>
        <w:tab/>
        <w:t>(d)</w:t>
      </w:r>
      <w:r>
        <w:tab/>
        <w:t>after paragraph (b) insert:</w:t>
      </w:r>
    </w:p>
    <w:p>
      <w:pPr>
        <w:pStyle w:val="BlankOpen"/>
      </w:pPr>
    </w:p>
    <w:p>
      <w:pPr>
        <w:pStyle w:val="zIndenta"/>
      </w:pPr>
      <w:r>
        <w:tab/>
        <w:t>(c)</w:t>
      </w:r>
      <w:r>
        <w:tab/>
        <w:t>it is made publicly available in any manner prescribed for the purposes of this paragraph, including (without limitation) by means of a website.</w:t>
      </w:r>
    </w:p>
    <w:p>
      <w:pPr>
        <w:pStyle w:val="BlankClose"/>
      </w:pPr>
    </w:p>
    <w:p>
      <w:pPr>
        <w:pStyle w:val="Heading5"/>
      </w:pPr>
      <w:bookmarkStart w:id="22" w:name="_Toc468452914"/>
      <w:bookmarkStart w:id="23" w:name="_Toc468458285"/>
      <w:bookmarkStart w:id="24" w:name="_Toc468459508"/>
      <w:r>
        <w:rPr>
          <w:rStyle w:val="CharSectno"/>
        </w:rPr>
        <w:t>7</w:t>
      </w:r>
      <w:r>
        <w:t>.</w:t>
      </w:r>
      <w:r>
        <w:tab/>
        <w:t>Schedule 1 clause 8 amended</w:t>
      </w:r>
      <w:bookmarkEnd w:id="22"/>
      <w:bookmarkEnd w:id="23"/>
      <w:bookmarkEnd w:id="24"/>
    </w:p>
    <w:p>
      <w:pPr>
        <w:pStyle w:val="Subsection"/>
      </w:pPr>
      <w:r>
        <w:tab/>
        <w:t>(1)</w:t>
      </w:r>
      <w:r>
        <w:tab/>
        <w:t>In clause 8(3) delete “</w:t>
      </w:r>
      <w:r>
        <w:rPr>
          <w:sz w:val="22"/>
          <w:szCs w:val="22"/>
        </w:rPr>
        <w:t>prescribed form,</w:t>
      </w:r>
      <w:r>
        <w:t>” and insert:</w:t>
      </w:r>
    </w:p>
    <w:p>
      <w:pPr>
        <w:pStyle w:val="BlankOpen"/>
      </w:pPr>
    </w:p>
    <w:p>
      <w:pPr>
        <w:pStyle w:val="Subsection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form approved by the Minister,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clause 8(4)(b) delete “</w:t>
      </w:r>
      <w:r>
        <w:rPr>
          <w:sz w:val="22"/>
          <w:szCs w:val="22"/>
        </w:rPr>
        <w:t>prescribed form</w:t>
      </w:r>
      <w:r>
        <w:t>” and insert:</w:t>
      </w:r>
    </w:p>
    <w:p>
      <w:pPr>
        <w:pStyle w:val="BlankOpen"/>
      </w:pPr>
    </w:p>
    <w:p>
      <w:pPr>
        <w:pStyle w:val="Subsection"/>
        <w:keepNext/>
        <w:keepLines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form approved by the Minister</w:t>
      </w:r>
    </w:p>
    <w:p>
      <w:pPr>
        <w:pStyle w:val="BlankClose"/>
        <w:keepNext/>
      </w:pPr>
    </w:p>
    <w:p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9"/>
          <w:headerReference w:type="default" r:id="rId3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8148864</wp:posOffset>
                </wp:positionV>
                <wp:extent cx="123825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641.65pt;width:9.75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42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42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42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42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42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42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42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42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32509"/>
    <w:docVar w:name="WAFER_20150206084435" w:val="ResetPageSize"/>
    <w:docVar w:name="WAFER_20150206084435_GUID" w:val="bd672a8f-e74f-4265-8b59-571b146e34b9"/>
    <w:docVar w:name="WAFER_20151012101544" w:val="RemoveTocBookmarks,RemoveUnusedBookmarks,RemoveLanguageTags,UsedStyles,ResetPageSize"/>
    <w:docVar w:name="WAFER_20151012101544_GUID" w:val="14a10113-bdab-44c6-afd7-873fb686a138"/>
    <w:docVar w:name="WAFER_20151012102658" w:val="RemoveTocBookmarks,RemoveUnusedBookmarks,RemoveLanguageTags,UsedStyles,ResetPageSize"/>
    <w:docVar w:name="WAFER_20151012102658_GUID" w:val="6cf357f0-ed8d-47c6-a6b0-dd74c699f883"/>
    <w:docVar w:name="WAFER_20151102132509" w:val="UpdateStyles,UsedStyles"/>
    <w:docVar w:name="WAFER_20151102132509_GUID" w:val="22dfa088-0745-45a2-8920-b31ceb198db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CCA5-8C23-49C1-80C3-907D7C66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677</Words>
  <Characters>3261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3851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Amendment Act 2016 - 00-00-00</dc:title>
  <dc:subject/>
  <dc:creator/>
  <cp:keywords/>
  <dc:description/>
  <cp:lastModifiedBy>svcMRProcess</cp:lastModifiedBy>
  <cp:revision>4</cp:revision>
  <cp:lastPrinted>2016-12-02T06:41:00Z</cp:lastPrinted>
  <dcterms:created xsi:type="dcterms:W3CDTF">2016-12-02T08:47:00Z</dcterms:created>
  <dcterms:modified xsi:type="dcterms:W3CDTF">2016-12-02T08:47:00Z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2444</vt:lpwstr>
  </property>
  <property fmtid="{D5CDD505-2E9C-101B-9397-08002B2CF9AE}" pid="3" name="ActNo">
    <vt:lpwstr>42 of 2016</vt:lpwstr>
  </property>
  <property fmtid="{D5CDD505-2E9C-101B-9397-08002B2CF9AE}" pid="4" name="DocumentType">
    <vt:lpwstr>Act</vt:lpwstr>
  </property>
  <property fmtid="{D5CDD505-2E9C-101B-9397-08002B2CF9AE}" pid="5" name="CommencementDate">
    <vt:lpwstr>20161201</vt:lpwstr>
  </property>
  <property fmtid="{D5CDD505-2E9C-101B-9397-08002B2CF9AE}" pid="6" name="AsAtDate">
    <vt:lpwstr>01 Dec 2016</vt:lpwstr>
  </property>
  <property fmtid="{D5CDD505-2E9C-101B-9397-08002B2CF9AE}" pid="7" name="Suffix">
    <vt:lpwstr>00-00-00</vt:lpwstr>
  </property>
  <property fmtid="{D5CDD505-2E9C-101B-9397-08002B2CF9AE}" pid="8" name="ActNoFooter">
    <vt:lpwstr>No. 42 of 2016</vt:lpwstr>
  </property>
</Properties>
</file>